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C6B" w:rsidRPr="0095355D" w:rsidRDefault="00AB4C6B" w:rsidP="00AB4C6B">
      <w:pPr>
        <w:jc w:val="both"/>
        <w:rPr>
          <w:rFonts w:ascii="CG Times" w:hAnsi="CG Times"/>
          <w:b/>
        </w:rPr>
      </w:pPr>
      <w:bookmarkStart w:id="0" w:name="_GoBack"/>
      <w:bookmarkEnd w:id="0"/>
    </w:p>
    <w:p w:rsidR="00AB4C6B" w:rsidRPr="0095355D" w:rsidRDefault="00B517A2" w:rsidP="00AB4C6B">
      <w:pPr>
        <w:jc w:val="center"/>
        <w:rPr>
          <w:rFonts w:ascii="CG Times" w:hAnsi="CG Times"/>
        </w:rPr>
      </w:pPr>
      <w:r w:rsidRPr="0095355D">
        <w:rPr>
          <w:rFonts w:ascii="CG Times" w:hAnsi="CG Times"/>
          <w:sz w:val="12"/>
          <w:szCs w:val="12"/>
          <w:lang w:val="en-GB" w:eastAsia="en-GB"/>
        </w:rPr>
        <w:drawing>
          <wp:inline distT="0" distB="0" distL="0" distR="0">
            <wp:extent cx="723900" cy="866775"/>
            <wp:effectExtent l="0" t="0" r="0" b="9525"/>
            <wp:docPr id="1" name="Picture 1" descr="kapa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pak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C6B" w:rsidRPr="0095355D" w:rsidRDefault="00AB4C6B" w:rsidP="00AB4C6B">
      <w:pPr>
        <w:jc w:val="center"/>
        <w:rPr>
          <w:rFonts w:ascii="CG Times" w:hAnsi="CG Times"/>
          <w:sz w:val="14"/>
        </w:rPr>
      </w:pPr>
    </w:p>
    <w:p w:rsidR="00AB4C6B" w:rsidRPr="0095355D" w:rsidRDefault="00AB4C6B" w:rsidP="00AB4C6B">
      <w:pPr>
        <w:jc w:val="center"/>
        <w:rPr>
          <w:rFonts w:ascii="CG Times" w:hAnsi="CG Times"/>
          <w:b/>
          <w:bCs/>
          <w:sz w:val="60"/>
          <w:szCs w:val="60"/>
        </w:rPr>
      </w:pPr>
      <w:r w:rsidRPr="0095355D">
        <w:rPr>
          <w:rFonts w:ascii="CG Times" w:hAnsi="CG Times"/>
          <w:b/>
          <w:bCs/>
          <w:sz w:val="60"/>
          <w:szCs w:val="60"/>
        </w:rPr>
        <w:t>FLETORJA ZYRTARE</w:t>
      </w:r>
    </w:p>
    <w:p w:rsidR="00AB4C6B" w:rsidRPr="0095355D" w:rsidRDefault="00AB4C6B" w:rsidP="00AB4C6B">
      <w:pPr>
        <w:jc w:val="center"/>
        <w:rPr>
          <w:rFonts w:ascii="CG Times" w:hAnsi="CG Times"/>
          <w:sz w:val="56"/>
          <w:szCs w:val="56"/>
        </w:rPr>
      </w:pPr>
      <w:r w:rsidRPr="0095355D">
        <w:rPr>
          <w:rFonts w:ascii="CG Times" w:hAnsi="CG Times"/>
          <w:b/>
          <w:bCs/>
          <w:sz w:val="56"/>
          <w:szCs w:val="56"/>
        </w:rPr>
        <w:t>E</w:t>
      </w:r>
      <w:r w:rsidRPr="0095355D">
        <w:rPr>
          <w:rFonts w:ascii="CG Times" w:hAnsi="CG Times"/>
          <w:b/>
          <w:sz w:val="56"/>
          <w:szCs w:val="56"/>
        </w:rPr>
        <w:t xml:space="preserve"> REPUBLIKËS SË SHQIPËRISË</w:t>
      </w:r>
    </w:p>
    <w:p w:rsidR="00AB4C6B" w:rsidRPr="0095355D" w:rsidRDefault="00AB4C6B" w:rsidP="00AB4C6B">
      <w:pPr>
        <w:jc w:val="center"/>
        <w:rPr>
          <w:rFonts w:ascii="CG Times" w:hAnsi="CG Times"/>
          <w:sz w:val="8"/>
        </w:rPr>
      </w:pPr>
    </w:p>
    <w:p w:rsidR="00AB4C6B" w:rsidRPr="0095355D" w:rsidRDefault="00AB4C6B" w:rsidP="00AB4C6B">
      <w:pPr>
        <w:jc w:val="center"/>
        <w:rPr>
          <w:rFonts w:ascii="CG Times" w:hAnsi="CG Times"/>
          <w:sz w:val="2"/>
        </w:rPr>
      </w:pPr>
    </w:p>
    <w:p w:rsidR="00AB4C6B" w:rsidRPr="0095355D" w:rsidRDefault="00AB4C6B" w:rsidP="00AB4C6B">
      <w:pPr>
        <w:jc w:val="center"/>
        <w:rPr>
          <w:rFonts w:ascii="CG Times" w:hAnsi="CG Times"/>
          <w:sz w:val="8"/>
        </w:rPr>
      </w:pPr>
    </w:p>
    <w:p w:rsidR="00AB4C6B" w:rsidRPr="0095355D" w:rsidRDefault="00AB4C6B" w:rsidP="00AB4C6B">
      <w:pPr>
        <w:jc w:val="center"/>
        <w:rPr>
          <w:rFonts w:ascii="CG Times" w:hAnsi="CG Times"/>
          <w:sz w:val="8"/>
        </w:rPr>
      </w:pPr>
    </w:p>
    <w:p w:rsidR="00AB4C6B" w:rsidRPr="0095355D" w:rsidRDefault="00AB4C6B" w:rsidP="00AB4C6B">
      <w:pPr>
        <w:jc w:val="center"/>
        <w:rPr>
          <w:rFonts w:ascii="CG Times" w:hAnsi="CG Times"/>
          <w:b/>
          <w:sz w:val="34"/>
        </w:rPr>
      </w:pPr>
      <w:r w:rsidRPr="0095355D">
        <w:rPr>
          <w:rFonts w:ascii="CG Times" w:hAnsi="CG Times"/>
          <w:b/>
          <w:sz w:val="34"/>
        </w:rPr>
        <w:t>Botim i Qendrës së Publikimeve Zyrtare</w:t>
      </w:r>
    </w:p>
    <w:p w:rsidR="00AB4C6B" w:rsidRPr="0095355D" w:rsidRDefault="00AB4C6B" w:rsidP="00AB4C6B">
      <w:pPr>
        <w:jc w:val="center"/>
        <w:rPr>
          <w:rFonts w:ascii="CG Times" w:hAnsi="CG Times"/>
          <w:sz w:val="28"/>
          <w:szCs w:val="28"/>
        </w:rPr>
      </w:pPr>
      <w:hyperlink r:id="rId8" w:history="1">
        <w:hyperlink r:id="rId9" w:history="1">
          <w:r w:rsidRPr="0095355D">
            <w:rPr>
              <w:rStyle w:val="Hyperlink"/>
              <w:rFonts w:ascii="CG Times" w:hAnsi="CG Times"/>
              <w:sz w:val="28"/>
              <w:szCs w:val="28"/>
            </w:rPr>
            <w:t>www.legjislacioni</w:t>
          </w:r>
        </w:hyperlink>
        <w:r w:rsidRPr="0095355D">
          <w:rPr>
            <w:rStyle w:val="Hyperlink"/>
            <w:rFonts w:ascii="CG Times" w:hAnsi="CG Times"/>
            <w:sz w:val="28"/>
            <w:szCs w:val="28"/>
          </w:rPr>
          <w:t>shqiptar.gov.al</w:t>
        </w:r>
      </w:hyperlink>
      <w:r w:rsidRPr="0095355D">
        <w:rPr>
          <w:rFonts w:ascii="CG Times" w:hAnsi="CG Times"/>
          <w:sz w:val="28"/>
          <w:szCs w:val="28"/>
        </w:rPr>
        <w:t xml:space="preserve"> </w:t>
      </w:r>
    </w:p>
    <w:p w:rsidR="00AB4C6B" w:rsidRPr="0095355D" w:rsidRDefault="00AB4C6B" w:rsidP="00AB4C6B">
      <w:pPr>
        <w:rPr>
          <w:rFonts w:ascii="CG Times" w:hAnsi="CG Times"/>
          <w:sz w:val="2"/>
        </w:rPr>
      </w:pPr>
    </w:p>
    <w:p w:rsidR="00AB4C6B" w:rsidRPr="0095355D" w:rsidRDefault="00AB4C6B" w:rsidP="00AB4C6B">
      <w:pPr>
        <w:rPr>
          <w:rFonts w:ascii="CG Times" w:hAnsi="CG Times"/>
        </w:rPr>
      </w:pPr>
    </w:p>
    <w:p w:rsidR="00AB4C6B" w:rsidRPr="0095355D" w:rsidRDefault="00AB4C6B" w:rsidP="00AB4C6B">
      <w:pPr>
        <w:rPr>
          <w:rFonts w:ascii="CG Times" w:hAnsi="CG Times"/>
          <w:sz w:val="10"/>
        </w:rPr>
      </w:pPr>
    </w:p>
    <w:tbl>
      <w:tblPr>
        <w:tblW w:w="0" w:type="auto"/>
        <w:jc w:val="center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AB4C6B" w:rsidRPr="0095355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70" w:type="dxa"/>
            <w:vAlign w:val="center"/>
          </w:tcPr>
          <w:p w:rsidR="00AB4C6B" w:rsidRPr="0095355D" w:rsidRDefault="00AB4C6B" w:rsidP="0068598C">
            <w:pPr>
              <w:rPr>
                <w:rFonts w:ascii="CG Times" w:hAnsi="CG Times"/>
                <w:b/>
                <w:sz w:val="36"/>
                <w:szCs w:val="36"/>
              </w:rPr>
            </w:pPr>
            <w:r w:rsidRPr="0095355D">
              <w:rPr>
                <w:rFonts w:ascii="CG Times" w:hAnsi="CG Times"/>
                <w:b/>
                <w:bCs/>
                <w:sz w:val="36"/>
                <w:szCs w:val="36"/>
              </w:rPr>
              <w:t xml:space="preserve"> Nr.12</w:t>
            </w:r>
          </w:p>
        </w:tc>
        <w:tc>
          <w:tcPr>
            <w:tcW w:w="3070" w:type="dxa"/>
            <w:vAlign w:val="center"/>
          </w:tcPr>
          <w:p w:rsidR="00AB4C6B" w:rsidRPr="0095355D" w:rsidRDefault="00AB4C6B" w:rsidP="0068598C">
            <w:pPr>
              <w:jc w:val="center"/>
              <w:rPr>
                <w:rFonts w:ascii="CG Times" w:hAnsi="CG Times"/>
                <w:b/>
                <w:sz w:val="36"/>
                <w:szCs w:val="36"/>
              </w:rPr>
            </w:pPr>
            <w:r w:rsidRPr="0095355D">
              <w:rPr>
                <w:rFonts w:ascii="CG Times" w:hAnsi="CG Times"/>
                <w:b/>
                <w:sz w:val="36"/>
                <w:szCs w:val="36"/>
              </w:rPr>
              <w:t xml:space="preserve"> 14 shkurt</w:t>
            </w:r>
          </w:p>
        </w:tc>
        <w:tc>
          <w:tcPr>
            <w:tcW w:w="3070" w:type="dxa"/>
            <w:vAlign w:val="center"/>
          </w:tcPr>
          <w:p w:rsidR="00AB4C6B" w:rsidRPr="0095355D" w:rsidRDefault="00AB4C6B" w:rsidP="0068598C">
            <w:pPr>
              <w:jc w:val="center"/>
              <w:rPr>
                <w:rFonts w:ascii="CG Times" w:hAnsi="CG Times"/>
                <w:b/>
                <w:sz w:val="36"/>
                <w:szCs w:val="36"/>
              </w:rPr>
            </w:pPr>
            <w:r w:rsidRPr="0095355D">
              <w:rPr>
                <w:rFonts w:ascii="CG Times" w:hAnsi="CG Times"/>
                <w:b/>
                <w:sz w:val="36"/>
                <w:szCs w:val="36"/>
              </w:rPr>
              <w:t xml:space="preserve">                  2007</w:t>
            </w:r>
          </w:p>
        </w:tc>
      </w:tr>
    </w:tbl>
    <w:p w:rsidR="00AB4C6B" w:rsidRPr="0095355D" w:rsidRDefault="00AB4C6B" w:rsidP="00AB4C6B">
      <w:pPr>
        <w:rPr>
          <w:rFonts w:ascii="CG Times" w:hAnsi="CG Times"/>
          <w:color w:val="FFFFFF"/>
          <w:sz w:val="18"/>
        </w:rPr>
      </w:pPr>
    </w:p>
    <w:p w:rsidR="00AB4C6B" w:rsidRPr="0095355D" w:rsidRDefault="00AB4C6B" w:rsidP="00AB4C6B">
      <w:pPr>
        <w:rPr>
          <w:rFonts w:ascii="CG Times" w:hAnsi="CG Times"/>
          <w:sz w:val="2"/>
        </w:rPr>
      </w:pPr>
    </w:p>
    <w:p w:rsidR="00BC3C51" w:rsidRPr="0095355D" w:rsidRDefault="00BC3C51" w:rsidP="00AB4C6B">
      <w:pPr>
        <w:rPr>
          <w:rFonts w:ascii="CG Times" w:hAnsi="CG Times"/>
          <w:szCs w:val="24"/>
        </w:rPr>
      </w:pPr>
    </w:p>
    <w:p w:rsidR="00AB4C6B" w:rsidRPr="0095355D" w:rsidRDefault="00AB4C6B" w:rsidP="00AB4C6B">
      <w:pPr>
        <w:pStyle w:val="Heading4"/>
        <w:rPr>
          <w:b/>
          <w:sz w:val="26"/>
        </w:rPr>
      </w:pPr>
      <w:r w:rsidRPr="0095355D">
        <w:rPr>
          <w:b/>
        </w:rPr>
        <w:t>P Ë R M B A J T J A</w:t>
      </w:r>
    </w:p>
    <w:p w:rsidR="00AB4C6B" w:rsidRPr="0095355D" w:rsidRDefault="00AB4C6B" w:rsidP="00AB4C6B">
      <w:pPr>
        <w:jc w:val="right"/>
        <w:rPr>
          <w:rFonts w:ascii="CG Times" w:hAnsi="CG Times"/>
        </w:rPr>
      </w:pPr>
      <w:r w:rsidRPr="0095355D">
        <w:rPr>
          <w:rFonts w:ascii="CG Times" w:hAnsi="CG Times"/>
        </w:rPr>
        <w:t>Faqe</w:t>
      </w:r>
    </w:p>
    <w:p w:rsidR="00AB4C6B" w:rsidRPr="0095355D" w:rsidRDefault="00AB4C6B" w:rsidP="00AB4C6B">
      <w:pPr>
        <w:jc w:val="right"/>
        <w:rPr>
          <w:rFonts w:ascii="CG Times" w:hAnsi="CG Times"/>
          <w:sz w:val="16"/>
        </w:rPr>
      </w:pPr>
    </w:p>
    <w:tbl>
      <w:tblPr>
        <w:tblW w:w="5127" w:type="pct"/>
        <w:tblLayout w:type="fixed"/>
        <w:tblLook w:val="0000" w:firstRow="0" w:lastRow="0" w:firstColumn="0" w:lastColumn="0" w:noHBand="0" w:noVBand="0"/>
      </w:tblPr>
      <w:tblGrid>
        <w:gridCol w:w="2658"/>
        <w:gridCol w:w="6106"/>
        <w:gridCol w:w="756"/>
      </w:tblGrid>
      <w:tr w:rsidR="00AB4C6B" w:rsidRPr="0095355D">
        <w:tblPrEx>
          <w:tblCellMar>
            <w:top w:w="0" w:type="dxa"/>
            <w:bottom w:w="0" w:type="dxa"/>
          </w:tblCellMar>
        </w:tblPrEx>
        <w:tc>
          <w:tcPr>
            <w:tcW w:w="1396" w:type="pct"/>
          </w:tcPr>
          <w:p w:rsidR="00AB4C6B" w:rsidRPr="0095355D" w:rsidRDefault="00AB4C6B" w:rsidP="0068598C">
            <w:pPr>
              <w:rPr>
                <w:rFonts w:ascii="CG Times" w:hAnsi="CG Times"/>
              </w:rPr>
            </w:pPr>
            <w:r w:rsidRPr="0095355D">
              <w:rPr>
                <w:rFonts w:ascii="CG Times" w:hAnsi="CG Times"/>
              </w:rPr>
              <w:t xml:space="preserve">Udhëzim i KM </w:t>
            </w:r>
          </w:p>
          <w:p w:rsidR="00AB4C6B" w:rsidRPr="0095355D" w:rsidRDefault="00AB4C6B" w:rsidP="0068598C">
            <w:pPr>
              <w:rPr>
                <w:rFonts w:ascii="CG Times" w:hAnsi="CG Times"/>
              </w:rPr>
            </w:pPr>
            <w:r w:rsidRPr="0095355D">
              <w:rPr>
                <w:rFonts w:ascii="CG Times" w:hAnsi="CG Times"/>
              </w:rPr>
              <w:t>nr.1, datë 31.1.2007</w:t>
            </w:r>
          </w:p>
        </w:tc>
        <w:tc>
          <w:tcPr>
            <w:tcW w:w="3207" w:type="pct"/>
          </w:tcPr>
          <w:p w:rsidR="00AB4C6B" w:rsidRPr="0095355D" w:rsidRDefault="00AB4C6B" w:rsidP="0068598C">
            <w:pPr>
              <w:jc w:val="both"/>
              <w:rPr>
                <w:rFonts w:ascii="CG Times" w:hAnsi="CG Times"/>
              </w:rPr>
            </w:pPr>
            <w:r w:rsidRPr="0095355D">
              <w:rPr>
                <w:rFonts w:ascii="CG Times" w:hAnsi="CG Times"/>
              </w:rPr>
              <w:t>Për procedurat e regjistrimit në zyrat e regjistrimit të pasurive të paluajtshme …………………………………………</w:t>
            </w:r>
          </w:p>
        </w:tc>
        <w:tc>
          <w:tcPr>
            <w:tcW w:w="397" w:type="pct"/>
          </w:tcPr>
          <w:p w:rsidR="00AB4C6B" w:rsidRPr="0095355D" w:rsidRDefault="00AB4C6B" w:rsidP="0068598C">
            <w:pPr>
              <w:jc w:val="center"/>
              <w:rPr>
                <w:rFonts w:ascii="CG Times" w:hAnsi="CG Times"/>
              </w:rPr>
            </w:pPr>
          </w:p>
          <w:p w:rsidR="00AB4C6B" w:rsidRPr="0095355D" w:rsidRDefault="00AB4C6B" w:rsidP="0068598C">
            <w:pPr>
              <w:jc w:val="center"/>
              <w:rPr>
                <w:rFonts w:ascii="CG Times" w:hAnsi="CG Times"/>
              </w:rPr>
            </w:pPr>
            <w:r w:rsidRPr="0095355D">
              <w:rPr>
                <w:rFonts w:ascii="CG Times" w:hAnsi="CG Times"/>
              </w:rPr>
              <w:t>187</w:t>
            </w:r>
          </w:p>
        </w:tc>
      </w:tr>
    </w:tbl>
    <w:p w:rsidR="000D1A4F" w:rsidRPr="0095355D" w:rsidRDefault="00AB4C6B" w:rsidP="00EF4030">
      <w:pPr>
        <w:pStyle w:val="Akti"/>
        <w:keepNext w:val="0"/>
      </w:pPr>
      <w:r w:rsidRPr="0095355D">
        <w:br w:type="page"/>
      </w:r>
      <w:r w:rsidR="000D1A4F" w:rsidRPr="0095355D">
        <w:lastRenderedPageBreak/>
        <w:t>Udhëzim</w:t>
      </w:r>
    </w:p>
    <w:p w:rsidR="000D1A4F" w:rsidRPr="0095355D" w:rsidRDefault="00742BDF" w:rsidP="00EF4030">
      <w:pPr>
        <w:pStyle w:val="NumriData"/>
        <w:keepNext w:val="0"/>
        <w:rPr>
          <w:szCs w:val="22"/>
        </w:rPr>
      </w:pPr>
      <w:r w:rsidRPr="0095355D">
        <w:rPr>
          <w:szCs w:val="22"/>
        </w:rPr>
        <w:t>Nr.1</w:t>
      </w:r>
      <w:r w:rsidR="000D1A4F" w:rsidRPr="0095355D">
        <w:rPr>
          <w:szCs w:val="22"/>
        </w:rPr>
        <w:t>, datë 31.1.2007</w:t>
      </w:r>
    </w:p>
    <w:p w:rsidR="000D1A4F" w:rsidRPr="0095355D" w:rsidRDefault="000D1A4F" w:rsidP="00EF4030">
      <w:pPr>
        <w:pStyle w:val="Paragrafi"/>
        <w:rPr>
          <w:szCs w:val="22"/>
        </w:rPr>
      </w:pPr>
    </w:p>
    <w:p w:rsidR="00A014DB" w:rsidRPr="0095355D" w:rsidRDefault="000D1A4F" w:rsidP="00EF4030">
      <w:pPr>
        <w:pStyle w:val="Titulli"/>
        <w:keepNext w:val="0"/>
      </w:pPr>
      <w:r w:rsidRPr="0095355D">
        <w:t xml:space="preserve">Për procedurat e regjistrimit në zyrat e regjistrimit të pasurive </w:t>
      </w:r>
    </w:p>
    <w:p w:rsidR="000D1A4F" w:rsidRPr="0095355D" w:rsidRDefault="000D1A4F" w:rsidP="00EF4030">
      <w:pPr>
        <w:pStyle w:val="Titulli"/>
        <w:keepNext w:val="0"/>
      </w:pPr>
      <w:r w:rsidRPr="0095355D">
        <w:t>të paluajtshme</w:t>
      </w:r>
    </w:p>
    <w:p w:rsidR="000D1A4F" w:rsidRPr="0095355D" w:rsidRDefault="000D1A4F" w:rsidP="00EF4030">
      <w:pPr>
        <w:pStyle w:val="Paragrafi"/>
        <w:rPr>
          <w:szCs w:val="22"/>
        </w:rPr>
      </w:pPr>
    </w:p>
    <w:p w:rsidR="000D1A4F" w:rsidRPr="0095355D" w:rsidRDefault="000D1A4F" w:rsidP="00EF4030">
      <w:pPr>
        <w:pStyle w:val="BazLigjPropozues"/>
        <w:keepNext w:val="0"/>
      </w:pPr>
      <w:r w:rsidRPr="0095355D">
        <w:t>Në mbështetje të nenit 100</w:t>
      </w:r>
      <w:r w:rsidR="00A0653A" w:rsidRPr="0095355D">
        <w:t xml:space="preserve"> të Kushtetutës dhe të nenit 56</w:t>
      </w:r>
      <w:r w:rsidRPr="0095355D">
        <w:t xml:space="preserve"> të ligjit nr.7843,</w:t>
      </w:r>
      <w:r w:rsidR="00EE0B8E" w:rsidRPr="0095355D">
        <w:t xml:space="preserve"> </w:t>
      </w:r>
      <w:r w:rsidRPr="0095355D">
        <w:t>datë 13.7.1994 “Për regjistrimin e pasurive të paluajtshme”, të ndryshuar, me propozimin e Zëvendëskryeministrit, Këshilli i Ministrave</w:t>
      </w:r>
    </w:p>
    <w:p w:rsidR="000D1A4F" w:rsidRPr="0095355D" w:rsidRDefault="000D1A4F" w:rsidP="00EF4030">
      <w:pPr>
        <w:pStyle w:val="Paragrafi"/>
        <w:rPr>
          <w:szCs w:val="22"/>
        </w:rPr>
      </w:pPr>
    </w:p>
    <w:p w:rsidR="000D1A4F" w:rsidRPr="0095355D" w:rsidRDefault="000D1A4F" w:rsidP="00EF4030">
      <w:pPr>
        <w:pStyle w:val="VENDOSI"/>
        <w:keepNext w:val="0"/>
      </w:pPr>
      <w:r w:rsidRPr="0095355D">
        <w:t>Udhëzon:</w:t>
      </w:r>
    </w:p>
    <w:p w:rsidR="000D1A4F" w:rsidRPr="0095355D" w:rsidRDefault="000D1A4F" w:rsidP="00EF4030">
      <w:pPr>
        <w:pStyle w:val="Paragrafi"/>
        <w:rPr>
          <w:szCs w:val="22"/>
        </w:rPr>
      </w:pP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>1. Regjistrimi i fitimit apo i kalimit të së drejtës së pronësisë për pasuritë e paluajt</w:t>
      </w:r>
      <w:r w:rsidR="00A0653A" w:rsidRPr="0095355D">
        <w:rPr>
          <w:szCs w:val="22"/>
        </w:rPr>
        <w:t>shme, të njohura ose të fituara</w:t>
      </w:r>
      <w:r w:rsidRPr="0095355D">
        <w:rPr>
          <w:szCs w:val="22"/>
        </w:rPr>
        <w:t xml:space="preserve"> me anë të ligjit, vendimit gjyqësor apo aktit administrativ bëhet nga zyrat e regjistrimit të pasurive të paluajtshme (ZRP</w:t>
      </w:r>
      <w:r w:rsidR="00A0653A" w:rsidRPr="0095355D">
        <w:rPr>
          <w:szCs w:val="22"/>
        </w:rPr>
        <w:t>P), në zbatim të neneve 37 e 38</w:t>
      </w:r>
      <w:r w:rsidRPr="0095355D">
        <w:rPr>
          <w:szCs w:val="22"/>
        </w:rPr>
        <w:t xml:space="preserve"> të ligjit nr.7843, datë 13.7.1994 “Për regjistrimin e pasurive të paluajtshme”, të ndryshuar, pas verifikimit të plotë të elementeve të formës dhe përmbajtjes së aktit përkatës, që njeh ose përmban fitimin e së drejtës së pronësisë, për efekt të plotësimit të kushteve të regjistri</w:t>
      </w:r>
      <w:r w:rsidR="00A0653A" w:rsidRPr="0095355D">
        <w:rPr>
          <w:szCs w:val="22"/>
        </w:rPr>
        <w:t>mit, të përcaktuar</w:t>
      </w:r>
      <w:r w:rsidR="00903A1F" w:rsidRPr="0095355D">
        <w:rPr>
          <w:szCs w:val="22"/>
        </w:rPr>
        <w:t>a</w:t>
      </w:r>
      <w:r w:rsidR="00A0653A" w:rsidRPr="0095355D">
        <w:rPr>
          <w:szCs w:val="22"/>
        </w:rPr>
        <w:t xml:space="preserve"> në nenin 193</w:t>
      </w:r>
      <w:r w:rsidRPr="0095355D">
        <w:rPr>
          <w:szCs w:val="22"/>
        </w:rPr>
        <w:t xml:space="preserve"> të Kodit Civil të Republikës së Shqipërisë.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>Përveç përjashtimeve të përcaktuara me ligj, zyrat e regjistrimit të pasurive të paluajtshme bëjnë veprime në regjistrin e një pasurie të paluajtshme vetëm kur ato rrjedhin nga tituj pronësie të disponuesit/tjetërsuesit ose të pronarit të fundit të saj, të regjistruar më parë në regjistër.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 xml:space="preserve">Çdo veprim në regjistër, që ka </w:t>
      </w:r>
      <w:r w:rsidR="00A0653A" w:rsidRPr="0095355D">
        <w:rPr>
          <w:szCs w:val="22"/>
        </w:rPr>
        <w:t xml:space="preserve">si </w:t>
      </w:r>
      <w:r w:rsidRPr="0095355D">
        <w:rPr>
          <w:szCs w:val="22"/>
        </w:rPr>
        <w:t>efekt ndryshimin e gjendjes juridike të një pasurie të paluajtshme, bëhet kur akti ose vendimi gjyqësor, që e konstaton atë, është regjistruar më parë në regjistrin e pasurive të paluajtshme.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>2. Për verifikimin e elementeve të formës dhe të përmbajtjes së vendimeve gjyqësore, punonjësit e ZRPP-së, që përpunojnë kërkesat individuale për regjistrim, procedojnë du</w:t>
      </w:r>
      <w:r w:rsidR="00903A1F" w:rsidRPr="0095355D">
        <w:rPr>
          <w:szCs w:val="22"/>
        </w:rPr>
        <w:t>ke verifikuar, sipas shtojcës 1</w:t>
      </w:r>
      <w:r w:rsidRPr="0095355D">
        <w:rPr>
          <w:szCs w:val="22"/>
        </w:rPr>
        <w:t xml:space="preserve"> të këtij udhëzimi: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 xml:space="preserve">a) nëse vendimi gjyqësor ka marrë </w:t>
      </w:r>
      <w:r w:rsidR="00A0653A" w:rsidRPr="0095355D">
        <w:rPr>
          <w:szCs w:val="22"/>
        </w:rPr>
        <w:t>formën e prerë, sipas nenit 451</w:t>
      </w:r>
      <w:r w:rsidRPr="0095355D">
        <w:rPr>
          <w:szCs w:val="22"/>
        </w:rPr>
        <w:t xml:space="preserve"> të Kodit të Procedurës Civile.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>Vendimet gjyqësore, të dhëna për sigurimin e padisë, si dhe a</w:t>
      </w:r>
      <w:r w:rsidR="00A0653A" w:rsidRPr="0095355D">
        <w:rPr>
          <w:szCs w:val="22"/>
        </w:rPr>
        <w:t>to për ekzekutimin e përkohshëm</w:t>
      </w:r>
      <w:r w:rsidRPr="0095355D">
        <w:rPr>
          <w:szCs w:val="22"/>
        </w:rPr>
        <w:t xml:space="preserve"> regjistrohen edhe pse nuk kanë marrë formë të prerë, sepse nuk shkaktojnë fitimin apo kalimin e së drejtës së pronësisë.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 xml:space="preserve">b) </w:t>
      </w:r>
      <w:r w:rsidR="00725C97" w:rsidRPr="0095355D">
        <w:rPr>
          <w:szCs w:val="22"/>
        </w:rPr>
        <w:t>n</w:t>
      </w:r>
      <w:r w:rsidR="00903A1F" w:rsidRPr="0095355D">
        <w:rPr>
          <w:szCs w:val="22"/>
        </w:rPr>
        <w:t xml:space="preserve">ëse </w:t>
      </w:r>
      <w:r w:rsidRPr="0095355D">
        <w:rPr>
          <w:szCs w:val="22"/>
        </w:rPr>
        <w:t>të paktën njëra nga palët ndërgjygjëse (ose trashëgimlënësit e palës ndërg</w:t>
      </w:r>
      <w:r w:rsidR="00A0653A" w:rsidRPr="0095355D">
        <w:rPr>
          <w:szCs w:val="22"/>
        </w:rPr>
        <w:t>jygjëse, sipas neneve 165 e 316</w:t>
      </w:r>
      <w:r w:rsidRPr="0095355D">
        <w:rPr>
          <w:szCs w:val="22"/>
        </w:rPr>
        <w:t xml:space="preserve"> të Kodit të Procedurës Civile) figuron në regjistrat e pasurive të paluajtshme, që administrohen nga ZRPP-ja, pronare e pasurisë, mbi të cilën gjykata ka disponuar me v</w:t>
      </w:r>
      <w:r w:rsidR="00A0653A" w:rsidRPr="0095355D">
        <w:rPr>
          <w:szCs w:val="22"/>
        </w:rPr>
        <w:t>endim (nenet 18 dhe 90</w:t>
      </w:r>
      <w:r w:rsidRPr="0095355D">
        <w:rPr>
          <w:szCs w:val="22"/>
        </w:rPr>
        <w:t xml:space="preserve"> të Kodit të Procedurës Civile).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>Nëse pasuria mbi të cilën gjykata ka disponuar, sipas vendimit</w:t>
      </w:r>
      <w:r w:rsidR="00A0653A" w:rsidRPr="0095355D">
        <w:rPr>
          <w:szCs w:val="22"/>
        </w:rPr>
        <w:t>,</w:t>
      </w:r>
      <w:r w:rsidRPr="0095355D">
        <w:rPr>
          <w:szCs w:val="22"/>
        </w:rPr>
        <w:t xml:space="preserve"> figuron pronë shtetërore ose në emër të një institucioni a enti publik</w:t>
      </w:r>
      <w:r w:rsidR="00A0653A" w:rsidRPr="0095355D">
        <w:rPr>
          <w:szCs w:val="22"/>
        </w:rPr>
        <w:t>,</w:t>
      </w:r>
      <w:r w:rsidRPr="0095355D">
        <w:rPr>
          <w:szCs w:val="22"/>
        </w:rPr>
        <w:t xml:space="preserve"> procedohet duke verifikuar nëse ka qenë palë në gjykim pikërisht ai ins</w:t>
      </w:r>
      <w:r w:rsidR="00A0653A" w:rsidRPr="0095355D">
        <w:rPr>
          <w:szCs w:val="22"/>
        </w:rPr>
        <w:t>titucion a ent publik, që ka pasur të drejtën e pronësisë mbi pasurinë (nenet 18 e 90</w:t>
      </w:r>
      <w:r w:rsidRPr="0095355D">
        <w:rPr>
          <w:szCs w:val="22"/>
        </w:rPr>
        <w:t xml:space="preserve"> të Kodit të Procedurës Civile) dhe</w:t>
      </w:r>
      <w:r w:rsidR="00A0653A" w:rsidRPr="0095355D">
        <w:rPr>
          <w:szCs w:val="22"/>
        </w:rPr>
        <w:t xml:space="preserve"> Avokatura e Shtetit (neni 79/a</w:t>
      </w:r>
      <w:r w:rsidRPr="0095355D">
        <w:rPr>
          <w:szCs w:val="22"/>
        </w:rPr>
        <w:t xml:space="preserve"> i Kodit të </w:t>
      </w:r>
      <w:r w:rsidR="00A0653A" w:rsidRPr="0095355D">
        <w:rPr>
          <w:szCs w:val="22"/>
        </w:rPr>
        <w:t>Procedurës Civile, shkronja “a” e pikës 1 të nenit 1 të ligjit nr</w:t>
      </w:r>
      <w:r w:rsidRPr="0095355D">
        <w:rPr>
          <w:szCs w:val="22"/>
        </w:rPr>
        <w:t>.8551, datë 18.11.1999 “Për Avokaturën e Shtetit”).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>c) nëse në gjykimet, që kanë për objekt kundërshtimin e vendimit të Komisionit të Kthimit dhe Kompensimit të Pronave/Komitetit Shtetëror të Kthimit dhe Kompensimit të Pronave</w:t>
      </w:r>
      <w:r w:rsidR="00725C97" w:rsidRPr="0095355D">
        <w:rPr>
          <w:szCs w:val="22"/>
        </w:rPr>
        <w:t>/</w:t>
      </w:r>
      <w:r w:rsidR="00A0653A" w:rsidRPr="0095355D">
        <w:rPr>
          <w:szCs w:val="22"/>
        </w:rPr>
        <w:t xml:space="preserve"> komisi</w:t>
      </w:r>
      <w:r w:rsidR="000E5924" w:rsidRPr="0095355D">
        <w:rPr>
          <w:szCs w:val="22"/>
        </w:rPr>
        <w:t>o</w:t>
      </w:r>
      <w:r w:rsidR="00A0653A" w:rsidRPr="0095355D">
        <w:rPr>
          <w:szCs w:val="22"/>
        </w:rPr>
        <w:t>neve vendore t</w:t>
      </w:r>
      <w:r w:rsidR="000E5924" w:rsidRPr="0095355D">
        <w:rPr>
          <w:szCs w:val="22"/>
        </w:rPr>
        <w:t>ë kthimit dhe kompensimit të pro</w:t>
      </w:r>
      <w:r w:rsidR="00A0653A" w:rsidRPr="0095355D">
        <w:rPr>
          <w:szCs w:val="22"/>
        </w:rPr>
        <w:t xml:space="preserve">nave apo </w:t>
      </w:r>
      <w:r w:rsidR="000E5924" w:rsidRPr="0095355D">
        <w:rPr>
          <w:szCs w:val="22"/>
        </w:rPr>
        <w:t xml:space="preserve">Agjencisë </w:t>
      </w:r>
      <w:r w:rsidR="00A0653A" w:rsidRPr="0095355D">
        <w:rPr>
          <w:szCs w:val="22"/>
        </w:rPr>
        <w:t xml:space="preserve">së </w:t>
      </w:r>
      <w:r w:rsidR="000E5924" w:rsidRPr="0095355D">
        <w:rPr>
          <w:szCs w:val="22"/>
        </w:rPr>
        <w:t xml:space="preserve">Kthimit </w:t>
      </w:r>
      <w:r w:rsidR="00A0653A" w:rsidRPr="0095355D">
        <w:rPr>
          <w:szCs w:val="22"/>
        </w:rPr>
        <w:t xml:space="preserve">dhe </w:t>
      </w:r>
      <w:r w:rsidR="000E5924" w:rsidRPr="0095355D">
        <w:rPr>
          <w:szCs w:val="22"/>
        </w:rPr>
        <w:t xml:space="preserve">Kompensimit </w:t>
      </w:r>
      <w:r w:rsidR="00A0653A" w:rsidRPr="0095355D">
        <w:rPr>
          <w:szCs w:val="22"/>
        </w:rPr>
        <w:t>të Pronave</w:t>
      </w:r>
      <w:r w:rsidRPr="0095355D">
        <w:rPr>
          <w:szCs w:val="22"/>
        </w:rPr>
        <w:t>, është thirrur si palë ndërgjygjëse në gjykim pronari (apo trashëgimtarët e tij), në emër të të cilit figuron prona e regjistruar në regjistrin e pasuriv</w:t>
      </w:r>
      <w:r w:rsidR="00A0653A" w:rsidRPr="0095355D">
        <w:rPr>
          <w:szCs w:val="22"/>
        </w:rPr>
        <w:t>e të paluajtshme (nenet 18 e 90</w:t>
      </w:r>
      <w:r w:rsidRPr="0095355D">
        <w:rPr>
          <w:szCs w:val="22"/>
        </w:rPr>
        <w:t xml:space="preserve"> të Kodit të Procedurës Civile).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>Nëse prona figuron pronë shtetërore ose në emër të një institucioni a enti publik procedohet duke verifikuar nëse institucioni a enti publik, që ka në pronësi pasurinë, dhe Avokatura e Shtetit kanë qenë palë në gjykim apo jo.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>ç) nëse në gjykim, me objekt kundërshtimin e procedurave apo të kontratës së shitjes së pasurive publike/shtetërore, të kryera nga Agjencia Kombëtare e Privatizimit/Drejtoria e Administrimit</w:t>
      </w:r>
      <w:r w:rsidR="000E5924" w:rsidRPr="0095355D">
        <w:rPr>
          <w:szCs w:val="22"/>
        </w:rPr>
        <w:t xml:space="preserve"> dhe Shitjes së Pronave Publike</w:t>
      </w:r>
      <w:r w:rsidRPr="0095355D">
        <w:rPr>
          <w:szCs w:val="22"/>
        </w:rPr>
        <w:t xml:space="preserve"> në Ministrinë e Financave, janë thirrur si palë në gjykim apo palë e interesuar institucioni a enti publik, që ka të drejtën e pronësisë mbi pasurinë e paluajtshme, </w:t>
      </w:r>
      <w:r w:rsidRPr="0095355D">
        <w:rPr>
          <w:szCs w:val="22"/>
        </w:rPr>
        <w:lastRenderedPageBreak/>
        <w:t>dhe/ose Avokatura e Shtetit.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>d) nëse, në dispozitivin e vendimit, të dhënat për pronën, pasuri e paluajtshme, janë të plota dhe lejojnë regjistrimin e vendimit.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 xml:space="preserve">3. Për verifikimin e elementeve të formës dhe </w:t>
      </w:r>
      <w:r w:rsidR="003B3CF6" w:rsidRPr="0095355D">
        <w:rPr>
          <w:szCs w:val="22"/>
        </w:rPr>
        <w:t>të përmbajtjes së akteve noteria</w:t>
      </w:r>
      <w:r w:rsidRPr="0095355D">
        <w:rPr>
          <w:szCs w:val="22"/>
        </w:rPr>
        <w:t>le, punonjësit e ZRPP-së, që përpunojnë kërkesat individuale për regjistrim, procedojnë du</w:t>
      </w:r>
      <w:r w:rsidR="003B3CF6" w:rsidRPr="0095355D">
        <w:rPr>
          <w:szCs w:val="22"/>
        </w:rPr>
        <w:t>ke verifikuar, sipas shtojcës 2</w:t>
      </w:r>
      <w:r w:rsidRPr="0095355D">
        <w:rPr>
          <w:szCs w:val="22"/>
        </w:rPr>
        <w:t xml:space="preserve"> të këtij udhëzimi: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>a) elementet e formës, në përputhje m</w:t>
      </w:r>
      <w:r w:rsidR="003B3CF6" w:rsidRPr="0095355D">
        <w:rPr>
          <w:szCs w:val="22"/>
        </w:rPr>
        <w:t>e ligjin nr.7829, datë 1.6.1994 “Për noterinë”</w:t>
      </w:r>
      <w:r w:rsidRPr="0095355D">
        <w:rPr>
          <w:szCs w:val="22"/>
        </w:rPr>
        <w:t>, të ndryshuar, dhe, sipas rastit, me ligjet dhe aktet nënligjore përkatëse;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>b) vërtetësinë e regjistrimit ekzistues të pasurisë së paluajtshm</w:t>
      </w:r>
      <w:r w:rsidR="000E5924" w:rsidRPr="0095355D">
        <w:rPr>
          <w:szCs w:val="22"/>
        </w:rPr>
        <w:t>e, objekt kërkese për regjistri</w:t>
      </w:r>
      <w:r w:rsidR="00E834DE" w:rsidRPr="0095355D">
        <w:rPr>
          <w:szCs w:val="22"/>
        </w:rPr>
        <w:t>m</w:t>
      </w:r>
      <w:r w:rsidRPr="0095355D">
        <w:rPr>
          <w:szCs w:val="22"/>
        </w:rPr>
        <w:t>, në emër të tjetërsuesit, të përmendur në aktin noterial;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>c) nëse në aktin noterial të dhënat për pronën, pasuri e paluajtshme, janë të plota dhe lejojnë regjistrimin e saj.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 xml:space="preserve">4. Kur akti, që njeh ose përmban fitimin e së drejtës së pronësisë, është akt administrativ, punonjësit e ZRPP-së, që përpunojnë kërkesat individuale për regjistrim, procedojnë duke verifikuar, </w:t>
      </w:r>
      <w:r w:rsidR="00752DC3" w:rsidRPr="0095355D">
        <w:rPr>
          <w:szCs w:val="22"/>
        </w:rPr>
        <w:t>sipas shtojcës 3</w:t>
      </w:r>
      <w:r w:rsidRPr="0095355D">
        <w:rPr>
          <w:szCs w:val="22"/>
        </w:rPr>
        <w:t xml:space="preserve"> të këtij udhëzimi: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>a)</w:t>
      </w:r>
      <w:r w:rsidR="00595243" w:rsidRPr="0095355D">
        <w:rPr>
          <w:szCs w:val="22"/>
        </w:rPr>
        <w:t xml:space="preserve"> </w:t>
      </w:r>
      <w:r w:rsidR="004D0D1A" w:rsidRPr="0095355D">
        <w:rPr>
          <w:szCs w:val="22"/>
        </w:rPr>
        <w:t>elemente</w:t>
      </w:r>
      <w:r w:rsidRPr="0095355D">
        <w:rPr>
          <w:szCs w:val="22"/>
        </w:rPr>
        <w:t>t e formës, në përpu</w:t>
      </w:r>
      <w:r w:rsidR="004D0D1A" w:rsidRPr="0095355D">
        <w:rPr>
          <w:szCs w:val="22"/>
        </w:rPr>
        <w:t>thje me përcaktimet e pjesës VI</w:t>
      </w:r>
      <w:r w:rsidRPr="0095355D">
        <w:rPr>
          <w:szCs w:val="22"/>
        </w:rPr>
        <w:t xml:space="preserve"> të Kodit të Procedurave Administrative, dhe të ligjeve apo akteve nënligjore përkatëse, që rregullojnë regjimin e tyre;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>b)</w:t>
      </w:r>
      <w:r w:rsidR="00595243" w:rsidRPr="0095355D">
        <w:rPr>
          <w:szCs w:val="22"/>
        </w:rPr>
        <w:t xml:space="preserve"> </w:t>
      </w:r>
      <w:r w:rsidRPr="0095355D">
        <w:rPr>
          <w:szCs w:val="22"/>
        </w:rPr>
        <w:t>ekzistencën e regjistrimeve të mundshme ekzistuese të pronësisë mbi pasurinë e paluajtshme, që është objekt i kërkesës për regjistrim, në favor të personave të tjerë, fizikë ose juridikë, përveç palëve të përcaktuara në aktin administrativ, të cilat nuk kanë qenë palë në procesin administrativ;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>c) nëse në aktin administrativ të dhënat për pronën, pasuri e paluajtshme, janë të plota dhe lejojnë regjistrimin e saj.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>5. Kërkesat për regjistrim refuzohen në rastet e mëposhtme: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>a) Kur vendimi gjyqësor nuk ka marrë formë të prerë, në përputhje m</w:t>
      </w:r>
      <w:r w:rsidR="004D0D1A" w:rsidRPr="0095355D">
        <w:rPr>
          <w:szCs w:val="22"/>
        </w:rPr>
        <w:t>e shkronjat “a”, “b” e “ç” të nenit 510</w:t>
      </w:r>
      <w:r w:rsidRPr="0095355D">
        <w:rPr>
          <w:szCs w:val="22"/>
        </w:rPr>
        <w:t xml:space="preserve"> të Kodit të Procedurës Civile;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>b) Kur, në bazë të par</w:t>
      </w:r>
      <w:r w:rsidR="004D0D1A" w:rsidRPr="0095355D">
        <w:rPr>
          <w:szCs w:val="22"/>
        </w:rPr>
        <w:t>agrafit të fundit, të nenit 193</w:t>
      </w:r>
      <w:r w:rsidRPr="0095355D">
        <w:rPr>
          <w:szCs w:val="22"/>
        </w:rPr>
        <w:t xml:space="preserve"> të Kodit Civil, gjykata, në dhënien e vendimit, ë</w:t>
      </w:r>
      <w:r w:rsidR="004D0D1A" w:rsidRPr="0095355D">
        <w:rPr>
          <w:szCs w:val="22"/>
        </w:rPr>
        <w:t>shtë vënë në lëvizje me kërkesë</w:t>
      </w:r>
      <w:r w:rsidRPr="0095355D">
        <w:rPr>
          <w:szCs w:val="22"/>
        </w:rPr>
        <w:t xml:space="preserve"> apo p</w:t>
      </w:r>
      <w:r w:rsidR="004D0D1A" w:rsidRPr="0095355D">
        <w:rPr>
          <w:szCs w:val="22"/>
        </w:rPr>
        <w:t>ara saj është paraqitur kërkesë</w:t>
      </w:r>
      <w:r w:rsidRPr="0095355D">
        <w:rPr>
          <w:szCs w:val="22"/>
        </w:rPr>
        <w:t>padi dhe rezulton, sipas vendimit, se ajo është vënë në lëvizje me kërkesë, përveç rasteve të çeljes së trashëgimisë;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>c) Kur në pjesën urdhëruese të vendimit (dispozitivi) të gjykatës përcaktohet se është vendosur vërtetimi i faktit juridik të pronësisë, sipas neni</w:t>
      </w:r>
      <w:r w:rsidR="00173E92" w:rsidRPr="0095355D">
        <w:rPr>
          <w:szCs w:val="22"/>
        </w:rPr>
        <w:t>t 388</w:t>
      </w:r>
      <w:r w:rsidRPr="0095355D">
        <w:rPr>
          <w:szCs w:val="22"/>
        </w:rPr>
        <w:t xml:space="preserve"> të Kodit të Procedurës Civile, përveç rasteve të dhënies së vendimit para datës së hyrjes në fuqi të Kodit të Procedurës Civile (1 nëntor 1994), nëse nuk krijon mbivendosje me titujt e tjerë;</w:t>
      </w:r>
    </w:p>
    <w:p w:rsidR="000D1A4F" w:rsidRPr="0095355D" w:rsidRDefault="000E5924" w:rsidP="00EF4030">
      <w:pPr>
        <w:pStyle w:val="Paragrafi"/>
        <w:rPr>
          <w:szCs w:val="22"/>
        </w:rPr>
      </w:pPr>
      <w:r w:rsidRPr="0095355D">
        <w:rPr>
          <w:szCs w:val="22"/>
        </w:rPr>
        <w:t>ç) Kur, në bazë të nenit 451/a</w:t>
      </w:r>
      <w:r w:rsidR="000D1A4F" w:rsidRPr="0095355D">
        <w:rPr>
          <w:szCs w:val="22"/>
        </w:rPr>
        <w:t xml:space="preserve"> të Kodit të Procedurës Civile, pala ndërgjygjëse nuk figuron si pronare </w:t>
      </w:r>
      <w:r w:rsidRPr="0095355D">
        <w:rPr>
          <w:szCs w:val="22"/>
        </w:rPr>
        <w:t>e pasurisë, sipas shkronjës “b”</w:t>
      </w:r>
      <w:r w:rsidR="000D1A4F" w:rsidRPr="0095355D">
        <w:rPr>
          <w:szCs w:val="22"/>
        </w:rPr>
        <w:t xml:space="preserve"> të pikës 2 të këtij udhëzimi;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>d) Kur në bazë të nenit 451/a të Kodit të Procedurës Civile, institucioni/enti publik dhe/ose Avokatura e Shtetit nuk janë thirrur si palë në gjykim, sipas parag</w:t>
      </w:r>
      <w:r w:rsidR="00173E92" w:rsidRPr="0095355D">
        <w:rPr>
          <w:szCs w:val="22"/>
        </w:rPr>
        <w:t>rafit të dytë, të shkronjës “b” të pikës 2</w:t>
      </w:r>
      <w:r w:rsidRPr="0095355D">
        <w:rPr>
          <w:szCs w:val="22"/>
        </w:rPr>
        <w:t xml:space="preserve"> të këtij udhëzimi, përveç rasteve kur vendimi është dhënë para hyrjes në fuqi të ligjit nr.8551, datë 18.11.1999 “Për Avokaturën e Shtetit”;</w:t>
      </w:r>
    </w:p>
    <w:p w:rsidR="000D1A4F" w:rsidRPr="0095355D" w:rsidRDefault="00173E92" w:rsidP="00EF4030">
      <w:pPr>
        <w:pStyle w:val="Paragrafi"/>
        <w:rPr>
          <w:szCs w:val="22"/>
        </w:rPr>
      </w:pPr>
      <w:r w:rsidRPr="0095355D">
        <w:rPr>
          <w:szCs w:val="22"/>
        </w:rPr>
        <w:t>dh) Kur, në bazë të nenit 451/a</w:t>
      </w:r>
      <w:r w:rsidR="000D1A4F" w:rsidRPr="0095355D">
        <w:rPr>
          <w:szCs w:val="22"/>
        </w:rPr>
        <w:t xml:space="preserve"> të Kodit të Procedurës Civile, pronari nuk është thirrur si palë nd</w:t>
      </w:r>
      <w:r w:rsidRPr="0095355D">
        <w:rPr>
          <w:szCs w:val="22"/>
        </w:rPr>
        <w:t>ërgjygjëse, sipas shkronjës “c” të pikës 2 të këtij udhëzimi</w:t>
      </w:r>
      <w:r w:rsidR="000D1A4F" w:rsidRPr="0095355D">
        <w:rPr>
          <w:szCs w:val="22"/>
        </w:rPr>
        <w:t xml:space="preserve"> ose kur institucioni a enti publik dhe Avokatura e Shtetit nuk janë thirrur si palë në gjykim, sipas para</w:t>
      </w:r>
      <w:r w:rsidRPr="0095355D">
        <w:rPr>
          <w:szCs w:val="22"/>
        </w:rPr>
        <w:t>grafit të dytë të shkronjës “c”</w:t>
      </w:r>
      <w:r w:rsidR="000D1A4F" w:rsidRPr="0095355D">
        <w:rPr>
          <w:szCs w:val="22"/>
        </w:rPr>
        <w:t xml:space="preserve"> të pik</w:t>
      </w:r>
      <w:r w:rsidR="00EA2BEC" w:rsidRPr="0095355D">
        <w:rPr>
          <w:szCs w:val="22"/>
        </w:rPr>
        <w:t>ës 2</w:t>
      </w:r>
      <w:r w:rsidR="000D1A4F" w:rsidRPr="0095355D">
        <w:rPr>
          <w:szCs w:val="22"/>
        </w:rPr>
        <w:t xml:space="preserve"> të këtij udhëzimi, përveç rasteve kur vendimi është dhënë para hyrjes në fuqi të </w:t>
      </w:r>
      <w:r w:rsidR="00EA2BEC" w:rsidRPr="0095355D">
        <w:rPr>
          <w:szCs w:val="22"/>
        </w:rPr>
        <w:t>ligjit nr.8551, datë 18.11.1999</w:t>
      </w:r>
      <w:r w:rsidR="000D1A4F" w:rsidRPr="0095355D">
        <w:rPr>
          <w:szCs w:val="22"/>
        </w:rPr>
        <w:t xml:space="preserve"> “Për Avokaturën e Shtetit”;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>e) Kur, në bazë të nenit 451/a të Kodit të Procedurës Civile, subjektet e përmendura në shkronjën “ç</w:t>
      </w:r>
      <w:r w:rsidR="000E5924" w:rsidRPr="0095355D">
        <w:rPr>
          <w:szCs w:val="22"/>
        </w:rPr>
        <w:t xml:space="preserve"> të pikës 2</w:t>
      </w:r>
      <w:r w:rsidRPr="0095355D">
        <w:rPr>
          <w:szCs w:val="22"/>
        </w:rPr>
        <w:t xml:space="preserve"> të këtij udhëzimi, nuk janë thirrur si palë në gjykim;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>ë) Kur, të dhënat për pasurinë nuk janë të plota e n</w:t>
      </w:r>
      <w:r w:rsidR="00736AEA" w:rsidRPr="0095355D">
        <w:rPr>
          <w:szCs w:val="22"/>
        </w:rPr>
        <w:t>u</w:t>
      </w:r>
      <w:r w:rsidRPr="0095355D">
        <w:rPr>
          <w:szCs w:val="22"/>
        </w:rPr>
        <w:t>k kanë të përcaktuara, minimalisht, kufijtë dhe pozicionin gjeografik të pasurive të paluajtshme (vendndodhjen e pronës/numrin e regjistrimit në regji</w:t>
      </w:r>
      <w:r w:rsidR="00C14852" w:rsidRPr="0095355D">
        <w:rPr>
          <w:szCs w:val="22"/>
        </w:rPr>
        <w:t>strat hipotekorë ose kadastralë</w:t>
      </w:r>
      <w:r w:rsidRPr="0095355D">
        <w:rPr>
          <w:szCs w:val="22"/>
        </w:rPr>
        <w:t xml:space="preserve"> </w:t>
      </w:r>
      <w:r w:rsidR="00C14852" w:rsidRPr="0095355D">
        <w:rPr>
          <w:szCs w:val="22"/>
        </w:rPr>
        <w:t>të pasurisë, kufitarët e pronës</w:t>
      </w:r>
      <w:r w:rsidRPr="0095355D">
        <w:rPr>
          <w:szCs w:val="22"/>
        </w:rPr>
        <w:t xml:space="preserve"> dhe/ose sipërfaqet), sipas pikave 2</w:t>
      </w:r>
      <w:r w:rsidR="000E5924" w:rsidRPr="0095355D">
        <w:rPr>
          <w:szCs w:val="22"/>
        </w:rPr>
        <w:t xml:space="preserve">  shkronja “d”, 3</w:t>
      </w:r>
      <w:r w:rsidR="00C14852" w:rsidRPr="0095355D">
        <w:rPr>
          <w:szCs w:val="22"/>
        </w:rPr>
        <w:t xml:space="preserve"> shkronja “c”</w:t>
      </w:r>
      <w:r w:rsidR="00986071" w:rsidRPr="0095355D">
        <w:rPr>
          <w:szCs w:val="22"/>
        </w:rPr>
        <w:t xml:space="preserve"> dhe 4 shkronja “c”</w:t>
      </w:r>
      <w:r w:rsidRPr="0095355D">
        <w:rPr>
          <w:szCs w:val="22"/>
        </w:rPr>
        <w:t xml:space="preserve"> të këtij udhëzimi;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>f) Kur në aktet noteriale: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>i) nuk plotësohen elementet e formës, sipas sht</w:t>
      </w:r>
      <w:r w:rsidR="00DD72BE" w:rsidRPr="0095355D">
        <w:rPr>
          <w:szCs w:val="22"/>
        </w:rPr>
        <w:t>ojcës 2</w:t>
      </w:r>
      <w:r w:rsidRPr="0095355D">
        <w:rPr>
          <w:szCs w:val="22"/>
        </w:rPr>
        <w:t xml:space="preserve"> të këtij udhëzimi;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 xml:space="preserve">ii) tjetërsuesi nuk figuron si pronar </w:t>
      </w:r>
      <w:r w:rsidR="00DD72BE" w:rsidRPr="0095355D">
        <w:rPr>
          <w:szCs w:val="22"/>
        </w:rPr>
        <w:t>i pasurisë në fjalë në regjistra</w:t>
      </w:r>
      <w:r w:rsidRPr="0095355D">
        <w:rPr>
          <w:szCs w:val="22"/>
        </w:rPr>
        <w:t>t e pasurive të paluajtshme, që administrohen nga ZRPP-ja.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>g) Kur në aktet administrative: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lastRenderedPageBreak/>
        <w:t>i) afatet ligjore për ankimin, administrativ dhe gjyqësor, nuk kanë përfunduar;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>ii) nuk plotësohen eleme</w:t>
      </w:r>
      <w:r w:rsidR="00D55411" w:rsidRPr="0095355D">
        <w:rPr>
          <w:szCs w:val="22"/>
        </w:rPr>
        <w:t>ntet e formës, sipas shtojcës 3</w:t>
      </w:r>
      <w:r w:rsidRPr="0095355D">
        <w:rPr>
          <w:szCs w:val="22"/>
        </w:rPr>
        <w:t xml:space="preserve"> të këtij udhëzimi;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 xml:space="preserve">iii) ekzistojnë regjistrime të pronësisë për pasurinë e paluajtshme në favor të personave të tjerë, fizikë </w:t>
      </w:r>
      <w:r w:rsidR="00C12342" w:rsidRPr="0095355D">
        <w:rPr>
          <w:szCs w:val="22"/>
        </w:rPr>
        <w:t>ose juridikë, sipas shkronjës b të pikës 4</w:t>
      </w:r>
      <w:r w:rsidRPr="0095355D">
        <w:rPr>
          <w:szCs w:val="22"/>
        </w:rPr>
        <w:t xml:space="preserve"> të këtij udhëzimi.</w:t>
      </w:r>
    </w:p>
    <w:p w:rsidR="000D1A4F" w:rsidRPr="0095355D" w:rsidRDefault="00C12342" w:rsidP="00EF4030">
      <w:pPr>
        <w:pStyle w:val="Paragrafi"/>
        <w:rPr>
          <w:szCs w:val="22"/>
        </w:rPr>
      </w:pPr>
      <w:r w:rsidRPr="0095355D">
        <w:rPr>
          <w:szCs w:val="22"/>
        </w:rPr>
        <w:t>gj) Kur në bazë të nenit 9</w:t>
      </w:r>
      <w:r w:rsidR="000D1A4F" w:rsidRPr="0095355D">
        <w:rPr>
          <w:szCs w:val="22"/>
        </w:rPr>
        <w:t xml:space="preserve"> të ligjit nr.7843, datë 13.7.1994 “Për regjistrimin e pasurive të paluajtshme”, të ndryshuar, dokumentet e paraqitura për regjistrim, megjithëse të vlefshme, krij</w:t>
      </w:r>
      <w:r w:rsidR="000E5924" w:rsidRPr="0095355D">
        <w:rPr>
          <w:szCs w:val="22"/>
        </w:rPr>
        <w:t>ojnë mbivendosje, me një pasuri</w:t>
      </w:r>
      <w:r w:rsidR="000D1A4F" w:rsidRPr="0095355D">
        <w:rPr>
          <w:szCs w:val="22"/>
        </w:rPr>
        <w:t xml:space="preserve"> të regjistruar më parë.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>6. Për verifikimin e elementeve të formës dhe të përmbajtjes së vendimeve gjyqësore, akteve noteriale ose akteve administrative, punonjësit e ZRPP-së, që përpunojnë kërkesat individuale për regjistrim, plotësojnë formularin e verifikimit, sipas modelit të dhënë në shtojcat 1, 2 ose 3, që i bashkëlidhen këtij udhëzimi, për çdo kërkesë për regjistr</w:t>
      </w:r>
      <w:r w:rsidR="00C12342" w:rsidRPr="0095355D">
        <w:rPr>
          <w:szCs w:val="22"/>
        </w:rPr>
        <w:t>im. Në formularin e verifikimit</w:t>
      </w:r>
      <w:r w:rsidRPr="0095355D">
        <w:rPr>
          <w:szCs w:val="22"/>
        </w:rPr>
        <w:t xml:space="preserve"> pasqyrohen, në çdo rast, përfundimet e punonjësit të ZRPP</w:t>
      </w:r>
      <w:r w:rsidR="00C12342" w:rsidRPr="0095355D">
        <w:rPr>
          <w:szCs w:val="22"/>
        </w:rPr>
        <w:t>-së</w:t>
      </w:r>
      <w:r w:rsidRPr="0095355D">
        <w:rPr>
          <w:szCs w:val="22"/>
        </w:rPr>
        <w:t xml:space="preserve"> për secilën nga rastet e verifikimit, q</w:t>
      </w:r>
      <w:r w:rsidR="00C12342" w:rsidRPr="0095355D">
        <w:rPr>
          <w:szCs w:val="22"/>
        </w:rPr>
        <w:t>ë përcaktohen në pikat 2, 3 e 4</w:t>
      </w:r>
      <w:r w:rsidRPr="0095355D">
        <w:rPr>
          <w:szCs w:val="22"/>
        </w:rPr>
        <w:t xml:space="preserve"> të këtij udhëzimi. Në fund të formularit punonjësi i ZRPP-së plotëson, me shkrim, të lexueshëm qartë dhe pa korrigjime, propozimin për pranimin ose jo të kërkesës për regjistrim, e nënshkruan dhe ia kalon titullarit të ZRPP-së.</w:t>
      </w:r>
    </w:p>
    <w:p w:rsidR="000D1A4F" w:rsidRPr="0095355D" w:rsidRDefault="00C12342" w:rsidP="00EF4030">
      <w:pPr>
        <w:pStyle w:val="Paragrafi"/>
        <w:rPr>
          <w:szCs w:val="22"/>
        </w:rPr>
      </w:pPr>
      <w:r w:rsidRPr="0095355D">
        <w:rPr>
          <w:szCs w:val="22"/>
        </w:rPr>
        <w:t>7. Kur, në bazë të pikës 6</w:t>
      </w:r>
      <w:r w:rsidR="000D1A4F" w:rsidRPr="0095355D">
        <w:rPr>
          <w:szCs w:val="22"/>
        </w:rPr>
        <w:t xml:space="preserve"> të këtij udhëzimi, propozohet pran</w:t>
      </w:r>
      <w:r w:rsidR="000E5924" w:rsidRPr="0095355D">
        <w:rPr>
          <w:szCs w:val="22"/>
        </w:rPr>
        <w:t>imi i kërkesës, atëherë kërkesa regjistrohet</w:t>
      </w:r>
      <w:r w:rsidR="000D1A4F" w:rsidRPr="0095355D">
        <w:rPr>
          <w:szCs w:val="22"/>
        </w:rPr>
        <w:t xml:space="preserve"> dhe kërkuesi pajiset me dokumentacionin, që vërteton regjistrimin, sipas procedurave dhe afateve në fuqi.</w:t>
      </w:r>
    </w:p>
    <w:p w:rsidR="000D1A4F" w:rsidRPr="0095355D" w:rsidRDefault="00C12342" w:rsidP="00EF4030">
      <w:pPr>
        <w:pStyle w:val="Paragrafi"/>
        <w:rPr>
          <w:szCs w:val="22"/>
        </w:rPr>
      </w:pPr>
      <w:r w:rsidRPr="0095355D">
        <w:rPr>
          <w:szCs w:val="22"/>
        </w:rPr>
        <w:t>8. Kur, në bazë të pikave 5 e 6</w:t>
      </w:r>
      <w:r w:rsidR="000D1A4F" w:rsidRPr="0095355D">
        <w:rPr>
          <w:szCs w:val="22"/>
        </w:rPr>
        <w:t xml:space="preserve"> të këtij udhëzimi, propozohet refuzimi i kërkesës për regjistrim, dosja e plotë e praktikës, së bashku me tekstin e projekturdhrit</w:t>
      </w:r>
      <w:r w:rsidRPr="0095355D">
        <w:rPr>
          <w:szCs w:val="22"/>
        </w:rPr>
        <w:t xml:space="preserve"> të refuzimit, sipas shtojcës 5</w:t>
      </w:r>
      <w:r w:rsidR="000D1A4F" w:rsidRPr="0095355D">
        <w:rPr>
          <w:szCs w:val="22"/>
        </w:rPr>
        <w:t xml:space="preserve"> të këtij udhëzimi, i kalon për kompetencë kryeregjistruesit. Urdhri duhet të përmbajë referencën për shkakun e refuz</w:t>
      </w:r>
      <w:r w:rsidRPr="0095355D">
        <w:rPr>
          <w:szCs w:val="22"/>
        </w:rPr>
        <w:t>imit, sipas shkronjës specifike të pikës 5</w:t>
      </w:r>
      <w:r w:rsidR="000D1A4F" w:rsidRPr="0095355D">
        <w:rPr>
          <w:szCs w:val="22"/>
        </w:rPr>
        <w:t xml:space="preserve"> të këtij udhëzimi. Me miratimin e urdhrit, kërkuesit i vihet në dispozicion kopja e njës</w:t>
      </w:r>
      <w:r w:rsidRPr="0095355D">
        <w:rPr>
          <w:szCs w:val="22"/>
        </w:rPr>
        <w:t>uar e dokumentacionit të dosjes</w:t>
      </w:r>
      <w:r w:rsidR="000D1A4F" w:rsidRPr="0095355D">
        <w:rPr>
          <w:szCs w:val="22"/>
        </w:rPr>
        <w:t xml:space="preserve"> dhe udhëzimi për të drejtën, instancat, afatet e ankimit, si dhe orientimi, në çdo rast, për mënyrën e saktë të plotësimit të shkaqeve të refuzimit.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 xml:space="preserve">9. Kur vendoset refuzimi i kërkesës për regjistrim, </w:t>
      </w:r>
      <w:r w:rsidR="00AD3165" w:rsidRPr="0095355D">
        <w:rPr>
          <w:szCs w:val="22"/>
        </w:rPr>
        <w:t>në baz</w:t>
      </w:r>
      <w:r w:rsidR="000E5924" w:rsidRPr="0095355D">
        <w:rPr>
          <w:szCs w:val="22"/>
        </w:rPr>
        <w:t>ë të shkronjave “d”, “dh” apo “ë”</w:t>
      </w:r>
      <w:r w:rsidR="00AD3165" w:rsidRPr="0095355D">
        <w:rPr>
          <w:szCs w:val="22"/>
        </w:rPr>
        <w:t xml:space="preserve"> të pikës 5</w:t>
      </w:r>
      <w:r w:rsidRPr="0095355D">
        <w:rPr>
          <w:szCs w:val="22"/>
        </w:rPr>
        <w:t xml:space="preserve"> të këtij udhëzimi, titullari i Z</w:t>
      </w:r>
      <w:r w:rsidR="00AD3165" w:rsidRPr="0095355D">
        <w:rPr>
          <w:szCs w:val="22"/>
        </w:rPr>
        <w:t>RPP-së vendore është i detyruar</w:t>
      </w:r>
      <w:r w:rsidRPr="0095355D">
        <w:rPr>
          <w:szCs w:val="22"/>
        </w:rPr>
        <w:t xml:space="preserve"> që kopjen e plotë të praktikës t’ia dërgojë, me shkresë përcjellëse, institucionit a entit publik (kur ky është i identifikuar) dhe Avokaturës së Shtetit. Kopje të shkresave të protokolluara, drejtuar institucionit a entit publik dhe Avokaturës së Shtetit i bashkëlidhen dosjes së praktikës.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>10. Çdo akt tjetër nënligjor, që bie në kundërshtim me këtë udhëzim, shfuqizohet.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>11. Ngarkohen Ministri i Drejtësisë, Zyra Qendrore e Regjistrimit të Pasurisë së Paluajtshme dhe zyrat vendore të regjistrimit të pasurive të paluajtshme për zbatimin e këtij vendimi.</w:t>
      </w:r>
    </w:p>
    <w:p w:rsidR="000D1A4F" w:rsidRPr="0095355D" w:rsidRDefault="000D1A4F" w:rsidP="00EF4030">
      <w:pPr>
        <w:pStyle w:val="Paragrafi"/>
        <w:rPr>
          <w:szCs w:val="22"/>
        </w:rPr>
      </w:pPr>
      <w:r w:rsidRPr="0095355D">
        <w:rPr>
          <w:szCs w:val="22"/>
        </w:rPr>
        <w:t>Ky udhëzim hyn në fuqi pas botimit në Fletoren Zyrtare.</w:t>
      </w:r>
    </w:p>
    <w:p w:rsidR="000D1A4F" w:rsidRPr="0095355D" w:rsidRDefault="000D1A4F" w:rsidP="00EF4030">
      <w:pPr>
        <w:pStyle w:val="Paragrafi"/>
        <w:rPr>
          <w:szCs w:val="22"/>
        </w:rPr>
      </w:pPr>
    </w:p>
    <w:p w:rsidR="000D1A4F" w:rsidRPr="0095355D" w:rsidRDefault="000D1A4F" w:rsidP="00EF4030">
      <w:pPr>
        <w:pStyle w:val="Autoriteti"/>
        <w:keepNext w:val="0"/>
      </w:pPr>
      <w:r w:rsidRPr="0095355D">
        <w:t>Kryeministri</w:t>
      </w:r>
    </w:p>
    <w:p w:rsidR="000D1A4F" w:rsidRPr="0095355D" w:rsidRDefault="000D1A4F" w:rsidP="00EF4030">
      <w:pPr>
        <w:pStyle w:val="AutoritetiEmer"/>
      </w:pPr>
      <w:r w:rsidRPr="0095355D">
        <w:t>Sali Berisha</w:t>
      </w:r>
    </w:p>
    <w:p w:rsidR="000D1A4F" w:rsidRPr="0095355D" w:rsidRDefault="000D1A4F" w:rsidP="00EF4030">
      <w:pPr>
        <w:pStyle w:val="Paragrafi"/>
        <w:rPr>
          <w:szCs w:val="22"/>
        </w:rPr>
      </w:pPr>
    </w:p>
    <w:p w:rsidR="000D1A4F" w:rsidRPr="0095355D" w:rsidRDefault="000D1A4F" w:rsidP="00EF4030">
      <w:pPr>
        <w:pStyle w:val="Paragrafi"/>
        <w:rPr>
          <w:szCs w:val="22"/>
        </w:rPr>
      </w:pPr>
    </w:p>
    <w:p w:rsidR="000D1A4F" w:rsidRPr="0095355D" w:rsidRDefault="000D1A4F" w:rsidP="00EF4030">
      <w:pPr>
        <w:pStyle w:val="Paragrafi"/>
        <w:rPr>
          <w:szCs w:val="22"/>
        </w:rPr>
      </w:pPr>
    </w:p>
    <w:p w:rsidR="000D1A4F" w:rsidRPr="0095355D" w:rsidRDefault="00B517A2" w:rsidP="00291F48">
      <w:pPr>
        <w:pStyle w:val="Figure"/>
        <w:jc w:val="center"/>
        <w:rPr>
          <w:szCs w:val="22"/>
        </w:rPr>
      </w:pPr>
      <w:r w:rsidRPr="0095355D">
        <w:rPr>
          <w:noProof/>
          <w:szCs w:val="22"/>
          <w:lang w:val="en-GB" w:eastAsia="en-GB"/>
        </w:rPr>
        <w:lastRenderedPageBreak/>
        <w:drawing>
          <wp:inline distT="0" distB="0" distL="0" distR="0">
            <wp:extent cx="5753100" cy="85248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B517A2" w:rsidP="00291F48">
      <w:pPr>
        <w:pStyle w:val="Figure"/>
        <w:jc w:val="center"/>
        <w:rPr>
          <w:szCs w:val="22"/>
        </w:rPr>
      </w:pPr>
      <w:r w:rsidRPr="0095355D">
        <w:rPr>
          <w:noProof/>
          <w:szCs w:val="22"/>
          <w:lang w:val="en-GB" w:eastAsia="en-GB"/>
        </w:rPr>
        <w:lastRenderedPageBreak/>
        <w:drawing>
          <wp:inline distT="0" distB="0" distL="0" distR="0">
            <wp:extent cx="5762625" cy="76485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B517A2" w:rsidP="00291F48">
      <w:pPr>
        <w:pStyle w:val="Figure"/>
        <w:jc w:val="center"/>
        <w:rPr>
          <w:szCs w:val="22"/>
        </w:rPr>
      </w:pPr>
      <w:r w:rsidRPr="0095355D">
        <w:rPr>
          <w:noProof/>
          <w:szCs w:val="22"/>
          <w:lang w:val="en-GB" w:eastAsia="en-GB"/>
        </w:rPr>
        <w:drawing>
          <wp:inline distT="0" distB="0" distL="0" distR="0">
            <wp:extent cx="5753100" cy="83534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B517A2" w:rsidP="00291F48">
      <w:pPr>
        <w:pStyle w:val="Figure"/>
        <w:jc w:val="center"/>
        <w:rPr>
          <w:szCs w:val="22"/>
        </w:rPr>
      </w:pPr>
      <w:r w:rsidRPr="0095355D">
        <w:rPr>
          <w:noProof/>
          <w:szCs w:val="22"/>
          <w:lang w:val="en-GB" w:eastAsia="en-GB"/>
        </w:rPr>
        <w:drawing>
          <wp:inline distT="0" distB="0" distL="0" distR="0">
            <wp:extent cx="5753100" cy="83629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B517A2" w:rsidP="00291F48">
      <w:pPr>
        <w:pStyle w:val="Figure"/>
        <w:jc w:val="center"/>
        <w:rPr>
          <w:szCs w:val="22"/>
        </w:rPr>
      </w:pPr>
      <w:r w:rsidRPr="0095355D">
        <w:rPr>
          <w:noProof/>
          <w:szCs w:val="22"/>
          <w:lang w:val="en-GB" w:eastAsia="en-GB"/>
        </w:rPr>
        <w:drawing>
          <wp:inline distT="0" distB="0" distL="0" distR="0">
            <wp:extent cx="5762625" cy="80295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B517A2" w:rsidP="00291F48">
      <w:pPr>
        <w:pStyle w:val="Figure"/>
        <w:jc w:val="center"/>
        <w:rPr>
          <w:szCs w:val="22"/>
        </w:rPr>
      </w:pPr>
      <w:r w:rsidRPr="0095355D">
        <w:rPr>
          <w:noProof/>
          <w:szCs w:val="22"/>
          <w:lang w:val="en-GB" w:eastAsia="en-GB"/>
        </w:rPr>
        <w:drawing>
          <wp:inline distT="0" distB="0" distL="0" distR="0">
            <wp:extent cx="5762625" cy="82391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B517A2" w:rsidP="00291F48">
      <w:pPr>
        <w:pStyle w:val="Figure"/>
        <w:jc w:val="center"/>
        <w:rPr>
          <w:szCs w:val="22"/>
        </w:rPr>
      </w:pPr>
      <w:r w:rsidRPr="0095355D">
        <w:rPr>
          <w:noProof/>
          <w:szCs w:val="22"/>
          <w:lang w:val="en-GB" w:eastAsia="en-GB"/>
        </w:rPr>
        <w:drawing>
          <wp:inline distT="0" distB="0" distL="0" distR="0">
            <wp:extent cx="5753100" cy="8458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B517A2" w:rsidP="00291F48">
      <w:pPr>
        <w:pStyle w:val="Figure"/>
        <w:jc w:val="center"/>
        <w:rPr>
          <w:szCs w:val="22"/>
        </w:rPr>
      </w:pPr>
      <w:r w:rsidRPr="0095355D">
        <w:rPr>
          <w:noProof/>
          <w:szCs w:val="22"/>
          <w:lang w:val="en-GB" w:eastAsia="en-GB"/>
        </w:rPr>
        <w:drawing>
          <wp:inline distT="0" distB="0" distL="0" distR="0">
            <wp:extent cx="5753100" cy="75819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B517A2" w:rsidP="00291F48">
      <w:pPr>
        <w:pStyle w:val="Figure"/>
        <w:jc w:val="center"/>
        <w:rPr>
          <w:szCs w:val="22"/>
        </w:rPr>
      </w:pPr>
      <w:r w:rsidRPr="0095355D">
        <w:rPr>
          <w:noProof/>
          <w:szCs w:val="22"/>
          <w:lang w:val="en-GB" w:eastAsia="en-GB"/>
        </w:rPr>
        <w:drawing>
          <wp:inline distT="0" distB="0" distL="0" distR="0">
            <wp:extent cx="5753100" cy="82867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B517A2" w:rsidP="00291F48">
      <w:pPr>
        <w:pStyle w:val="Figure"/>
        <w:jc w:val="center"/>
        <w:rPr>
          <w:szCs w:val="22"/>
        </w:rPr>
      </w:pPr>
      <w:r w:rsidRPr="0095355D">
        <w:rPr>
          <w:noProof/>
          <w:szCs w:val="22"/>
          <w:lang w:val="en-GB" w:eastAsia="en-GB"/>
        </w:rPr>
        <w:drawing>
          <wp:inline distT="0" distB="0" distL="0" distR="0">
            <wp:extent cx="5753100" cy="82486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B517A2" w:rsidP="00291F48">
      <w:pPr>
        <w:pStyle w:val="Figure"/>
        <w:jc w:val="center"/>
        <w:rPr>
          <w:szCs w:val="22"/>
        </w:rPr>
      </w:pPr>
      <w:r w:rsidRPr="0095355D">
        <w:rPr>
          <w:noProof/>
          <w:szCs w:val="22"/>
          <w:lang w:val="en-GB" w:eastAsia="en-GB"/>
        </w:rPr>
        <w:drawing>
          <wp:inline distT="0" distB="0" distL="0" distR="0">
            <wp:extent cx="5753100" cy="87058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A4F" w:rsidRPr="0095355D" w:rsidRDefault="000D1A4F" w:rsidP="00291F48">
      <w:pPr>
        <w:pStyle w:val="Paragrafi"/>
        <w:jc w:val="center"/>
        <w:rPr>
          <w:szCs w:val="22"/>
        </w:rPr>
      </w:pPr>
    </w:p>
    <w:p w:rsidR="000D1A4F" w:rsidRPr="0095355D" w:rsidRDefault="00B517A2" w:rsidP="00291F48">
      <w:pPr>
        <w:pStyle w:val="Figure"/>
        <w:jc w:val="center"/>
        <w:rPr>
          <w:szCs w:val="22"/>
        </w:rPr>
      </w:pPr>
      <w:r w:rsidRPr="0095355D">
        <w:rPr>
          <w:noProof/>
          <w:szCs w:val="22"/>
          <w:lang w:val="en-GB" w:eastAsia="en-GB"/>
        </w:rPr>
        <w:drawing>
          <wp:inline distT="0" distB="0" distL="0" distR="0">
            <wp:extent cx="5753100" cy="86391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55D" w:rsidRPr="0095355D" w:rsidRDefault="0095355D" w:rsidP="0095355D">
      <w:pPr>
        <w:rPr>
          <w:rFonts w:ascii="CG Times" w:hAnsi="CG Times"/>
          <w:b/>
        </w:rPr>
      </w:pPr>
      <w:r w:rsidRPr="0095355D">
        <w:rPr>
          <w:rFonts w:ascii="CG Times" w:hAnsi="CG Times"/>
          <w:szCs w:val="22"/>
        </w:rPr>
        <w:br w:type="page"/>
      </w:r>
      <w:r w:rsidRPr="0095355D">
        <w:rPr>
          <w:rFonts w:ascii="CG Times" w:hAnsi="CG Times"/>
          <w:b/>
        </w:rPr>
        <w:t xml:space="preserve">Abonimet vjetore mund të bëhen pranë Postës Shqiptare </w:t>
      </w:r>
    </w:p>
    <w:p w:rsidR="0095355D" w:rsidRPr="0095355D" w:rsidRDefault="0095355D" w:rsidP="0095355D">
      <w:pPr>
        <w:rPr>
          <w:rFonts w:ascii="CG Times" w:hAnsi="CG Times"/>
        </w:rPr>
      </w:pPr>
      <w:r w:rsidRPr="0095355D">
        <w:rPr>
          <w:rFonts w:ascii="CG Times" w:hAnsi="CG Times"/>
          <w:b/>
        </w:rPr>
        <w:t xml:space="preserve">ose pranë Qendrës së Publikimeve Zyrtare, </w:t>
      </w:r>
      <w:r w:rsidRPr="0095355D">
        <w:rPr>
          <w:rFonts w:ascii="CG Times" w:hAnsi="CG Times"/>
        </w:rPr>
        <w:t xml:space="preserve">në adresën: Bulevardi “Zhan d'Ark”, </w:t>
      </w:r>
    </w:p>
    <w:p w:rsidR="0095355D" w:rsidRPr="0095355D" w:rsidRDefault="0095355D" w:rsidP="0095355D">
      <w:pPr>
        <w:rPr>
          <w:rFonts w:ascii="CG Times" w:hAnsi="CG Times"/>
        </w:rPr>
      </w:pPr>
      <w:r w:rsidRPr="0095355D">
        <w:rPr>
          <w:rFonts w:ascii="CG Times" w:hAnsi="CG Times"/>
        </w:rPr>
        <w:t>prapa ish-ekspozitës "Shqipëria Sot", nr.tel: 04 267 468</w:t>
      </w:r>
    </w:p>
    <w:p w:rsidR="0095355D" w:rsidRPr="0095355D" w:rsidRDefault="0095355D" w:rsidP="0095355D">
      <w:pPr>
        <w:rPr>
          <w:rFonts w:ascii="CG Times" w:hAnsi="CG Times"/>
        </w:rPr>
      </w:pPr>
      <w:r w:rsidRPr="0095355D">
        <w:rPr>
          <w:rFonts w:ascii="CG Times" w:hAnsi="CG Times"/>
        </w:rPr>
        <w:t>Çmimi i abonimit për Fletoret Zyrtare 2006 është 16 000 lekë.</w:t>
      </w:r>
    </w:p>
    <w:p w:rsidR="0095355D" w:rsidRPr="0095355D" w:rsidRDefault="0095355D" w:rsidP="0095355D">
      <w:pPr>
        <w:jc w:val="center"/>
        <w:rPr>
          <w:rFonts w:ascii="CG Times" w:hAnsi="CG Times"/>
          <w:b/>
        </w:rPr>
      </w:pPr>
    </w:p>
    <w:p w:rsidR="0095355D" w:rsidRPr="0095355D" w:rsidRDefault="0095355D" w:rsidP="0095355D">
      <w:pPr>
        <w:jc w:val="center"/>
        <w:rPr>
          <w:rFonts w:ascii="CG Times" w:hAnsi="CG Times"/>
          <w:b/>
        </w:rPr>
      </w:pPr>
    </w:p>
    <w:p w:rsidR="0095355D" w:rsidRPr="0095355D" w:rsidRDefault="0095355D" w:rsidP="0095355D">
      <w:pPr>
        <w:jc w:val="center"/>
        <w:rPr>
          <w:rFonts w:ascii="CG Times" w:hAnsi="CG Times"/>
          <w:b/>
          <w:szCs w:val="24"/>
        </w:rPr>
      </w:pPr>
      <w:r w:rsidRPr="0095355D">
        <w:rPr>
          <w:rFonts w:ascii="CG Times" w:hAnsi="CG Times"/>
          <w:b/>
          <w:szCs w:val="24"/>
        </w:rPr>
        <w:t>BOTIMET E QENDRËS SË PUBLIKIMEVE ZYRTARE</w:t>
      </w:r>
    </w:p>
    <w:p w:rsidR="0095355D" w:rsidRPr="0095355D" w:rsidRDefault="0095355D" w:rsidP="0095355D">
      <w:pPr>
        <w:rPr>
          <w:rFonts w:ascii="CG Times" w:hAnsi="CG Times"/>
        </w:rPr>
      </w:pPr>
    </w:p>
    <w:p w:rsidR="0095355D" w:rsidRPr="0095355D" w:rsidRDefault="0095355D" w:rsidP="0095355D">
      <w:pPr>
        <w:widowControl w:val="0"/>
        <w:numPr>
          <w:ilvl w:val="0"/>
          <w:numId w:val="15"/>
        </w:numPr>
        <w:rPr>
          <w:rFonts w:ascii="CG Times" w:hAnsi="CG Times"/>
          <w:b/>
          <w:sz w:val="20"/>
        </w:rPr>
      </w:pPr>
      <w:r w:rsidRPr="0095355D">
        <w:rPr>
          <w:rFonts w:ascii="CG Times" w:hAnsi="CG Times"/>
          <w:b/>
          <w:sz w:val="20"/>
        </w:rPr>
        <w:t xml:space="preserve">KUSHTETUTA E SHQIPËRISË </w:t>
      </w:r>
    </w:p>
    <w:p w:rsidR="0095355D" w:rsidRPr="0095355D" w:rsidRDefault="0095355D" w:rsidP="0095355D">
      <w:pPr>
        <w:widowControl w:val="0"/>
        <w:numPr>
          <w:ilvl w:val="0"/>
          <w:numId w:val="15"/>
        </w:numPr>
        <w:rPr>
          <w:rFonts w:ascii="CG Times" w:hAnsi="CG Times"/>
          <w:b/>
          <w:sz w:val="20"/>
        </w:rPr>
      </w:pPr>
      <w:r w:rsidRPr="0095355D">
        <w:rPr>
          <w:rFonts w:ascii="CG Times" w:hAnsi="CG Times"/>
          <w:b/>
          <w:sz w:val="20"/>
        </w:rPr>
        <w:t>KODET E LEGJISLACIONIT SHQIPTAR</w:t>
      </w:r>
    </w:p>
    <w:p w:rsidR="0095355D" w:rsidRPr="0095355D" w:rsidRDefault="0095355D" w:rsidP="0095355D">
      <w:pPr>
        <w:widowControl w:val="0"/>
        <w:numPr>
          <w:ilvl w:val="0"/>
          <w:numId w:val="15"/>
        </w:numPr>
        <w:rPr>
          <w:rFonts w:ascii="CG Times" w:hAnsi="CG Times"/>
          <w:b/>
          <w:sz w:val="20"/>
        </w:rPr>
      </w:pPr>
      <w:r w:rsidRPr="0095355D">
        <w:rPr>
          <w:rFonts w:ascii="CG Times" w:hAnsi="CG Times"/>
          <w:b/>
          <w:sz w:val="20"/>
        </w:rPr>
        <w:t xml:space="preserve">REGJISTRAT E NOTERISË </w:t>
      </w:r>
    </w:p>
    <w:p w:rsidR="0095355D" w:rsidRPr="0095355D" w:rsidRDefault="0095355D" w:rsidP="0095355D">
      <w:pPr>
        <w:widowControl w:val="0"/>
        <w:numPr>
          <w:ilvl w:val="0"/>
          <w:numId w:val="15"/>
        </w:numPr>
        <w:rPr>
          <w:rFonts w:ascii="CG Times" w:hAnsi="CG Times"/>
          <w:b/>
          <w:sz w:val="20"/>
        </w:rPr>
      </w:pPr>
      <w:r w:rsidRPr="0095355D">
        <w:rPr>
          <w:rFonts w:ascii="CG Times" w:hAnsi="CG Times"/>
          <w:b/>
          <w:sz w:val="20"/>
        </w:rPr>
        <w:t xml:space="preserve">PËRMBLEDHJE LEGJISLACIONI: </w:t>
      </w:r>
    </w:p>
    <w:p w:rsidR="0095355D" w:rsidRPr="0095355D" w:rsidRDefault="0095355D" w:rsidP="0095355D">
      <w:pPr>
        <w:ind w:left="360"/>
        <w:rPr>
          <w:rFonts w:ascii="CG Times" w:hAnsi="CG Times"/>
          <w:b/>
          <w:sz w:val="20"/>
        </w:rPr>
      </w:pPr>
    </w:p>
    <w:tbl>
      <w:tblPr>
        <w:tblStyle w:val="TableGrid"/>
        <w:tblW w:w="4595" w:type="pct"/>
        <w:tblInd w:w="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6"/>
        <w:gridCol w:w="7401"/>
        <w:gridCol w:w="19"/>
        <w:gridCol w:w="677"/>
        <w:gridCol w:w="19"/>
      </w:tblGrid>
      <w:tr w:rsidR="0095355D" w:rsidRPr="0095355D">
        <w:trPr>
          <w:gridAfter w:val="1"/>
          <w:wAfter w:w="11" w:type="pct"/>
        </w:trPr>
        <w:tc>
          <w:tcPr>
            <w:tcW w:w="244" w:type="pct"/>
          </w:tcPr>
          <w:p w:rsidR="0095355D" w:rsidRPr="0095355D" w:rsidRDefault="0095355D" w:rsidP="0068598C">
            <w:pPr>
              <w:spacing w:line="360" w:lineRule="auto"/>
              <w:rPr>
                <w:rFonts w:ascii="CG Times" w:hAnsi="CG Times"/>
                <w:b/>
                <w:sz w:val="20"/>
              </w:rPr>
            </w:pPr>
            <w:r w:rsidRPr="0095355D">
              <w:rPr>
                <w:rFonts w:ascii="CG Times" w:hAnsi="CG Times"/>
                <w:b/>
                <w:sz w:val="20"/>
              </w:rPr>
              <w:t>1.</w:t>
            </w:r>
          </w:p>
        </w:tc>
        <w:tc>
          <w:tcPr>
            <w:tcW w:w="4337" w:type="pct"/>
          </w:tcPr>
          <w:p w:rsidR="0095355D" w:rsidRPr="0095355D" w:rsidRDefault="0095355D" w:rsidP="0068598C">
            <w:pPr>
              <w:spacing w:line="360" w:lineRule="auto"/>
              <w:rPr>
                <w:rFonts w:ascii="CG Times" w:hAnsi="CG Times"/>
                <w:b/>
                <w:sz w:val="20"/>
              </w:rPr>
            </w:pPr>
            <w:r w:rsidRPr="0095355D">
              <w:rPr>
                <w:rFonts w:ascii="CG Times" w:hAnsi="CG Times"/>
                <w:b/>
                <w:sz w:val="20"/>
              </w:rPr>
              <w:t>PËR PROKURIMIN PUBLIK (2006)………………………………………...................</w:t>
            </w:r>
          </w:p>
        </w:tc>
        <w:tc>
          <w:tcPr>
            <w:tcW w:w="408" w:type="pct"/>
            <w:gridSpan w:val="2"/>
          </w:tcPr>
          <w:p w:rsidR="0095355D" w:rsidRPr="0095355D" w:rsidRDefault="0095355D" w:rsidP="0068598C">
            <w:pPr>
              <w:spacing w:line="360" w:lineRule="auto"/>
              <w:jc w:val="right"/>
              <w:rPr>
                <w:rFonts w:ascii="CG Times" w:hAnsi="CG Times"/>
                <w:b/>
                <w:sz w:val="20"/>
              </w:rPr>
            </w:pPr>
            <w:r w:rsidRPr="0095355D">
              <w:rPr>
                <w:rFonts w:ascii="CG Times" w:hAnsi="CG Times"/>
                <w:b/>
                <w:sz w:val="20"/>
              </w:rPr>
              <w:t>1500</w:t>
            </w:r>
          </w:p>
        </w:tc>
      </w:tr>
      <w:tr w:rsidR="0095355D" w:rsidRPr="0095355D">
        <w:tc>
          <w:tcPr>
            <w:tcW w:w="244" w:type="pct"/>
          </w:tcPr>
          <w:p w:rsidR="0095355D" w:rsidRPr="0095355D" w:rsidRDefault="0095355D" w:rsidP="0068598C">
            <w:pPr>
              <w:spacing w:line="360" w:lineRule="auto"/>
              <w:rPr>
                <w:rFonts w:ascii="CG Times" w:hAnsi="CG Times"/>
                <w:b/>
                <w:sz w:val="20"/>
              </w:rPr>
            </w:pPr>
            <w:r w:rsidRPr="0095355D">
              <w:rPr>
                <w:rFonts w:ascii="CG Times" w:hAnsi="CG Times"/>
                <w:b/>
                <w:sz w:val="20"/>
              </w:rPr>
              <w:t>2.</w:t>
            </w:r>
          </w:p>
        </w:tc>
        <w:tc>
          <w:tcPr>
            <w:tcW w:w="4348" w:type="pct"/>
            <w:gridSpan w:val="2"/>
          </w:tcPr>
          <w:p w:rsidR="0095355D" w:rsidRPr="0095355D" w:rsidRDefault="0095355D" w:rsidP="0068598C">
            <w:pPr>
              <w:spacing w:line="360" w:lineRule="auto"/>
              <w:jc w:val="both"/>
              <w:rPr>
                <w:rFonts w:ascii="CG Times" w:hAnsi="CG Times"/>
                <w:b/>
                <w:sz w:val="20"/>
              </w:rPr>
            </w:pPr>
            <w:r w:rsidRPr="0095355D">
              <w:rPr>
                <w:rFonts w:ascii="CG Times" w:hAnsi="CG Times"/>
                <w:b/>
                <w:sz w:val="20"/>
              </w:rPr>
              <w:t>PËR NËPUNËSIN CIVIL (2005) ………………………………………….....................</w:t>
            </w:r>
          </w:p>
        </w:tc>
        <w:tc>
          <w:tcPr>
            <w:tcW w:w="408" w:type="pct"/>
            <w:gridSpan w:val="2"/>
          </w:tcPr>
          <w:p w:rsidR="0095355D" w:rsidRPr="0095355D" w:rsidRDefault="0095355D" w:rsidP="0068598C">
            <w:pPr>
              <w:spacing w:line="360" w:lineRule="auto"/>
              <w:jc w:val="right"/>
              <w:rPr>
                <w:rFonts w:ascii="CG Times" w:hAnsi="CG Times"/>
                <w:b/>
                <w:sz w:val="20"/>
              </w:rPr>
            </w:pPr>
            <w:r w:rsidRPr="0095355D">
              <w:rPr>
                <w:rFonts w:ascii="CG Times" w:hAnsi="CG Times"/>
                <w:b/>
                <w:sz w:val="20"/>
              </w:rPr>
              <w:t>600</w:t>
            </w:r>
          </w:p>
        </w:tc>
      </w:tr>
      <w:tr w:rsidR="0095355D" w:rsidRPr="0095355D">
        <w:tc>
          <w:tcPr>
            <w:tcW w:w="244" w:type="pct"/>
          </w:tcPr>
          <w:p w:rsidR="0095355D" w:rsidRPr="0095355D" w:rsidRDefault="0095355D" w:rsidP="0068598C">
            <w:pPr>
              <w:spacing w:line="360" w:lineRule="auto"/>
              <w:rPr>
                <w:rFonts w:ascii="CG Times" w:hAnsi="CG Times"/>
                <w:b/>
                <w:sz w:val="20"/>
              </w:rPr>
            </w:pPr>
            <w:r w:rsidRPr="0095355D">
              <w:rPr>
                <w:rFonts w:ascii="CG Times" w:hAnsi="CG Times"/>
                <w:b/>
                <w:sz w:val="20"/>
              </w:rPr>
              <w:t>3.</w:t>
            </w:r>
          </w:p>
        </w:tc>
        <w:tc>
          <w:tcPr>
            <w:tcW w:w="4348" w:type="pct"/>
            <w:gridSpan w:val="2"/>
          </w:tcPr>
          <w:p w:rsidR="0095355D" w:rsidRPr="0095355D" w:rsidRDefault="0095355D" w:rsidP="0068598C">
            <w:pPr>
              <w:spacing w:line="360" w:lineRule="auto"/>
              <w:jc w:val="both"/>
              <w:rPr>
                <w:rFonts w:ascii="CG Times" w:hAnsi="CG Times"/>
                <w:b/>
                <w:sz w:val="20"/>
              </w:rPr>
            </w:pPr>
            <w:r w:rsidRPr="0095355D">
              <w:rPr>
                <w:rFonts w:ascii="CG Times" w:hAnsi="CG Times"/>
                <w:b/>
                <w:sz w:val="20"/>
              </w:rPr>
              <w:t>PËR SISTEMIN E DREJTËSISË  (Vëllimi i I-rë dhe vëllimi i II-të-2006).............</w:t>
            </w:r>
          </w:p>
        </w:tc>
        <w:tc>
          <w:tcPr>
            <w:tcW w:w="408" w:type="pct"/>
            <w:gridSpan w:val="2"/>
          </w:tcPr>
          <w:p w:rsidR="0095355D" w:rsidRPr="0095355D" w:rsidRDefault="0095355D" w:rsidP="0068598C">
            <w:pPr>
              <w:spacing w:line="360" w:lineRule="auto"/>
              <w:jc w:val="right"/>
              <w:rPr>
                <w:rFonts w:ascii="CG Times" w:hAnsi="CG Times"/>
                <w:b/>
                <w:sz w:val="20"/>
              </w:rPr>
            </w:pPr>
            <w:r w:rsidRPr="0095355D">
              <w:rPr>
                <w:rFonts w:ascii="CG Times" w:hAnsi="CG Times"/>
                <w:b/>
                <w:sz w:val="20"/>
              </w:rPr>
              <w:t>1300</w:t>
            </w:r>
          </w:p>
        </w:tc>
      </w:tr>
      <w:tr w:rsidR="0095355D" w:rsidRPr="0095355D">
        <w:tc>
          <w:tcPr>
            <w:tcW w:w="244" w:type="pct"/>
          </w:tcPr>
          <w:p w:rsidR="0095355D" w:rsidRPr="0095355D" w:rsidRDefault="0095355D" w:rsidP="0068598C">
            <w:pPr>
              <w:spacing w:line="360" w:lineRule="auto"/>
              <w:rPr>
                <w:rFonts w:ascii="CG Times" w:hAnsi="CG Times"/>
                <w:b/>
                <w:sz w:val="20"/>
              </w:rPr>
            </w:pPr>
            <w:r w:rsidRPr="0095355D">
              <w:rPr>
                <w:rFonts w:ascii="CG Times" w:hAnsi="CG Times"/>
                <w:b/>
                <w:sz w:val="20"/>
              </w:rPr>
              <w:t>4.</w:t>
            </w:r>
          </w:p>
        </w:tc>
        <w:tc>
          <w:tcPr>
            <w:tcW w:w="4348" w:type="pct"/>
            <w:gridSpan w:val="2"/>
          </w:tcPr>
          <w:p w:rsidR="0095355D" w:rsidRPr="0095355D" w:rsidRDefault="0095355D" w:rsidP="0068598C">
            <w:pPr>
              <w:spacing w:line="360" w:lineRule="auto"/>
              <w:jc w:val="both"/>
              <w:rPr>
                <w:rFonts w:ascii="CG Times" w:hAnsi="CG Times"/>
                <w:b/>
                <w:sz w:val="20"/>
              </w:rPr>
            </w:pPr>
            <w:r w:rsidRPr="0095355D">
              <w:rPr>
                <w:rFonts w:ascii="CG Times" w:hAnsi="CG Times"/>
                <w:b/>
                <w:sz w:val="20"/>
              </w:rPr>
              <w:t>PËRMBLEDHJE LEGJISLACIONI NË FUSHËN E ARSIMIT…………............</w:t>
            </w:r>
          </w:p>
        </w:tc>
        <w:tc>
          <w:tcPr>
            <w:tcW w:w="408" w:type="pct"/>
            <w:gridSpan w:val="2"/>
          </w:tcPr>
          <w:p w:rsidR="0095355D" w:rsidRPr="0095355D" w:rsidRDefault="0095355D" w:rsidP="0068598C">
            <w:pPr>
              <w:spacing w:line="360" w:lineRule="auto"/>
              <w:jc w:val="right"/>
              <w:rPr>
                <w:rFonts w:ascii="CG Times" w:hAnsi="CG Times"/>
                <w:b/>
                <w:sz w:val="20"/>
              </w:rPr>
            </w:pPr>
            <w:r w:rsidRPr="0095355D">
              <w:rPr>
                <w:rFonts w:ascii="CG Times" w:hAnsi="CG Times"/>
                <w:b/>
                <w:sz w:val="20"/>
              </w:rPr>
              <w:t>500</w:t>
            </w:r>
          </w:p>
        </w:tc>
      </w:tr>
    </w:tbl>
    <w:p w:rsidR="0095355D" w:rsidRPr="0095355D" w:rsidRDefault="0095355D" w:rsidP="0095355D">
      <w:pPr>
        <w:rPr>
          <w:rFonts w:ascii="CG Times" w:hAnsi="CG Times"/>
          <w:sz w:val="20"/>
        </w:rPr>
      </w:pPr>
      <w:r w:rsidRPr="0095355D">
        <w:rPr>
          <w:rFonts w:ascii="CG Times" w:hAnsi="CG Times"/>
          <w:sz w:val="20"/>
        </w:rPr>
        <w:t xml:space="preserve">       </w:t>
      </w:r>
      <w:r w:rsidRPr="0095355D">
        <w:rPr>
          <w:rFonts w:ascii="CG Times" w:hAnsi="CG Times"/>
          <w:sz w:val="20"/>
        </w:rPr>
        <w:tab/>
      </w:r>
    </w:p>
    <w:p w:rsidR="0095355D" w:rsidRPr="0095355D" w:rsidRDefault="0095355D" w:rsidP="0095355D">
      <w:pPr>
        <w:jc w:val="center"/>
        <w:rPr>
          <w:rFonts w:ascii="CG Times" w:hAnsi="CG Times"/>
          <w:b/>
          <w:szCs w:val="24"/>
        </w:rPr>
      </w:pPr>
      <w:r w:rsidRPr="0095355D">
        <w:rPr>
          <w:rFonts w:ascii="CG Times" w:hAnsi="CG Times"/>
          <w:b/>
          <w:szCs w:val="24"/>
        </w:rPr>
        <w:t>Botime të reja</w:t>
      </w:r>
    </w:p>
    <w:p w:rsidR="0095355D" w:rsidRPr="0095355D" w:rsidRDefault="0095355D" w:rsidP="0095355D">
      <w:pPr>
        <w:jc w:val="center"/>
        <w:rPr>
          <w:rFonts w:ascii="CG Times" w:hAnsi="CG Times"/>
          <w:b/>
          <w:szCs w:val="24"/>
        </w:rPr>
      </w:pPr>
    </w:p>
    <w:tbl>
      <w:tblPr>
        <w:tblStyle w:val="TableGrid"/>
        <w:tblW w:w="4555" w:type="pct"/>
        <w:tblInd w:w="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7338"/>
        <w:gridCol w:w="721"/>
      </w:tblGrid>
      <w:tr w:rsidR="0095355D" w:rsidRPr="0095355D">
        <w:tc>
          <w:tcPr>
            <w:tcW w:w="236" w:type="pct"/>
          </w:tcPr>
          <w:p w:rsidR="0095355D" w:rsidRPr="0095355D" w:rsidRDefault="0095355D" w:rsidP="0068598C">
            <w:pPr>
              <w:spacing w:line="360" w:lineRule="auto"/>
              <w:rPr>
                <w:rFonts w:ascii="CG Times" w:hAnsi="CG Times"/>
                <w:b/>
              </w:rPr>
            </w:pPr>
            <w:r w:rsidRPr="0095355D">
              <w:rPr>
                <w:rFonts w:ascii="CG Times" w:hAnsi="CG Times"/>
                <w:b/>
              </w:rPr>
              <w:t>1</w:t>
            </w:r>
          </w:p>
        </w:tc>
        <w:tc>
          <w:tcPr>
            <w:tcW w:w="4337" w:type="pct"/>
          </w:tcPr>
          <w:p w:rsidR="0095355D" w:rsidRPr="0095355D" w:rsidRDefault="0095355D" w:rsidP="0068598C">
            <w:pPr>
              <w:spacing w:line="360" w:lineRule="auto"/>
              <w:rPr>
                <w:rFonts w:ascii="CG Times" w:hAnsi="CG Times"/>
                <w:b/>
                <w:sz w:val="20"/>
              </w:rPr>
            </w:pPr>
            <w:r w:rsidRPr="0095355D">
              <w:rPr>
                <w:rFonts w:ascii="CG Times" w:hAnsi="CG Times"/>
                <w:b/>
                <w:sz w:val="20"/>
              </w:rPr>
              <w:t>TREGUESI KRONOLOGJIK I LEGJISLACIONIT-2004 (Vëllimi I)….....….......</w:t>
            </w:r>
          </w:p>
        </w:tc>
        <w:tc>
          <w:tcPr>
            <w:tcW w:w="426" w:type="pct"/>
          </w:tcPr>
          <w:p w:rsidR="0095355D" w:rsidRPr="0095355D" w:rsidRDefault="0095355D" w:rsidP="0068598C">
            <w:pPr>
              <w:spacing w:line="360" w:lineRule="auto"/>
              <w:jc w:val="right"/>
              <w:rPr>
                <w:rFonts w:ascii="CG Times" w:hAnsi="CG Times"/>
                <w:b/>
                <w:sz w:val="20"/>
              </w:rPr>
            </w:pPr>
            <w:r w:rsidRPr="0095355D">
              <w:rPr>
                <w:rFonts w:ascii="CG Times" w:hAnsi="CG Times"/>
                <w:b/>
                <w:sz w:val="20"/>
              </w:rPr>
              <w:t>1000</w:t>
            </w:r>
          </w:p>
        </w:tc>
      </w:tr>
      <w:tr w:rsidR="0095355D" w:rsidRPr="0095355D">
        <w:tc>
          <w:tcPr>
            <w:tcW w:w="236" w:type="pct"/>
          </w:tcPr>
          <w:p w:rsidR="0095355D" w:rsidRPr="0095355D" w:rsidRDefault="0095355D" w:rsidP="0068598C">
            <w:pPr>
              <w:spacing w:line="360" w:lineRule="auto"/>
              <w:rPr>
                <w:rFonts w:ascii="CG Times" w:hAnsi="CG Times"/>
                <w:b/>
              </w:rPr>
            </w:pPr>
            <w:r w:rsidRPr="0095355D">
              <w:rPr>
                <w:rFonts w:ascii="CG Times" w:hAnsi="CG Times"/>
                <w:b/>
              </w:rPr>
              <w:t>2</w:t>
            </w:r>
          </w:p>
        </w:tc>
        <w:tc>
          <w:tcPr>
            <w:tcW w:w="4337" w:type="pct"/>
          </w:tcPr>
          <w:p w:rsidR="0095355D" w:rsidRPr="0095355D" w:rsidRDefault="0095355D" w:rsidP="0068598C">
            <w:pPr>
              <w:spacing w:line="360" w:lineRule="auto"/>
              <w:rPr>
                <w:rFonts w:ascii="CG Times" w:hAnsi="CG Times"/>
                <w:b/>
                <w:sz w:val="20"/>
              </w:rPr>
            </w:pPr>
            <w:r w:rsidRPr="0095355D">
              <w:rPr>
                <w:rFonts w:ascii="CG Times" w:hAnsi="CG Times"/>
                <w:b/>
                <w:sz w:val="20"/>
              </w:rPr>
              <w:t>TREGUESI KRONOLOGJIK I LEGJISLACIONIT-2006 (Vëllimi II)….....…......</w:t>
            </w:r>
          </w:p>
        </w:tc>
        <w:tc>
          <w:tcPr>
            <w:tcW w:w="426" w:type="pct"/>
          </w:tcPr>
          <w:p w:rsidR="0095355D" w:rsidRPr="0095355D" w:rsidRDefault="0095355D" w:rsidP="0068598C">
            <w:pPr>
              <w:spacing w:line="360" w:lineRule="auto"/>
              <w:jc w:val="right"/>
              <w:rPr>
                <w:rFonts w:ascii="CG Times" w:hAnsi="CG Times"/>
                <w:b/>
                <w:sz w:val="20"/>
              </w:rPr>
            </w:pPr>
            <w:r w:rsidRPr="0095355D">
              <w:rPr>
                <w:rFonts w:ascii="CG Times" w:hAnsi="CG Times"/>
                <w:b/>
                <w:sz w:val="20"/>
              </w:rPr>
              <w:t>500</w:t>
            </w:r>
          </w:p>
        </w:tc>
      </w:tr>
      <w:tr w:rsidR="0095355D" w:rsidRPr="0095355D">
        <w:tc>
          <w:tcPr>
            <w:tcW w:w="236" w:type="pct"/>
          </w:tcPr>
          <w:p w:rsidR="0095355D" w:rsidRPr="0095355D" w:rsidRDefault="0095355D" w:rsidP="0068598C">
            <w:pPr>
              <w:spacing w:line="360" w:lineRule="auto"/>
              <w:rPr>
                <w:rFonts w:ascii="CG Times" w:hAnsi="CG Times"/>
                <w:b/>
              </w:rPr>
            </w:pPr>
            <w:r w:rsidRPr="0095355D">
              <w:rPr>
                <w:rFonts w:ascii="CG Times" w:hAnsi="CG Times"/>
                <w:b/>
              </w:rPr>
              <w:t>3</w:t>
            </w:r>
          </w:p>
        </w:tc>
        <w:tc>
          <w:tcPr>
            <w:tcW w:w="4337" w:type="pct"/>
          </w:tcPr>
          <w:p w:rsidR="0095355D" w:rsidRPr="0095355D" w:rsidRDefault="0095355D" w:rsidP="0068598C">
            <w:pPr>
              <w:spacing w:line="360" w:lineRule="auto"/>
              <w:rPr>
                <w:rFonts w:ascii="CG Times" w:hAnsi="CG Times"/>
                <w:b/>
                <w:sz w:val="20"/>
              </w:rPr>
            </w:pPr>
            <w:r w:rsidRPr="0095355D">
              <w:rPr>
                <w:rFonts w:ascii="CG Times" w:hAnsi="CG Times"/>
                <w:b/>
                <w:sz w:val="20"/>
              </w:rPr>
              <w:t>TREGUESI TEMATIK I LEGJISLACIONIT-2004 (Vëllimi I)……………..….......</w:t>
            </w:r>
          </w:p>
        </w:tc>
        <w:tc>
          <w:tcPr>
            <w:tcW w:w="426" w:type="pct"/>
          </w:tcPr>
          <w:p w:rsidR="0095355D" w:rsidRPr="0095355D" w:rsidRDefault="0095355D" w:rsidP="0068598C">
            <w:pPr>
              <w:spacing w:line="360" w:lineRule="auto"/>
              <w:jc w:val="right"/>
              <w:rPr>
                <w:rFonts w:ascii="CG Times" w:hAnsi="CG Times"/>
                <w:b/>
                <w:sz w:val="20"/>
              </w:rPr>
            </w:pPr>
            <w:r w:rsidRPr="0095355D">
              <w:rPr>
                <w:rFonts w:ascii="CG Times" w:hAnsi="CG Times"/>
                <w:b/>
                <w:sz w:val="20"/>
              </w:rPr>
              <w:t>1000</w:t>
            </w:r>
          </w:p>
        </w:tc>
      </w:tr>
      <w:tr w:rsidR="0095355D" w:rsidRPr="0095355D">
        <w:tc>
          <w:tcPr>
            <w:tcW w:w="236" w:type="pct"/>
          </w:tcPr>
          <w:p w:rsidR="0095355D" w:rsidRPr="0095355D" w:rsidRDefault="0095355D" w:rsidP="0068598C">
            <w:pPr>
              <w:spacing w:line="360" w:lineRule="auto"/>
              <w:rPr>
                <w:rFonts w:ascii="CG Times" w:hAnsi="CG Times"/>
                <w:b/>
              </w:rPr>
            </w:pPr>
            <w:r w:rsidRPr="0095355D">
              <w:rPr>
                <w:rFonts w:ascii="CG Times" w:hAnsi="CG Times"/>
                <w:b/>
              </w:rPr>
              <w:t>4</w:t>
            </w:r>
          </w:p>
        </w:tc>
        <w:tc>
          <w:tcPr>
            <w:tcW w:w="4337" w:type="pct"/>
          </w:tcPr>
          <w:p w:rsidR="0095355D" w:rsidRPr="0095355D" w:rsidRDefault="0095355D" w:rsidP="0068598C">
            <w:pPr>
              <w:spacing w:line="360" w:lineRule="auto"/>
              <w:rPr>
                <w:rFonts w:ascii="CG Times" w:hAnsi="CG Times"/>
                <w:b/>
                <w:sz w:val="20"/>
              </w:rPr>
            </w:pPr>
            <w:r w:rsidRPr="0095355D">
              <w:rPr>
                <w:rFonts w:ascii="CG Times" w:hAnsi="CG Times"/>
                <w:b/>
                <w:sz w:val="20"/>
              </w:rPr>
              <w:t>TREGUESI TEMATIK I LEGJISLACIONIT-2006 (Vëllimi II)……………..…......</w:t>
            </w:r>
          </w:p>
        </w:tc>
        <w:tc>
          <w:tcPr>
            <w:tcW w:w="426" w:type="pct"/>
          </w:tcPr>
          <w:p w:rsidR="0095355D" w:rsidRPr="0095355D" w:rsidRDefault="0095355D" w:rsidP="0068598C">
            <w:pPr>
              <w:spacing w:line="360" w:lineRule="auto"/>
              <w:jc w:val="right"/>
              <w:rPr>
                <w:rFonts w:ascii="CG Times" w:hAnsi="CG Times"/>
                <w:b/>
                <w:sz w:val="20"/>
              </w:rPr>
            </w:pPr>
            <w:r w:rsidRPr="0095355D">
              <w:rPr>
                <w:rFonts w:ascii="CG Times" w:hAnsi="CG Times"/>
                <w:b/>
                <w:sz w:val="20"/>
              </w:rPr>
              <w:t>500</w:t>
            </w:r>
          </w:p>
        </w:tc>
      </w:tr>
      <w:tr w:rsidR="0095355D" w:rsidRPr="0095355D">
        <w:tc>
          <w:tcPr>
            <w:tcW w:w="236" w:type="pct"/>
          </w:tcPr>
          <w:p w:rsidR="0095355D" w:rsidRPr="0095355D" w:rsidRDefault="0095355D" w:rsidP="0068598C">
            <w:pPr>
              <w:spacing w:line="360" w:lineRule="auto"/>
              <w:rPr>
                <w:rFonts w:ascii="CG Times" w:hAnsi="CG Times"/>
                <w:b/>
              </w:rPr>
            </w:pPr>
            <w:r w:rsidRPr="0095355D">
              <w:rPr>
                <w:rFonts w:ascii="CG Times" w:hAnsi="CG Times"/>
                <w:b/>
              </w:rPr>
              <w:t>5</w:t>
            </w:r>
          </w:p>
        </w:tc>
        <w:tc>
          <w:tcPr>
            <w:tcW w:w="4337" w:type="pct"/>
          </w:tcPr>
          <w:p w:rsidR="0095355D" w:rsidRPr="0095355D" w:rsidRDefault="0095355D" w:rsidP="0068598C">
            <w:pPr>
              <w:spacing w:line="360" w:lineRule="auto"/>
              <w:jc w:val="both"/>
              <w:rPr>
                <w:rFonts w:ascii="CG Times" w:hAnsi="CG Times"/>
                <w:b/>
                <w:sz w:val="20"/>
              </w:rPr>
            </w:pPr>
            <w:r w:rsidRPr="0095355D">
              <w:rPr>
                <w:rFonts w:ascii="CG Times" w:hAnsi="CG Times"/>
                <w:b/>
                <w:sz w:val="20"/>
              </w:rPr>
              <w:t>PËRMBLEDHJE MARRËVESHJESH NDËRKOMBËTARE NË FUSHËN E DREJTËSISË……………………………………………...........................................</w:t>
            </w:r>
          </w:p>
        </w:tc>
        <w:tc>
          <w:tcPr>
            <w:tcW w:w="426" w:type="pct"/>
          </w:tcPr>
          <w:p w:rsidR="0095355D" w:rsidRPr="0095355D" w:rsidRDefault="0095355D" w:rsidP="0068598C">
            <w:pPr>
              <w:spacing w:line="360" w:lineRule="auto"/>
              <w:jc w:val="right"/>
              <w:rPr>
                <w:rFonts w:ascii="CG Times" w:hAnsi="CG Times"/>
                <w:b/>
                <w:sz w:val="20"/>
              </w:rPr>
            </w:pPr>
          </w:p>
          <w:p w:rsidR="0095355D" w:rsidRPr="0095355D" w:rsidRDefault="0095355D" w:rsidP="0068598C">
            <w:pPr>
              <w:spacing w:line="360" w:lineRule="auto"/>
              <w:jc w:val="right"/>
              <w:rPr>
                <w:rFonts w:ascii="CG Times" w:hAnsi="CG Times"/>
                <w:b/>
                <w:sz w:val="20"/>
              </w:rPr>
            </w:pPr>
            <w:r w:rsidRPr="0095355D">
              <w:rPr>
                <w:rFonts w:ascii="CG Times" w:hAnsi="CG Times"/>
                <w:b/>
                <w:sz w:val="20"/>
              </w:rPr>
              <w:t>1000</w:t>
            </w:r>
          </w:p>
        </w:tc>
      </w:tr>
      <w:tr w:rsidR="0095355D" w:rsidRPr="0095355D">
        <w:tc>
          <w:tcPr>
            <w:tcW w:w="236" w:type="pct"/>
          </w:tcPr>
          <w:p w:rsidR="0095355D" w:rsidRPr="0095355D" w:rsidRDefault="0095355D" w:rsidP="0068598C">
            <w:pPr>
              <w:spacing w:line="360" w:lineRule="auto"/>
              <w:rPr>
                <w:rFonts w:ascii="CG Times" w:hAnsi="CG Times"/>
                <w:b/>
              </w:rPr>
            </w:pPr>
            <w:r w:rsidRPr="0095355D">
              <w:rPr>
                <w:rFonts w:ascii="CG Times" w:hAnsi="CG Times"/>
                <w:b/>
              </w:rPr>
              <w:t>6</w:t>
            </w:r>
          </w:p>
        </w:tc>
        <w:tc>
          <w:tcPr>
            <w:tcW w:w="4337" w:type="pct"/>
          </w:tcPr>
          <w:p w:rsidR="0095355D" w:rsidRPr="0095355D" w:rsidRDefault="0095355D" w:rsidP="0068598C">
            <w:pPr>
              <w:spacing w:line="360" w:lineRule="auto"/>
              <w:rPr>
                <w:rFonts w:ascii="CG Times" w:hAnsi="CG Times"/>
                <w:b/>
                <w:sz w:val="20"/>
              </w:rPr>
            </w:pPr>
            <w:r w:rsidRPr="0095355D">
              <w:rPr>
                <w:rFonts w:ascii="CG Times" w:hAnsi="CG Times"/>
                <w:b/>
                <w:sz w:val="20"/>
              </w:rPr>
              <w:t>PËRMBLEDHJE LEGJISLACIONI PËR PUSHTETIN VENDOR………………….</w:t>
            </w:r>
          </w:p>
        </w:tc>
        <w:tc>
          <w:tcPr>
            <w:tcW w:w="426" w:type="pct"/>
          </w:tcPr>
          <w:p w:rsidR="0095355D" w:rsidRPr="0095355D" w:rsidRDefault="0095355D" w:rsidP="0068598C">
            <w:pPr>
              <w:spacing w:line="360" w:lineRule="auto"/>
              <w:jc w:val="right"/>
              <w:rPr>
                <w:rFonts w:ascii="CG Times" w:hAnsi="CG Times"/>
                <w:b/>
                <w:sz w:val="20"/>
              </w:rPr>
            </w:pPr>
            <w:r w:rsidRPr="0095355D">
              <w:rPr>
                <w:rFonts w:ascii="CG Times" w:hAnsi="CG Times"/>
                <w:b/>
                <w:sz w:val="20"/>
              </w:rPr>
              <w:t>800</w:t>
            </w:r>
          </w:p>
        </w:tc>
      </w:tr>
      <w:tr w:rsidR="0095355D" w:rsidRPr="0095355D">
        <w:tc>
          <w:tcPr>
            <w:tcW w:w="236" w:type="pct"/>
          </w:tcPr>
          <w:p w:rsidR="0095355D" w:rsidRPr="0095355D" w:rsidRDefault="0095355D" w:rsidP="0068598C">
            <w:pPr>
              <w:spacing w:line="360" w:lineRule="auto"/>
              <w:rPr>
                <w:rFonts w:ascii="CG Times" w:hAnsi="CG Times"/>
                <w:b/>
              </w:rPr>
            </w:pPr>
            <w:r w:rsidRPr="0095355D">
              <w:rPr>
                <w:rFonts w:ascii="CG Times" w:hAnsi="CG Times"/>
                <w:b/>
              </w:rPr>
              <w:t>7</w:t>
            </w:r>
          </w:p>
        </w:tc>
        <w:tc>
          <w:tcPr>
            <w:tcW w:w="4337" w:type="pct"/>
          </w:tcPr>
          <w:p w:rsidR="0095355D" w:rsidRPr="0095355D" w:rsidRDefault="0095355D" w:rsidP="0068598C">
            <w:pPr>
              <w:spacing w:line="360" w:lineRule="auto"/>
              <w:rPr>
                <w:rFonts w:ascii="CG Times" w:hAnsi="CG Times"/>
                <w:b/>
                <w:sz w:val="20"/>
              </w:rPr>
            </w:pPr>
            <w:r w:rsidRPr="0095355D">
              <w:rPr>
                <w:rFonts w:ascii="CG Times" w:hAnsi="CG Times"/>
                <w:b/>
                <w:sz w:val="20"/>
              </w:rPr>
              <w:t>PËRMBLEDHJE LEGJISLACIONI PËR NDËRTIMET………………….....…......</w:t>
            </w:r>
          </w:p>
        </w:tc>
        <w:tc>
          <w:tcPr>
            <w:tcW w:w="426" w:type="pct"/>
          </w:tcPr>
          <w:p w:rsidR="0095355D" w:rsidRPr="0095355D" w:rsidRDefault="0095355D" w:rsidP="0068598C">
            <w:pPr>
              <w:spacing w:line="360" w:lineRule="auto"/>
              <w:jc w:val="right"/>
              <w:rPr>
                <w:rFonts w:ascii="CG Times" w:hAnsi="CG Times"/>
                <w:b/>
                <w:sz w:val="20"/>
              </w:rPr>
            </w:pPr>
            <w:r w:rsidRPr="0095355D">
              <w:rPr>
                <w:rFonts w:ascii="CG Times" w:hAnsi="CG Times"/>
                <w:b/>
                <w:sz w:val="20"/>
              </w:rPr>
              <w:t>500</w:t>
            </w:r>
          </w:p>
        </w:tc>
      </w:tr>
      <w:tr w:rsidR="0095355D" w:rsidRPr="0095355D">
        <w:tc>
          <w:tcPr>
            <w:tcW w:w="236" w:type="pct"/>
          </w:tcPr>
          <w:p w:rsidR="0095355D" w:rsidRPr="0095355D" w:rsidRDefault="0095355D" w:rsidP="0068598C">
            <w:pPr>
              <w:spacing w:line="360" w:lineRule="auto"/>
              <w:rPr>
                <w:rFonts w:ascii="CG Times" w:hAnsi="CG Times"/>
                <w:b/>
              </w:rPr>
            </w:pPr>
            <w:r w:rsidRPr="0095355D">
              <w:rPr>
                <w:rFonts w:ascii="CG Times" w:hAnsi="CG Times"/>
                <w:b/>
              </w:rPr>
              <w:t>8</w:t>
            </w:r>
          </w:p>
        </w:tc>
        <w:tc>
          <w:tcPr>
            <w:tcW w:w="4337" w:type="pct"/>
          </w:tcPr>
          <w:p w:rsidR="0095355D" w:rsidRPr="0095355D" w:rsidRDefault="0095355D" w:rsidP="0068598C">
            <w:pPr>
              <w:spacing w:line="360" w:lineRule="auto"/>
              <w:jc w:val="both"/>
              <w:rPr>
                <w:rFonts w:ascii="CG Times" w:hAnsi="CG Times"/>
                <w:b/>
                <w:sz w:val="20"/>
              </w:rPr>
            </w:pPr>
            <w:r w:rsidRPr="0095355D">
              <w:rPr>
                <w:rFonts w:ascii="CG Times" w:hAnsi="CG Times"/>
                <w:b/>
                <w:sz w:val="20"/>
              </w:rPr>
              <w:t>PËRMBLEDHJE VENDIMESH UNIFIKUESE TË GJYKATËS SË LARTË (2000-2006)…………………………………………………………………………………………</w:t>
            </w:r>
          </w:p>
        </w:tc>
        <w:tc>
          <w:tcPr>
            <w:tcW w:w="426" w:type="pct"/>
          </w:tcPr>
          <w:p w:rsidR="0095355D" w:rsidRPr="0095355D" w:rsidRDefault="0095355D" w:rsidP="0068598C">
            <w:pPr>
              <w:spacing w:line="360" w:lineRule="auto"/>
              <w:jc w:val="right"/>
              <w:rPr>
                <w:rFonts w:ascii="CG Times" w:hAnsi="CG Times"/>
                <w:b/>
                <w:sz w:val="20"/>
              </w:rPr>
            </w:pPr>
          </w:p>
          <w:p w:rsidR="0095355D" w:rsidRPr="0095355D" w:rsidRDefault="0095355D" w:rsidP="0068598C">
            <w:pPr>
              <w:spacing w:line="360" w:lineRule="auto"/>
              <w:jc w:val="right"/>
              <w:rPr>
                <w:rFonts w:ascii="CG Times" w:hAnsi="CG Times"/>
                <w:b/>
                <w:sz w:val="20"/>
              </w:rPr>
            </w:pPr>
            <w:r w:rsidRPr="0095355D">
              <w:rPr>
                <w:rFonts w:ascii="CG Times" w:hAnsi="CG Times"/>
                <w:b/>
                <w:sz w:val="20"/>
              </w:rPr>
              <w:t>1000</w:t>
            </w:r>
          </w:p>
        </w:tc>
      </w:tr>
      <w:tr w:rsidR="0095355D" w:rsidRPr="0095355D">
        <w:tc>
          <w:tcPr>
            <w:tcW w:w="236" w:type="pct"/>
          </w:tcPr>
          <w:p w:rsidR="0095355D" w:rsidRPr="0095355D" w:rsidRDefault="0095355D" w:rsidP="0068598C">
            <w:pPr>
              <w:spacing w:line="360" w:lineRule="auto"/>
              <w:rPr>
                <w:rFonts w:ascii="CG Times" w:hAnsi="CG Times"/>
                <w:b/>
              </w:rPr>
            </w:pPr>
            <w:r w:rsidRPr="0095355D">
              <w:rPr>
                <w:rFonts w:ascii="CG Times" w:hAnsi="CG Times"/>
                <w:b/>
              </w:rPr>
              <w:t>9</w:t>
            </w:r>
          </w:p>
        </w:tc>
        <w:tc>
          <w:tcPr>
            <w:tcW w:w="4337" w:type="pct"/>
          </w:tcPr>
          <w:p w:rsidR="0095355D" w:rsidRPr="0095355D" w:rsidRDefault="0095355D" w:rsidP="0068598C">
            <w:pPr>
              <w:spacing w:line="360" w:lineRule="auto"/>
              <w:rPr>
                <w:rFonts w:ascii="CG Times" w:hAnsi="CG Times"/>
                <w:b/>
                <w:sz w:val="20"/>
              </w:rPr>
            </w:pPr>
            <w:r w:rsidRPr="0095355D">
              <w:rPr>
                <w:rFonts w:ascii="CG Times" w:hAnsi="CG Times"/>
                <w:b/>
                <w:sz w:val="20"/>
              </w:rPr>
              <w:t>PËRMBLEDHJE LEGJISLACIONI PËR SHOQËRITË TREGTARE……..........</w:t>
            </w:r>
          </w:p>
        </w:tc>
        <w:tc>
          <w:tcPr>
            <w:tcW w:w="426" w:type="pct"/>
          </w:tcPr>
          <w:p w:rsidR="0095355D" w:rsidRPr="0095355D" w:rsidRDefault="0095355D" w:rsidP="0068598C">
            <w:pPr>
              <w:spacing w:line="360" w:lineRule="auto"/>
              <w:jc w:val="right"/>
              <w:rPr>
                <w:rFonts w:ascii="CG Times" w:hAnsi="CG Times"/>
                <w:b/>
                <w:sz w:val="20"/>
              </w:rPr>
            </w:pPr>
            <w:r w:rsidRPr="0095355D">
              <w:rPr>
                <w:rFonts w:ascii="CG Times" w:hAnsi="CG Times"/>
                <w:b/>
                <w:sz w:val="20"/>
              </w:rPr>
              <w:t>500</w:t>
            </w:r>
          </w:p>
        </w:tc>
      </w:tr>
    </w:tbl>
    <w:p w:rsidR="0095355D" w:rsidRPr="0095355D" w:rsidRDefault="0095355D" w:rsidP="0095355D">
      <w:pPr>
        <w:rPr>
          <w:rFonts w:ascii="CG Times" w:hAnsi="CG Times"/>
        </w:rPr>
      </w:pPr>
    </w:p>
    <w:p w:rsidR="0095355D" w:rsidRPr="0095355D" w:rsidRDefault="0095355D" w:rsidP="0095355D">
      <w:pPr>
        <w:rPr>
          <w:rFonts w:ascii="CG Times" w:hAnsi="CG Times"/>
        </w:rPr>
      </w:pPr>
    </w:p>
    <w:p w:rsidR="0095355D" w:rsidRPr="0095355D" w:rsidRDefault="0095355D" w:rsidP="0095355D">
      <w:pPr>
        <w:ind w:left="2880"/>
        <w:rPr>
          <w:rFonts w:ascii="CG Times" w:hAnsi="CG Times"/>
        </w:rPr>
      </w:pPr>
      <w:r w:rsidRPr="0095355D">
        <w:rPr>
          <w:rFonts w:ascii="CG Times" w:hAnsi="CG Times"/>
        </w:rPr>
        <w:t xml:space="preserve">     Hyri në shtyp më 14.2.2007</w:t>
      </w:r>
    </w:p>
    <w:p w:rsidR="0095355D" w:rsidRPr="0095355D" w:rsidRDefault="0095355D" w:rsidP="0095355D">
      <w:pPr>
        <w:jc w:val="center"/>
        <w:rPr>
          <w:rFonts w:ascii="CG Times" w:hAnsi="CG Times"/>
        </w:rPr>
      </w:pPr>
      <w:r w:rsidRPr="0095355D">
        <w:rPr>
          <w:rFonts w:ascii="CG Times" w:hAnsi="CG Times"/>
        </w:rPr>
        <w:t>Doli nga shtypi më 14.2.2007</w:t>
      </w:r>
    </w:p>
    <w:p w:rsidR="0095355D" w:rsidRPr="0095355D" w:rsidRDefault="0095355D" w:rsidP="0095355D">
      <w:pPr>
        <w:rPr>
          <w:rFonts w:ascii="CG Times" w:hAnsi="CG Times"/>
        </w:rPr>
      </w:pPr>
    </w:p>
    <w:p w:rsidR="0095355D" w:rsidRPr="0095355D" w:rsidRDefault="0095355D" w:rsidP="0095355D">
      <w:pPr>
        <w:rPr>
          <w:rFonts w:ascii="CG Times" w:hAnsi="CG Times"/>
        </w:rPr>
      </w:pPr>
    </w:p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95355D" w:rsidRPr="0095355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05" w:type="dxa"/>
            <w:vAlign w:val="center"/>
          </w:tcPr>
          <w:p w:rsidR="0095355D" w:rsidRPr="0095355D" w:rsidRDefault="0095355D" w:rsidP="0068598C">
            <w:pPr>
              <w:rPr>
                <w:rFonts w:ascii="CG Times" w:hAnsi="CG Times"/>
              </w:rPr>
            </w:pPr>
            <w:r w:rsidRPr="0095355D">
              <w:rPr>
                <w:rFonts w:ascii="CG Times" w:hAnsi="CG Times"/>
              </w:rPr>
              <w:t>Tirazhi: 3500 copë</w:t>
            </w:r>
          </w:p>
        </w:tc>
        <w:tc>
          <w:tcPr>
            <w:tcW w:w="4605" w:type="dxa"/>
            <w:vAlign w:val="center"/>
          </w:tcPr>
          <w:p w:rsidR="0095355D" w:rsidRPr="0095355D" w:rsidRDefault="0095355D" w:rsidP="0068598C">
            <w:pPr>
              <w:jc w:val="right"/>
              <w:rPr>
                <w:rFonts w:ascii="CG Times" w:hAnsi="CG Times"/>
              </w:rPr>
            </w:pPr>
            <w:r w:rsidRPr="0095355D">
              <w:rPr>
                <w:rFonts w:ascii="CG Times" w:hAnsi="CG Times"/>
              </w:rPr>
              <w:t>Formati: 60x88/8</w:t>
            </w:r>
          </w:p>
        </w:tc>
      </w:tr>
    </w:tbl>
    <w:p w:rsidR="0095355D" w:rsidRPr="0095355D" w:rsidRDefault="0095355D" w:rsidP="0095355D">
      <w:pPr>
        <w:rPr>
          <w:rFonts w:ascii="CG Times" w:hAnsi="CG Times"/>
        </w:rPr>
      </w:pPr>
      <w:r w:rsidRPr="0095355D">
        <w:rPr>
          <w:rFonts w:ascii="CG Times" w:hAnsi="CG Times"/>
        </w:rPr>
        <w:t xml:space="preserve"> </w:t>
      </w:r>
    </w:p>
    <w:p w:rsidR="0095355D" w:rsidRPr="0095355D" w:rsidRDefault="0095355D" w:rsidP="0095355D">
      <w:pPr>
        <w:jc w:val="center"/>
        <w:rPr>
          <w:rFonts w:ascii="CG Times" w:hAnsi="CG Times"/>
        </w:rPr>
      </w:pPr>
      <w:r w:rsidRPr="0095355D">
        <w:rPr>
          <w:rFonts w:ascii="CG Times" w:hAnsi="CG Times"/>
        </w:rPr>
        <w:t>Shtypshkronja  “Grafon”</w:t>
      </w:r>
    </w:p>
    <w:p w:rsidR="0095355D" w:rsidRPr="0095355D" w:rsidRDefault="0095355D" w:rsidP="0095355D">
      <w:pPr>
        <w:jc w:val="center"/>
        <w:rPr>
          <w:rFonts w:ascii="CG Times" w:hAnsi="CG Times"/>
        </w:rPr>
      </w:pPr>
      <w:r w:rsidRPr="0095355D">
        <w:rPr>
          <w:rFonts w:ascii="CG Times" w:hAnsi="CG Times"/>
        </w:rPr>
        <w:t>Tiranë, 2007</w:t>
      </w:r>
    </w:p>
    <w:p w:rsidR="0095355D" w:rsidRPr="0095355D" w:rsidRDefault="0095355D" w:rsidP="0095355D">
      <w:pPr>
        <w:jc w:val="right"/>
        <w:rPr>
          <w:rFonts w:ascii="CG Times" w:hAnsi="CG Times"/>
        </w:rPr>
      </w:pPr>
    </w:p>
    <w:p w:rsidR="000D1A4F" w:rsidRPr="0095355D" w:rsidRDefault="0095355D" w:rsidP="0095355D">
      <w:pPr>
        <w:pStyle w:val="Paragrafi"/>
        <w:jc w:val="right"/>
        <w:rPr>
          <w:szCs w:val="22"/>
        </w:rPr>
      </w:pPr>
      <w:r w:rsidRPr="0095355D">
        <w:t>Çmimi 20 lekë</w:t>
      </w:r>
    </w:p>
    <w:sectPr w:rsidR="000D1A4F" w:rsidRPr="0095355D" w:rsidSect="00BB08E4">
      <w:footerReference w:type="even" r:id="rId22"/>
      <w:footerReference w:type="default" r:id="rId23"/>
      <w:pgSz w:w="11904" w:h="16834" w:code="9"/>
      <w:pgMar w:top="1418" w:right="1418" w:bottom="1418" w:left="1418" w:header="1304" w:footer="1134" w:gutter="0"/>
      <w:pgNumType w:start="187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98C" w:rsidRDefault="0068598C">
      <w:r>
        <w:separator/>
      </w:r>
    </w:p>
  </w:endnote>
  <w:endnote w:type="continuationSeparator" w:id="0">
    <w:p w:rsidR="0068598C" w:rsidRDefault="00685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55D" w:rsidRDefault="0095355D" w:rsidP="003F4F3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5355D" w:rsidRDefault="0095355D" w:rsidP="003F4F3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55D" w:rsidRDefault="0095355D" w:rsidP="003F4F34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98C" w:rsidRDefault="0068598C">
      <w:r>
        <w:separator/>
      </w:r>
    </w:p>
  </w:footnote>
  <w:footnote w:type="continuationSeparator" w:id="0">
    <w:p w:rsidR="0068598C" w:rsidRDefault="00685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90DF6"/>
    <w:multiLevelType w:val="hybridMultilevel"/>
    <w:tmpl w:val="946EE958"/>
    <w:lvl w:ilvl="0" w:tplc="9D24FEB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90AA6C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A452B3"/>
    <w:multiLevelType w:val="hybridMultilevel"/>
    <w:tmpl w:val="BBBA5D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5CF48F06">
      <w:start w:val="3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743AB5"/>
    <w:multiLevelType w:val="hybridMultilevel"/>
    <w:tmpl w:val="1F9883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A455D"/>
    <w:multiLevelType w:val="hybridMultilevel"/>
    <w:tmpl w:val="F092BA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94A16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624C68"/>
    <w:multiLevelType w:val="hybridMultilevel"/>
    <w:tmpl w:val="2E74A55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221B34"/>
    <w:multiLevelType w:val="hybridMultilevel"/>
    <w:tmpl w:val="21A892AA"/>
    <w:lvl w:ilvl="0" w:tplc="1C8A538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046336"/>
    <w:multiLevelType w:val="hybridMultilevel"/>
    <w:tmpl w:val="6140652A"/>
    <w:lvl w:ilvl="0" w:tplc="8278C90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3F73074"/>
    <w:multiLevelType w:val="hybridMultilevel"/>
    <w:tmpl w:val="E8A0C22A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914455F"/>
    <w:multiLevelType w:val="hybridMultilevel"/>
    <w:tmpl w:val="D840C5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53813E4"/>
    <w:multiLevelType w:val="hybridMultilevel"/>
    <w:tmpl w:val="035AF8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A63228"/>
    <w:multiLevelType w:val="hybridMultilevel"/>
    <w:tmpl w:val="113A30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B60C1E"/>
    <w:multiLevelType w:val="hybridMultilevel"/>
    <w:tmpl w:val="0B18E4FE"/>
    <w:lvl w:ilvl="0" w:tplc="11DED426">
      <w:start w:val="3"/>
      <w:numFmt w:val="bullet"/>
      <w:lvlText w:val="-"/>
      <w:lvlJc w:val="left"/>
      <w:pPr>
        <w:tabs>
          <w:tab w:val="num" w:pos="3045"/>
        </w:tabs>
        <w:ind w:left="3045" w:hanging="885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CE321B1"/>
    <w:multiLevelType w:val="hybridMultilevel"/>
    <w:tmpl w:val="6B9836AA"/>
    <w:lvl w:ilvl="0" w:tplc="D99606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E045BFC"/>
    <w:multiLevelType w:val="hybridMultilevel"/>
    <w:tmpl w:val="74A0B204"/>
    <w:lvl w:ilvl="0" w:tplc="FF9EDA9E">
      <w:start w:val="1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C798AAC8">
      <w:start w:val="3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741769D8"/>
    <w:multiLevelType w:val="hybridMultilevel"/>
    <w:tmpl w:val="9E7C8D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2"/>
  </w:num>
  <w:num w:numId="5">
    <w:abstractNumId w:val="0"/>
  </w:num>
  <w:num w:numId="6">
    <w:abstractNumId w:val="14"/>
  </w:num>
  <w:num w:numId="7">
    <w:abstractNumId w:val="1"/>
  </w:num>
  <w:num w:numId="8">
    <w:abstractNumId w:val="8"/>
  </w:num>
  <w:num w:numId="9">
    <w:abstractNumId w:val="9"/>
  </w:num>
  <w:num w:numId="10">
    <w:abstractNumId w:val="13"/>
  </w:num>
  <w:num w:numId="11">
    <w:abstractNumId w:val="6"/>
  </w:num>
  <w:num w:numId="12">
    <w:abstractNumId w:val="7"/>
  </w:num>
  <w:num w:numId="13">
    <w:abstractNumId w:val="5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E1AAC"/>
    <w:rsid w:val="00003818"/>
    <w:rsid w:val="00004ECB"/>
    <w:rsid w:val="00013EAB"/>
    <w:rsid w:val="000235D7"/>
    <w:rsid w:val="000239B4"/>
    <w:rsid w:val="00030E15"/>
    <w:rsid w:val="00041602"/>
    <w:rsid w:val="00044A7C"/>
    <w:rsid w:val="00046BE3"/>
    <w:rsid w:val="00047402"/>
    <w:rsid w:val="00052893"/>
    <w:rsid w:val="00054293"/>
    <w:rsid w:val="00065189"/>
    <w:rsid w:val="00086B61"/>
    <w:rsid w:val="0008764A"/>
    <w:rsid w:val="000B55DD"/>
    <w:rsid w:val="000B5C3D"/>
    <w:rsid w:val="000D1A4F"/>
    <w:rsid w:val="000D3699"/>
    <w:rsid w:val="000D4CA1"/>
    <w:rsid w:val="000D7E74"/>
    <w:rsid w:val="000E5924"/>
    <w:rsid w:val="000E6FA8"/>
    <w:rsid w:val="000F06EE"/>
    <w:rsid w:val="000F2B04"/>
    <w:rsid w:val="00100484"/>
    <w:rsid w:val="00101773"/>
    <w:rsid w:val="001037C9"/>
    <w:rsid w:val="001057B2"/>
    <w:rsid w:val="00105A46"/>
    <w:rsid w:val="00105BDC"/>
    <w:rsid w:val="00106209"/>
    <w:rsid w:val="00117B3F"/>
    <w:rsid w:val="0012215F"/>
    <w:rsid w:val="0012628D"/>
    <w:rsid w:val="00126C9A"/>
    <w:rsid w:val="00132DA1"/>
    <w:rsid w:val="00140DB0"/>
    <w:rsid w:val="001421B1"/>
    <w:rsid w:val="00157229"/>
    <w:rsid w:val="00170096"/>
    <w:rsid w:val="00173E92"/>
    <w:rsid w:val="00174229"/>
    <w:rsid w:val="00180CDA"/>
    <w:rsid w:val="00181166"/>
    <w:rsid w:val="001816EB"/>
    <w:rsid w:val="00193FE0"/>
    <w:rsid w:val="00195687"/>
    <w:rsid w:val="001A480E"/>
    <w:rsid w:val="001A5A8E"/>
    <w:rsid w:val="001B17BB"/>
    <w:rsid w:val="001C5006"/>
    <w:rsid w:val="001D280A"/>
    <w:rsid w:val="001E0C98"/>
    <w:rsid w:val="001E229C"/>
    <w:rsid w:val="001E365C"/>
    <w:rsid w:val="001E7343"/>
    <w:rsid w:val="001F0E32"/>
    <w:rsid w:val="001F0FD3"/>
    <w:rsid w:val="002227E7"/>
    <w:rsid w:val="0023110C"/>
    <w:rsid w:val="002322E1"/>
    <w:rsid w:val="002421DF"/>
    <w:rsid w:val="002567D1"/>
    <w:rsid w:val="00257929"/>
    <w:rsid w:val="0027205E"/>
    <w:rsid w:val="002806B3"/>
    <w:rsid w:val="00281713"/>
    <w:rsid w:val="002865F5"/>
    <w:rsid w:val="002877FB"/>
    <w:rsid w:val="00291EDE"/>
    <w:rsid w:val="00291F48"/>
    <w:rsid w:val="00292B2E"/>
    <w:rsid w:val="002951F3"/>
    <w:rsid w:val="00297EF8"/>
    <w:rsid w:val="002A72F6"/>
    <w:rsid w:val="002B40CD"/>
    <w:rsid w:val="002B5574"/>
    <w:rsid w:val="002B7FA1"/>
    <w:rsid w:val="002D08E9"/>
    <w:rsid w:val="002D16D0"/>
    <w:rsid w:val="002E1AAC"/>
    <w:rsid w:val="002E6E02"/>
    <w:rsid w:val="003007D5"/>
    <w:rsid w:val="00302A2A"/>
    <w:rsid w:val="00312EF5"/>
    <w:rsid w:val="00326D6F"/>
    <w:rsid w:val="00343545"/>
    <w:rsid w:val="0034392B"/>
    <w:rsid w:val="00344B84"/>
    <w:rsid w:val="00345D1C"/>
    <w:rsid w:val="00347CAC"/>
    <w:rsid w:val="00353706"/>
    <w:rsid w:val="0036110D"/>
    <w:rsid w:val="003661FE"/>
    <w:rsid w:val="00373ADD"/>
    <w:rsid w:val="00377560"/>
    <w:rsid w:val="00380BBB"/>
    <w:rsid w:val="003A1C30"/>
    <w:rsid w:val="003A2A36"/>
    <w:rsid w:val="003B3CF6"/>
    <w:rsid w:val="003B5AF0"/>
    <w:rsid w:val="003B5EB9"/>
    <w:rsid w:val="003D3617"/>
    <w:rsid w:val="003D4FC8"/>
    <w:rsid w:val="003E1B67"/>
    <w:rsid w:val="003E578F"/>
    <w:rsid w:val="003F1133"/>
    <w:rsid w:val="003F2908"/>
    <w:rsid w:val="003F4F34"/>
    <w:rsid w:val="003F65C5"/>
    <w:rsid w:val="003F72E5"/>
    <w:rsid w:val="00413A23"/>
    <w:rsid w:val="004220A8"/>
    <w:rsid w:val="00424928"/>
    <w:rsid w:val="004265CC"/>
    <w:rsid w:val="00426795"/>
    <w:rsid w:val="00427B79"/>
    <w:rsid w:val="004324B7"/>
    <w:rsid w:val="00437A0D"/>
    <w:rsid w:val="00441EA2"/>
    <w:rsid w:val="00442743"/>
    <w:rsid w:val="00442925"/>
    <w:rsid w:val="00442FA1"/>
    <w:rsid w:val="00454D77"/>
    <w:rsid w:val="004604B5"/>
    <w:rsid w:val="00460AF5"/>
    <w:rsid w:val="00460E38"/>
    <w:rsid w:val="00462679"/>
    <w:rsid w:val="004648FF"/>
    <w:rsid w:val="0047279D"/>
    <w:rsid w:val="00473BBF"/>
    <w:rsid w:val="004B364B"/>
    <w:rsid w:val="004C11EB"/>
    <w:rsid w:val="004C3A02"/>
    <w:rsid w:val="004C3C91"/>
    <w:rsid w:val="004D0D1A"/>
    <w:rsid w:val="004D3069"/>
    <w:rsid w:val="004E443F"/>
    <w:rsid w:val="004F084C"/>
    <w:rsid w:val="004F0B7C"/>
    <w:rsid w:val="004F7D3F"/>
    <w:rsid w:val="00505088"/>
    <w:rsid w:val="005113F2"/>
    <w:rsid w:val="00514C50"/>
    <w:rsid w:val="005226A7"/>
    <w:rsid w:val="00531D3A"/>
    <w:rsid w:val="0053233C"/>
    <w:rsid w:val="00537BB6"/>
    <w:rsid w:val="005473A6"/>
    <w:rsid w:val="005523E3"/>
    <w:rsid w:val="00555686"/>
    <w:rsid w:val="0056376C"/>
    <w:rsid w:val="00563C13"/>
    <w:rsid w:val="005645A4"/>
    <w:rsid w:val="00566FA8"/>
    <w:rsid w:val="00567864"/>
    <w:rsid w:val="00567AD8"/>
    <w:rsid w:val="00581095"/>
    <w:rsid w:val="00583FE0"/>
    <w:rsid w:val="0059038A"/>
    <w:rsid w:val="00591342"/>
    <w:rsid w:val="00595243"/>
    <w:rsid w:val="005A0905"/>
    <w:rsid w:val="005A1FE8"/>
    <w:rsid w:val="005A38B6"/>
    <w:rsid w:val="005A4BD3"/>
    <w:rsid w:val="005A6CC4"/>
    <w:rsid w:val="005B1CA3"/>
    <w:rsid w:val="005B2BF8"/>
    <w:rsid w:val="005C4D84"/>
    <w:rsid w:val="005E1843"/>
    <w:rsid w:val="005E24F6"/>
    <w:rsid w:val="006066A8"/>
    <w:rsid w:val="0061091B"/>
    <w:rsid w:val="00617CA0"/>
    <w:rsid w:val="00633542"/>
    <w:rsid w:val="006446C1"/>
    <w:rsid w:val="00644733"/>
    <w:rsid w:val="006474A7"/>
    <w:rsid w:val="00652A4A"/>
    <w:rsid w:val="00657800"/>
    <w:rsid w:val="00667BDB"/>
    <w:rsid w:val="00672979"/>
    <w:rsid w:val="0067461C"/>
    <w:rsid w:val="00677DF6"/>
    <w:rsid w:val="00681DBC"/>
    <w:rsid w:val="0068598C"/>
    <w:rsid w:val="006A7032"/>
    <w:rsid w:val="006A75F7"/>
    <w:rsid w:val="006B1292"/>
    <w:rsid w:val="006D3934"/>
    <w:rsid w:val="006E7E28"/>
    <w:rsid w:val="006F2EF6"/>
    <w:rsid w:val="00714453"/>
    <w:rsid w:val="007161AB"/>
    <w:rsid w:val="00725C97"/>
    <w:rsid w:val="007277EA"/>
    <w:rsid w:val="00727E75"/>
    <w:rsid w:val="00736417"/>
    <w:rsid w:val="00736AEA"/>
    <w:rsid w:val="00742BDF"/>
    <w:rsid w:val="007448D9"/>
    <w:rsid w:val="00752DC3"/>
    <w:rsid w:val="00762582"/>
    <w:rsid w:val="00762EE7"/>
    <w:rsid w:val="00770A3B"/>
    <w:rsid w:val="00786078"/>
    <w:rsid w:val="0079068D"/>
    <w:rsid w:val="007A2A82"/>
    <w:rsid w:val="007C0A57"/>
    <w:rsid w:val="007C59DB"/>
    <w:rsid w:val="007D0A40"/>
    <w:rsid w:val="007D3F75"/>
    <w:rsid w:val="007D69A0"/>
    <w:rsid w:val="007E1ED8"/>
    <w:rsid w:val="007E286D"/>
    <w:rsid w:val="007F499E"/>
    <w:rsid w:val="0082231D"/>
    <w:rsid w:val="0082677A"/>
    <w:rsid w:val="008464F1"/>
    <w:rsid w:val="00854600"/>
    <w:rsid w:val="00856AE1"/>
    <w:rsid w:val="00866146"/>
    <w:rsid w:val="0086738A"/>
    <w:rsid w:val="00867D78"/>
    <w:rsid w:val="00872D65"/>
    <w:rsid w:val="00896984"/>
    <w:rsid w:val="008A2AB2"/>
    <w:rsid w:val="008B195D"/>
    <w:rsid w:val="008C1FDB"/>
    <w:rsid w:val="008C63BC"/>
    <w:rsid w:val="008E2B3B"/>
    <w:rsid w:val="008F5AB1"/>
    <w:rsid w:val="0090010E"/>
    <w:rsid w:val="00900199"/>
    <w:rsid w:val="00903A1F"/>
    <w:rsid w:val="009065BF"/>
    <w:rsid w:val="00907992"/>
    <w:rsid w:val="00910C3E"/>
    <w:rsid w:val="009325C0"/>
    <w:rsid w:val="00935272"/>
    <w:rsid w:val="00941E34"/>
    <w:rsid w:val="00943D46"/>
    <w:rsid w:val="00951E52"/>
    <w:rsid w:val="009526E9"/>
    <w:rsid w:val="0095355D"/>
    <w:rsid w:val="009538EE"/>
    <w:rsid w:val="00972EE4"/>
    <w:rsid w:val="00976DD9"/>
    <w:rsid w:val="00986071"/>
    <w:rsid w:val="00991B4B"/>
    <w:rsid w:val="00994926"/>
    <w:rsid w:val="009B12EC"/>
    <w:rsid w:val="009C029C"/>
    <w:rsid w:val="009D2EF3"/>
    <w:rsid w:val="009E4FBF"/>
    <w:rsid w:val="009E566C"/>
    <w:rsid w:val="009E5A6A"/>
    <w:rsid w:val="00A014DB"/>
    <w:rsid w:val="00A03194"/>
    <w:rsid w:val="00A05CFB"/>
    <w:rsid w:val="00A06227"/>
    <w:rsid w:val="00A0653A"/>
    <w:rsid w:val="00A147EF"/>
    <w:rsid w:val="00A17235"/>
    <w:rsid w:val="00A21AA9"/>
    <w:rsid w:val="00A22A3D"/>
    <w:rsid w:val="00A24819"/>
    <w:rsid w:val="00A252CA"/>
    <w:rsid w:val="00A26A24"/>
    <w:rsid w:val="00A3673D"/>
    <w:rsid w:val="00A4116D"/>
    <w:rsid w:val="00A41B62"/>
    <w:rsid w:val="00A429FF"/>
    <w:rsid w:val="00A451D5"/>
    <w:rsid w:val="00A6733B"/>
    <w:rsid w:val="00A744D0"/>
    <w:rsid w:val="00A75260"/>
    <w:rsid w:val="00A83E31"/>
    <w:rsid w:val="00A86BCB"/>
    <w:rsid w:val="00A91998"/>
    <w:rsid w:val="00A958E4"/>
    <w:rsid w:val="00AB2613"/>
    <w:rsid w:val="00AB4C6B"/>
    <w:rsid w:val="00AC03B7"/>
    <w:rsid w:val="00AC1CD7"/>
    <w:rsid w:val="00AC2733"/>
    <w:rsid w:val="00AD20DB"/>
    <w:rsid w:val="00AD2F9C"/>
    <w:rsid w:val="00AD3165"/>
    <w:rsid w:val="00AE0E95"/>
    <w:rsid w:val="00AE1CCB"/>
    <w:rsid w:val="00AF7689"/>
    <w:rsid w:val="00AF7B6F"/>
    <w:rsid w:val="00B056D2"/>
    <w:rsid w:val="00B10172"/>
    <w:rsid w:val="00B16F32"/>
    <w:rsid w:val="00B20471"/>
    <w:rsid w:val="00B240AD"/>
    <w:rsid w:val="00B31BD4"/>
    <w:rsid w:val="00B517A2"/>
    <w:rsid w:val="00B51EE9"/>
    <w:rsid w:val="00B70F62"/>
    <w:rsid w:val="00B73D42"/>
    <w:rsid w:val="00B74221"/>
    <w:rsid w:val="00B74DB3"/>
    <w:rsid w:val="00B74F69"/>
    <w:rsid w:val="00B77B35"/>
    <w:rsid w:val="00B80EFC"/>
    <w:rsid w:val="00B9074F"/>
    <w:rsid w:val="00B91917"/>
    <w:rsid w:val="00BA0185"/>
    <w:rsid w:val="00BA1450"/>
    <w:rsid w:val="00BA373C"/>
    <w:rsid w:val="00BA6228"/>
    <w:rsid w:val="00BB08E4"/>
    <w:rsid w:val="00BB2E5C"/>
    <w:rsid w:val="00BB50CF"/>
    <w:rsid w:val="00BC3872"/>
    <w:rsid w:val="00BC3C51"/>
    <w:rsid w:val="00BC6819"/>
    <w:rsid w:val="00BD17CD"/>
    <w:rsid w:val="00BD2212"/>
    <w:rsid w:val="00BE4696"/>
    <w:rsid w:val="00BE6EA9"/>
    <w:rsid w:val="00BF0639"/>
    <w:rsid w:val="00BF2E35"/>
    <w:rsid w:val="00C04FAF"/>
    <w:rsid w:val="00C05488"/>
    <w:rsid w:val="00C12342"/>
    <w:rsid w:val="00C129B4"/>
    <w:rsid w:val="00C14852"/>
    <w:rsid w:val="00C25007"/>
    <w:rsid w:val="00C25091"/>
    <w:rsid w:val="00C32DB8"/>
    <w:rsid w:val="00C5367E"/>
    <w:rsid w:val="00C60BF8"/>
    <w:rsid w:val="00C610D3"/>
    <w:rsid w:val="00C8005B"/>
    <w:rsid w:val="00C827B1"/>
    <w:rsid w:val="00C830BA"/>
    <w:rsid w:val="00C86E7D"/>
    <w:rsid w:val="00CA38EC"/>
    <w:rsid w:val="00CA5BAC"/>
    <w:rsid w:val="00CC5E39"/>
    <w:rsid w:val="00CD5BAF"/>
    <w:rsid w:val="00CE16A3"/>
    <w:rsid w:val="00CF1722"/>
    <w:rsid w:val="00CF45F1"/>
    <w:rsid w:val="00CF4757"/>
    <w:rsid w:val="00CF75B6"/>
    <w:rsid w:val="00D07B78"/>
    <w:rsid w:val="00D434E0"/>
    <w:rsid w:val="00D50F5D"/>
    <w:rsid w:val="00D55411"/>
    <w:rsid w:val="00D57F60"/>
    <w:rsid w:val="00D618EC"/>
    <w:rsid w:val="00D638D8"/>
    <w:rsid w:val="00D651D2"/>
    <w:rsid w:val="00D82068"/>
    <w:rsid w:val="00D829B7"/>
    <w:rsid w:val="00D8318D"/>
    <w:rsid w:val="00D83BB2"/>
    <w:rsid w:val="00D862CA"/>
    <w:rsid w:val="00DA45D9"/>
    <w:rsid w:val="00DC67B2"/>
    <w:rsid w:val="00DD72BE"/>
    <w:rsid w:val="00DE35DB"/>
    <w:rsid w:val="00DF0C70"/>
    <w:rsid w:val="00DF6BE0"/>
    <w:rsid w:val="00E101AF"/>
    <w:rsid w:val="00E1341C"/>
    <w:rsid w:val="00E14A20"/>
    <w:rsid w:val="00E20039"/>
    <w:rsid w:val="00E26F61"/>
    <w:rsid w:val="00E37B96"/>
    <w:rsid w:val="00E42489"/>
    <w:rsid w:val="00E66785"/>
    <w:rsid w:val="00E70816"/>
    <w:rsid w:val="00E724CD"/>
    <w:rsid w:val="00E834DE"/>
    <w:rsid w:val="00E8601C"/>
    <w:rsid w:val="00E87734"/>
    <w:rsid w:val="00E9503F"/>
    <w:rsid w:val="00E96CCB"/>
    <w:rsid w:val="00EA2BEC"/>
    <w:rsid w:val="00EB596E"/>
    <w:rsid w:val="00EB6FDF"/>
    <w:rsid w:val="00EB74E7"/>
    <w:rsid w:val="00EC3589"/>
    <w:rsid w:val="00EC75BA"/>
    <w:rsid w:val="00ED3F00"/>
    <w:rsid w:val="00EE0B8E"/>
    <w:rsid w:val="00EE6B7B"/>
    <w:rsid w:val="00EF1239"/>
    <w:rsid w:val="00EF14F7"/>
    <w:rsid w:val="00EF1B11"/>
    <w:rsid w:val="00EF4030"/>
    <w:rsid w:val="00EF6EE6"/>
    <w:rsid w:val="00F164C9"/>
    <w:rsid w:val="00F2019A"/>
    <w:rsid w:val="00F32450"/>
    <w:rsid w:val="00F4658F"/>
    <w:rsid w:val="00F53FF5"/>
    <w:rsid w:val="00F548D8"/>
    <w:rsid w:val="00F57391"/>
    <w:rsid w:val="00F608B5"/>
    <w:rsid w:val="00F622F3"/>
    <w:rsid w:val="00F705EA"/>
    <w:rsid w:val="00F852C8"/>
    <w:rsid w:val="00F90118"/>
    <w:rsid w:val="00F917A4"/>
    <w:rsid w:val="00F9279D"/>
    <w:rsid w:val="00F959F0"/>
    <w:rsid w:val="00FA5E01"/>
    <w:rsid w:val="00FA5EBB"/>
    <w:rsid w:val="00FB4739"/>
    <w:rsid w:val="00FB672E"/>
    <w:rsid w:val="00FD799D"/>
    <w:rsid w:val="00FF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83BAE7B-505D-4ACD-9ED9-6DCEFEA45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AAC"/>
    <w:rPr>
      <w:noProof/>
      <w:sz w:val="24"/>
      <w:lang w:val="sq-AL" w:eastAsia="en-US"/>
    </w:rPr>
  </w:style>
  <w:style w:type="paragraph" w:styleId="Heading1">
    <w:name w:val="heading 1"/>
    <w:basedOn w:val="Normal"/>
    <w:next w:val="Normal"/>
    <w:qFormat/>
    <w:rsid w:val="0095355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AB4C6B"/>
    <w:pPr>
      <w:keepNext/>
      <w:jc w:val="center"/>
      <w:outlineLvl w:val="3"/>
    </w:pPr>
    <w:rPr>
      <w:rFonts w:ascii="CG Times" w:eastAsia="MS Mincho" w:hAnsi="CG Times"/>
      <w:noProof w:val="0"/>
      <w:szCs w:val="24"/>
      <w:lang w:val="en-US"/>
    </w:rPr>
  </w:style>
  <w:style w:type="character" w:default="1" w:styleId="DefaultParagraphFont">
    <w:name w:val="Default Paragraph Font"/>
    <w:aliases w:val=" Char Char Char Char Char Char Char"/>
    <w:link w:val="CharCharCharCharCharChar"/>
    <w:semiHidden/>
    <w:rsid w:val="00531D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531D3A"/>
  </w:style>
  <w:style w:type="paragraph" w:customStyle="1" w:styleId="Akti">
    <w:name w:val="Akti"/>
    <w:rsid w:val="00531D3A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Nr">
    <w:name w:val="Aneksi_Nr"/>
    <w:next w:val="Normal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531D3A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character" w:customStyle="1" w:styleId="AutoritetiChar">
    <w:name w:val="Autoriteti Char"/>
    <w:basedOn w:val="DefaultParagraphFont"/>
    <w:link w:val="Autoriteti"/>
    <w:rsid w:val="002A72F6"/>
    <w:rPr>
      <w:rFonts w:ascii="CG Times" w:eastAsia="MS Mincho" w:hAnsi="CG Times"/>
      <w:caps/>
      <w:sz w:val="22"/>
      <w:szCs w:val="22"/>
      <w:lang w:val="en-GB" w:eastAsia="en-US" w:bidi="ar-SA"/>
    </w:rPr>
  </w:style>
  <w:style w:type="paragraph" w:customStyle="1" w:styleId="AutoritetiEmer">
    <w:name w:val="Autoriteti_Emer"/>
    <w:next w:val="Normal"/>
    <w:link w:val="AutoritetiEmerChar"/>
    <w:rsid w:val="00531D3A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1057B2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531D3A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Figure">
    <w:name w:val="Figure"/>
    <w:next w:val="Normal"/>
    <w:rsid w:val="00531D3A"/>
    <w:pPr>
      <w:widowControl w:val="0"/>
      <w:outlineLvl w:val="2"/>
    </w:pPr>
    <w:rPr>
      <w:rFonts w:ascii="CG Times" w:eastAsia="MS Mincho" w:hAnsi="CG Times"/>
      <w:sz w:val="22"/>
      <w:lang w:val="en-US" w:eastAsia="en-US"/>
    </w:rPr>
  </w:style>
  <w:style w:type="paragraph" w:styleId="Footer">
    <w:name w:val="footer"/>
    <w:basedOn w:val="Normal"/>
    <w:rsid w:val="00531D3A"/>
    <w:pPr>
      <w:tabs>
        <w:tab w:val="center" w:pos="4153"/>
        <w:tab w:val="right" w:pos="8306"/>
      </w:tabs>
    </w:pPr>
    <w:rPr>
      <w:rFonts w:eastAsia="MS Mincho"/>
    </w:rPr>
  </w:style>
  <w:style w:type="character" w:styleId="FootnoteReference">
    <w:name w:val="footnote reference"/>
    <w:basedOn w:val="DefaultParagraphFont"/>
    <w:semiHidden/>
    <w:rsid w:val="00531D3A"/>
    <w:rPr>
      <w:vertAlign w:val="superscript"/>
    </w:rPr>
  </w:style>
  <w:style w:type="paragraph" w:styleId="FootnoteText">
    <w:name w:val="footnote text"/>
    <w:basedOn w:val="Normal"/>
    <w:semiHidden/>
    <w:rsid w:val="00531D3A"/>
    <w:rPr>
      <w:sz w:val="20"/>
      <w:lang w:val="en-US"/>
    </w:rPr>
  </w:style>
  <w:style w:type="paragraph" w:styleId="Header">
    <w:name w:val="header"/>
    <w:basedOn w:val="Normal"/>
    <w:rsid w:val="00531D3A"/>
    <w:pPr>
      <w:tabs>
        <w:tab w:val="center" w:pos="4153"/>
        <w:tab w:val="right" w:pos="8306"/>
      </w:tabs>
    </w:pPr>
    <w:rPr>
      <w:rFonts w:eastAsia="MS Mincho"/>
    </w:rPr>
  </w:style>
  <w:style w:type="paragraph" w:customStyle="1" w:styleId="Institucioni">
    <w:name w:val="Institucioni"/>
    <w:next w:val="Normal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apitulliTitullChar">
    <w:name w:val="Kapitulli_Titull Char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KreuNr">
    <w:name w:val="Kreu_Nr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Normal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531D3A"/>
    <w:pPr>
      <w:keepNext/>
      <w:widowControl w:val="0"/>
      <w:jc w:val="center"/>
    </w:pPr>
    <w:rPr>
      <w:rFonts w:ascii="CG Times" w:eastAsia="MS Mincho" w:hAnsi="CG Times"/>
      <w:sz w:val="22"/>
      <w:lang w:eastAsia="en-US"/>
    </w:rPr>
  </w:style>
  <w:style w:type="paragraph" w:customStyle="1" w:styleId="NeniTitull">
    <w:name w:val="Neni_Titull"/>
    <w:next w:val="Normal"/>
    <w:rsid w:val="00531D3A"/>
    <w:pPr>
      <w:keepNext/>
      <w:widowControl w:val="0"/>
      <w:jc w:val="center"/>
      <w:outlineLvl w:val="2"/>
    </w:pPr>
    <w:rPr>
      <w:rFonts w:ascii="CG Times" w:eastAsia="MS Mincho" w:hAnsi="CG Times"/>
      <w:b/>
      <w:sz w:val="22"/>
      <w:lang w:eastAsia="en-US"/>
    </w:rPr>
  </w:style>
  <w:style w:type="paragraph" w:customStyle="1" w:styleId="NumriData">
    <w:name w:val="Numri_Data"/>
    <w:next w:val="Normal"/>
    <w:rsid w:val="00531D3A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character" w:styleId="PageNumber">
    <w:name w:val="page number"/>
    <w:basedOn w:val="DefaultParagraphFont"/>
    <w:rsid w:val="00531D3A"/>
  </w:style>
  <w:style w:type="paragraph" w:customStyle="1" w:styleId="Paragrafi">
    <w:name w:val="Paragrafi"/>
    <w:rsid w:val="00531D3A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31D3A"/>
    <w:pPr>
      <w:ind w:firstLine="720"/>
    </w:pPr>
    <w:rPr>
      <w:rFonts w:ascii="CG Times" w:eastAsia="MS Mincho" w:hAnsi="CG Times"/>
      <w:sz w:val="22"/>
      <w:lang w:val="en-US" w:eastAsia="en-US"/>
    </w:rPr>
  </w:style>
  <w:style w:type="paragraph" w:customStyle="1" w:styleId="PjesaNr">
    <w:name w:val="Pjesa_Nr"/>
    <w:next w:val="Normal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Shpallja">
    <w:name w:val="Shpallja"/>
    <w:rsid w:val="00531D3A"/>
    <w:pPr>
      <w:widowControl w:val="0"/>
      <w:jc w:val="both"/>
    </w:pPr>
    <w:rPr>
      <w:rFonts w:ascii="CG Times" w:eastAsia="MS Mincho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31D3A"/>
    <w:rPr>
      <w:rFonts w:ascii="CG Times" w:eastAsia="MS Mincho" w:hAnsi="CG Times"/>
      <w:sz w:val="22"/>
      <w:lang w:eastAsia="en-US"/>
    </w:rPr>
  </w:style>
  <w:style w:type="table" w:styleId="TableGrid">
    <w:name w:val="Table Grid"/>
    <w:basedOn w:val="TableNormal"/>
    <w:rsid w:val="00531D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li">
    <w:name w:val="Titulli"/>
    <w:next w:val="Normal"/>
    <w:link w:val="TitulliChar"/>
    <w:rsid w:val="00531D3A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1057B2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31D3A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Char">
    <w:name w:val="VENDOSI Char"/>
    <w:next w:val="Normal"/>
    <w:rsid w:val="00531D3A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2E1AA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styleId="Hyperlink">
    <w:name w:val="Hyperlink"/>
    <w:basedOn w:val="DefaultParagraphFont"/>
    <w:rsid w:val="00AB4C6B"/>
    <w:rPr>
      <w:color w:val="0000FF"/>
      <w:u w:val="single"/>
    </w:rPr>
  </w:style>
  <w:style w:type="paragraph" w:customStyle="1" w:styleId="CharCharCharCharCharChar">
    <w:name w:val=" Char Char Char Char Char Char"/>
    <w:basedOn w:val="Normal"/>
    <w:link w:val="DefaultParagraphFont"/>
    <w:rsid w:val="00AB4C6B"/>
    <w:pPr>
      <w:spacing w:after="160" w:line="240" w:lineRule="exact"/>
    </w:pPr>
    <w:rPr>
      <w:rFonts w:ascii="Tahoma" w:eastAsia="MS Mincho" w:hAnsi="Tahoma"/>
      <w:noProof w:val="0"/>
      <w:sz w:val="20"/>
    </w:rPr>
  </w:style>
  <w:style w:type="paragraph" w:customStyle="1" w:styleId="PikeKreu">
    <w:name w:val="Pike_Kreu"/>
    <w:basedOn w:val="Heading1"/>
    <w:rsid w:val="0095355D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noProof w:val="0"/>
      <w:kern w:val="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.noga\Desktop\FZ%20per%20migrim\2007-2010\Kapake-2006\www.legjislacionishqiptar.gov.al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http://www.legjislacioni" TargetMode="External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1981</Words>
  <Characters>11293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 --</Company>
  <LinksUpToDate>false</LinksUpToDate>
  <CharactersWithSpaces>13248</CharactersWithSpaces>
  <SharedDoc>false</SharedDoc>
  <HLinks>
    <vt:vector size="12" baseType="variant">
      <vt:variant>
        <vt:i4>4194378</vt:i4>
      </vt:variant>
      <vt:variant>
        <vt:i4>2</vt:i4>
      </vt:variant>
      <vt:variant>
        <vt:i4>0</vt:i4>
      </vt:variant>
      <vt:variant>
        <vt:i4>5</vt:i4>
      </vt:variant>
      <vt:variant>
        <vt:lpwstr>http://www.legjislacioni/</vt:lpwstr>
      </vt:variant>
      <vt:variant>
        <vt:lpwstr/>
      </vt:variant>
      <vt:variant>
        <vt:i4>3407976</vt:i4>
      </vt:variant>
      <vt:variant>
        <vt:i4>0</vt:i4>
      </vt:variant>
      <vt:variant>
        <vt:i4>0</vt:i4>
      </vt:variant>
      <vt:variant>
        <vt:i4>5</vt:i4>
      </vt:variant>
      <vt:variant>
        <vt:lpwstr>../../Kapake-2006/www.legjislacionishqiptar.gov.al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Gladiola</dc:creator>
  <cp:keywords/>
  <dc:description/>
  <cp:lastModifiedBy>Inida Noga</cp:lastModifiedBy>
  <cp:revision>2</cp:revision>
  <cp:lastPrinted>2007-02-14T12:24:00Z</cp:lastPrinted>
  <dcterms:created xsi:type="dcterms:W3CDTF">2019-02-15T14:09:00Z</dcterms:created>
  <dcterms:modified xsi:type="dcterms:W3CDTF">2019-02-15T14:09:00Z</dcterms:modified>
</cp:coreProperties>
</file>