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597" w:rsidRPr="00B52D63" w:rsidRDefault="006E3597" w:rsidP="006E3597">
      <w:pPr>
        <w:pStyle w:val="Akti"/>
      </w:pPr>
      <w:bookmarkStart w:id="0" w:name="_GoBack"/>
      <w:bookmarkEnd w:id="0"/>
      <w:r w:rsidRPr="00B52D63">
        <w:t>Vendim</w:t>
      </w:r>
    </w:p>
    <w:p w:rsidR="006E3597" w:rsidRPr="00B52D63" w:rsidRDefault="006E3597" w:rsidP="006E3597">
      <w:pPr>
        <w:pStyle w:val="NumriData"/>
        <w:rPr>
          <w:szCs w:val="22"/>
        </w:rPr>
      </w:pPr>
      <w:r w:rsidRPr="00B52D63">
        <w:rPr>
          <w:szCs w:val="22"/>
        </w:rPr>
        <w:t>Nr.679, datë 10.10.2007</w:t>
      </w:r>
    </w:p>
    <w:p w:rsidR="006E3597" w:rsidRPr="00B52D63" w:rsidRDefault="006E3597" w:rsidP="006E3597">
      <w:pPr>
        <w:pStyle w:val="Paragrafi"/>
        <w:rPr>
          <w:szCs w:val="22"/>
        </w:rPr>
      </w:pPr>
    </w:p>
    <w:p w:rsidR="006E3597" w:rsidRPr="00B52D63" w:rsidRDefault="006E3597" w:rsidP="006E3597">
      <w:pPr>
        <w:pStyle w:val="Titulli"/>
      </w:pPr>
      <w:r w:rsidRPr="00B52D63">
        <w:t>Për disa ndryshime dhe shtesa në vendimin nr.205, datë 13.4.1999 të Këshillit të Ministrave “Për dispozitat zbatuese të Kodit Doganor”, të ndryshuar</w:t>
      </w:r>
    </w:p>
    <w:p w:rsidR="006E3597" w:rsidRPr="00B52D63" w:rsidRDefault="006E3597" w:rsidP="006E3597">
      <w:pPr>
        <w:pStyle w:val="Paragrafi"/>
        <w:rPr>
          <w:szCs w:val="22"/>
        </w:rPr>
      </w:pPr>
    </w:p>
    <w:p w:rsidR="006E3597" w:rsidRPr="00B52D63" w:rsidRDefault="006E3597" w:rsidP="006E3597">
      <w:pPr>
        <w:pStyle w:val="BazLigjPropozues"/>
      </w:pPr>
      <w:r w:rsidRPr="00B52D63">
        <w:t>Në mbështetje të nenit 100 të Kushtetutës dhe të neneve 9 e 13 të ligjit nr.8449, datë 27.1.1999 “Kodi Doganor i Republikës së Shqipërisë”, të ndryshuar, me propozimin e Ministrit të Financave, Këshilli i Ministrave</w:t>
      </w:r>
    </w:p>
    <w:p w:rsidR="006E3597" w:rsidRPr="00B52D63" w:rsidRDefault="006E3597" w:rsidP="006E3597">
      <w:pPr>
        <w:pStyle w:val="Paragrafi"/>
        <w:rPr>
          <w:szCs w:val="22"/>
        </w:rPr>
      </w:pPr>
    </w:p>
    <w:p w:rsidR="006E3597" w:rsidRPr="00B52D63" w:rsidRDefault="006E3597" w:rsidP="006E3597">
      <w:pPr>
        <w:pStyle w:val="VENDOSI"/>
      </w:pPr>
      <w:r w:rsidRPr="00B52D63">
        <w:t>Vendosi:</w:t>
      </w:r>
    </w:p>
    <w:p w:rsidR="006E3597" w:rsidRPr="00B52D63" w:rsidRDefault="006E3597" w:rsidP="006E3597">
      <w:pPr>
        <w:pStyle w:val="Paragrafi"/>
        <w:rPr>
          <w:szCs w:val="22"/>
        </w:rPr>
      </w:pPr>
    </w:p>
    <w:p w:rsidR="006E3597" w:rsidRPr="00B52D63" w:rsidRDefault="006E3597" w:rsidP="006E3597">
      <w:pPr>
        <w:pStyle w:val="Paragrafi"/>
        <w:rPr>
          <w:szCs w:val="22"/>
        </w:rPr>
      </w:pPr>
      <w:r w:rsidRPr="00B52D63">
        <w:rPr>
          <w:szCs w:val="22"/>
        </w:rPr>
        <w:t>Në pjesën I, titulli II, kreu I “Organizimi dhe përgjegjësitë e administratës doganore në përputhje me nenet 9, paragrafi i tretë dhe 13 të</w:t>
      </w:r>
      <w:r>
        <w:rPr>
          <w:szCs w:val="22"/>
        </w:rPr>
        <w:t xml:space="preserve"> Kodit Doganor”</w:t>
      </w:r>
      <w:r w:rsidRPr="00B52D63">
        <w:rPr>
          <w:szCs w:val="22"/>
        </w:rPr>
        <w:t xml:space="preserve"> të vendimit nr.205, datë</w:t>
      </w:r>
      <w:r>
        <w:rPr>
          <w:szCs w:val="22"/>
        </w:rPr>
        <w:t xml:space="preserve"> 13.4.1999</w:t>
      </w:r>
      <w:r w:rsidRPr="00B52D63">
        <w:rPr>
          <w:szCs w:val="22"/>
        </w:rPr>
        <w:t xml:space="preserve"> të Këshillit të Ministrave, të ndryshuar, të bëhen këto ndryshime e shtesa:</w:t>
      </w:r>
    </w:p>
    <w:p w:rsidR="006E3597" w:rsidRPr="00B52D63" w:rsidRDefault="006E3597" w:rsidP="006E3597">
      <w:pPr>
        <w:pStyle w:val="Paragrafi"/>
        <w:rPr>
          <w:szCs w:val="22"/>
        </w:rPr>
      </w:pPr>
      <w:r w:rsidRPr="00B52D63">
        <w:rPr>
          <w:szCs w:val="22"/>
        </w:rPr>
        <w:t>1. Pika 3 ndryshohet, si më poshtë vijon:</w:t>
      </w:r>
    </w:p>
    <w:p w:rsidR="006E3597" w:rsidRPr="00B52D63" w:rsidRDefault="006E3597" w:rsidP="006E3597">
      <w:pPr>
        <w:pStyle w:val="Paragrafi"/>
        <w:rPr>
          <w:szCs w:val="22"/>
        </w:rPr>
      </w:pPr>
      <w:r w:rsidRPr="00B52D63">
        <w:rPr>
          <w:szCs w:val="22"/>
        </w:rPr>
        <w:t>“3. Organika e Drejtorisë së Përgjithshme të Doganave të jetë 1000 persona, të shpërndarë në nivel qendror dhe vendor. Struktura organike dhe organigrama e administratës doganore të jenë sipas lidhjeve I dhe II, që i bashkëlidhen këtij vendimi.”.</w:t>
      </w:r>
    </w:p>
    <w:p w:rsidR="006E3597" w:rsidRPr="00B52D63" w:rsidRDefault="006E3597" w:rsidP="006E3597">
      <w:pPr>
        <w:pStyle w:val="Paragrafi"/>
        <w:rPr>
          <w:szCs w:val="22"/>
        </w:rPr>
      </w:pPr>
      <w:r w:rsidRPr="00B52D63">
        <w:rPr>
          <w:szCs w:val="22"/>
        </w:rPr>
        <w:t>2. Pas paragrafit të parë të pikës 3.4 shtohet paragrafi, me këtë përmbajtje:</w:t>
      </w:r>
    </w:p>
    <w:p w:rsidR="006E3597" w:rsidRPr="00B52D63" w:rsidRDefault="006E3597" w:rsidP="006E3597">
      <w:pPr>
        <w:pStyle w:val="Paragrafi"/>
        <w:rPr>
          <w:szCs w:val="22"/>
        </w:rPr>
      </w:pPr>
      <w:r w:rsidRPr="00B52D63">
        <w:rPr>
          <w:szCs w:val="22"/>
        </w:rPr>
        <w:t>“Në strukturën e Drejtorit të Përgjithshëm të Doganave shtohet kabineti, i cili është organ mbështetës dhe ndihme i Drejtorit të Përgjithshëm për zbatimin e strategjive, sipas programeve të miratuara, si dhe siguron lidhje organike me strukturat organizative, komunitetin e biznesit dhe institucionet e tjera, qendrore dhe vendore. Kabineti varet drejtpërdrejt nga Drejtori i Përgjithshëm dhe anëtarët e kabinetit emërohen prej tij.”.</w:t>
      </w:r>
    </w:p>
    <w:p w:rsidR="006E3597" w:rsidRPr="00B52D63" w:rsidRDefault="006E3597" w:rsidP="006E3597">
      <w:pPr>
        <w:pStyle w:val="Paragrafi"/>
        <w:rPr>
          <w:szCs w:val="22"/>
        </w:rPr>
      </w:pPr>
      <w:r w:rsidRPr="00B52D63">
        <w:rPr>
          <w:szCs w:val="22"/>
        </w:rPr>
        <w:t>3. Pika 4.1 bëhet 4 dhe ndryshohet, si më poshtë vijon: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“4. Departamenti administrativ”.</w:t>
      </w:r>
    </w:p>
    <w:p w:rsidR="006E3597" w:rsidRPr="00B52D63" w:rsidRDefault="006E3597" w:rsidP="006E3597">
      <w:pPr>
        <w:pStyle w:val="Paragrafi"/>
        <w:rPr>
          <w:rFonts w:ascii="Sylfaen" w:hAnsi="Sylfaen" w:cs="Sylfaen"/>
          <w:szCs w:val="22"/>
          <w:lang w:val="it-IT"/>
        </w:rPr>
      </w:pPr>
      <w:r w:rsidRPr="00B52D63">
        <w:rPr>
          <w:szCs w:val="22"/>
          <w:lang w:val="it-IT"/>
        </w:rPr>
        <w:t>4. Pika 4.2 bëhet 4.1 dhe ndryshohet si më poshtë</w:t>
      </w:r>
      <w:r>
        <w:rPr>
          <w:szCs w:val="22"/>
          <w:lang w:val="it-IT"/>
        </w:rPr>
        <w:t>,</w:t>
      </w:r>
      <w:r w:rsidRPr="00B52D63">
        <w:rPr>
          <w:szCs w:val="22"/>
          <w:lang w:val="it-IT"/>
        </w:rPr>
        <w:t xml:space="preserve"> vijon: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“4.1 Drejtoria e organizim-personelit-trajnimit dhe etikës, që përbëhet nga: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a) Sektori i menaxhimit të personelit;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b) Sektori i trajnimit dhe etikës.”.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5. Pika 4.3 bëhet 4.2 dhe ndryshohet, si më poshtë vijon: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“4.2 Drejtoria e kompjuterizimit, që përbëhet nga: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a) Sektori i mbështetjes;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b) Sektori i zhvillimit.”.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6. Pika 4.4 bëhet 4.3 dhe ndryshohet, si më poshtë vijon: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“4.3 Drejtoria e investimeve dhe e logjistikës, që përbëhet nga: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a) Sektori i logjistikës dhe investimeve;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b) Njësia e prokurimit.”.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7. Pika 4.5 bëhet 4.4 dhe ndryshohet, si më poshtë vijon: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“4.4 Drejtoria e financës, që përbëhet nga: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a) Sektori i buxhetit;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b) Sektori i kontabilitetit.”.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8. Paragrafi i parë i pikës 5.1 ndryshohet, si më poshtë vijon: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“Drejtoria e procedurave dhe borxhi</w:t>
      </w:r>
      <w:r>
        <w:rPr>
          <w:szCs w:val="22"/>
          <w:lang w:val="it-IT"/>
        </w:rPr>
        <w:t>t</w:t>
      </w:r>
      <w:r w:rsidRPr="00B52D63">
        <w:rPr>
          <w:szCs w:val="22"/>
          <w:lang w:val="it-IT"/>
        </w:rPr>
        <w:t xml:space="preserve"> doganor</w:t>
      </w:r>
      <w:r>
        <w:rPr>
          <w:szCs w:val="22"/>
          <w:lang w:val="it-IT"/>
        </w:rPr>
        <w:t>,</w:t>
      </w:r>
      <w:r w:rsidRPr="00B52D63">
        <w:rPr>
          <w:szCs w:val="22"/>
          <w:lang w:val="it-IT"/>
        </w:rPr>
        <w:t xml:space="preserve"> që përbëhet nga: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a) Sektori i procedurave dhe regjimeve, magazinimit dhe transitit;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b) Sektori i borxhit doganor dhe garancive.</w:t>
      </w:r>
      <w:r>
        <w:rPr>
          <w:szCs w:val="22"/>
          <w:lang w:val="it-IT"/>
        </w:rPr>
        <w:t>”.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9. Pika 6.5 shfuqizohet.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Ky vendim hyn në fuqi menjëherë dhe botohet në Fletoren Zyrtare.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</w:p>
    <w:p w:rsidR="006E3597" w:rsidRPr="00B52D63" w:rsidRDefault="006E3597" w:rsidP="006E3597">
      <w:pPr>
        <w:pStyle w:val="Autoriteti"/>
      </w:pPr>
      <w:r w:rsidRPr="00B52D63">
        <w:t>Kryeministri</w:t>
      </w:r>
    </w:p>
    <w:p w:rsidR="006E3597" w:rsidRPr="00B52D63" w:rsidRDefault="006E3597" w:rsidP="006E3597">
      <w:pPr>
        <w:pStyle w:val="AutoritetiEmer"/>
      </w:pPr>
      <w:r w:rsidRPr="00B52D63">
        <w:t>Sali Berisha</w:t>
      </w:r>
    </w:p>
    <w:p w:rsidR="006E3597" w:rsidRPr="00B52D63" w:rsidRDefault="0090475A" w:rsidP="006E3597">
      <w:pPr>
        <w:pStyle w:val="Figure"/>
        <w:rPr>
          <w:lang w:val="it-IT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8321040"/>
            <wp:effectExtent l="0" t="0" r="0" b="3810"/>
            <wp:docPr id="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5753100" cy="832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</w:p>
    <w:p w:rsidR="006E3597" w:rsidRPr="00B52D63" w:rsidRDefault="006E3597" w:rsidP="006E3597">
      <w:pPr>
        <w:pStyle w:val="Paragrafi"/>
        <w:rPr>
          <w:szCs w:val="22"/>
          <w:lang w:val="it-IT"/>
        </w:rPr>
      </w:pPr>
    </w:p>
    <w:p w:rsidR="006E3597" w:rsidRPr="00B52D63" w:rsidRDefault="006E3597" w:rsidP="006E3597">
      <w:pPr>
        <w:pStyle w:val="Paragrafi"/>
        <w:rPr>
          <w:szCs w:val="22"/>
          <w:lang w:val="it-IT"/>
        </w:rPr>
      </w:pPr>
    </w:p>
    <w:p w:rsidR="006E3597" w:rsidRPr="00B52D63" w:rsidRDefault="006E3597" w:rsidP="006E3597">
      <w:pPr>
        <w:pStyle w:val="Paragrafi"/>
        <w:rPr>
          <w:szCs w:val="22"/>
          <w:lang w:val="it-IT"/>
        </w:rPr>
      </w:pPr>
    </w:p>
    <w:p w:rsidR="006E3597" w:rsidRPr="00B52D63" w:rsidRDefault="0090475A" w:rsidP="006E3597">
      <w:pPr>
        <w:pStyle w:val="Figure"/>
        <w:rPr>
          <w:lang w:val="it-IT"/>
        </w:rPr>
      </w:pPr>
      <w:r w:rsidRPr="00B52D63">
        <w:rPr>
          <w:noProof/>
          <w:lang w:val="en-GB" w:eastAsia="en-GB"/>
        </w:rPr>
        <w:drawing>
          <wp:inline distT="0" distB="0" distL="0" distR="0">
            <wp:extent cx="5410200" cy="7724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</w:p>
    <w:p w:rsidR="006E3597" w:rsidRPr="00B52D63" w:rsidRDefault="006E3597" w:rsidP="006E3597">
      <w:pPr>
        <w:pStyle w:val="Paragrafi"/>
        <w:rPr>
          <w:szCs w:val="22"/>
          <w:lang w:val="it-IT"/>
        </w:rPr>
      </w:pPr>
    </w:p>
    <w:p w:rsidR="006E3597" w:rsidRPr="00B52D63" w:rsidRDefault="006E3597" w:rsidP="006E3597">
      <w:pPr>
        <w:pStyle w:val="Paragrafi"/>
        <w:rPr>
          <w:szCs w:val="22"/>
          <w:lang w:val="it-IT"/>
        </w:rPr>
      </w:pPr>
    </w:p>
    <w:p w:rsidR="006E3597" w:rsidRPr="00B52D63" w:rsidRDefault="006E3597" w:rsidP="006E3597">
      <w:pPr>
        <w:pStyle w:val="Paragrafi"/>
        <w:rPr>
          <w:szCs w:val="22"/>
          <w:lang w:val="it-IT"/>
        </w:rPr>
      </w:pPr>
    </w:p>
    <w:p w:rsidR="006E3597" w:rsidRPr="00B52D63" w:rsidRDefault="006E3597" w:rsidP="006E3597">
      <w:pPr>
        <w:pStyle w:val="Paragrafi"/>
        <w:rPr>
          <w:szCs w:val="22"/>
          <w:lang w:val="it-IT"/>
        </w:rPr>
      </w:pPr>
    </w:p>
    <w:p w:rsidR="006E3597" w:rsidRPr="00B52D63" w:rsidRDefault="006E3597" w:rsidP="006E3597">
      <w:pPr>
        <w:pStyle w:val="Paragrafi"/>
        <w:rPr>
          <w:szCs w:val="22"/>
          <w:lang w:val="it-IT"/>
        </w:rPr>
      </w:pPr>
    </w:p>
    <w:p w:rsidR="006E3597" w:rsidRPr="00B52D63" w:rsidRDefault="0090475A" w:rsidP="006E3597">
      <w:pPr>
        <w:pStyle w:val="Figure"/>
        <w:rPr>
          <w:lang w:val="it-IT"/>
        </w:rPr>
      </w:pPr>
      <w:r w:rsidRPr="00B52D63">
        <w:rPr>
          <w:noProof/>
          <w:lang w:val="en-GB" w:eastAsia="en-GB"/>
        </w:rPr>
        <w:lastRenderedPageBreak/>
        <w:drawing>
          <wp:inline distT="0" distB="0" distL="0" distR="0">
            <wp:extent cx="5762625" cy="8524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lastRenderedPageBreak/>
        <w:drawing>
          <wp:inline distT="0" distB="0" distL="0" distR="0">
            <wp:extent cx="5753100" cy="8667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  <w:jc w:val="left"/>
        <w:rPr>
          <w:b w:val="0"/>
          <w:caps w:val="0"/>
        </w:rPr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5753100" cy="85248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  <w:jc w:val="left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left"/>
        <w:rPr>
          <w:b w:val="0"/>
          <w:caps w:val="0"/>
        </w:rPr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5753100" cy="8763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5753100" cy="87439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5753100" cy="86963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5753100" cy="86296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5753100" cy="8648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5762625" cy="86391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5762625" cy="84963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5753100" cy="6381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5166995" cy="8428990"/>
            <wp:effectExtent l="0" t="0" r="0" b="0"/>
            <wp:docPr id="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842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  <w:r w:rsidRPr="00B52D63">
        <w:t>Vendim</w:t>
      </w:r>
    </w:p>
    <w:p w:rsidR="006E3597" w:rsidRPr="00B52D63" w:rsidRDefault="006E3597" w:rsidP="006E3597">
      <w:pPr>
        <w:pStyle w:val="NumriData"/>
        <w:rPr>
          <w:szCs w:val="22"/>
        </w:rPr>
      </w:pPr>
      <w:r w:rsidRPr="00B52D63">
        <w:rPr>
          <w:szCs w:val="22"/>
        </w:rPr>
        <w:t>Nr.685, datë 19.10.2007</w:t>
      </w:r>
    </w:p>
    <w:p w:rsidR="006E3597" w:rsidRPr="006E3597" w:rsidRDefault="006E3597" w:rsidP="006E3597">
      <w:pPr>
        <w:pStyle w:val="Paragrafi"/>
        <w:rPr>
          <w:szCs w:val="22"/>
          <w:lang w:val="en-GB"/>
        </w:rPr>
      </w:pPr>
    </w:p>
    <w:p w:rsidR="006E3597" w:rsidRPr="006E3597" w:rsidRDefault="006E3597" w:rsidP="006E3597">
      <w:pPr>
        <w:pStyle w:val="Titulli"/>
      </w:pPr>
      <w:r w:rsidRPr="006E3597">
        <w:t>Për disa ndryshime e shtesa në vendimin nr.336, datë 1.6.2004 të Këshillit të Ministrave “Për miratimin e listës së inventarit të pronave të paluajtshme shtetërore, të cilat i kalojnë në përgjegjësi administrimi albbakër sha-së”</w:t>
      </w:r>
    </w:p>
    <w:p w:rsidR="006E3597" w:rsidRPr="006E3597" w:rsidRDefault="006E3597" w:rsidP="006E3597">
      <w:pPr>
        <w:pStyle w:val="Paragrafi"/>
        <w:rPr>
          <w:szCs w:val="22"/>
          <w:lang w:val="en-GB"/>
        </w:rPr>
      </w:pPr>
    </w:p>
    <w:p w:rsidR="006E3597" w:rsidRPr="006E3597" w:rsidRDefault="006E3597" w:rsidP="006E3597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Në mbështetje të nenit 100 të Kushtetutës dhe të neneve 8, pika 3 e 13 të ligjit nr.8743, datë 22.2.2001 “Për pronat e paluajtshme të shtetit”, të ndryshuar, me propozimin e Ministrit të Ekonomisë, Tregtisë dhe Energjetikës, Këshilli i Ministrave</w:t>
      </w:r>
    </w:p>
    <w:p w:rsidR="006E3597" w:rsidRPr="006E3597" w:rsidRDefault="006E3597" w:rsidP="006E3597">
      <w:pPr>
        <w:pStyle w:val="Paragrafi"/>
        <w:rPr>
          <w:szCs w:val="22"/>
          <w:lang w:val="en-GB"/>
        </w:rPr>
      </w:pPr>
    </w:p>
    <w:p w:rsidR="006E3597" w:rsidRPr="00B52D63" w:rsidRDefault="006E3597" w:rsidP="006E3597">
      <w:pPr>
        <w:pStyle w:val="VENDOSI"/>
      </w:pPr>
      <w:r w:rsidRPr="00B52D63">
        <w:t>Vendosi:</w:t>
      </w:r>
    </w:p>
    <w:p w:rsidR="006E3597" w:rsidRPr="006E3597" w:rsidRDefault="006E3597" w:rsidP="006E3597">
      <w:pPr>
        <w:pStyle w:val="Paragrafi"/>
        <w:rPr>
          <w:szCs w:val="22"/>
          <w:lang w:val="en-GB"/>
        </w:rPr>
      </w:pPr>
    </w:p>
    <w:p w:rsidR="006E3597" w:rsidRPr="006E3597" w:rsidRDefault="006E3597" w:rsidP="006E3597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1. Në vendimin nr.336, datë 1.6.2004 të Këshillit të Ministrave, të bëhen këto ndryshime dhe shtesa:</w:t>
      </w:r>
    </w:p>
    <w:p w:rsidR="006E3597" w:rsidRPr="006E3597" w:rsidRDefault="006E3597" w:rsidP="006E3597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a) Në paragrafin e dytë të pikës 1, shifra “…78 (shtatëdhjetë e tetë)…” ndryshohet dhe bëhet “…92 (nëntëdhjetë e dy)….”.</w:t>
      </w:r>
    </w:p>
    <w:p w:rsidR="006E3597" w:rsidRPr="006E3597" w:rsidRDefault="006E3597" w:rsidP="006E3597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b) Në listën bashkëlidhur të shtohen edhe formularët, që i bashkëlidhen këtij vendimi.</w:t>
      </w:r>
    </w:p>
    <w:p w:rsidR="006E3597" w:rsidRPr="006E3597" w:rsidRDefault="006E3597" w:rsidP="006E3597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2. Ngarkohen Ministri i Brendshëm, Ministri i Ekonomisë, Tregtisë dhe Energjetikës dhe kryeregjistruesi i Pasurive të Paluajtshme të Republikës së Shqipërisë për zbatimin e këtij vendimi.</w:t>
      </w:r>
    </w:p>
    <w:p w:rsidR="006E3597" w:rsidRPr="006E3597" w:rsidRDefault="006E3597" w:rsidP="006E3597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Ky vendim hyn në fuqi pas botimit në Fletoren Zyrtare.</w:t>
      </w:r>
    </w:p>
    <w:p w:rsidR="006E3597" w:rsidRPr="006E3597" w:rsidRDefault="006E3597" w:rsidP="006E3597">
      <w:pPr>
        <w:pStyle w:val="Paragrafi"/>
        <w:rPr>
          <w:szCs w:val="22"/>
          <w:lang w:val="en-GB"/>
        </w:rPr>
      </w:pPr>
    </w:p>
    <w:p w:rsidR="006E3597" w:rsidRPr="00B52D63" w:rsidRDefault="006E3597" w:rsidP="006E3597">
      <w:pPr>
        <w:pStyle w:val="Autoriteti"/>
      </w:pPr>
      <w:r w:rsidRPr="00B52D63">
        <w:t>Kryeministri</w:t>
      </w:r>
    </w:p>
    <w:p w:rsidR="006E3597" w:rsidRPr="00B52D63" w:rsidRDefault="006E3597" w:rsidP="006E3597">
      <w:pPr>
        <w:pStyle w:val="AutoritetiEmer"/>
      </w:pPr>
      <w:r w:rsidRPr="00B52D63">
        <w:t>Sali Berisha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5533390" cy="8348345"/>
            <wp:effectExtent l="0" t="0" r="0" b="0"/>
            <wp:docPr id="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90" cy="83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4378960" cy="8239760"/>
            <wp:effectExtent l="0" t="0" r="2540" b="8890"/>
            <wp:docPr id="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60" cy="823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6E3597" w:rsidP="006E3597">
      <w:pPr>
        <w:pStyle w:val="Akti"/>
        <w:jc w:val="both"/>
        <w:rPr>
          <w:b w:val="0"/>
          <w:caps w:val="0"/>
        </w:rPr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4343400" cy="7967345"/>
            <wp:effectExtent l="0" t="0" r="0" b="0"/>
            <wp:docPr id="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796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5034280" cy="7952740"/>
            <wp:effectExtent l="0" t="0" r="0" b="0"/>
            <wp:docPr id="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795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4981575" cy="8235315"/>
            <wp:effectExtent l="0" t="0" r="9525" b="0"/>
            <wp:docPr id="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823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4994275" cy="7600315"/>
            <wp:effectExtent l="0" t="0" r="0" b="635"/>
            <wp:docPr id="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275" cy="760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5016500" cy="7803515"/>
            <wp:effectExtent l="0" t="0" r="0" b="6985"/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780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4466590" cy="7367270"/>
            <wp:effectExtent l="0" t="0" r="0" b="5080"/>
            <wp:docPr id="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90" cy="736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4389120" cy="7952740"/>
            <wp:effectExtent l="0" t="0" r="0" b="0"/>
            <wp:docPr id="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795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4470400" cy="8003540"/>
            <wp:effectExtent l="0" t="0" r="6350" b="0"/>
            <wp:docPr id="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800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4484370" cy="7787640"/>
            <wp:effectExtent l="0" t="0" r="0" b="3810"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778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4447540" cy="7653020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540" cy="765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4462145" cy="79273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5" cy="792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90475A" w:rsidP="006E3597">
      <w:pPr>
        <w:pStyle w:val="Figure"/>
      </w:pPr>
      <w:r w:rsidRPr="00B52D63">
        <w:rPr>
          <w:noProof/>
          <w:lang w:val="en-GB" w:eastAsia="en-GB"/>
        </w:rPr>
        <w:drawing>
          <wp:inline distT="0" distB="0" distL="0" distR="0">
            <wp:extent cx="4321810" cy="7844790"/>
            <wp:effectExtent l="0" t="0" r="254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4321810" cy="784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</w:p>
    <w:p w:rsidR="006E3597" w:rsidRPr="00B52D63" w:rsidRDefault="006E3597" w:rsidP="006E3597">
      <w:pPr>
        <w:pStyle w:val="Akti"/>
      </w:pPr>
      <w:r w:rsidRPr="00B52D63">
        <w:t>Vendim</w:t>
      </w:r>
    </w:p>
    <w:p w:rsidR="006E3597" w:rsidRPr="00B52D63" w:rsidRDefault="006E3597" w:rsidP="006E3597">
      <w:pPr>
        <w:pStyle w:val="NumriData"/>
        <w:rPr>
          <w:szCs w:val="22"/>
        </w:rPr>
      </w:pPr>
      <w:r w:rsidRPr="00B52D63">
        <w:rPr>
          <w:szCs w:val="22"/>
        </w:rPr>
        <w:t>Nr.687, datë 19.10.2007</w:t>
      </w:r>
    </w:p>
    <w:p w:rsidR="006E3597" w:rsidRPr="006E3597" w:rsidRDefault="006E3597" w:rsidP="006E3597">
      <w:pPr>
        <w:pStyle w:val="Paragrafi"/>
        <w:rPr>
          <w:sz w:val="14"/>
          <w:szCs w:val="22"/>
          <w:lang w:val="en-GB"/>
        </w:rPr>
      </w:pPr>
    </w:p>
    <w:p w:rsidR="006E3597" w:rsidRPr="00B52D63" w:rsidRDefault="006E3597" w:rsidP="006E3597">
      <w:pPr>
        <w:pStyle w:val="Titulli"/>
      </w:pPr>
      <w:r w:rsidRPr="00980D39">
        <w:t>Për shpalljen, me sipËrfaqe të zgjeruar, të ekosistemit natyror divjakë-Karavasta “Park kombëtar</w:t>
      </w:r>
      <w:r w:rsidRPr="00B52D63">
        <w:t>”</w:t>
      </w:r>
    </w:p>
    <w:p w:rsidR="006E3597" w:rsidRPr="006E3597" w:rsidRDefault="006E3597" w:rsidP="006E3597">
      <w:pPr>
        <w:pStyle w:val="Paragrafi"/>
        <w:rPr>
          <w:sz w:val="16"/>
          <w:szCs w:val="22"/>
          <w:lang w:val="en-GB"/>
        </w:rPr>
      </w:pPr>
    </w:p>
    <w:p w:rsidR="006E3597" w:rsidRPr="006E3597" w:rsidRDefault="006E3597" w:rsidP="006E3597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Në mbështetje të nenit 100 të Kushtetutës dhe të neneve 4 pika 1 shkronja “b”, 6 e 13 të ligjit nr.8906, datë 6.6.2002 “Për zonat e mbrojtura”, me propozimin e Ministrit të Mjedisit, Pyjeve dhe Administrimit të Ujërave, Këshilli i Ministrave</w:t>
      </w:r>
    </w:p>
    <w:p w:rsidR="006E3597" w:rsidRPr="006E3597" w:rsidRDefault="006E3597" w:rsidP="006E3597">
      <w:pPr>
        <w:pStyle w:val="Paragrafi"/>
        <w:rPr>
          <w:sz w:val="14"/>
          <w:szCs w:val="22"/>
          <w:lang w:val="en-GB"/>
        </w:rPr>
      </w:pPr>
    </w:p>
    <w:p w:rsidR="006E3597" w:rsidRPr="00B52D63" w:rsidRDefault="006E3597" w:rsidP="006E3597">
      <w:pPr>
        <w:pStyle w:val="VENDOSI"/>
      </w:pPr>
      <w:r w:rsidRPr="00B52D63">
        <w:t>Vendosi:</w:t>
      </w:r>
    </w:p>
    <w:p w:rsidR="006E3597" w:rsidRPr="006E3597" w:rsidRDefault="006E3597" w:rsidP="006E3597">
      <w:pPr>
        <w:pStyle w:val="Paragrafi"/>
        <w:rPr>
          <w:szCs w:val="22"/>
          <w:lang w:val="en-GB"/>
        </w:rPr>
      </w:pPr>
    </w:p>
    <w:p w:rsidR="006E3597" w:rsidRPr="006E3597" w:rsidRDefault="006E3597" w:rsidP="006E3597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1. Shpalljen, me sipërfaqe të zgjeruar, të ekosistemit natyror Divjakë-Karavasta “Park kombëtar”, sipas hartës që i bashkëlidhet këtij vendimi.</w:t>
      </w:r>
    </w:p>
    <w:p w:rsidR="006E3597" w:rsidRPr="006E3597" w:rsidRDefault="006E3597" w:rsidP="006E3597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2. Kufijtë e këtij Parku ndryshojnë, si më poshtë vijon:</w:t>
      </w:r>
    </w:p>
    <w:p w:rsidR="006E3597" w:rsidRPr="006E3597" w:rsidRDefault="006E3597" w:rsidP="006E3597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a) Në Veri:</w:t>
      </w:r>
    </w:p>
    <w:p w:rsidR="006E3597" w:rsidRPr="006E3597" w:rsidRDefault="006E3597" w:rsidP="006E3597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Grykëderdhja e lumit Shkumbin (4398754.42 L/4571385.23 V) deri te pika e ndërprerjes së lumit Shkumbin me rrugën automobilistike, pranë fshatit Sulzotaj (4398754.42 L/4571385.23 V);</w:t>
      </w:r>
    </w:p>
    <w:p w:rsidR="006E3597" w:rsidRPr="006E3597" w:rsidRDefault="006E3597" w:rsidP="006E3597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b) Në Lindje:</w:t>
      </w:r>
    </w:p>
    <w:p w:rsidR="006E3597" w:rsidRPr="006E3597" w:rsidRDefault="006E3597" w:rsidP="006E3597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Nga pika e ndërprerjes së rrugës automobilistike me lumin Shkumbin, pranë fshatit Sulzotaj (4398754.42 L/4571385.23 V), drejt rrugës për në fshatin Shënepremte, më pas në kuotat 75.5 m, 83.0 m, 91.5 m, 90.4 m, 104.0 m, 107.0 m, 78.0 m, 132.0 m (Maja e Fikut), 154.0 m (Gropa e Malukut), 168.0 m, 156.0 m (Maja e Gjatë), 175.0 m (Maja e Çerit), 192.3 m (Guri i Gomares), 136.0 m dhe kalon përmes fshatit Babunjë deri ku ndërpritet me ujëmbledhësin e Myzeqesë, vijon në krahun e majtë të rrjedhjes së këtij ujëmbledhësi deri tek ura pranë hidrovorit të Ndërnenasit, vazhdon përgjatë rrugës automobilistike deri ku ndërpritet me lumin Seman (4386723,94 L/4520674.33 V);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c) Në jug: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Lumi i Semanit (4386723.94 L/4520674.33 V) deri te grykëderdhja e tij, në detin Adriatik (4363408.97 L/4522464.10 V);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ç) Në Perëndim: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Grykëderdhja e lumit Seman (4363408.97 L/4522464.10 V), vijon përgjatë vijës bregdetare deri te grykëderdhja e lumit Shkumbin (4398754.42 L/4571385.23 V).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3. Parku k</w:t>
      </w:r>
      <w:r w:rsidRPr="00B52D63">
        <w:rPr>
          <w:szCs w:val="22"/>
          <w:lang w:val="it-IT"/>
        </w:rPr>
        <w:t>ombëtar i Divjakë-Karavastasë ka një sipërfaqe 22230.24 ha, të përbërë si më poshtë vijon:</w:t>
      </w:r>
    </w:p>
    <w:p w:rsidR="006E3597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 xml:space="preserve">a) Sipërfaqe pyjore (Pyje, pyje të rrallë, pyje aluvionale e shkurre, ripyllëzime, tokë me bimësi pyjore e ujore) </w:t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 w:rsidRPr="00B52D63">
        <w:rPr>
          <w:szCs w:val="22"/>
          <w:lang w:val="it-IT"/>
        </w:rPr>
        <w:t>5310.00 ha;</w:t>
      </w:r>
      <w:r>
        <w:rPr>
          <w:szCs w:val="22"/>
          <w:lang w:val="it-IT"/>
        </w:rPr>
        <w:tab/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 xml:space="preserve">b) Sipërfaqe bujqësore (Tokë bujqësore, pemëtore, ullishta 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dhe vreshta)</w:t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  <w:t>9078.42 ha;</w:t>
      </w:r>
      <w:r w:rsidRPr="00B52D63">
        <w:rPr>
          <w:szCs w:val="22"/>
          <w:lang w:val="it-IT"/>
        </w:rPr>
        <w:tab/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c) Sipërfaqe ujore (Laguna, godulla, lumenj dhe ujëmbledhës)</w:t>
      </w:r>
      <w:r w:rsidRPr="00B52D63"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 w:rsidRPr="00B52D63">
        <w:rPr>
          <w:szCs w:val="22"/>
          <w:lang w:val="it-IT"/>
        </w:rPr>
        <w:t>6408.90 ha;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ç) Sipërfaqe joprodhuese (Ranore dhe e zhveshur)</w:t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  <w:t>1120.71 ha;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d) Sipë</w:t>
      </w:r>
      <w:r>
        <w:rPr>
          <w:szCs w:val="22"/>
          <w:lang w:val="it-IT"/>
        </w:rPr>
        <w:t>rfaqe urbane</w:t>
      </w:r>
      <w:r w:rsidRPr="00B52D63">
        <w:rPr>
          <w:szCs w:val="22"/>
          <w:lang w:val="it-IT"/>
        </w:rPr>
        <w:t xml:space="preserve"> e përzier me tokë bujqësore, pemëtore dhe pyjore</w:t>
      </w:r>
      <w:r w:rsidRPr="00B52D63">
        <w:rPr>
          <w:szCs w:val="22"/>
          <w:lang w:val="it-IT"/>
        </w:rPr>
        <w:tab/>
        <w:t>312.21 ha.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 xml:space="preserve">4. </w:t>
      </w:r>
      <w:r>
        <w:rPr>
          <w:szCs w:val="22"/>
          <w:lang w:val="it-IT"/>
        </w:rPr>
        <w:t>“Parku k</w:t>
      </w:r>
      <w:r w:rsidRPr="00B52D63">
        <w:rPr>
          <w:szCs w:val="22"/>
          <w:lang w:val="it-IT"/>
        </w:rPr>
        <w:t>ombëtar i Divjakë-Karavastasë ndahet në nënzona ruajtjeje e administrimi, si më poshtë vijon: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a) Zona qendrore, me sipë</w:t>
      </w:r>
      <w:r>
        <w:rPr>
          <w:szCs w:val="22"/>
          <w:lang w:val="it-IT"/>
        </w:rPr>
        <w:t>rfaqe 4189.70 ha (</w:t>
      </w:r>
      <w:r w:rsidRPr="00B52D63">
        <w:rPr>
          <w:szCs w:val="22"/>
          <w:lang w:val="it-IT"/>
        </w:rPr>
        <w:t>e shënuar në hartë me “ZQ”), përfshin habitatet e Kularit, Pishës së Divjakës, godullën e Dajlanit dhe ishujt e folenizimit të</w:t>
      </w:r>
      <w:r>
        <w:rPr>
          <w:szCs w:val="22"/>
          <w:lang w:val="it-IT"/>
        </w:rPr>
        <w:t xml:space="preserve"> pelikanit kaçurrel</w:t>
      </w:r>
      <w:r w:rsidRPr="00B52D63">
        <w:rPr>
          <w:szCs w:val="22"/>
          <w:lang w:val="it-IT"/>
        </w:rPr>
        <w:t xml:space="preserve"> në lagunën e Karavastasë. Ajo përcaktohet si zonë me vlera të larta, për natyrën dhe biodiversitetin, dhe në të zbatohet shkalla e dytë e mbrojtjes, që siguron një territor të pashqetësuar.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b) Zona e përdorimit të qëndrueshëm, me sipërfaqe 7788.44 ha (e shënuar në hartë me “ZPQ”</w:t>
      </w:r>
      <w:r>
        <w:rPr>
          <w:szCs w:val="22"/>
          <w:lang w:val="it-IT"/>
        </w:rPr>
        <w:t>)</w:t>
      </w:r>
      <w:r w:rsidRPr="00B52D63">
        <w:rPr>
          <w:szCs w:val="22"/>
          <w:lang w:val="it-IT"/>
        </w:rPr>
        <w:t>, ku lejohen të ushtrohen veprimtari ekonomike, si dhe veprimtari të reja, vetëm pasi të pajisen me leje mjedisi. Në këtë zonë përfshihen laguna e Karavastasë, territoret ndërmjet dy shtretërve të lumit Shkumbin, ato të Kularit e Sulzotajt dhe territori ndërmjet ujëmbledhësit të Myzeqesë dhe lumit Seman. Në zonën e përdorimit të qëndrueshëm zbatohet shkalla e tretë e mbrojtjes.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c) Zona e përdorimit tradicional, me sipërfaqe 9261.87 ha (e shënuar në hartë me “ZPT”), mundëson vazhdimin e veprimtarive tradicionale dhe ekonomike, si dhe lejon të ushtrohen veprimtari të reja, vetëm pasi të pajisen me leje mjedisi. Në këtë zonë përfshihen territoret bujqësore, ujore e pyjore, ato rreth qendrave të banuara, të Bedatit dhe kodrat e Divjakës. Në zonën e përdorimit tradicional zbatohet shkalla e pestë e mbrojtjes.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ç) Zona rekreative, me sipërfaqe 990.23 ha (e shënuar në hartë me “ZR”), përbën zonën me mundësi rekreative, në natyrë të hapur, në përputhje me funksionet e zonës së mbrojtur, vlerat ekologjike, të peizazhit natyror dhe vlerat turistike e kulturore. Në këtë zonë përfshihet brezi bregdetar ranor ndërmjet dy shtretërve të lumit Shkumbin, territori nga grykëderdhja e ujëmbledhësit të Tërbufit, pjesët që mbeten jashtë zonës pyjore të gardhuar të pishës së Divjakës dhe territori i plazhit (pjesa ranore, ndërtesat dhe kabinat e pushuesve) deri te kanali i parë i lagunës së Karavastasë; brezi bregdetar ranor i Bedatit dhe ai ndërmjet grykëderdhjes së ujëmbledhësit të Myzeqesë deri te grykëderdhja e lumit Seman. Në zonën rekreative zbatohet shkalla e katërt e mbrojtjes.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5. Ministria e Mjedisit, Pyjeve dhe Administrimit të Ujërave dhe ministri të tjera të linjës, në bashkëpunim me njësitë e qeverisjes vendore, me institucionet kërkimore-shkencore, me përfaqësuesit e biznesit dhe të pronarëve privatë, brenda 1 viti nga hyrja në fuqi e këtij vendimi, hartojnë planin e menaxhimit të “Parkut kombëtar”.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6. Ministria e Punëve Publike, Transportit dhe Telekomunikacionit, Ministria e Turizmit, Kulturës, Rinisë dhe Sporteve në bashkëpunim me ministritë e tjera të linjës dhe me njësitë e qeverisjes vendore, brenda një viti nga hyrja në fuqi e këtij vendimi, të kryejnë studimin urbanistik rajonal të zonës</w:t>
      </w:r>
      <w:r>
        <w:rPr>
          <w:szCs w:val="22"/>
          <w:lang w:val="it-IT"/>
        </w:rPr>
        <w:t>,</w:t>
      </w:r>
      <w:r w:rsidRPr="00B52D63">
        <w:rPr>
          <w:szCs w:val="22"/>
          <w:lang w:val="it-IT"/>
        </w:rPr>
        <w:t xml:space="preserve"> në përputhje me synimet dhe objektivat e menaxhimit të këtij “Parku kombëtar.”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7. Administrata ekzistuese e zonës së mbrojtur të “Parkut kombëtar” të Divjakës dhe e ekosistemit lagunor të Karavastasë do të kryejë funksionet e administratës së “Parkut kombëtar” të Divjakë-Karavastasë, me sipërfaqe të zgjeruar.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8. Ngarkohen Ministria e Mjedisit, Pyjeve dhe Administrimit të Ujërave dhe organet përkatëse të qeverisjes vendore për zbatimin e këtij vendimi.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Ky vendim hyn në fuqi pas botimit në Fletoren Zyrtare.</w:t>
      </w:r>
    </w:p>
    <w:p w:rsidR="006E3597" w:rsidRPr="00B52D63" w:rsidRDefault="006E3597" w:rsidP="006E3597">
      <w:pPr>
        <w:pStyle w:val="Paragrafi"/>
        <w:rPr>
          <w:szCs w:val="22"/>
          <w:lang w:val="it-IT"/>
        </w:rPr>
      </w:pPr>
    </w:p>
    <w:p w:rsidR="006E3597" w:rsidRPr="00B52D63" w:rsidRDefault="006E3597" w:rsidP="006E3597">
      <w:pPr>
        <w:pStyle w:val="Autoriteti"/>
      </w:pPr>
      <w:r w:rsidRPr="00B52D63">
        <w:t>Kryeministri</w:t>
      </w:r>
    </w:p>
    <w:p w:rsidR="006E3597" w:rsidRPr="00B52D63" w:rsidRDefault="006E3597" w:rsidP="006E3597">
      <w:pPr>
        <w:pStyle w:val="AutoritetiEmer"/>
      </w:pPr>
      <w:r w:rsidRPr="00B52D63">
        <w:t>Sali Berisha</w:t>
      </w:r>
    </w:p>
    <w:p w:rsidR="006E3597" w:rsidRPr="00B52D63" w:rsidRDefault="006E3597" w:rsidP="006E3597">
      <w:pPr>
        <w:pStyle w:val="Paragrafi"/>
        <w:rPr>
          <w:szCs w:val="22"/>
          <w:lang w:val="en-GB"/>
        </w:rPr>
      </w:pPr>
    </w:p>
    <w:p w:rsidR="006E3597" w:rsidRPr="00B52D63" w:rsidRDefault="006E3597" w:rsidP="006E3597">
      <w:pPr>
        <w:pStyle w:val="Paragrafi"/>
        <w:rPr>
          <w:szCs w:val="22"/>
          <w:lang w:val="en-GB"/>
        </w:rPr>
      </w:pPr>
    </w:p>
    <w:p w:rsidR="006E3597" w:rsidRPr="00B52D63" w:rsidRDefault="006E3597" w:rsidP="006E3597">
      <w:pPr>
        <w:pStyle w:val="Paragrafi"/>
        <w:rPr>
          <w:szCs w:val="22"/>
          <w:lang w:val="en-GB"/>
        </w:rPr>
      </w:pPr>
    </w:p>
    <w:p w:rsidR="006E3597" w:rsidRPr="00B52D63" w:rsidRDefault="006E3597" w:rsidP="006E3597">
      <w:pPr>
        <w:pStyle w:val="Paragrafi"/>
        <w:rPr>
          <w:szCs w:val="22"/>
          <w:lang w:val="en-GB"/>
        </w:rPr>
      </w:pPr>
    </w:p>
    <w:p w:rsidR="006E3597" w:rsidRPr="00B52D63" w:rsidRDefault="006E3597" w:rsidP="006E3597">
      <w:pPr>
        <w:pStyle w:val="Paragrafi"/>
        <w:rPr>
          <w:szCs w:val="22"/>
          <w:lang w:val="en-GB"/>
        </w:rPr>
      </w:pPr>
    </w:p>
    <w:p w:rsidR="006E3597" w:rsidRPr="00B52D63" w:rsidRDefault="006E3597" w:rsidP="006E3597">
      <w:pPr>
        <w:pStyle w:val="Paragrafi"/>
        <w:rPr>
          <w:szCs w:val="22"/>
          <w:lang w:val="en-GB"/>
        </w:rPr>
      </w:pPr>
    </w:p>
    <w:p w:rsidR="006E3597" w:rsidRPr="00B52D63" w:rsidRDefault="006E3597" w:rsidP="006E3597">
      <w:pPr>
        <w:pStyle w:val="Paragrafi"/>
        <w:rPr>
          <w:szCs w:val="22"/>
          <w:lang w:val="en-GB"/>
        </w:rPr>
      </w:pPr>
    </w:p>
    <w:p w:rsidR="006E3597" w:rsidRPr="00B52D63" w:rsidRDefault="006E3597" w:rsidP="006E3597">
      <w:pPr>
        <w:pStyle w:val="Paragrafi"/>
        <w:rPr>
          <w:szCs w:val="22"/>
          <w:lang w:val="en-GB"/>
        </w:rPr>
      </w:pPr>
    </w:p>
    <w:p w:rsidR="006E3597" w:rsidRPr="00B52D63" w:rsidRDefault="006E3597" w:rsidP="006E3597">
      <w:pPr>
        <w:pStyle w:val="Paragrafi"/>
        <w:rPr>
          <w:szCs w:val="22"/>
          <w:lang w:val="en-GB"/>
        </w:rPr>
      </w:pPr>
    </w:p>
    <w:p w:rsidR="006E3597" w:rsidRPr="00B52D63" w:rsidRDefault="006E3597" w:rsidP="006E3597">
      <w:pPr>
        <w:pStyle w:val="Paragrafi"/>
        <w:rPr>
          <w:szCs w:val="22"/>
          <w:lang w:val="en-GB"/>
        </w:rPr>
      </w:pPr>
    </w:p>
    <w:p w:rsidR="006E3597" w:rsidRPr="00B52D63" w:rsidRDefault="006E3597" w:rsidP="006E3597">
      <w:pPr>
        <w:pStyle w:val="Paragrafi"/>
        <w:rPr>
          <w:szCs w:val="22"/>
          <w:lang w:val="en-GB"/>
        </w:rPr>
      </w:pPr>
    </w:p>
    <w:p w:rsidR="006E3597" w:rsidRPr="00B52D63" w:rsidRDefault="0090475A" w:rsidP="006E3597">
      <w:pPr>
        <w:pStyle w:val="Figure"/>
        <w:rPr>
          <w:lang w:val="en-GB"/>
        </w:rPr>
      </w:pPr>
      <w:r w:rsidRPr="00B52D63">
        <w:rPr>
          <w:noProof/>
          <w:lang w:val="en-GB" w:eastAsia="en-GB"/>
        </w:rPr>
        <w:drawing>
          <wp:inline distT="0" distB="0" distL="0" distR="0">
            <wp:extent cx="5581650" cy="8258175"/>
            <wp:effectExtent l="0" t="0" r="0" b="9525"/>
            <wp:docPr id="29" name="Picture 29" descr="harta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arta per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97" w:rsidRPr="00B52D63" w:rsidRDefault="006E3597" w:rsidP="006E3597">
      <w:pPr>
        <w:pStyle w:val="Paragrafi"/>
        <w:rPr>
          <w:szCs w:val="22"/>
          <w:lang w:val="en-GB"/>
        </w:rPr>
      </w:pPr>
    </w:p>
    <w:p w:rsidR="006E3597" w:rsidRPr="00B52D63" w:rsidRDefault="006E3597" w:rsidP="006E3597">
      <w:pPr>
        <w:pStyle w:val="Paragrafi"/>
        <w:rPr>
          <w:szCs w:val="22"/>
          <w:lang w:val="en-GB"/>
        </w:rPr>
      </w:pPr>
    </w:p>
    <w:p w:rsidR="000178C2" w:rsidRPr="00C84B66" w:rsidRDefault="000178C2" w:rsidP="006E3597">
      <w:pPr>
        <w:pStyle w:val="Paragrafi"/>
      </w:pPr>
    </w:p>
    <w:sectPr w:rsidR="000178C2" w:rsidRPr="00C84B66" w:rsidSect="006E3597">
      <w:footerReference w:type="even" r:id="rId35"/>
      <w:footerReference w:type="default" r:id="rId36"/>
      <w:pgSz w:w="11907" w:h="16840" w:code="9"/>
      <w:pgMar w:top="1418" w:right="1418" w:bottom="1418" w:left="1418" w:header="0" w:footer="1134" w:gutter="0"/>
      <w:pgNumType w:start="398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3F2" w:rsidRDefault="007D03F2">
      <w:r>
        <w:separator/>
      </w:r>
    </w:p>
  </w:endnote>
  <w:endnote w:type="continuationSeparator" w:id="0">
    <w:p w:rsidR="007D03F2" w:rsidRDefault="007D0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597" w:rsidRDefault="006E3597" w:rsidP="006E359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E3597" w:rsidRDefault="006E3597" w:rsidP="006E359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597" w:rsidRDefault="006E3597" w:rsidP="006E359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475A">
      <w:rPr>
        <w:rStyle w:val="PageNumber"/>
        <w:noProof/>
      </w:rPr>
      <w:t>3991</w:t>
    </w:r>
    <w:r>
      <w:rPr>
        <w:rStyle w:val="PageNumber"/>
      </w:rPr>
      <w:fldChar w:fldCharType="end"/>
    </w:r>
  </w:p>
  <w:p w:rsidR="006E3597" w:rsidRDefault="006E3597" w:rsidP="006E359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3F2" w:rsidRDefault="007D03F2">
      <w:r>
        <w:separator/>
      </w:r>
    </w:p>
  </w:footnote>
  <w:footnote w:type="continuationSeparator" w:id="0">
    <w:p w:rsidR="007D03F2" w:rsidRDefault="007D03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E3597"/>
    <w:rsid w:val="000178C2"/>
    <w:rsid w:val="006E3597"/>
    <w:rsid w:val="007D03F2"/>
    <w:rsid w:val="0090475A"/>
    <w:rsid w:val="00953DF5"/>
    <w:rsid w:val="00A02A31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AF076E-2C34-4361-ABD4-FF734A2C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59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53D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953DF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953DF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53DF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53DF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53DF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53DF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953DF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953DF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953DF5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953DF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53DF5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953DF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953DF5"/>
    <w:pPr>
      <w:widowControl w:val="0"/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953DF5"/>
    <w:pPr>
      <w:widowControl w:val="0"/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953DF5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953DF5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953DF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ULLETUDHEZIM">
    <w:name w:val="BULLET UDHEZIM"/>
    <w:basedOn w:val="Normal"/>
    <w:rsid w:val="00953DF5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extraclauses">
    <w:name w:val="extra_clauses"/>
    <w:basedOn w:val="Normal"/>
    <w:rsid w:val="00953DF5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953DF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953DF5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Kapakufund">
    <w:name w:val="Kapaku_fund"/>
    <w:next w:val="Normal"/>
    <w:rsid w:val="00953DF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953DF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953DF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53DF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53DF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953DF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953DF5"/>
    <w:pPr>
      <w:widowControl w:val="0"/>
      <w:spacing w:after="120"/>
      <w:jc w:val="both"/>
    </w:pPr>
    <w:rPr>
      <w:rFonts w:ascii="Bookman Old Style" w:hAnsi="Bookman Old Style"/>
      <w:sz w:val="22"/>
      <w:szCs w:val="20"/>
      <w:lang w:val="sq-AL"/>
    </w:rPr>
  </w:style>
  <w:style w:type="paragraph" w:customStyle="1" w:styleId="numberedindent">
    <w:name w:val="numberedindent"/>
    <w:rsid w:val="00953DF5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as">
    <w:name w:val="Pas"/>
    <w:basedOn w:val="Normal"/>
    <w:rsid w:val="00953DF5"/>
  </w:style>
  <w:style w:type="paragraph" w:customStyle="1" w:styleId="Pika">
    <w:name w:val="Pika"/>
    <w:next w:val="Normal"/>
    <w:autoRedefine/>
    <w:rsid w:val="00953DF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53DF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53DF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53DF5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953DF5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953DF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6E359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E3597"/>
  </w:style>
  <w:style w:type="character" w:customStyle="1" w:styleId="TitulliChar">
    <w:name w:val="Titulli Char"/>
    <w:link w:val="Titulli"/>
    <w:rsid w:val="006E359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oter" Target="footer1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cp:lastModifiedBy>Inida Noga</cp:lastModifiedBy>
  <cp:revision>2</cp:revision>
  <cp:lastPrinted>2018-10-18T10:25:00Z</cp:lastPrinted>
  <dcterms:created xsi:type="dcterms:W3CDTF">2019-02-15T14:21:00Z</dcterms:created>
  <dcterms:modified xsi:type="dcterms:W3CDTF">2019-02-15T14:21:00Z</dcterms:modified>
</cp:coreProperties>
</file>