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943" w:rsidRPr="00103AA9" w:rsidRDefault="00DD7943" w:rsidP="00DD7943">
      <w:pPr>
        <w:pStyle w:val="Akti"/>
      </w:pPr>
      <w:bookmarkStart w:id="0" w:name="_GoBack"/>
      <w:bookmarkEnd w:id="0"/>
      <w:r w:rsidRPr="00103AA9">
        <w:t xml:space="preserve">VENDIM </w:t>
      </w:r>
    </w:p>
    <w:p w:rsidR="00DD7943" w:rsidRPr="00716F9D" w:rsidRDefault="00DD7943" w:rsidP="00DD7943">
      <w:pPr>
        <w:pStyle w:val="NumriData"/>
      </w:pPr>
      <w:r w:rsidRPr="00716F9D">
        <w:t>Nr.</w:t>
      </w:r>
      <w:r>
        <w:t>9</w:t>
      </w:r>
      <w:r w:rsidRPr="00716F9D">
        <w:t>23,</w:t>
      </w:r>
      <w:r>
        <w:t xml:space="preserve"> datë 3</w:t>
      </w:r>
      <w:r w:rsidRPr="00716F9D">
        <w:t xml:space="preserve">0.10.2007 </w:t>
      </w:r>
    </w:p>
    <w:p w:rsidR="00DD7943" w:rsidRDefault="00DD7943" w:rsidP="00DD7943">
      <w:pPr>
        <w:pStyle w:val="Paragrafi"/>
        <w:rPr>
          <w:lang w:val="de-DE"/>
        </w:rPr>
      </w:pPr>
    </w:p>
    <w:p w:rsidR="00DD7943" w:rsidRDefault="00DD7943" w:rsidP="00DD7943">
      <w:pPr>
        <w:pStyle w:val="Titulli"/>
      </w:pPr>
      <w:r w:rsidRPr="00716F9D">
        <w:t>P</w:t>
      </w:r>
      <w:r>
        <w:t>ë</w:t>
      </w:r>
      <w:r w:rsidRPr="00716F9D">
        <w:t>R P</w:t>
      </w:r>
      <w:r>
        <w:t>ë</w:t>
      </w:r>
      <w:r w:rsidRPr="00716F9D">
        <w:t>RCAKTIMIN E NIVELEVE T</w:t>
      </w:r>
      <w:r>
        <w:t>ë</w:t>
      </w:r>
      <w:r w:rsidRPr="00716F9D">
        <w:t xml:space="preserve"> SH</w:t>
      </w:r>
      <w:r>
        <w:t>ë</w:t>
      </w:r>
      <w:r w:rsidRPr="00716F9D">
        <w:t>RBIMIT T</w:t>
      </w:r>
      <w:r>
        <w:t>ë</w:t>
      </w:r>
      <w:r w:rsidRPr="00716F9D">
        <w:t xml:space="preserve"> TRANSFUZIONIT N</w:t>
      </w:r>
      <w:r>
        <w:t>ë</w:t>
      </w:r>
      <w:r w:rsidRPr="00716F9D">
        <w:t xml:space="preserve"> INSTITUCIONET SH</w:t>
      </w:r>
      <w:r>
        <w:t>ë</w:t>
      </w:r>
      <w:r w:rsidRPr="00716F9D">
        <w:t>NDET</w:t>
      </w:r>
      <w:r>
        <w:t>ë</w:t>
      </w:r>
      <w:r w:rsidRPr="00716F9D">
        <w:t>SORE DHE T</w:t>
      </w:r>
      <w:r>
        <w:t>ë</w:t>
      </w:r>
      <w:r w:rsidRPr="00716F9D">
        <w:t xml:space="preserve"> STANDARDEVE</w:t>
      </w:r>
      <w:r>
        <w:t xml:space="preserve"> </w:t>
      </w:r>
      <w:r w:rsidRPr="00716F9D">
        <w:t>KOMB</w:t>
      </w:r>
      <w:r>
        <w:t>ë</w:t>
      </w:r>
      <w:r w:rsidRPr="00716F9D">
        <w:t>TARE P</w:t>
      </w:r>
      <w:r>
        <w:t>ë</w:t>
      </w:r>
      <w:r w:rsidRPr="00716F9D">
        <w:t>R PRODUKTET, E PRODHUARA DHE T</w:t>
      </w:r>
      <w:r>
        <w:t>ë</w:t>
      </w:r>
      <w:r w:rsidRPr="00716F9D">
        <w:t xml:space="preserve"> OFRUARA, NGA STRUKTURAT E </w:t>
      </w:r>
      <w:r>
        <w:t xml:space="preserve">KëTIJ SHëRBIMI </w:t>
      </w:r>
    </w:p>
    <w:p w:rsidR="00DD7943" w:rsidRDefault="00DD7943" w:rsidP="00DD7943">
      <w:pPr>
        <w:pStyle w:val="Paragrafi"/>
        <w:rPr>
          <w:lang w:val="de-DE"/>
        </w:rPr>
      </w:pPr>
    </w:p>
    <w:p w:rsidR="00DD7943" w:rsidRDefault="00DD7943" w:rsidP="00DD7943">
      <w:pPr>
        <w:pStyle w:val="Paragrafi"/>
        <w:rPr>
          <w:lang w:val="de-DE"/>
        </w:rPr>
      </w:pPr>
      <w:r w:rsidRPr="00716F9D">
        <w:rPr>
          <w:lang w:val="de-DE"/>
        </w:rPr>
        <w:t>N</w:t>
      </w:r>
      <w:r>
        <w:rPr>
          <w:lang w:val="de-DE"/>
        </w:rPr>
        <w:t>ë</w:t>
      </w:r>
      <w:r w:rsidRPr="00716F9D">
        <w:rPr>
          <w:lang w:val="de-DE"/>
        </w:rPr>
        <w:t xml:space="preserve"> mbështetje të nenit 100 të Kushtetutës dhe të pik</w:t>
      </w:r>
      <w:r>
        <w:rPr>
          <w:lang w:val="de-DE"/>
        </w:rPr>
        <w:t>ë</w:t>
      </w:r>
      <w:r w:rsidRPr="00716F9D">
        <w:rPr>
          <w:lang w:val="de-DE"/>
        </w:rPr>
        <w:t>s 1 të nenit 12 të ligjit nr.9739, dat</w:t>
      </w:r>
      <w:r>
        <w:rPr>
          <w:lang w:val="de-DE"/>
        </w:rPr>
        <w:t>ë 21.5.2007</w:t>
      </w:r>
      <w:r w:rsidRPr="00716F9D">
        <w:rPr>
          <w:lang w:val="de-DE"/>
        </w:rPr>
        <w:t xml:space="preserve"> “P</w:t>
      </w:r>
      <w:r>
        <w:rPr>
          <w:lang w:val="de-DE"/>
        </w:rPr>
        <w:t>ë</w:t>
      </w:r>
      <w:r w:rsidRPr="00716F9D">
        <w:rPr>
          <w:lang w:val="de-DE"/>
        </w:rPr>
        <w:t>r shërbimin e transfuzionit të gjakut në Republik</w:t>
      </w:r>
      <w:r>
        <w:rPr>
          <w:lang w:val="de-DE"/>
        </w:rPr>
        <w:t>ë</w:t>
      </w:r>
      <w:r w:rsidRPr="00716F9D">
        <w:rPr>
          <w:lang w:val="de-DE"/>
        </w:rPr>
        <w:t>n e Shqip</w:t>
      </w:r>
      <w:r>
        <w:rPr>
          <w:lang w:val="de-DE"/>
        </w:rPr>
        <w:t>ë</w:t>
      </w:r>
      <w:r w:rsidRPr="00716F9D">
        <w:rPr>
          <w:lang w:val="de-DE"/>
        </w:rPr>
        <w:t xml:space="preserve">risë”, me propozimin e </w:t>
      </w:r>
      <w:r w:rsidR="00927123" w:rsidRPr="00716F9D">
        <w:rPr>
          <w:lang w:val="de-DE"/>
        </w:rPr>
        <w:t xml:space="preserve">Ministrit </w:t>
      </w:r>
      <w:r w:rsidRPr="00716F9D">
        <w:rPr>
          <w:lang w:val="de-DE"/>
        </w:rPr>
        <w:t>të Shënd</w:t>
      </w:r>
      <w:r>
        <w:rPr>
          <w:lang w:val="de-DE"/>
        </w:rPr>
        <w:t xml:space="preserve">etësisë, Këshilli i Ministrave </w:t>
      </w:r>
    </w:p>
    <w:p w:rsidR="00DD7943" w:rsidRDefault="00DD7943" w:rsidP="00DD7943">
      <w:pPr>
        <w:pStyle w:val="Paragrafi"/>
        <w:rPr>
          <w:lang w:val="de-DE"/>
        </w:rPr>
      </w:pPr>
    </w:p>
    <w:p w:rsidR="00DD7943" w:rsidRPr="00DD7943" w:rsidRDefault="00DD7943" w:rsidP="00DD7943">
      <w:pPr>
        <w:pStyle w:val="VENDOSI"/>
        <w:rPr>
          <w:lang w:val="de-DE"/>
        </w:rPr>
      </w:pPr>
      <w:r w:rsidRPr="00DD7943">
        <w:rPr>
          <w:lang w:val="de-DE"/>
        </w:rPr>
        <w:t xml:space="preserve">VENDOSI: </w:t>
      </w:r>
    </w:p>
    <w:p w:rsidR="00DD7943" w:rsidRDefault="00DD7943" w:rsidP="00DD7943">
      <w:pPr>
        <w:pStyle w:val="Paragrafi"/>
        <w:rPr>
          <w:lang w:val="de-DE"/>
        </w:rPr>
      </w:pPr>
    </w:p>
    <w:p w:rsidR="00DD7943" w:rsidRDefault="00DD7943" w:rsidP="00DD7943">
      <w:pPr>
        <w:pStyle w:val="Paragrafi"/>
        <w:rPr>
          <w:lang w:val="de-DE"/>
        </w:rPr>
      </w:pPr>
      <w:r w:rsidRPr="00716F9D">
        <w:rPr>
          <w:lang w:val="de-DE"/>
        </w:rPr>
        <w:t>1. Strukturat e shërbimit t</w:t>
      </w:r>
      <w:r>
        <w:rPr>
          <w:lang w:val="de-DE"/>
        </w:rPr>
        <w:t>ë</w:t>
      </w:r>
      <w:r w:rsidRPr="00716F9D">
        <w:rPr>
          <w:lang w:val="de-DE"/>
        </w:rPr>
        <w:t xml:space="preserve"> transfuzionit në institucionet shëndetësore të vendit ofrojnë këto</w:t>
      </w:r>
      <w:r>
        <w:rPr>
          <w:lang w:val="de-DE"/>
        </w:rPr>
        <w:t xml:space="preserve"> shërbime, të cilat ndahen në: </w:t>
      </w:r>
    </w:p>
    <w:p w:rsidR="00DD7943" w:rsidRPr="00716F9D" w:rsidRDefault="00DD7943" w:rsidP="00DD7943">
      <w:pPr>
        <w:pStyle w:val="Paragrafi"/>
        <w:rPr>
          <w:lang w:val="de-DE"/>
        </w:rPr>
      </w:pPr>
      <w:r w:rsidRPr="00716F9D">
        <w:rPr>
          <w:lang w:val="de-DE"/>
        </w:rPr>
        <w:t>a) veprimtari prodhuese, ku përfshihen sigurimi i vazhdueshëm i gjakut dhe i produkteve t</w:t>
      </w:r>
      <w:r>
        <w:rPr>
          <w:lang w:val="de-DE"/>
        </w:rPr>
        <w:t>ë</w:t>
      </w:r>
      <w:r w:rsidRPr="00716F9D">
        <w:rPr>
          <w:lang w:val="de-DE"/>
        </w:rPr>
        <w:t xml:space="preserve"> tij. Elementet përbër</w:t>
      </w:r>
      <w:r w:rsidR="00C26BA4">
        <w:rPr>
          <w:lang w:val="de-DE"/>
        </w:rPr>
        <w:t>ë</w:t>
      </w:r>
      <w:r w:rsidRPr="00716F9D">
        <w:rPr>
          <w:lang w:val="de-DE"/>
        </w:rPr>
        <w:t>se të k</w:t>
      </w:r>
      <w:r>
        <w:rPr>
          <w:lang w:val="de-DE"/>
        </w:rPr>
        <w:t>ë</w:t>
      </w:r>
      <w:r w:rsidRPr="00716F9D">
        <w:rPr>
          <w:lang w:val="de-DE"/>
        </w:rPr>
        <w:t>tyre veprimtarive jan</w:t>
      </w:r>
      <w:r>
        <w:rPr>
          <w:lang w:val="de-DE"/>
        </w:rPr>
        <w:t>ë</w:t>
      </w:r>
      <w:r w:rsidRPr="00716F9D">
        <w:rPr>
          <w:lang w:val="de-DE"/>
        </w:rPr>
        <w:t xml:space="preserve"> seleksionimi dhe kontrolli periodik i dhuruesit, mbledhja e gjakut, përpunimi dhe testimi </w:t>
      </w:r>
      <w:r>
        <w:rPr>
          <w:lang w:val="de-DE"/>
        </w:rPr>
        <w:t>i tij, ruajtja dhe transporti;</w:t>
      </w:r>
    </w:p>
    <w:p w:rsidR="00DD7943" w:rsidRPr="009C7EDF" w:rsidRDefault="00DD7943" w:rsidP="00DD7943">
      <w:pPr>
        <w:pStyle w:val="Paragrafi"/>
        <w:rPr>
          <w:lang w:val="de-DE"/>
        </w:rPr>
      </w:pPr>
      <w:r w:rsidRPr="009C7EDF">
        <w:rPr>
          <w:lang w:val="de-DE"/>
        </w:rPr>
        <w:t xml:space="preserve">b) veprimtari shërbimi, ku përfshihen shpërndarja e gjakut dhe e produkteve të tij pacientëve në nevojë dhe testet imunohematologjike. </w:t>
      </w:r>
    </w:p>
    <w:p w:rsidR="00DD7943" w:rsidRPr="00716F9D" w:rsidRDefault="00DD7943" w:rsidP="00DD7943">
      <w:pPr>
        <w:pStyle w:val="Paragrafi"/>
        <w:rPr>
          <w:lang w:val="de-DE"/>
        </w:rPr>
      </w:pPr>
      <w:r w:rsidRPr="00716F9D">
        <w:rPr>
          <w:lang w:val="de-DE"/>
        </w:rPr>
        <w:t>2. Nivelet e shërbimit t</w:t>
      </w:r>
      <w:r w:rsidR="00C26BA4">
        <w:rPr>
          <w:lang w:val="de-DE"/>
        </w:rPr>
        <w:t>ë</w:t>
      </w:r>
      <w:r w:rsidRPr="00716F9D">
        <w:rPr>
          <w:lang w:val="de-DE"/>
        </w:rPr>
        <w:t xml:space="preserve"> transfuzionit t</w:t>
      </w:r>
      <w:r>
        <w:rPr>
          <w:lang w:val="de-DE"/>
        </w:rPr>
        <w:t>ë</w:t>
      </w:r>
      <w:r w:rsidRPr="00716F9D">
        <w:rPr>
          <w:lang w:val="de-DE"/>
        </w:rPr>
        <w:t xml:space="preserve"> gjakut, n</w:t>
      </w:r>
      <w:r>
        <w:rPr>
          <w:lang w:val="de-DE"/>
        </w:rPr>
        <w:t>ë</w:t>
      </w:r>
      <w:r w:rsidRPr="00716F9D">
        <w:rPr>
          <w:lang w:val="de-DE"/>
        </w:rPr>
        <w:t xml:space="preserve"> </w:t>
      </w:r>
      <w:r>
        <w:rPr>
          <w:lang w:val="de-DE"/>
        </w:rPr>
        <w:t>n</w:t>
      </w:r>
      <w:r w:rsidRPr="00716F9D">
        <w:rPr>
          <w:lang w:val="de-DE"/>
        </w:rPr>
        <w:t>ive</w:t>
      </w:r>
      <w:r>
        <w:rPr>
          <w:lang w:val="de-DE"/>
        </w:rPr>
        <w:t>l</w:t>
      </w:r>
      <w:r w:rsidRPr="00716F9D">
        <w:rPr>
          <w:lang w:val="de-DE"/>
        </w:rPr>
        <w:t xml:space="preserve"> kombëtar, jan</w:t>
      </w:r>
      <w:r>
        <w:rPr>
          <w:lang w:val="de-DE"/>
        </w:rPr>
        <w:t>ë</w:t>
      </w:r>
      <w:r w:rsidRPr="00716F9D">
        <w:rPr>
          <w:lang w:val="de-DE"/>
        </w:rPr>
        <w:t>, si m</w:t>
      </w:r>
      <w:r>
        <w:rPr>
          <w:lang w:val="de-DE"/>
        </w:rPr>
        <w:t>ë</w:t>
      </w:r>
      <w:r w:rsidRPr="00716F9D">
        <w:rPr>
          <w:lang w:val="de-DE"/>
        </w:rPr>
        <w:t xml:space="preserve"> posht</w:t>
      </w:r>
      <w:r>
        <w:rPr>
          <w:lang w:val="de-DE"/>
        </w:rPr>
        <w:t>ë</w:t>
      </w:r>
      <w:r w:rsidRPr="00716F9D">
        <w:rPr>
          <w:lang w:val="de-DE"/>
        </w:rPr>
        <w:t xml:space="preserve"> vijon:</w:t>
      </w:r>
    </w:p>
    <w:p w:rsidR="00DD7943" w:rsidRPr="00DD7943" w:rsidRDefault="00DD7943" w:rsidP="00DD7943">
      <w:pPr>
        <w:pStyle w:val="Paragrafi"/>
        <w:rPr>
          <w:lang w:val="it-IT"/>
        </w:rPr>
      </w:pPr>
      <w:r w:rsidRPr="00DD7943">
        <w:rPr>
          <w:lang w:val="it-IT"/>
        </w:rPr>
        <w:t xml:space="preserve">a) Niveli I: Komiteti Kombëtar i Transfuzionit të Gjakut (KKTGJ); </w:t>
      </w:r>
    </w:p>
    <w:p w:rsidR="00DD7943" w:rsidRPr="00DD7943" w:rsidRDefault="00DD7943" w:rsidP="00DD7943">
      <w:pPr>
        <w:pStyle w:val="Paragrafi"/>
        <w:rPr>
          <w:lang w:val="it-IT"/>
        </w:rPr>
      </w:pPr>
      <w:r w:rsidRPr="00DD7943">
        <w:rPr>
          <w:lang w:val="it-IT"/>
        </w:rPr>
        <w:t xml:space="preserve">b) Niveli II: Drejtoria e Qendrës Kombëtare të Transfuzionit të Gjakut (QKTGJ); </w:t>
      </w:r>
    </w:p>
    <w:p w:rsidR="00DD7943" w:rsidRPr="00DD7943" w:rsidRDefault="00DD7943" w:rsidP="00DD7943">
      <w:pPr>
        <w:pStyle w:val="Paragrafi"/>
        <w:rPr>
          <w:lang w:val="it-IT"/>
        </w:rPr>
      </w:pPr>
      <w:r w:rsidRPr="00DD7943">
        <w:rPr>
          <w:lang w:val="it-IT"/>
        </w:rPr>
        <w:t xml:space="preserve">c) Niveli III: Shërbimi në rrethe, ku përfshihen: </w:t>
      </w:r>
    </w:p>
    <w:p w:rsidR="00DD7943" w:rsidRPr="00716F9D" w:rsidRDefault="00DD7943" w:rsidP="00DD7943">
      <w:pPr>
        <w:pStyle w:val="Paragrafi"/>
        <w:rPr>
          <w:lang w:val="de-DE"/>
        </w:rPr>
      </w:pPr>
      <w:r>
        <w:rPr>
          <w:lang w:val="de-DE"/>
        </w:rPr>
        <w:t xml:space="preserve">- </w:t>
      </w:r>
      <w:r w:rsidRPr="00716F9D">
        <w:rPr>
          <w:lang w:val="de-DE"/>
        </w:rPr>
        <w:t xml:space="preserve">qendrat rajonale të gjakut (katër qendra rajonale); </w:t>
      </w:r>
    </w:p>
    <w:p w:rsidR="00DD7943" w:rsidRPr="00716F9D" w:rsidRDefault="00DD7943" w:rsidP="00DD7943">
      <w:pPr>
        <w:pStyle w:val="Paragrafi"/>
        <w:rPr>
          <w:lang w:val="de-DE"/>
        </w:rPr>
      </w:pPr>
      <w:r>
        <w:rPr>
          <w:lang w:val="de-DE"/>
        </w:rPr>
        <w:t>-</w:t>
      </w:r>
      <w:r w:rsidRPr="00716F9D">
        <w:rPr>
          <w:lang w:val="de-DE"/>
        </w:rPr>
        <w:t xml:space="preserve"> bankat e gjakut, mbledhëse dhe shpërndar</w:t>
      </w:r>
      <w:r w:rsidR="00C26BA4">
        <w:rPr>
          <w:lang w:val="de-DE"/>
        </w:rPr>
        <w:t>ë</w:t>
      </w:r>
      <w:r w:rsidRPr="00716F9D">
        <w:rPr>
          <w:lang w:val="de-DE"/>
        </w:rPr>
        <w:t xml:space="preserve">se, (15 banka të tilla gjaku); </w:t>
      </w:r>
    </w:p>
    <w:p w:rsidR="00DD7943" w:rsidRPr="00716F9D" w:rsidRDefault="00DD7943" w:rsidP="00DD7943">
      <w:pPr>
        <w:pStyle w:val="Paragrafi"/>
        <w:rPr>
          <w:lang w:val="de-DE"/>
        </w:rPr>
      </w:pPr>
      <w:r>
        <w:rPr>
          <w:lang w:val="de-DE"/>
        </w:rPr>
        <w:t>-</w:t>
      </w:r>
      <w:r w:rsidRPr="00716F9D">
        <w:rPr>
          <w:lang w:val="de-DE"/>
        </w:rPr>
        <w:t xml:space="preserve"> banka</w:t>
      </w:r>
      <w:r>
        <w:rPr>
          <w:lang w:val="de-DE"/>
        </w:rPr>
        <w:t xml:space="preserve"> sh</w:t>
      </w:r>
      <w:r w:rsidRPr="00716F9D">
        <w:rPr>
          <w:lang w:val="de-DE"/>
        </w:rPr>
        <w:t>p</w:t>
      </w:r>
      <w:r>
        <w:rPr>
          <w:lang w:val="de-DE"/>
        </w:rPr>
        <w:t>ërn</w:t>
      </w:r>
      <w:r w:rsidRPr="00716F9D">
        <w:rPr>
          <w:lang w:val="de-DE"/>
        </w:rPr>
        <w:t>dar</w:t>
      </w:r>
      <w:r>
        <w:rPr>
          <w:lang w:val="de-DE"/>
        </w:rPr>
        <w:t>ë</w:t>
      </w:r>
      <w:r w:rsidRPr="00716F9D">
        <w:rPr>
          <w:lang w:val="de-DE"/>
        </w:rPr>
        <w:t xml:space="preserve">se të gjakut (11 banka të tilla gjaku). </w:t>
      </w:r>
    </w:p>
    <w:p w:rsidR="00DD7943" w:rsidRPr="00716F9D" w:rsidRDefault="00DD7943" w:rsidP="00DD7943">
      <w:pPr>
        <w:pStyle w:val="Paragrafi"/>
        <w:rPr>
          <w:lang w:val="de-DE"/>
        </w:rPr>
      </w:pPr>
      <w:r w:rsidRPr="00716F9D">
        <w:rPr>
          <w:lang w:val="de-DE"/>
        </w:rPr>
        <w:t>3. Produktet e gjakut, të prodhuara dhe të ofruara nga strukturat e shërbimit të transfuzionit, jan</w:t>
      </w:r>
      <w:r>
        <w:rPr>
          <w:lang w:val="de-DE"/>
        </w:rPr>
        <w:t>ë</w:t>
      </w:r>
      <w:r w:rsidRPr="00716F9D">
        <w:rPr>
          <w:lang w:val="de-DE"/>
        </w:rPr>
        <w:t>, si m</w:t>
      </w:r>
      <w:r>
        <w:rPr>
          <w:lang w:val="de-DE"/>
        </w:rPr>
        <w:t>ë</w:t>
      </w:r>
      <w:r w:rsidRPr="00716F9D">
        <w:rPr>
          <w:lang w:val="de-DE"/>
        </w:rPr>
        <w:t xml:space="preserve"> posht</w:t>
      </w:r>
      <w:r>
        <w:rPr>
          <w:lang w:val="de-DE"/>
        </w:rPr>
        <w:t>ë</w:t>
      </w:r>
      <w:r w:rsidRPr="00716F9D">
        <w:rPr>
          <w:lang w:val="de-DE"/>
        </w:rPr>
        <w:t xml:space="preserve"> vijon: </w:t>
      </w:r>
    </w:p>
    <w:p w:rsidR="00DD7943" w:rsidRPr="00716F9D" w:rsidRDefault="00DD7943" w:rsidP="00DD7943">
      <w:pPr>
        <w:pStyle w:val="Paragrafi"/>
        <w:rPr>
          <w:lang w:val="de-DE"/>
        </w:rPr>
      </w:pPr>
      <w:r w:rsidRPr="00716F9D">
        <w:rPr>
          <w:lang w:val="de-DE"/>
        </w:rPr>
        <w:t xml:space="preserve">a) Produktet eritrocitare: </w:t>
      </w:r>
    </w:p>
    <w:p w:rsidR="00DD7943" w:rsidRPr="00716F9D" w:rsidRDefault="00DD7943" w:rsidP="00DD7943">
      <w:pPr>
        <w:pStyle w:val="Paragrafi"/>
        <w:rPr>
          <w:lang w:val="de-DE"/>
        </w:rPr>
      </w:pPr>
      <w:r>
        <w:rPr>
          <w:lang w:val="de-DE"/>
        </w:rPr>
        <w:t>-</w:t>
      </w:r>
      <w:r w:rsidRPr="00716F9D">
        <w:rPr>
          <w:lang w:val="de-DE"/>
        </w:rPr>
        <w:t xml:space="preserve"> </w:t>
      </w:r>
      <w:r w:rsidR="00927123">
        <w:rPr>
          <w:lang w:val="de-DE"/>
        </w:rPr>
        <w:t>g</w:t>
      </w:r>
      <w:r w:rsidRPr="00716F9D">
        <w:rPr>
          <w:lang w:val="de-DE"/>
        </w:rPr>
        <w:t>jak i plot</w:t>
      </w:r>
      <w:r>
        <w:rPr>
          <w:lang w:val="de-DE"/>
        </w:rPr>
        <w:t>ë</w:t>
      </w:r>
      <w:r w:rsidRPr="00716F9D">
        <w:rPr>
          <w:lang w:val="de-DE"/>
        </w:rPr>
        <w:t xml:space="preserve">; </w:t>
      </w:r>
    </w:p>
    <w:p w:rsidR="00DD7943" w:rsidRPr="00716F9D" w:rsidRDefault="00DD7943" w:rsidP="00DD7943">
      <w:pPr>
        <w:pStyle w:val="Paragrafi"/>
        <w:rPr>
          <w:lang w:val="de-DE"/>
        </w:rPr>
      </w:pPr>
      <w:r>
        <w:rPr>
          <w:lang w:val="de-DE"/>
        </w:rPr>
        <w:t>-</w:t>
      </w:r>
      <w:r w:rsidRPr="00716F9D">
        <w:rPr>
          <w:lang w:val="de-DE"/>
        </w:rPr>
        <w:t xml:space="preserve"> </w:t>
      </w:r>
      <w:r w:rsidR="00927123">
        <w:rPr>
          <w:lang w:val="de-DE"/>
        </w:rPr>
        <w:t>q</w:t>
      </w:r>
      <w:r w:rsidRPr="00716F9D">
        <w:rPr>
          <w:lang w:val="de-DE"/>
        </w:rPr>
        <w:t xml:space="preserve">eliza të kuqe; </w:t>
      </w:r>
    </w:p>
    <w:p w:rsidR="00DD7943" w:rsidRPr="00716F9D" w:rsidRDefault="00DD7943" w:rsidP="00DD7943">
      <w:pPr>
        <w:pStyle w:val="Paragrafi"/>
        <w:rPr>
          <w:lang w:val="de-DE"/>
        </w:rPr>
      </w:pPr>
      <w:r>
        <w:rPr>
          <w:lang w:val="de-DE"/>
        </w:rPr>
        <w:t>-</w:t>
      </w:r>
      <w:r w:rsidRPr="00716F9D">
        <w:rPr>
          <w:lang w:val="de-DE"/>
        </w:rPr>
        <w:t xml:space="preserve"> </w:t>
      </w:r>
      <w:r w:rsidR="00927123">
        <w:rPr>
          <w:lang w:val="de-DE"/>
        </w:rPr>
        <w:t>q</w:t>
      </w:r>
      <w:r w:rsidRPr="00716F9D">
        <w:rPr>
          <w:lang w:val="de-DE"/>
        </w:rPr>
        <w:t>eliza të kuqe, në SAGM (salin</w:t>
      </w:r>
      <w:r>
        <w:rPr>
          <w:lang w:val="de-DE"/>
        </w:rPr>
        <w:t>ë</w:t>
      </w:r>
      <w:r w:rsidRPr="00716F9D">
        <w:rPr>
          <w:lang w:val="de-DE"/>
        </w:rPr>
        <w:t>, adeninë, glukoz</w:t>
      </w:r>
      <w:r>
        <w:rPr>
          <w:lang w:val="de-DE"/>
        </w:rPr>
        <w:t>ë</w:t>
      </w:r>
      <w:r w:rsidRPr="00716F9D">
        <w:rPr>
          <w:lang w:val="de-DE"/>
        </w:rPr>
        <w:t xml:space="preserve">, manitol); </w:t>
      </w:r>
    </w:p>
    <w:p w:rsidR="00DD7943" w:rsidRPr="00915D1E" w:rsidRDefault="00DD7943" w:rsidP="00DD7943">
      <w:pPr>
        <w:pStyle w:val="Paragrafi"/>
        <w:rPr>
          <w:lang w:val="es-CL"/>
        </w:rPr>
      </w:pPr>
      <w:r>
        <w:rPr>
          <w:lang w:val="es-CL"/>
        </w:rPr>
        <w:t>-</w:t>
      </w:r>
      <w:r w:rsidRPr="00915D1E">
        <w:rPr>
          <w:lang w:val="es-CL"/>
        </w:rPr>
        <w:t xml:space="preserve"> </w:t>
      </w:r>
      <w:r w:rsidR="00927123">
        <w:rPr>
          <w:lang w:val="es-CL"/>
        </w:rPr>
        <w:t>q</w:t>
      </w:r>
      <w:r w:rsidRPr="00915D1E">
        <w:rPr>
          <w:lang w:val="es-CL"/>
        </w:rPr>
        <w:t xml:space="preserve">eliza të kuqe, pa buffy-coat, me solucion shtesë; </w:t>
      </w:r>
    </w:p>
    <w:p w:rsidR="00DD7943" w:rsidRPr="00915D1E" w:rsidRDefault="00DD7943" w:rsidP="00DD7943">
      <w:pPr>
        <w:pStyle w:val="Paragrafi"/>
        <w:rPr>
          <w:lang w:val="es-CL"/>
        </w:rPr>
      </w:pPr>
      <w:r>
        <w:rPr>
          <w:lang w:val="es-CL"/>
        </w:rPr>
        <w:t>-</w:t>
      </w:r>
      <w:r w:rsidRPr="00915D1E">
        <w:rPr>
          <w:lang w:val="es-CL"/>
        </w:rPr>
        <w:t xml:space="preserve"> </w:t>
      </w:r>
      <w:r w:rsidR="00927123">
        <w:rPr>
          <w:lang w:val="es-CL"/>
        </w:rPr>
        <w:t>q</w:t>
      </w:r>
      <w:r w:rsidRPr="00915D1E">
        <w:rPr>
          <w:lang w:val="es-CL"/>
        </w:rPr>
        <w:t xml:space="preserve">eliza të kuqe, pa buffy-coat, pa solucion shtesë; </w:t>
      </w:r>
    </w:p>
    <w:p w:rsidR="00DD7943" w:rsidRPr="00DD7943" w:rsidRDefault="00DD7943" w:rsidP="00DD7943">
      <w:pPr>
        <w:pStyle w:val="Paragrafi"/>
        <w:rPr>
          <w:lang w:val="es-CL"/>
        </w:rPr>
      </w:pPr>
      <w:r>
        <w:rPr>
          <w:lang w:val="es-CL"/>
        </w:rPr>
        <w:t>-</w:t>
      </w:r>
      <w:r w:rsidRPr="00DD7943">
        <w:rPr>
          <w:lang w:val="es-CL"/>
        </w:rPr>
        <w:t xml:space="preserve"> </w:t>
      </w:r>
      <w:r w:rsidR="00927123">
        <w:rPr>
          <w:lang w:val="es-CL"/>
        </w:rPr>
        <w:t>q</w:t>
      </w:r>
      <w:r w:rsidRPr="00DD7943">
        <w:rPr>
          <w:lang w:val="es-CL"/>
        </w:rPr>
        <w:t xml:space="preserve">eliza të kuqe të leukodepletuara. </w:t>
      </w:r>
    </w:p>
    <w:p w:rsidR="00DD7943" w:rsidRPr="00716F9D" w:rsidRDefault="00DD7943" w:rsidP="00DD7943">
      <w:pPr>
        <w:pStyle w:val="Paragrafi"/>
        <w:rPr>
          <w:lang w:val="de-DE"/>
        </w:rPr>
      </w:pPr>
      <w:r w:rsidRPr="00716F9D">
        <w:rPr>
          <w:lang w:val="de-DE"/>
        </w:rPr>
        <w:t xml:space="preserve">b) Produktet plazmatike: </w:t>
      </w:r>
    </w:p>
    <w:p w:rsidR="00DD7943" w:rsidRPr="00716F9D" w:rsidRDefault="00DD7943" w:rsidP="00DD7943">
      <w:pPr>
        <w:pStyle w:val="Paragrafi"/>
        <w:rPr>
          <w:lang w:val="de-DE"/>
        </w:rPr>
      </w:pPr>
      <w:r>
        <w:rPr>
          <w:lang w:val="de-DE"/>
        </w:rPr>
        <w:t>-</w:t>
      </w:r>
      <w:r w:rsidRPr="00716F9D">
        <w:rPr>
          <w:lang w:val="de-DE"/>
        </w:rPr>
        <w:t xml:space="preserve"> </w:t>
      </w:r>
      <w:r w:rsidR="00927123">
        <w:rPr>
          <w:lang w:val="de-DE"/>
        </w:rPr>
        <w:t>p</w:t>
      </w:r>
      <w:r w:rsidRPr="00716F9D">
        <w:rPr>
          <w:lang w:val="de-DE"/>
        </w:rPr>
        <w:t xml:space="preserve">lazmë e freskët, e ngrirë; </w:t>
      </w:r>
    </w:p>
    <w:p w:rsidR="00DD7943" w:rsidRPr="00716F9D" w:rsidRDefault="00DD7943" w:rsidP="00DD7943">
      <w:pPr>
        <w:pStyle w:val="Paragrafi"/>
        <w:rPr>
          <w:lang w:val="de-DE"/>
        </w:rPr>
      </w:pPr>
      <w:r>
        <w:rPr>
          <w:lang w:val="de-DE"/>
        </w:rPr>
        <w:t>-</w:t>
      </w:r>
      <w:r w:rsidRPr="00716F9D">
        <w:rPr>
          <w:lang w:val="de-DE"/>
        </w:rPr>
        <w:t xml:space="preserve"> </w:t>
      </w:r>
      <w:r w:rsidR="00927123">
        <w:rPr>
          <w:lang w:val="de-DE"/>
        </w:rPr>
        <w:t>p</w:t>
      </w:r>
      <w:r w:rsidRPr="00716F9D">
        <w:rPr>
          <w:lang w:val="de-DE"/>
        </w:rPr>
        <w:t>lazmë e varfër n</w:t>
      </w:r>
      <w:r w:rsidR="00C26BA4">
        <w:rPr>
          <w:lang w:val="de-DE"/>
        </w:rPr>
        <w:t>ë</w:t>
      </w:r>
      <w:r w:rsidRPr="00716F9D">
        <w:rPr>
          <w:lang w:val="de-DE"/>
        </w:rPr>
        <w:t xml:space="preserve"> krioprecipitat; </w:t>
      </w:r>
    </w:p>
    <w:p w:rsidR="00DD7943" w:rsidRPr="00716F9D" w:rsidRDefault="00DD7943" w:rsidP="00DD7943">
      <w:pPr>
        <w:pStyle w:val="Paragrafi"/>
        <w:rPr>
          <w:lang w:val="de-DE"/>
        </w:rPr>
      </w:pPr>
      <w:r>
        <w:rPr>
          <w:lang w:val="de-DE"/>
        </w:rPr>
        <w:t>-</w:t>
      </w:r>
      <w:r w:rsidRPr="00716F9D">
        <w:rPr>
          <w:lang w:val="de-DE"/>
        </w:rPr>
        <w:t xml:space="preserve"> </w:t>
      </w:r>
      <w:r w:rsidR="00927123">
        <w:rPr>
          <w:lang w:val="de-DE"/>
        </w:rPr>
        <w:t>k</w:t>
      </w:r>
      <w:r w:rsidRPr="00716F9D">
        <w:rPr>
          <w:lang w:val="de-DE"/>
        </w:rPr>
        <w:t xml:space="preserve">rioprecipitat. </w:t>
      </w:r>
    </w:p>
    <w:p w:rsidR="00DD7943" w:rsidRDefault="00DD7943" w:rsidP="00DD7943">
      <w:pPr>
        <w:pStyle w:val="Paragrafi"/>
        <w:rPr>
          <w:lang w:val="de-DE"/>
        </w:rPr>
      </w:pPr>
      <w:r>
        <w:rPr>
          <w:lang w:val="de-DE"/>
        </w:rPr>
        <w:t>c) Produktet trombocitar</w:t>
      </w:r>
      <w:r w:rsidR="00C26BA4">
        <w:rPr>
          <w:lang w:val="de-DE"/>
        </w:rPr>
        <w:t>ë</w:t>
      </w:r>
      <w:r>
        <w:rPr>
          <w:lang w:val="de-DE"/>
        </w:rPr>
        <w:t xml:space="preserve"> </w:t>
      </w:r>
    </w:p>
    <w:p w:rsidR="00DD7943" w:rsidRDefault="00DD7943" w:rsidP="00DD7943">
      <w:pPr>
        <w:pStyle w:val="Paragrafi"/>
        <w:rPr>
          <w:lang w:val="de-DE"/>
        </w:rPr>
      </w:pPr>
      <w:r>
        <w:rPr>
          <w:lang w:val="de-DE"/>
        </w:rPr>
        <w:t>-</w:t>
      </w:r>
      <w:r w:rsidRPr="00FC1DC1">
        <w:rPr>
          <w:lang w:val="de-DE"/>
        </w:rPr>
        <w:t xml:space="preserve"> </w:t>
      </w:r>
      <w:r w:rsidR="00927123">
        <w:rPr>
          <w:lang w:val="de-DE"/>
        </w:rPr>
        <w:t>t</w:t>
      </w:r>
      <w:r w:rsidRPr="00FC1DC1">
        <w:rPr>
          <w:lang w:val="de-DE"/>
        </w:rPr>
        <w:t>rombocite, t</w:t>
      </w:r>
      <w:r>
        <w:rPr>
          <w:lang w:val="de-DE"/>
        </w:rPr>
        <w:t>ë</w:t>
      </w:r>
      <w:r w:rsidRPr="00FC1DC1">
        <w:rPr>
          <w:lang w:val="de-DE"/>
        </w:rPr>
        <w:t xml:space="preserve"> prodhuara nga</w:t>
      </w:r>
      <w:r>
        <w:rPr>
          <w:lang w:val="de-DE"/>
        </w:rPr>
        <w:t xml:space="preserve"> plazma e pasur n</w:t>
      </w:r>
      <w:r w:rsidR="00C26BA4">
        <w:rPr>
          <w:lang w:val="de-DE"/>
        </w:rPr>
        <w:t>ë</w:t>
      </w:r>
      <w:r>
        <w:rPr>
          <w:lang w:val="de-DE"/>
        </w:rPr>
        <w:t xml:space="preserve"> trombocite. </w:t>
      </w:r>
    </w:p>
    <w:p w:rsidR="00DD7943" w:rsidRDefault="00DD7943" w:rsidP="00DD7943">
      <w:pPr>
        <w:pStyle w:val="Paragrafi"/>
        <w:rPr>
          <w:lang w:val="de-DE"/>
        </w:rPr>
      </w:pPr>
      <w:r w:rsidRPr="00716F9D">
        <w:rPr>
          <w:lang w:val="de-DE"/>
        </w:rPr>
        <w:t>4. Produktet e gjakut, të siguruara nga shërbimi i transfuzionit, duhet të plot</w:t>
      </w:r>
      <w:r w:rsidR="00C26BA4">
        <w:rPr>
          <w:lang w:val="de-DE"/>
        </w:rPr>
        <w:t>ë</w:t>
      </w:r>
      <w:r w:rsidRPr="00716F9D">
        <w:rPr>
          <w:lang w:val="de-DE"/>
        </w:rPr>
        <w:t>sojn</w:t>
      </w:r>
      <w:r w:rsidR="00C26BA4">
        <w:rPr>
          <w:lang w:val="de-DE"/>
        </w:rPr>
        <w:t>ë</w:t>
      </w:r>
      <w:r w:rsidRPr="00716F9D">
        <w:rPr>
          <w:lang w:val="de-DE"/>
        </w:rPr>
        <w:t xml:space="preserve"> standardet e paraqitura n</w:t>
      </w:r>
      <w:r w:rsidR="00C26BA4">
        <w:rPr>
          <w:lang w:val="de-DE"/>
        </w:rPr>
        <w:t>ë</w:t>
      </w:r>
      <w:r w:rsidRPr="00716F9D">
        <w:rPr>
          <w:lang w:val="de-DE"/>
        </w:rPr>
        <w:t xml:space="preserve"> shtojcën 1, që</w:t>
      </w:r>
      <w:r>
        <w:rPr>
          <w:lang w:val="de-DE"/>
        </w:rPr>
        <w:t xml:space="preserve"> i bashkëlidhet këtij vendimi. </w:t>
      </w:r>
    </w:p>
    <w:p w:rsidR="00DD7943" w:rsidRDefault="00DD7943" w:rsidP="00DD7943">
      <w:pPr>
        <w:pStyle w:val="Paragrafi"/>
        <w:rPr>
          <w:lang w:val="de-DE"/>
        </w:rPr>
      </w:pPr>
      <w:r w:rsidRPr="00716F9D">
        <w:rPr>
          <w:lang w:val="de-DE"/>
        </w:rPr>
        <w:t>5. Ngarkohet Ministri i Shëndetësisë p</w:t>
      </w:r>
      <w:r>
        <w:rPr>
          <w:lang w:val="de-DE"/>
        </w:rPr>
        <w:t>ë</w:t>
      </w:r>
      <w:r w:rsidRPr="00716F9D">
        <w:rPr>
          <w:lang w:val="de-DE"/>
        </w:rPr>
        <w:t xml:space="preserve">r zbatimin e këtij vendimi. </w:t>
      </w:r>
    </w:p>
    <w:p w:rsidR="00DD7943" w:rsidRDefault="00DD7943" w:rsidP="00DD7943">
      <w:pPr>
        <w:pStyle w:val="Paragrafi"/>
        <w:rPr>
          <w:lang w:val="de-DE"/>
        </w:rPr>
      </w:pPr>
      <w:r w:rsidRPr="00716F9D">
        <w:rPr>
          <w:lang w:val="de-DE"/>
        </w:rPr>
        <w:t>Ky vendim hyn në fuqi</w:t>
      </w:r>
      <w:r>
        <w:rPr>
          <w:lang w:val="de-DE"/>
        </w:rPr>
        <w:t xml:space="preserve"> </w:t>
      </w:r>
      <w:r w:rsidRPr="00716F9D">
        <w:rPr>
          <w:lang w:val="de-DE"/>
        </w:rPr>
        <w:t xml:space="preserve">pas </w:t>
      </w:r>
      <w:r>
        <w:rPr>
          <w:lang w:val="de-DE"/>
        </w:rPr>
        <w:t xml:space="preserve">botimit në Fletoren Zyrtare. </w:t>
      </w:r>
    </w:p>
    <w:p w:rsidR="00DD7943" w:rsidRDefault="00DD7943" w:rsidP="00DD7943">
      <w:pPr>
        <w:pStyle w:val="Paragrafi"/>
        <w:rPr>
          <w:lang w:val="de-DE"/>
        </w:rPr>
      </w:pPr>
    </w:p>
    <w:p w:rsidR="00DD7943" w:rsidRDefault="00DD7943" w:rsidP="00DD7943">
      <w:pPr>
        <w:pStyle w:val="Autoriteti"/>
      </w:pPr>
      <w:r w:rsidRPr="00716F9D">
        <w:t xml:space="preserve">KRYEMINISTRI </w:t>
      </w:r>
    </w:p>
    <w:p w:rsidR="00DD7943" w:rsidRPr="00716F9D" w:rsidRDefault="00DD7943" w:rsidP="00DD7943">
      <w:pPr>
        <w:pStyle w:val="AutoritetiEmer"/>
      </w:pPr>
      <w:r>
        <w:t>Sali Berisha</w:t>
      </w:r>
    </w:p>
    <w:p w:rsidR="00DD7943" w:rsidRDefault="00DD7943" w:rsidP="00DD7943">
      <w:pPr>
        <w:pStyle w:val="Paragrafi"/>
        <w:rPr>
          <w:lang w:val="de-DE"/>
        </w:rPr>
      </w:pPr>
    </w:p>
    <w:p w:rsidR="00DD7943" w:rsidRDefault="00DD7943" w:rsidP="00DD7943">
      <w:pPr>
        <w:pStyle w:val="Paragrafi"/>
        <w:rPr>
          <w:lang w:val="de-DE"/>
        </w:rPr>
      </w:pPr>
    </w:p>
    <w:p w:rsidR="00DD7943" w:rsidRDefault="00DD7943" w:rsidP="00DD7943">
      <w:pPr>
        <w:pStyle w:val="Paragrafi"/>
        <w:rPr>
          <w:lang w:val="de-DE"/>
        </w:rPr>
      </w:pPr>
    </w:p>
    <w:p w:rsidR="00C26BA4" w:rsidRDefault="00C26BA4" w:rsidP="00DD7943">
      <w:pPr>
        <w:pStyle w:val="Paragrafi"/>
        <w:jc w:val="center"/>
        <w:rPr>
          <w:b/>
        </w:rPr>
      </w:pPr>
    </w:p>
    <w:p w:rsidR="00DD7943" w:rsidRDefault="00DD7943" w:rsidP="00DD7943">
      <w:pPr>
        <w:pStyle w:val="Paragrafi"/>
        <w:jc w:val="center"/>
        <w:rPr>
          <w:b/>
        </w:rPr>
      </w:pPr>
      <w:r w:rsidRPr="00CF2692">
        <w:rPr>
          <w:b/>
        </w:rPr>
        <w:t xml:space="preserve">SHTOJCA </w:t>
      </w:r>
      <w:r w:rsidR="00927123">
        <w:rPr>
          <w:b/>
        </w:rPr>
        <w:t>I</w:t>
      </w:r>
    </w:p>
    <w:p w:rsidR="001A1E7F" w:rsidRPr="00CF2692" w:rsidRDefault="001A1E7F" w:rsidP="00DD7943">
      <w:pPr>
        <w:pStyle w:val="Paragrafi"/>
        <w:jc w:val="center"/>
        <w:rPr>
          <w:b/>
          <w:lang w:val="de-DE"/>
        </w:rPr>
      </w:pPr>
    </w:p>
    <w:tbl>
      <w:tblPr>
        <w:tblW w:w="8640" w:type="dxa"/>
        <w:tblInd w:w="596" w:type="dxa"/>
        <w:tblLayout w:type="fixed"/>
        <w:tblCellMar>
          <w:left w:w="56" w:type="dxa"/>
          <w:right w:w="56" w:type="dxa"/>
        </w:tblCellMar>
        <w:tblLook w:val="0000" w:firstRow="0" w:lastRow="0" w:firstColumn="0" w:lastColumn="0" w:noHBand="0" w:noVBand="0"/>
      </w:tblPr>
      <w:tblGrid>
        <w:gridCol w:w="2078"/>
        <w:gridCol w:w="73"/>
        <w:gridCol w:w="2705"/>
        <w:gridCol w:w="102"/>
        <w:gridCol w:w="3604"/>
        <w:gridCol w:w="78"/>
      </w:tblGrid>
      <w:tr w:rsidR="00DD7943">
        <w:tblPrEx>
          <w:tblCellMar>
            <w:top w:w="0" w:type="dxa"/>
            <w:bottom w:w="0" w:type="dxa"/>
          </w:tblCellMar>
        </w:tblPrEx>
        <w:tc>
          <w:tcPr>
            <w:tcW w:w="2151" w:type="dxa"/>
            <w:gridSpan w:val="2"/>
            <w:tcBorders>
              <w:top w:val="single" w:sz="4" w:space="0" w:color="auto"/>
              <w:left w:val="single" w:sz="4" w:space="0" w:color="auto"/>
              <w:bottom w:val="single" w:sz="6" w:space="0" w:color="auto"/>
              <w:right w:val="single" w:sz="6" w:space="0" w:color="auto"/>
            </w:tcBorders>
          </w:tcPr>
          <w:p w:rsidR="00DD7943" w:rsidRDefault="00DD7943" w:rsidP="00204633">
            <w:pPr>
              <w:pStyle w:val="Tabele"/>
            </w:pPr>
            <w:r>
              <w:t>Emri i produktit</w:t>
            </w: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Parametrat e kontrolluar</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Rezultati i duhur</w:t>
            </w:r>
          </w:p>
        </w:tc>
      </w:tr>
      <w:tr w:rsidR="00DD7943">
        <w:tblPrEx>
          <w:tblCellMar>
            <w:top w:w="0" w:type="dxa"/>
            <w:bottom w:w="0" w:type="dxa"/>
          </w:tblCellMar>
        </w:tblPrEx>
        <w:tc>
          <w:tcPr>
            <w:tcW w:w="2151" w:type="dxa"/>
            <w:gridSpan w:val="2"/>
            <w:vMerge w:val="restart"/>
            <w:tcBorders>
              <w:top w:val="single" w:sz="6" w:space="0" w:color="auto"/>
              <w:left w:val="single" w:sz="6" w:space="0" w:color="auto"/>
              <w:right w:val="single" w:sz="6" w:space="0" w:color="auto"/>
            </w:tcBorders>
          </w:tcPr>
          <w:p w:rsidR="00DD7943" w:rsidRDefault="00DD7943" w:rsidP="00204633">
            <w:pPr>
              <w:pStyle w:val="Tabele"/>
            </w:pPr>
            <w:r>
              <w:t>Gjaku i plotë</w:t>
            </w: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ABO, Rh D grup</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rPr>
                <w:sz w:val="20"/>
              </w:rPr>
            </w:pP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rPr>
                <w:sz w:val="20"/>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Anti-HIV1 /2, anti-HCV, HBsAg, Sifiliz, CMV</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Negativ</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Volumi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 xml:space="preserve">400 </w:t>
            </w:r>
            <w:r>
              <w:rPr>
                <w:sz w:val="30"/>
                <w:szCs w:val="30"/>
              </w:rPr>
              <w:t xml:space="preserve">± </w:t>
            </w:r>
            <w:r>
              <w:t>10</w:t>
            </w:r>
          </w:p>
        </w:tc>
      </w:tr>
      <w:tr w:rsidR="00DD7943" w:rsidRPr="001D6700">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Hemoglobina</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1D6700" w:rsidRDefault="00DD7943" w:rsidP="00204633">
            <w:pPr>
              <w:pStyle w:val="Tabele"/>
              <w:rPr>
                <w:lang w:val="es-CL"/>
              </w:rPr>
            </w:pPr>
            <w:r w:rsidRPr="001D6700">
              <w:rPr>
                <w:lang w:val="es-CL"/>
              </w:rPr>
              <w:t>Jo me pak se 43g/nj</w:t>
            </w:r>
            <w:r>
              <w:rPr>
                <w:lang w:val="es-CL"/>
              </w:rPr>
              <w:t>ë</w:t>
            </w:r>
            <w:r w:rsidRPr="001D6700">
              <w:rPr>
                <w:lang w:val="es-CL"/>
              </w:rPr>
              <w:t>si</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Pr="001D6700" w:rsidRDefault="00DD7943" w:rsidP="00204633">
            <w:pPr>
              <w:pStyle w:val="Tabele"/>
              <w:rPr>
                <w:lang w:val="es-CL"/>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Hemoliza në fund të rualties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&lt;0.8% të masës eritrocitare</w:t>
            </w:r>
          </w:p>
        </w:tc>
      </w:tr>
      <w:tr w:rsidR="00DD7943">
        <w:tblPrEx>
          <w:tblCellMar>
            <w:top w:w="0" w:type="dxa"/>
            <w:bottom w:w="0" w:type="dxa"/>
          </w:tblCellMar>
        </w:tblPrEx>
        <w:tc>
          <w:tcPr>
            <w:tcW w:w="2151" w:type="dxa"/>
            <w:gridSpan w:val="2"/>
            <w:vMerge/>
            <w:tcBorders>
              <w:left w:val="single" w:sz="6" w:space="0" w:color="auto"/>
              <w:bottom w:val="single" w:sz="6" w:space="0" w:color="auto"/>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Etiketimi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Sipas standardeve të</w:t>
            </w:r>
            <w:r>
              <w:rPr>
                <w:sz w:val="30"/>
                <w:szCs w:val="30"/>
              </w:rPr>
              <w:t xml:space="preserve"> </w:t>
            </w:r>
            <w:r>
              <w:t xml:space="preserve">përcaktuar në </w:t>
            </w:r>
            <w:r>
              <w:rPr>
                <w:sz w:val="30"/>
                <w:szCs w:val="30"/>
              </w:rPr>
              <w:t xml:space="preserve"> </w:t>
            </w:r>
            <w:r w:rsidR="00927123">
              <w:t>rr</w:t>
            </w:r>
            <w:r>
              <w:t>egulloren përkatëse</w:t>
            </w:r>
          </w:p>
        </w:tc>
      </w:tr>
      <w:tr w:rsidR="00DD7943" w:rsidRPr="00DD0ADD">
        <w:tblPrEx>
          <w:tblCellMar>
            <w:top w:w="0" w:type="dxa"/>
            <w:bottom w:w="0" w:type="dxa"/>
          </w:tblCellMar>
        </w:tblPrEx>
        <w:trPr>
          <w:trHeight w:val="405"/>
        </w:trPr>
        <w:tc>
          <w:tcPr>
            <w:tcW w:w="2151" w:type="dxa"/>
            <w:gridSpan w:val="2"/>
            <w:vMerge w:val="restart"/>
            <w:tcBorders>
              <w:top w:val="single" w:sz="6" w:space="0" w:color="auto"/>
              <w:left w:val="single" w:sz="6" w:space="0" w:color="auto"/>
              <w:right w:val="single" w:sz="6" w:space="0" w:color="auto"/>
            </w:tcBorders>
          </w:tcPr>
          <w:p w:rsidR="00DD7943" w:rsidRDefault="00DD7943" w:rsidP="00204633">
            <w:pPr>
              <w:pStyle w:val="Tabele"/>
            </w:pPr>
            <w:r>
              <w:t>Qeliza të kuqe</w:t>
            </w:r>
            <w:r w:rsidR="005662D5" w:rsidRPr="005662D5">
              <w:rPr>
                <w:vertAlign w:val="superscript"/>
              </w:rPr>
              <w:t>1</w:t>
            </w:r>
          </w:p>
          <w:p w:rsidR="00DD7943" w:rsidRDefault="00DD7943" w:rsidP="00204633">
            <w:pPr>
              <w:pStyle w:val="Tabele"/>
            </w:pPr>
          </w:p>
        </w:tc>
        <w:tc>
          <w:tcPr>
            <w:tcW w:w="2705" w:type="dxa"/>
            <w:tcBorders>
              <w:top w:val="single" w:sz="6" w:space="0" w:color="auto"/>
              <w:left w:val="single" w:sz="6" w:space="0" w:color="auto"/>
              <w:bottom w:val="single" w:sz="4" w:space="0" w:color="auto"/>
              <w:right w:val="single" w:sz="6" w:space="0" w:color="auto"/>
            </w:tcBorders>
          </w:tcPr>
          <w:p w:rsidR="00DD7943" w:rsidRDefault="00DD7943" w:rsidP="00204633">
            <w:pPr>
              <w:pStyle w:val="Tabele"/>
            </w:pPr>
            <w:r>
              <w:t>Volumi</w:t>
            </w:r>
          </w:p>
        </w:tc>
        <w:tc>
          <w:tcPr>
            <w:tcW w:w="3784" w:type="dxa"/>
            <w:gridSpan w:val="3"/>
            <w:tcBorders>
              <w:top w:val="single" w:sz="6" w:space="0" w:color="auto"/>
              <w:left w:val="single" w:sz="6" w:space="0" w:color="auto"/>
              <w:bottom w:val="single" w:sz="4" w:space="0" w:color="auto"/>
              <w:right w:val="single" w:sz="6" w:space="0" w:color="auto"/>
            </w:tcBorders>
          </w:tcPr>
          <w:p w:rsidR="00DD7943" w:rsidRPr="00DD0ADD" w:rsidRDefault="00DD7943" w:rsidP="00204633">
            <w:pPr>
              <w:pStyle w:val="Tabele"/>
              <w:rPr>
                <w:lang w:val="de-DE"/>
              </w:rPr>
            </w:pPr>
            <w:r w:rsidRPr="00DD0ADD">
              <w:rPr>
                <w:lang w:val="de-DE"/>
              </w:rPr>
              <w:t>Te vlefshme p</w:t>
            </w:r>
            <w:r>
              <w:rPr>
                <w:lang w:val="de-DE"/>
              </w:rPr>
              <w:t xml:space="preserve">ër të </w:t>
            </w:r>
            <w:r w:rsidRPr="00DD0ADD">
              <w:rPr>
                <w:lang w:val="de-DE"/>
              </w:rPr>
              <w:t>ruajtur v</w:t>
            </w:r>
            <w:r>
              <w:rPr>
                <w:lang w:val="de-DE"/>
              </w:rPr>
              <w:t>l</w:t>
            </w:r>
            <w:r w:rsidRPr="00DD0ADD">
              <w:rPr>
                <w:lang w:val="de-DE"/>
              </w:rPr>
              <w:t>ersat e Hb dhe hemoliz</w:t>
            </w:r>
            <w:r>
              <w:rPr>
                <w:lang w:val="de-DE"/>
              </w:rPr>
              <w:t>ë</w:t>
            </w:r>
            <w:r w:rsidRPr="00DD0ADD">
              <w:rPr>
                <w:lang w:val="de-DE"/>
              </w:rPr>
              <w:t>s brenda standarteve.</w:t>
            </w:r>
          </w:p>
        </w:tc>
      </w:tr>
      <w:tr w:rsidR="00DD7943" w:rsidRPr="00DD0ADD">
        <w:tblPrEx>
          <w:tblCellMar>
            <w:top w:w="0" w:type="dxa"/>
            <w:bottom w:w="0" w:type="dxa"/>
          </w:tblCellMar>
        </w:tblPrEx>
        <w:trPr>
          <w:trHeight w:val="385"/>
        </w:trPr>
        <w:tc>
          <w:tcPr>
            <w:tcW w:w="2151" w:type="dxa"/>
            <w:gridSpan w:val="2"/>
            <w:vMerge/>
            <w:tcBorders>
              <w:left w:val="single" w:sz="6" w:space="0" w:color="auto"/>
              <w:right w:val="single" w:sz="6" w:space="0" w:color="auto"/>
            </w:tcBorders>
          </w:tcPr>
          <w:p w:rsidR="00DD7943" w:rsidRPr="00CF2692" w:rsidRDefault="00DD7943" w:rsidP="00204633">
            <w:pPr>
              <w:pStyle w:val="Tabele"/>
              <w:rPr>
                <w:lang w:val="de-DE"/>
              </w:rPr>
            </w:pPr>
          </w:p>
        </w:tc>
        <w:tc>
          <w:tcPr>
            <w:tcW w:w="2705" w:type="dxa"/>
            <w:tcBorders>
              <w:top w:val="single" w:sz="4" w:space="0" w:color="auto"/>
              <w:left w:val="single" w:sz="6" w:space="0" w:color="auto"/>
              <w:bottom w:val="single" w:sz="6" w:space="0" w:color="auto"/>
              <w:right w:val="single" w:sz="6" w:space="0" w:color="auto"/>
            </w:tcBorders>
          </w:tcPr>
          <w:p w:rsidR="00DD7943" w:rsidRPr="00CF2692" w:rsidRDefault="00DD7943" w:rsidP="00204633">
            <w:pPr>
              <w:pStyle w:val="Tabele"/>
              <w:rPr>
                <w:lang w:val="de-DE"/>
              </w:rPr>
            </w:pPr>
            <w:r w:rsidRPr="00CF2692">
              <w:t>Hct</w:t>
            </w:r>
          </w:p>
        </w:tc>
        <w:tc>
          <w:tcPr>
            <w:tcW w:w="3784" w:type="dxa"/>
            <w:gridSpan w:val="3"/>
            <w:tcBorders>
              <w:top w:val="single" w:sz="4" w:space="0" w:color="auto"/>
              <w:left w:val="single" w:sz="6" w:space="0" w:color="auto"/>
              <w:bottom w:val="single" w:sz="6" w:space="0" w:color="auto"/>
              <w:right w:val="single" w:sz="6" w:space="0" w:color="auto"/>
            </w:tcBorders>
          </w:tcPr>
          <w:p w:rsidR="00DD7943" w:rsidRPr="00CF2692" w:rsidRDefault="00DD7943" w:rsidP="00204633">
            <w:pPr>
              <w:pStyle w:val="Tabele"/>
            </w:pPr>
            <w:r w:rsidRPr="00CF2692">
              <w:rPr>
                <w:iCs/>
              </w:rPr>
              <w:t>0.65-0.75</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Pr="00DD0ADD" w:rsidRDefault="00DD7943" w:rsidP="00204633">
            <w:pPr>
              <w:pStyle w:val="Tabele"/>
              <w:rPr>
                <w:lang w:val="de-DE"/>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Hemoglobina</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rPr>
                <w:i/>
                <w:iCs/>
              </w:rPr>
            </w:pPr>
            <w:r>
              <w:t>minimumi 43 gr/njësi</w:t>
            </w:r>
          </w:p>
        </w:tc>
      </w:tr>
      <w:tr w:rsidR="00DD7943" w:rsidRPr="00CF2692">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rPr>
                <w:i/>
                <w:iCs/>
              </w:rPr>
            </w:pPr>
          </w:p>
        </w:tc>
        <w:tc>
          <w:tcPr>
            <w:tcW w:w="2705" w:type="dxa"/>
            <w:tcBorders>
              <w:top w:val="single" w:sz="6" w:space="0" w:color="auto"/>
              <w:left w:val="single" w:sz="6" w:space="0" w:color="auto"/>
              <w:bottom w:val="single" w:sz="6" w:space="0" w:color="auto"/>
              <w:right w:val="single" w:sz="6" w:space="0" w:color="auto"/>
            </w:tcBorders>
          </w:tcPr>
          <w:p w:rsidR="00DD7943" w:rsidRPr="00CF2692" w:rsidRDefault="00DD7943" w:rsidP="00204633">
            <w:pPr>
              <w:pStyle w:val="Tabele"/>
              <w:rPr>
                <w:lang w:val="en-US"/>
              </w:rPr>
            </w:pPr>
            <w:r w:rsidRPr="00CF2692">
              <w:rPr>
                <w:lang w:val="en-US"/>
              </w:rPr>
              <w:t xml:space="preserve">- Hemoliza </w:t>
            </w:r>
            <w:r>
              <w:t>në</w:t>
            </w:r>
            <w:r w:rsidRPr="00CF2692">
              <w:rPr>
                <w:lang w:val="en-US"/>
              </w:rPr>
              <w:t xml:space="preserve"> fund t</w:t>
            </w:r>
            <w:r>
              <w:rPr>
                <w:lang w:val="en-US"/>
              </w:rPr>
              <w:t>ë</w:t>
            </w:r>
            <w:r w:rsidRPr="00CF2692">
              <w:rPr>
                <w:sz w:val="30"/>
                <w:szCs w:val="30"/>
                <w:lang w:val="en-US"/>
              </w:rPr>
              <w:t xml:space="preserve"> </w:t>
            </w:r>
            <w:r w:rsidRPr="00CF2692">
              <w:rPr>
                <w:lang w:val="en-US"/>
              </w:rPr>
              <w:t>ruajties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CF2692" w:rsidRDefault="00DD7943" w:rsidP="00204633">
            <w:pPr>
              <w:pStyle w:val="Tabele"/>
              <w:rPr>
                <w:lang w:val="en-US"/>
              </w:rPr>
            </w:pPr>
            <w:r>
              <w:t>&lt;0.8% të masës eritrocitare</w:t>
            </w:r>
          </w:p>
        </w:tc>
      </w:tr>
      <w:tr w:rsidR="00DD7943">
        <w:tblPrEx>
          <w:tblCellMar>
            <w:top w:w="0" w:type="dxa"/>
            <w:bottom w:w="0" w:type="dxa"/>
          </w:tblCellMar>
        </w:tblPrEx>
        <w:tc>
          <w:tcPr>
            <w:tcW w:w="2151" w:type="dxa"/>
            <w:gridSpan w:val="2"/>
            <w:vMerge/>
            <w:tcBorders>
              <w:left w:val="single" w:sz="6" w:space="0" w:color="auto"/>
              <w:bottom w:val="nil"/>
              <w:right w:val="single" w:sz="6" w:space="0" w:color="auto"/>
            </w:tcBorders>
          </w:tcPr>
          <w:p w:rsidR="00DD7943" w:rsidRPr="00CF2692" w:rsidRDefault="00DD7943" w:rsidP="00204633">
            <w:pPr>
              <w:pStyle w:val="Tabele"/>
              <w:rPr>
                <w:lang w:val="en-US"/>
              </w:rPr>
            </w:pPr>
          </w:p>
        </w:tc>
        <w:tc>
          <w:tcPr>
            <w:tcW w:w="2705" w:type="dxa"/>
            <w:tcBorders>
              <w:top w:val="single" w:sz="6" w:space="0" w:color="auto"/>
              <w:left w:val="single" w:sz="6" w:space="0" w:color="auto"/>
              <w:bottom w:val="single" w:sz="6" w:space="0" w:color="auto"/>
              <w:right w:val="single" w:sz="6" w:space="0" w:color="auto"/>
            </w:tcBorders>
          </w:tcPr>
          <w:p w:rsidR="00DD7943" w:rsidRPr="00CF2692" w:rsidRDefault="00DD7943" w:rsidP="00204633">
            <w:pPr>
              <w:pStyle w:val="Tabele"/>
              <w:rPr>
                <w:lang w:val="en-US"/>
              </w:rPr>
            </w:pPr>
            <w:r>
              <w:t>Etiketimi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Sipas standarteve të</w:t>
            </w:r>
            <w:r>
              <w:rPr>
                <w:sz w:val="30"/>
                <w:szCs w:val="30"/>
              </w:rPr>
              <w:t xml:space="preserve"> </w:t>
            </w:r>
            <w:r w:rsidR="00927123">
              <w:t xml:space="preserve">përcaktuar </w:t>
            </w:r>
            <w:r>
              <w:t>rregulloren përkatëse</w:t>
            </w:r>
          </w:p>
        </w:tc>
      </w:tr>
      <w:tr w:rsidR="00DD7943" w:rsidRPr="00DD0ADD">
        <w:tblPrEx>
          <w:tblCellMar>
            <w:top w:w="0" w:type="dxa"/>
            <w:bottom w:w="0" w:type="dxa"/>
          </w:tblCellMar>
        </w:tblPrEx>
        <w:tc>
          <w:tcPr>
            <w:tcW w:w="2151" w:type="dxa"/>
            <w:gridSpan w:val="2"/>
            <w:vMerge w:val="restart"/>
            <w:tcBorders>
              <w:top w:val="nil"/>
              <w:left w:val="single" w:sz="6" w:space="0" w:color="auto"/>
              <w:right w:val="single" w:sz="6" w:space="0" w:color="auto"/>
            </w:tcBorders>
          </w:tcPr>
          <w:p w:rsidR="00DD7943" w:rsidRPr="00DD7943" w:rsidRDefault="00DD7943" w:rsidP="00204633">
            <w:pPr>
              <w:pStyle w:val="Tabele"/>
              <w:rPr>
                <w:lang w:val="sq-AL"/>
              </w:rPr>
            </w:pPr>
            <w:r w:rsidRPr="00DD7943">
              <w:rPr>
                <w:lang w:val="sq-AL"/>
              </w:rPr>
              <w:t>Qeliza të kuqe pa buffy-coat ( pa solucion shtesë)</w:t>
            </w: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Volumi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DD0ADD" w:rsidRDefault="00DD7943" w:rsidP="00204633">
            <w:pPr>
              <w:pStyle w:val="Tabele"/>
              <w:rPr>
                <w:lang w:val="de-DE"/>
              </w:rPr>
            </w:pPr>
            <w:r w:rsidRPr="00DD0ADD">
              <w:rPr>
                <w:lang w:val="de-DE"/>
              </w:rPr>
              <w:t xml:space="preserve">Te vlefshme per </w:t>
            </w:r>
            <w:r w:rsidRPr="005662D5">
              <w:rPr>
                <w:szCs w:val="22"/>
                <w:lang w:val="de-DE"/>
              </w:rPr>
              <w:t>per t</w:t>
            </w:r>
            <w:r w:rsidR="00C26BA4">
              <w:rPr>
                <w:szCs w:val="22"/>
                <w:lang w:val="de-DE"/>
              </w:rPr>
              <w:t>ë</w:t>
            </w:r>
            <w:r w:rsidRPr="00DD0ADD">
              <w:rPr>
                <w:sz w:val="30"/>
                <w:szCs w:val="30"/>
                <w:lang w:val="de-DE"/>
              </w:rPr>
              <w:t xml:space="preserve"> </w:t>
            </w:r>
            <w:r w:rsidRPr="00DD0ADD">
              <w:rPr>
                <w:lang w:val="de-DE"/>
              </w:rPr>
              <w:t>ruajtur viersat e Hb dhe hemolizës brenda standarteve.</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Pr="00DD0ADD" w:rsidRDefault="00DD7943" w:rsidP="00204633">
            <w:pPr>
              <w:pStyle w:val="Tabele"/>
              <w:rPr>
                <w:lang w:val="de-DE"/>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Hct</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C42C1E" w:rsidRDefault="00DD7943" w:rsidP="00204633">
            <w:pPr>
              <w:pStyle w:val="Tabele"/>
              <w:rPr>
                <w:iCs/>
              </w:rPr>
            </w:pPr>
            <w:r w:rsidRPr="00C42C1E">
              <w:rPr>
                <w:iCs/>
              </w:rPr>
              <w:t>0.65-0.75</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rPr>
                <w:i/>
                <w:iCs/>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Hemoglobina</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rPr>
                <w:szCs w:val="22"/>
              </w:rPr>
            </w:pPr>
            <w:r>
              <w:t xml:space="preserve">minimumi 43 </w:t>
            </w:r>
            <w:r>
              <w:rPr>
                <w:szCs w:val="22"/>
              </w:rPr>
              <w:t>gr/njësi</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rPr>
                <w:szCs w:val="22"/>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rPr>
                <w:szCs w:val="22"/>
              </w:rPr>
            </w:pPr>
            <w:r>
              <w:t>Hemoliza në</w:t>
            </w:r>
            <w:r>
              <w:rPr>
                <w:sz w:val="30"/>
                <w:szCs w:val="30"/>
              </w:rPr>
              <w:t xml:space="preserve"> </w:t>
            </w:r>
            <w:r>
              <w:t xml:space="preserve">fund të </w:t>
            </w:r>
            <w:r>
              <w:rPr>
                <w:szCs w:val="22"/>
              </w:rPr>
              <w:t>rualties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&lt;0.8% të</w:t>
            </w:r>
            <w:r>
              <w:rPr>
                <w:sz w:val="30"/>
                <w:szCs w:val="30"/>
              </w:rPr>
              <w:t xml:space="preserve"> </w:t>
            </w:r>
            <w:r>
              <w:t>masës eritrocitare</w:t>
            </w:r>
          </w:p>
        </w:tc>
      </w:tr>
      <w:tr w:rsidR="00DD7943">
        <w:tblPrEx>
          <w:tblCellMar>
            <w:top w:w="0" w:type="dxa"/>
            <w:bottom w:w="0" w:type="dxa"/>
          </w:tblCellMar>
        </w:tblPrEx>
        <w:tc>
          <w:tcPr>
            <w:tcW w:w="2151" w:type="dxa"/>
            <w:gridSpan w:val="2"/>
            <w:vMerge/>
            <w:tcBorders>
              <w:left w:val="single" w:sz="6" w:space="0" w:color="auto"/>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Nr. Leukociteve/njesi</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rPr>
                <w:sz w:val="30"/>
                <w:szCs w:val="30"/>
              </w:rPr>
              <w:t xml:space="preserve">&lt; </w:t>
            </w:r>
            <w:r>
              <w:t>1.2 x 10</w:t>
            </w:r>
            <w:r w:rsidRPr="005662D5">
              <w:rPr>
                <w:vertAlign w:val="superscript"/>
              </w:rPr>
              <w:t>9</w:t>
            </w:r>
          </w:p>
        </w:tc>
      </w:tr>
      <w:tr w:rsidR="00DD7943" w:rsidRPr="00C42C1E">
        <w:tblPrEx>
          <w:tblCellMar>
            <w:top w:w="0" w:type="dxa"/>
            <w:bottom w:w="0" w:type="dxa"/>
          </w:tblCellMar>
        </w:tblPrEx>
        <w:tc>
          <w:tcPr>
            <w:tcW w:w="2151" w:type="dxa"/>
            <w:gridSpan w:val="2"/>
            <w:vMerge/>
            <w:tcBorders>
              <w:left w:val="single" w:sz="6" w:space="0" w:color="auto"/>
              <w:bottom w:val="single" w:sz="6" w:space="0" w:color="auto"/>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Etiketimi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C42C1E" w:rsidRDefault="00DD7943" w:rsidP="00204633">
            <w:pPr>
              <w:pStyle w:val="Tabele"/>
              <w:rPr>
                <w:lang w:val="es-CL"/>
              </w:rPr>
            </w:pPr>
            <w:r w:rsidRPr="00C42C1E">
              <w:rPr>
                <w:lang w:val="es-CL"/>
              </w:rPr>
              <w:t>Sipas standarteve të percaktuar n</w:t>
            </w:r>
            <w:r>
              <w:rPr>
                <w:lang w:val="es-CL"/>
              </w:rPr>
              <w:t>ë</w:t>
            </w:r>
            <w:r w:rsidRPr="00C42C1E">
              <w:rPr>
                <w:sz w:val="30"/>
                <w:szCs w:val="30"/>
                <w:lang w:val="es-CL"/>
              </w:rPr>
              <w:t xml:space="preserve"> </w:t>
            </w:r>
            <w:r w:rsidR="00927123">
              <w:rPr>
                <w:lang w:val="es-CL"/>
              </w:rPr>
              <w:t>r</w:t>
            </w:r>
            <w:r w:rsidRPr="00C42C1E">
              <w:rPr>
                <w:lang w:val="es-CL"/>
              </w:rPr>
              <w:t>regulloren p</w:t>
            </w:r>
            <w:r>
              <w:rPr>
                <w:lang w:val="es-CL"/>
              </w:rPr>
              <w:t>ë</w:t>
            </w:r>
            <w:r w:rsidRPr="00C42C1E">
              <w:rPr>
                <w:lang w:val="es-CL"/>
              </w:rPr>
              <w:t>rkat</w:t>
            </w:r>
            <w:r>
              <w:rPr>
                <w:lang w:val="es-CL"/>
              </w:rPr>
              <w:t>ë</w:t>
            </w:r>
            <w:r w:rsidRPr="00C42C1E">
              <w:rPr>
                <w:lang w:val="es-CL"/>
              </w:rPr>
              <w:t>se</w:t>
            </w:r>
          </w:p>
        </w:tc>
      </w:tr>
      <w:tr w:rsidR="00DD7943" w:rsidRPr="00DD0ADD">
        <w:tblPrEx>
          <w:tblCellMar>
            <w:top w:w="0" w:type="dxa"/>
            <w:bottom w:w="0" w:type="dxa"/>
          </w:tblCellMar>
        </w:tblPrEx>
        <w:tc>
          <w:tcPr>
            <w:tcW w:w="2151" w:type="dxa"/>
            <w:gridSpan w:val="2"/>
            <w:tcBorders>
              <w:top w:val="single" w:sz="6" w:space="0" w:color="auto"/>
              <w:left w:val="single" w:sz="6" w:space="0" w:color="auto"/>
              <w:bottom w:val="nil"/>
              <w:right w:val="single" w:sz="6" w:space="0" w:color="auto"/>
            </w:tcBorders>
          </w:tcPr>
          <w:p w:rsidR="00DD7943" w:rsidRPr="00C42C1E" w:rsidRDefault="00DD7943" w:rsidP="00204633">
            <w:pPr>
              <w:pStyle w:val="Tabele"/>
              <w:rPr>
                <w:lang w:val="es-CL"/>
              </w:rPr>
            </w:pPr>
            <w:r w:rsidRPr="00C42C1E">
              <w:rPr>
                <w:rFonts w:cs="Arial"/>
                <w:lang w:val="es-CL"/>
              </w:rPr>
              <w:t xml:space="preserve">Qeliza </w:t>
            </w:r>
            <w:r w:rsidRPr="00C42C1E">
              <w:rPr>
                <w:lang w:val="es-CL"/>
              </w:rPr>
              <w:t>të kuqe në solucion shtesë, SAGM</w:t>
            </w:r>
          </w:p>
        </w:tc>
        <w:tc>
          <w:tcPr>
            <w:tcW w:w="2705" w:type="dxa"/>
            <w:tcBorders>
              <w:top w:val="single" w:sz="6" w:space="0" w:color="auto"/>
              <w:left w:val="single" w:sz="6" w:space="0" w:color="auto"/>
              <w:bottom w:val="single" w:sz="6" w:space="0" w:color="auto"/>
              <w:right w:val="single" w:sz="6" w:space="0" w:color="auto"/>
            </w:tcBorders>
          </w:tcPr>
          <w:p w:rsidR="00DD7943" w:rsidRPr="00C42C1E" w:rsidRDefault="00DD7943" w:rsidP="00204633">
            <w:pPr>
              <w:pStyle w:val="Tabele"/>
            </w:pPr>
            <w:r w:rsidRPr="00C42C1E">
              <w:t>Volumi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DD0ADD" w:rsidRDefault="00DD7943" w:rsidP="00204633">
            <w:pPr>
              <w:pStyle w:val="Tabele"/>
              <w:rPr>
                <w:szCs w:val="22"/>
                <w:lang w:val="de-DE"/>
              </w:rPr>
            </w:pPr>
            <w:r w:rsidRPr="00DD0ADD">
              <w:rPr>
                <w:lang w:val="de-DE"/>
              </w:rPr>
              <w:t>Te vlefshme p</w:t>
            </w:r>
            <w:r>
              <w:rPr>
                <w:lang w:val="de-DE"/>
              </w:rPr>
              <w:t>ë</w:t>
            </w:r>
            <w:r w:rsidRPr="00DD0ADD">
              <w:rPr>
                <w:lang w:val="de-DE"/>
              </w:rPr>
              <w:t>r p</w:t>
            </w:r>
            <w:r>
              <w:rPr>
                <w:lang w:val="de-DE"/>
              </w:rPr>
              <w:t xml:space="preserve">ër të </w:t>
            </w:r>
            <w:r w:rsidRPr="00DD0ADD">
              <w:rPr>
                <w:lang w:val="de-DE"/>
              </w:rPr>
              <w:t>ruajtur v</w:t>
            </w:r>
            <w:r>
              <w:rPr>
                <w:lang w:val="de-DE"/>
              </w:rPr>
              <w:t>l</w:t>
            </w:r>
            <w:r w:rsidRPr="00DD0ADD">
              <w:rPr>
                <w:lang w:val="de-DE"/>
              </w:rPr>
              <w:t>ersat e Hb dhe hemoliz</w:t>
            </w:r>
            <w:r>
              <w:rPr>
                <w:lang w:val="de-DE"/>
              </w:rPr>
              <w:t>ë</w:t>
            </w:r>
            <w:r w:rsidRPr="00DD0ADD">
              <w:rPr>
                <w:lang w:val="de-DE"/>
              </w:rPr>
              <w:t xml:space="preserve">s brenda </w:t>
            </w:r>
            <w:r w:rsidRPr="00DD0ADD">
              <w:rPr>
                <w:szCs w:val="22"/>
                <w:lang w:val="de-DE"/>
              </w:rPr>
              <w:t>standarteve.</w:t>
            </w:r>
          </w:p>
        </w:tc>
      </w:tr>
      <w:tr w:rsidR="00DD7943" w:rsidRPr="001D6700">
        <w:tblPrEx>
          <w:tblCellMar>
            <w:top w:w="0" w:type="dxa"/>
            <w:bottom w:w="0" w:type="dxa"/>
          </w:tblCellMar>
        </w:tblPrEx>
        <w:tc>
          <w:tcPr>
            <w:tcW w:w="2151" w:type="dxa"/>
            <w:gridSpan w:val="2"/>
            <w:tcBorders>
              <w:top w:val="nil"/>
              <w:left w:val="single" w:sz="6" w:space="0" w:color="auto"/>
              <w:bottom w:val="nil"/>
              <w:right w:val="single" w:sz="6" w:space="0" w:color="auto"/>
            </w:tcBorders>
          </w:tcPr>
          <w:p w:rsidR="00DD7943" w:rsidRPr="00DD0ADD" w:rsidRDefault="00DD7943" w:rsidP="00204633">
            <w:pPr>
              <w:pStyle w:val="Tabele"/>
              <w:rPr>
                <w:szCs w:val="22"/>
                <w:lang w:val="de-DE"/>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Hemoglobina</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1D6700" w:rsidRDefault="00DD7943" w:rsidP="00204633">
            <w:pPr>
              <w:pStyle w:val="Tabele"/>
              <w:rPr>
                <w:lang w:val="es-CL"/>
              </w:rPr>
            </w:pPr>
            <w:r w:rsidRPr="001D6700">
              <w:rPr>
                <w:lang w:val="es-CL"/>
              </w:rPr>
              <w:t>Jo me pak se 45g/nj</w:t>
            </w:r>
            <w:r>
              <w:rPr>
                <w:lang w:val="es-CL"/>
              </w:rPr>
              <w:t>ë</w:t>
            </w:r>
            <w:r w:rsidRPr="001D6700">
              <w:rPr>
                <w:lang w:val="es-CL"/>
              </w:rPr>
              <w:t>si</w:t>
            </w:r>
          </w:p>
        </w:tc>
      </w:tr>
      <w:tr w:rsidR="00DD7943">
        <w:tblPrEx>
          <w:tblCellMar>
            <w:top w:w="0" w:type="dxa"/>
            <w:bottom w:w="0" w:type="dxa"/>
          </w:tblCellMar>
        </w:tblPrEx>
        <w:tc>
          <w:tcPr>
            <w:tcW w:w="2151" w:type="dxa"/>
            <w:gridSpan w:val="2"/>
            <w:tcBorders>
              <w:top w:val="nil"/>
              <w:left w:val="single" w:sz="6" w:space="0" w:color="auto"/>
              <w:bottom w:val="nil"/>
              <w:right w:val="single" w:sz="6" w:space="0" w:color="auto"/>
            </w:tcBorders>
          </w:tcPr>
          <w:p w:rsidR="00DD7943" w:rsidRPr="001D6700" w:rsidRDefault="00DD7943" w:rsidP="00204633">
            <w:pPr>
              <w:pStyle w:val="Tabele"/>
              <w:rPr>
                <w:lang w:val="es-CL"/>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rPr>
                <w:szCs w:val="22"/>
              </w:rPr>
            </w:pPr>
            <w:r>
              <w:t xml:space="preserve">Hemoliza ne fund te </w:t>
            </w:r>
            <w:r>
              <w:rPr>
                <w:szCs w:val="22"/>
              </w:rPr>
              <w:t>rualties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&lt;0.8% te masës eritrocitare</w:t>
            </w:r>
          </w:p>
        </w:tc>
      </w:tr>
      <w:tr w:rsidR="00DD7943">
        <w:tblPrEx>
          <w:tblCellMar>
            <w:top w:w="0" w:type="dxa"/>
            <w:bottom w:w="0" w:type="dxa"/>
          </w:tblCellMar>
        </w:tblPrEx>
        <w:tc>
          <w:tcPr>
            <w:tcW w:w="2151" w:type="dxa"/>
            <w:gridSpan w:val="2"/>
            <w:tcBorders>
              <w:top w:val="nil"/>
              <w:left w:val="single" w:sz="6" w:space="0" w:color="auto"/>
              <w:bottom w:val="nil"/>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Hct</w:t>
            </w:r>
          </w:p>
        </w:tc>
        <w:tc>
          <w:tcPr>
            <w:tcW w:w="3784" w:type="dxa"/>
            <w:gridSpan w:val="3"/>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0.50-0.70</w:t>
            </w:r>
          </w:p>
        </w:tc>
      </w:tr>
      <w:tr w:rsidR="00DD7943" w:rsidRPr="00C42C1E">
        <w:tblPrEx>
          <w:tblCellMar>
            <w:top w:w="0" w:type="dxa"/>
            <w:bottom w:w="0" w:type="dxa"/>
          </w:tblCellMar>
        </w:tblPrEx>
        <w:tc>
          <w:tcPr>
            <w:tcW w:w="2151" w:type="dxa"/>
            <w:gridSpan w:val="2"/>
            <w:tcBorders>
              <w:top w:val="nil"/>
              <w:left w:val="single" w:sz="6" w:space="0" w:color="auto"/>
              <w:bottom w:val="single" w:sz="6" w:space="0" w:color="auto"/>
              <w:right w:val="single" w:sz="6" w:space="0" w:color="auto"/>
            </w:tcBorders>
          </w:tcPr>
          <w:p w:rsidR="00DD7943"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Etiketimi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C42C1E" w:rsidRDefault="00DD7943" w:rsidP="00204633">
            <w:pPr>
              <w:pStyle w:val="Tabele"/>
            </w:pPr>
            <w:r w:rsidRPr="00C42C1E">
              <w:t>Sipas standarteve të p</w:t>
            </w:r>
            <w:r>
              <w:t>ë</w:t>
            </w:r>
            <w:r w:rsidR="00927123">
              <w:t>rcaktuar në r</w:t>
            </w:r>
            <w:r w:rsidRPr="00C42C1E">
              <w:t>regulloren përkatëse</w:t>
            </w:r>
          </w:p>
        </w:tc>
      </w:tr>
      <w:tr w:rsidR="00DD7943" w:rsidRPr="00896AF4">
        <w:tblPrEx>
          <w:tblCellMar>
            <w:top w:w="0" w:type="dxa"/>
            <w:bottom w:w="0" w:type="dxa"/>
          </w:tblCellMar>
        </w:tblPrEx>
        <w:tc>
          <w:tcPr>
            <w:tcW w:w="2151" w:type="dxa"/>
            <w:gridSpan w:val="2"/>
            <w:vMerge w:val="restart"/>
            <w:tcBorders>
              <w:top w:val="nil"/>
              <w:left w:val="single" w:sz="6" w:space="0" w:color="auto"/>
              <w:right w:val="single" w:sz="6" w:space="0" w:color="auto"/>
            </w:tcBorders>
          </w:tcPr>
          <w:p w:rsidR="00DD7943" w:rsidRDefault="00DD7943" w:rsidP="00204633">
            <w:pPr>
              <w:pStyle w:val="Tabele"/>
            </w:pPr>
            <w:r>
              <w:t>Qeiza të kuqe pa buffy-coat</w:t>
            </w:r>
            <w:r>
              <w:rPr>
                <w:vertAlign w:val="superscript"/>
              </w:rPr>
              <w:t xml:space="preserve">2 </w:t>
            </w:r>
            <w:r>
              <w:t>me solucion shtesë</w:t>
            </w: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Volumi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rsidRPr="00DD0ADD">
              <w:rPr>
                <w:lang w:val="de-DE"/>
              </w:rPr>
              <w:t>T</w:t>
            </w:r>
            <w:r>
              <w:rPr>
                <w:lang w:val="de-DE"/>
              </w:rPr>
              <w:t>ë</w:t>
            </w:r>
            <w:r w:rsidRPr="00DD0ADD">
              <w:rPr>
                <w:lang w:val="de-DE"/>
              </w:rPr>
              <w:t xml:space="preserve"> vlefshme per p</w:t>
            </w:r>
            <w:r>
              <w:rPr>
                <w:lang w:val="de-DE"/>
              </w:rPr>
              <w:t xml:space="preserve">ër të </w:t>
            </w:r>
            <w:r w:rsidRPr="00DD0ADD">
              <w:rPr>
                <w:lang w:val="de-DE"/>
              </w:rPr>
              <w:t>ruajtur v</w:t>
            </w:r>
            <w:r>
              <w:rPr>
                <w:lang w:val="de-DE"/>
              </w:rPr>
              <w:t>l</w:t>
            </w:r>
            <w:r w:rsidRPr="00DD0ADD">
              <w:rPr>
                <w:lang w:val="de-DE"/>
              </w:rPr>
              <w:t>ersat e Hb dhe hemolizës brenda standarteve</w:t>
            </w:r>
          </w:p>
        </w:tc>
      </w:tr>
      <w:tr w:rsidR="00DD7943" w:rsidRPr="00896AF4">
        <w:tblPrEx>
          <w:tblCellMar>
            <w:top w:w="0" w:type="dxa"/>
            <w:bottom w:w="0" w:type="dxa"/>
          </w:tblCellMar>
        </w:tblPrEx>
        <w:tc>
          <w:tcPr>
            <w:tcW w:w="2151" w:type="dxa"/>
            <w:gridSpan w:val="2"/>
            <w:vMerge/>
            <w:tcBorders>
              <w:left w:val="single" w:sz="6" w:space="0" w:color="auto"/>
              <w:right w:val="single" w:sz="6" w:space="0" w:color="auto"/>
            </w:tcBorders>
          </w:tcPr>
          <w:p w:rsidR="00DD7943" w:rsidRPr="00896AF4"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Hct</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0.50-0.70</w:t>
            </w:r>
          </w:p>
        </w:tc>
      </w:tr>
      <w:tr w:rsidR="00DD7943" w:rsidRPr="00896AF4">
        <w:tblPrEx>
          <w:tblCellMar>
            <w:top w:w="0" w:type="dxa"/>
            <w:bottom w:w="0" w:type="dxa"/>
          </w:tblCellMar>
        </w:tblPrEx>
        <w:tc>
          <w:tcPr>
            <w:tcW w:w="2151" w:type="dxa"/>
            <w:gridSpan w:val="2"/>
            <w:vMerge/>
            <w:tcBorders>
              <w:left w:val="single" w:sz="6" w:space="0" w:color="auto"/>
              <w:right w:val="single" w:sz="6" w:space="0" w:color="auto"/>
            </w:tcBorders>
          </w:tcPr>
          <w:p w:rsidR="00DD7943" w:rsidRPr="00896AF4"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Hemoglobina</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minimumi 43 gr/njësi</w:t>
            </w:r>
          </w:p>
        </w:tc>
      </w:tr>
      <w:tr w:rsidR="00DD7943" w:rsidRPr="00896AF4">
        <w:tblPrEx>
          <w:tblCellMar>
            <w:top w:w="0" w:type="dxa"/>
            <w:bottom w:w="0" w:type="dxa"/>
          </w:tblCellMar>
        </w:tblPrEx>
        <w:tc>
          <w:tcPr>
            <w:tcW w:w="2151" w:type="dxa"/>
            <w:gridSpan w:val="2"/>
            <w:vMerge/>
            <w:tcBorders>
              <w:left w:val="single" w:sz="6" w:space="0" w:color="auto"/>
              <w:right w:val="single" w:sz="6" w:space="0" w:color="auto"/>
            </w:tcBorders>
          </w:tcPr>
          <w:p w:rsidR="00DD7943" w:rsidRPr="00896AF4"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Hemoliza në fund të rualties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&lt;0.8% te mases eritrocitare</w:t>
            </w:r>
          </w:p>
        </w:tc>
      </w:tr>
      <w:tr w:rsidR="00DD7943" w:rsidRPr="00896AF4">
        <w:tblPrEx>
          <w:tblCellMar>
            <w:top w:w="0" w:type="dxa"/>
            <w:bottom w:w="0" w:type="dxa"/>
          </w:tblCellMar>
        </w:tblPrEx>
        <w:tc>
          <w:tcPr>
            <w:tcW w:w="2151" w:type="dxa"/>
            <w:gridSpan w:val="2"/>
            <w:vMerge/>
            <w:tcBorders>
              <w:left w:val="single" w:sz="6" w:space="0" w:color="auto"/>
              <w:right w:val="single" w:sz="6" w:space="0" w:color="auto"/>
            </w:tcBorders>
          </w:tcPr>
          <w:p w:rsidR="00DD7943" w:rsidRPr="00896AF4"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Nr. Leukociteve/njësi*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rPr>
                <w:sz w:val="30"/>
                <w:szCs w:val="30"/>
              </w:rPr>
              <w:t xml:space="preserve">&lt; </w:t>
            </w:r>
            <w:r>
              <w:t>1.2 x 10</w:t>
            </w:r>
            <w:r w:rsidRPr="005662D5">
              <w:rPr>
                <w:vertAlign w:val="superscript"/>
              </w:rPr>
              <w:t>9</w:t>
            </w:r>
          </w:p>
        </w:tc>
      </w:tr>
      <w:tr w:rsidR="00DD7943" w:rsidRPr="00896AF4">
        <w:tblPrEx>
          <w:tblCellMar>
            <w:top w:w="0" w:type="dxa"/>
            <w:bottom w:w="0" w:type="dxa"/>
          </w:tblCellMar>
        </w:tblPrEx>
        <w:tc>
          <w:tcPr>
            <w:tcW w:w="2151" w:type="dxa"/>
            <w:gridSpan w:val="2"/>
            <w:vMerge/>
            <w:tcBorders>
              <w:left w:val="single" w:sz="6" w:space="0" w:color="auto"/>
              <w:right w:val="single" w:sz="6" w:space="0" w:color="auto"/>
            </w:tcBorders>
          </w:tcPr>
          <w:p w:rsidR="00DD7943" w:rsidRPr="00896AF4"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Hemoliza ne fund të rualties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&lt;0.8% të masës eritrocitare</w:t>
            </w:r>
          </w:p>
        </w:tc>
      </w:tr>
      <w:tr w:rsidR="00DD7943" w:rsidRPr="003A706A">
        <w:tblPrEx>
          <w:tblCellMar>
            <w:top w:w="0" w:type="dxa"/>
            <w:bottom w:w="0" w:type="dxa"/>
          </w:tblCellMar>
        </w:tblPrEx>
        <w:tc>
          <w:tcPr>
            <w:tcW w:w="2151" w:type="dxa"/>
            <w:gridSpan w:val="2"/>
            <w:vMerge/>
            <w:tcBorders>
              <w:left w:val="single" w:sz="6" w:space="0" w:color="auto"/>
              <w:bottom w:val="single" w:sz="6" w:space="0" w:color="auto"/>
              <w:right w:val="single" w:sz="6" w:space="0" w:color="auto"/>
            </w:tcBorders>
          </w:tcPr>
          <w:p w:rsidR="00DD7943" w:rsidRPr="00896AF4" w:rsidRDefault="00DD7943" w:rsidP="00204633">
            <w:pPr>
              <w:pStyle w:val="Tabele"/>
            </w:pPr>
          </w:p>
        </w:tc>
        <w:tc>
          <w:tcPr>
            <w:tcW w:w="2705" w:type="dxa"/>
            <w:tcBorders>
              <w:top w:val="single" w:sz="6" w:space="0" w:color="auto"/>
              <w:left w:val="single" w:sz="6" w:space="0" w:color="auto"/>
              <w:bottom w:val="single" w:sz="6" w:space="0" w:color="auto"/>
              <w:right w:val="single" w:sz="6" w:space="0" w:color="auto"/>
            </w:tcBorders>
          </w:tcPr>
          <w:p w:rsidR="00DD7943" w:rsidRPr="00896AF4" w:rsidRDefault="00DD7943" w:rsidP="00204633">
            <w:pPr>
              <w:pStyle w:val="Tabele"/>
            </w:pPr>
            <w:r>
              <w:t>Etiketimi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3A706A" w:rsidRDefault="00DD7943" w:rsidP="00204633">
            <w:pPr>
              <w:pStyle w:val="Tabele"/>
              <w:rPr>
                <w:lang w:val="es-CL"/>
              </w:rPr>
            </w:pPr>
            <w:r w:rsidRPr="003A706A">
              <w:rPr>
                <w:lang w:val="es-CL"/>
              </w:rPr>
              <w:t>Sipas standarteve të percaktuar n</w:t>
            </w:r>
            <w:r>
              <w:rPr>
                <w:lang w:val="es-CL"/>
              </w:rPr>
              <w:t>ë</w:t>
            </w:r>
            <w:r w:rsidRPr="003A706A">
              <w:rPr>
                <w:lang w:val="es-CL"/>
              </w:rPr>
              <w:t xml:space="preserve"> </w:t>
            </w:r>
            <w:r w:rsidRPr="003A706A">
              <w:rPr>
                <w:sz w:val="30"/>
                <w:szCs w:val="30"/>
                <w:lang w:val="es-CL"/>
              </w:rPr>
              <w:t xml:space="preserve"> </w:t>
            </w:r>
            <w:r w:rsidR="00927123">
              <w:rPr>
                <w:rFonts w:cs="Courier New"/>
                <w:lang w:val="es-CL"/>
              </w:rPr>
              <w:t>r</w:t>
            </w:r>
            <w:r w:rsidRPr="003A706A">
              <w:rPr>
                <w:rFonts w:cs="Courier New"/>
                <w:lang w:val="es-CL"/>
              </w:rPr>
              <w:t>regulloren</w:t>
            </w:r>
            <w:r>
              <w:rPr>
                <w:rFonts w:cs="Courier New"/>
                <w:lang w:val="es-CL"/>
              </w:rPr>
              <w:t xml:space="preserve"> </w:t>
            </w:r>
            <w:r w:rsidRPr="003A706A">
              <w:rPr>
                <w:lang w:val="es-CL"/>
              </w:rPr>
              <w:t>p</w:t>
            </w:r>
            <w:r>
              <w:rPr>
                <w:lang w:val="es-CL"/>
              </w:rPr>
              <w:t>ë</w:t>
            </w:r>
            <w:r w:rsidRPr="003A706A">
              <w:rPr>
                <w:lang w:val="es-CL"/>
              </w:rPr>
              <w:t>rkat</w:t>
            </w:r>
            <w:r>
              <w:rPr>
                <w:lang w:val="es-CL"/>
              </w:rPr>
              <w:t>ë</w:t>
            </w:r>
            <w:r w:rsidRPr="003A706A">
              <w:rPr>
                <w:lang w:val="es-CL"/>
              </w:rPr>
              <w:t>se</w:t>
            </w:r>
          </w:p>
        </w:tc>
      </w:tr>
      <w:tr w:rsidR="00DD7943" w:rsidRPr="003F4C93">
        <w:tblPrEx>
          <w:tblCellMar>
            <w:top w:w="0" w:type="dxa"/>
            <w:bottom w:w="0" w:type="dxa"/>
          </w:tblCellMar>
        </w:tblPrEx>
        <w:tc>
          <w:tcPr>
            <w:tcW w:w="2151" w:type="dxa"/>
            <w:gridSpan w:val="2"/>
            <w:vMerge w:val="restart"/>
            <w:tcBorders>
              <w:top w:val="nil"/>
              <w:left w:val="single" w:sz="6" w:space="0" w:color="auto"/>
              <w:right w:val="single" w:sz="6" w:space="0" w:color="auto"/>
            </w:tcBorders>
          </w:tcPr>
          <w:p w:rsidR="00DD7943" w:rsidRPr="00204633" w:rsidRDefault="005662D5" w:rsidP="00204633">
            <w:pPr>
              <w:pStyle w:val="Tabele"/>
            </w:pPr>
            <w:r w:rsidRPr="00204633">
              <w:t xml:space="preserve">  Q</w:t>
            </w:r>
            <w:r w:rsidR="00DD7943" w:rsidRPr="00204633">
              <w:t>eliza të kuqe të leukodepletuar</w:t>
            </w:r>
          </w:p>
        </w:tc>
        <w:tc>
          <w:tcPr>
            <w:tcW w:w="2705" w:type="dxa"/>
            <w:tcBorders>
              <w:top w:val="single" w:sz="6" w:space="0" w:color="auto"/>
              <w:left w:val="single" w:sz="6" w:space="0" w:color="auto"/>
              <w:bottom w:val="single" w:sz="6" w:space="0" w:color="auto"/>
              <w:right w:val="single" w:sz="6" w:space="0" w:color="auto"/>
            </w:tcBorders>
          </w:tcPr>
          <w:p w:rsidR="00DD7943" w:rsidRPr="003A706A" w:rsidRDefault="00DD7943" w:rsidP="00204633">
            <w:pPr>
              <w:pStyle w:val="Tabele"/>
              <w:rPr>
                <w:lang w:val="es-CL"/>
              </w:rPr>
            </w:pPr>
            <w:r>
              <w:t>Volumi</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DD0ADD" w:rsidRDefault="00DD7943" w:rsidP="00204633">
            <w:pPr>
              <w:pStyle w:val="Tabele"/>
              <w:rPr>
                <w:lang w:val="de-DE"/>
              </w:rPr>
            </w:pPr>
            <w:r w:rsidRPr="00DD0ADD">
              <w:rPr>
                <w:lang w:val="de-DE"/>
              </w:rPr>
              <w:t>T</w:t>
            </w:r>
            <w:r>
              <w:rPr>
                <w:lang w:val="de-DE"/>
              </w:rPr>
              <w:t>ë</w:t>
            </w:r>
            <w:r w:rsidRPr="00DD0ADD">
              <w:rPr>
                <w:lang w:val="de-DE"/>
              </w:rPr>
              <w:t xml:space="preserve"> vlefshme per p</w:t>
            </w:r>
            <w:r>
              <w:rPr>
                <w:lang w:val="de-DE"/>
              </w:rPr>
              <w:t>ër të</w:t>
            </w:r>
            <w:r w:rsidRPr="00DD0ADD">
              <w:rPr>
                <w:sz w:val="30"/>
                <w:szCs w:val="30"/>
                <w:lang w:val="de-DE"/>
              </w:rPr>
              <w:t xml:space="preserve"> </w:t>
            </w:r>
            <w:r w:rsidRPr="00DD0ADD">
              <w:rPr>
                <w:lang w:val="de-DE"/>
              </w:rPr>
              <w:t xml:space="preserve">ruajtur </w:t>
            </w:r>
            <w:r>
              <w:rPr>
                <w:lang w:val="de-DE"/>
              </w:rPr>
              <w:t>vl</w:t>
            </w:r>
            <w:r w:rsidRPr="00DD0ADD">
              <w:rPr>
                <w:lang w:val="de-DE"/>
              </w:rPr>
              <w:t>ersat e Hb dhe hemolizës</w:t>
            </w:r>
            <w:r w:rsidRPr="003F4C93">
              <w:rPr>
                <w:lang w:val="es-CL"/>
              </w:rPr>
              <w:t xml:space="preserve"> brenda standarteve.</w:t>
            </w:r>
          </w:p>
        </w:tc>
      </w:tr>
      <w:tr w:rsidR="00DD7943" w:rsidRPr="003A706A">
        <w:tblPrEx>
          <w:tblCellMar>
            <w:top w:w="0" w:type="dxa"/>
            <w:bottom w:w="0" w:type="dxa"/>
          </w:tblCellMar>
        </w:tblPrEx>
        <w:tc>
          <w:tcPr>
            <w:tcW w:w="2151" w:type="dxa"/>
            <w:gridSpan w:val="2"/>
            <w:vMerge/>
            <w:tcBorders>
              <w:left w:val="single" w:sz="6" w:space="0" w:color="auto"/>
              <w:right w:val="single" w:sz="6" w:space="0" w:color="auto"/>
            </w:tcBorders>
          </w:tcPr>
          <w:p w:rsidR="00DD7943" w:rsidRPr="003F4C93" w:rsidRDefault="00DD7943" w:rsidP="00204633">
            <w:pPr>
              <w:pStyle w:val="Tabele"/>
              <w:rPr>
                <w:lang w:val="es-CL"/>
              </w:rPr>
            </w:pPr>
          </w:p>
        </w:tc>
        <w:tc>
          <w:tcPr>
            <w:tcW w:w="2705" w:type="dxa"/>
            <w:tcBorders>
              <w:top w:val="single" w:sz="6" w:space="0" w:color="auto"/>
              <w:left w:val="single" w:sz="6" w:space="0" w:color="auto"/>
              <w:bottom w:val="single" w:sz="6" w:space="0" w:color="auto"/>
              <w:right w:val="single" w:sz="6" w:space="0" w:color="auto"/>
            </w:tcBorders>
          </w:tcPr>
          <w:p w:rsidR="00DD7943" w:rsidRPr="003F4C93" w:rsidRDefault="00DD7943" w:rsidP="00204633">
            <w:pPr>
              <w:pStyle w:val="Tabele"/>
              <w:rPr>
                <w:lang w:val="es-CL"/>
              </w:rPr>
            </w:pPr>
            <w:r>
              <w:t>Hemoglobina</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DD0ADD" w:rsidRDefault="00DD7943" w:rsidP="00204633">
            <w:pPr>
              <w:pStyle w:val="Tabele"/>
              <w:rPr>
                <w:lang w:val="de-DE"/>
              </w:rPr>
            </w:pPr>
            <w:r>
              <w:t>Minimumi 40 gr/njësi</w:t>
            </w:r>
          </w:p>
        </w:tc>
      </w:tr>
      <w:tr w:rsidR="00DD7943" w:rsidRPr="003A706A">
        <w:tblPrEx>
          <w:tblCellMar>
            <w:top w:w="0" w:type="dxa"/>
            <w:bottom w:w="0" w:type="dxa"/>
          </w:tblCellMar>
        </w:tblPrEx>
        <w:tc>
          <w:tcPr>
            <w:tcW w:w="2151" w:type="dxa"/>
            <w:gridSpan w:val="2"/>
            <w:vMerge/>
            <w:tcBorders>
              <w:left w:val="single" w:sz="6" w:space="0" w:color="auto"/>
              <w:bottom w:val="single" w:sz="6" w:space="0" w:color="auto"/>
              <w:right w:val="single" w:sz="6" w:space="0" w:color="auto"/>
            </w:tcBorders>
          </w:tcPr>
          <w:p w:rsidR="00DD7943" w:rsidRPr="003A706A" w:rsidRDefault="00DD7943" w:rsidP="00204633">
            <w:pPr>
              <w:pStyle w:val="Tabele"/>
              <w:rPr>
                <w:lang w:val="es-CL"/>
              </w:rPr>
            </w:pPr>
          </w:p>
        </w:tc>
        <w:tc>
          <w:tcPr>
            <w:tcW w:w="2705" w:type="dxa"/>
            <w:tcBorders>
              <w:top w:val="single" w:sz="6" w:space="0" w:color="auto"/>
              <w:left w:val="single" w:sz="6" w:space="0" w:color="auto"/>
              <w:bottom w:val="single" w:sz="6" w:space="0" w:color="auto"/>
              <w:right w:val="single" w:sz="6" w:space="0" w:color="auto"/>
            </w:tcBorders>
          </w:tcPr>
          <w:p w:rsidR="00DD7943" w:rsidRDefault="00DD7943" w:rsidP="00204633">
            <w:pPr>
              <w:pStyle w:val="Tabele"/>
            </w:pPr>
            <w:r>
              <w:t>Hemoliza ne fund të rualties</w:t>
            </w:r>
          </w:p>
        </w:tc>
        <w:tc>
          <w:tcPr>
            <w:tcW w:w="3784" w:type="dxa"/>
            <w:gridSpan w:val="3"/>
            <w:tcBorders>
              <w:top w:val="single" w:sz="6" w:space="0" w:color="auto"/>
              <w:left w:val="single" w:sz="6" w:space="0" w:color="auto"/>
              <w:bottom w:val="single" w:sz="6" w:space="0" w:color="auto"/>
              <w:right w:val="single" w:sz="6" w:space="0" w:color="auto"/>
            </w:tcBorders>
          </w:tcPr>
          <w:p w:rsidR="00DD7943" w:rsidRPr="003A706A" w:rsidRDefault="00DD7943" w:rsidP="00204633">
            <w:pPr>
              <w:pStyle w:val="Tabele"/>
              <w:rPr>
                <w:lang w:val="es-CL"/>
              </w:rPr>
            </w:pPr>
            <w:r>
              <w:t>&lt;0.8% të masës eritrocitare</w:t>
            </w:r>
          </w:p>
        </w:tc>
      </w:tr>
      <w:tr w:rsidR="00DD7943" w:rsidRPr="00DD0ADD">
        <w:tblPrEx>
          <w:tblCellMar>
            <w:top w:w="0" w:type="dxa"/>
            <w:left w:w="35" w:type="dxa"/>
            <w:bottom w:w="0" w:type="dxa"/>
            <w:right w:w="35" w:type="dxa"/>
          </w:tblCellMar>
        </w:tblPrEx>
        <w:trPr>
          <w:gridAfter w:val="1"/>
          <w:wAfter w:w="78" w:type="dxa"/>
        </w:trPr>
        <w:tc>
          <w:tcPr>
            <w:tcW w:w="2078" w:type="dxa"/>
            <w:vMerge w:val="restart"/>
            <w:tcBorders>
              <w:top w:val="single" w:sz="6" w:space="0" w:color="auto"/>
              <w:left w:val="single" w:sz="6" w:space="0" w:color="auto"/>
              <w:right w:val="nil"/>
            </w:tcBorders>
          </w:tcPr>
          <w:p w:rsidR="00DD7943" w:rsidRPr="003F4C93" w:rsidRDefault="00DD7943" w:rsidP="00204633">
            <w:pPr>
              <w:pStyle w:val="Tabele"/>
              <w:rPr>
                <w:lang w:val="es-CL"/>
              </w:rPr>
            </w:pPr>
          </w:p>
        </w:tc>
        <w:tc>
          <w:tcPr>
            <w:tcW w:w="2880" w:type="dxa"/>
            <w:gridSpan w:val="3"/>
            <w:tcBorders>
              <w:top w:val="single" w:sz="6" w:space="0" w:color="auto"/>
              <w:left w:val="single" w:sz="6" w:space="0" w:color="auto"/>
              <w:bottom w:val="single" w:sz="4" w:space="0" w:color="auto"/>
              <w:right w:val="single" w:sz="6" w:space="0" w:color="auto"/>
            </w:tcBorders>
          </w:tcPr>
          <w:p w:rsidR="00DD7943" w:rsidRDefault="00DD7943" w:rsidP="00204633">
            <w:pPr>
              <w:pStyle w:val="Tabele"/>
            </w:pPr>
            <w:r>
              <w:t>Hct</w:t>
            </w:r>
          </w:p>
        </w:tc>
        <w:tc>
          <w:tcPr>
            <w:tcW w:w="3604" w:type="dxa"/>
            <w:tcBorders>
              <w:top w:val="single" w:sz="6" w:space="0" w:color="auto"/>
              <w:left w:val="single" w:sz="6" w:space="0" w:color="auto"/>
              <w:bottom w:val="single" w:sz="4" w:space="0" w:color="auto"/>
              <w:right w:val="single" w:sz="6" w:space="0" w:color="auto"/>
            </w:tcBorders>
          </w:tcPr>
          <w:p w:rsidR="00DD7943" w:rsidRPr="00DD0ADD" w:rsidRDefault="00DD7943" w:rsidP="00204633">
            <w:pPr>
              <w:pStyle w:val="Tabele"/>
              <w:rPr>
                <w:lang w:val="de-DE"/>
              </w:rPr>
            </w:pPr>
            <w:r>
              <w:rPr>
                <w:lang w:val="de-DE"/>
              </w:rPr>
              <w:t>0.50-0.70</w:t>
            </w:r>
          </w:p>
        </w:tc>
      </w:tr>
      <w:tr w:rsidR="00DD7943"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DD7943" w:rsidRPr="003F4C93" w:rsidRDefault="00DD7943" w:rsidP="00204633">
            <w:pPr>
              <w:pStyle w:val="Tabele"/>
              <w:rPr>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DD7943" w:rsidRPr="003F4C93" w:rsidRDefault="00DD7943" w:rsidP="00204633">
            <w:pPr>
              <w:pStyle w:val="Tabele"/>
              <w:rPr>
                <w:sz w:val="20"/>
                <w:lang w:val="es-CL"/>
              </w:rPr>
            </w:pPr>
            <w:r>
              <w:t>Nr. Leukociteve/nlesi*</w:t>
            </w:r>
          </w:p>
        </w:tc>
        <w:tc>
          <w:tcPr>
            <w:tcW w:w="3604" w:type="dxa"/>
            <w:tcBorders>
              <w:top w:val="single" w:sz="4" w:space="0" w:color="auto"/>
              <w:left w:val="single" w:sz="6" w:space="0" w:color="auto"/>
              <w:bottom w:val="single" w:sz="4" w:space="0" w:color="auto"/>
              <w:right w:val="single" w:sz="6" w:space="0" w:color="auto"/>
            </w:tcBorders>
          </w:tcPr>
          <w:p w:rsidR="00DD7943" w:rsidRPr="00DD0ADD" w:rsidRDefault="00DD7943" w:rsidP="00204633">
            <w:pPr>
              <w:pStyle w:val="Tabele"/>
              <w:rPr>
                <w:lang w:val="de-DE"/>
              </w:rPr>
            </w:pPr>
            <w:r>
              <w:rPr>
                <w:lang w:val="de-DE"/>
              </w:rPr>
              <w:t>&lt;1x10</w:t>
            </w:r>
            <w:r w:rsidRPr="001A6F76">
              <w:rPr>
                <w:vertAlign w:val="superscript"/>
                <w:lang w:val="de-DE"/>
              </w:rPr>
              <w:t>6</w:t>
            </w:r>
          </w:p>
        </w:tc>
      </w:tr>
      <w:tr w:rsidR="00DD7943"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bottom w:val="single" w:sz="4" w:space="0" w:color="auto"/>
              <w:right w:val="nil"/>
            </w:tcBorders>
          </w:tcPr>
          <w:p w:rsidR="00DD7943" w:rsidRPr="003F4C93" w:rsidRDefault="00DD7943" w:rsidP="00204633">
            <w:pPr>
              <w:pStyle w:val="Tabele"/>
              <w:rPr>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DD7943" w:rsidRPr="003F4C93" w:rsidRDefault="00DD7943" w:rsidP="00204633">
            <w:pPr>
              <w:pStyle w:val="Tabele"/>
              <w:rPr>
                <w:sz w:val="20"/>
                <w:lang w:val="es-CL"/>
              </w:rPr>
            </w:pPr>
            <w:r w:rsidRPr="003F4C93">
              <w:t>Etiketimi</w:t>
            </w:r>
          </w:p>
        </w:tc>
        <w:tc>
          <w:tcPr>
            <w:tcW w:w="3604" w:type="dxa"/>
            <w:tcBorders>
              <w:top w:val="single" w:sz="4" w:space="0" w:color="auto"/>
              <w:left w:val="single" w:sz="6" w:space="0" w:color="auto"/>
              <w:bottom w:val="single" w:sz="4" w:space="0" w:color="auto"/>
              <w:right w:val="single" w:sz="6" w:space="0" w:color="auto"/>
            </w:tcBorders>
          </w:tcPr>
          <w:p w:rsidR="00DD7943" w:rsidRPr="003F4C93" w:rsidRDefault="00DD7943" w:rsidP="00204633">
            <w:pPr>
              <w:pStyle w:val="Tabele"/>
              <w:rPr>
                <w:lang w:val="es-CL"/>
              </w:rPr>
            </w:pPr>
            <w:r w:rsidRPr="003F4C93">
              <w:rPr>
                <w:lang w:val="es-CL"/>
              </w:rPr>
              <w:t>Sipas standarteve p</w:t>
            </w:r>
            <w:r>
              <w:rPr>
                <w:lang w:val="es-CL"/>
              </w:rPr>
              <w:t>ë</w:t>
            </w:r>
            <w:r w:rsidRPr="003F4C93">
              <w:rPr>
                <w:lang w:val="es-CL"/>
              </w:rPr>
              <w:t>rcaktuar n</w:t>
            </w:r>
            <w:r>
              <w:rPr>
                <w:lang w:val="es-CL"/>
              </w:rPr>
              <w:t>ë</w:t>
            </w:r>
            <w:r w:rsidRPr="003F4C93">
              <w:rPr>
                <w:lang w:val="es-CL"/>
              </w:rPr>
              <w:t xml:space="preserve"> </w:t>
            </w:r>
            <w:r w:rsidR="00927123">
              <w:rPr>
                <w:rFonts w:cs="Courier New"/>
                <w:lang w:val="es-CL"/>
              </w:rPr>
              <w:t>r</w:t>
            </w:r>
            <w:r w:rsidRPr="003F4C93">
              <w:rPr>
                <w:rFonts w:cs="Courier New"/>
                <w:lang w:val="es-CL"/>
              </w:rPr>
              <w:t>regulloren</w:t>
            </w:r>
            <w:r w:rsidRPr="003F4C93">
              <w:rPr>
                <w:lang w:val="es-CL"/>
              </w:rPr>
              <w:t xml:space="preserve"> p</w:t>
            </w:r>
            <w:r>
              <w:rPr>
                <w:lang w:val="es-CL"/>
              </w:rPr>
              <w:t>ë</w:t>
            </w:r>
            <w:r w:rsidRPr="003F4C93">
              <w:rPr>
                <w:lang w:val="es-CL"/>
              </w:rPr>
              <w:t>rkat</w:t>
            </w:r>
            <w:r>
              <w:rPr>
                <w:lang w:val="es-CL"/>
              </w:rPr>
              <w:t>ë</w:t>
            </w:r>
            <w:r w:rsidRPr="003F4C93">
              <w:rPr>
                <w:lang w:val="es-CL"/>
              </w:rPr>
              <w:t>se</w:t>
            </w:r>
          </w:p>
        </w:tc>
      </w:tr>
      <w:tr w:rsidR="005662D5" w:rsidRPr="00DD0ADD">
        <w:tblPrEx>
          <w:tblCellMar>
            <w:top w:w="0" w:type="dxa"/>
            <w:left w:w="35" w:type="dxa"/>
            <w:bottom w:w="0" w:type="dxa"/>
            <w:right w:w="35" w:type="dxa"/>
          </w:tblCellMar>
        </w:tblPrEx>
        <w:trPr>
          <w:gridAfter w:val="1"/>
          <w:wAfter w:w="78" w:type="dxa"/>
        </w:trPr>
        <w:tc>
          <w:tcPr>
            <w:tcW w:w="2078" w:type="dxa"/>
            <w:vMerge w:val="restart"/>
            <w:tcBorders>
              <w:top w:val="single" w:sz="4" w:space="0" w:color="auto"/>
              <w:left w:val="single" w:sz="6" w:space="0" w:color="auto"/>
              <w:right w:val="nil"/>
            </w:tcBorders>
          </w:tcPr>
          <w:p w:rsidR="005662D5" w:rsidRPr="003F4C93" w:rsidRDefault="005662D5" w:rsidP="00204633">
            <w:pPr>
              <w:pStyle w:val="Tabele"/>
              <w:rPr>
                <w:lang w:val="es-CL"/>
              </w:rPr>
            </w:pPr>
            <w:r>
              <w:lastRenderedPageBreak/>
              <w:t>Masë trombocitare</w:t>
            </w:r>
          </w:p>
        </w:tc>
        <w:tc>
          <w:tcPr>
            <w:tcW w:w="2880" w:type="dxa"/>
            <w:gridSpan w:val="3"/>
            <w:tcBorders>
              <w:top w:val="single" w:sz="4" w:space="0" w:color="auto"/>
              <w:left w:val="single" w:sz="6" w:space="0" w:color="auto"/>
              <w:bottom w:val="single" w:sz="4" w:space="0" w:color="auto"/>
              <w:right w:val="single" w:sz="6" w:space="0" w:color="auto"/>
            </w:tcBorders>
          </w:tcPr>
          <w:p w:rsidR="005662D5" w:rsidRPr="003F4C93" w:rsidRDefault="005662D5" w:rsidP="00204633">
            <w:pPr>
              <w:pStyle w:val="Tabele"/>
              <w:rPr>
                <w:sz w:val="20"/>
                <w:lang w:val="es-CL"/>
              </w:rPr>
            </w:pPr>
            <w:r>
              <w:t>Volumi</w:t>
            </w:r>
          </w:p>
        </w:tc>
        <w:tc>
          <w:tcPr>
            <w:tcW w:w="3604" w:type="dxa"/>
            <w:tcBorders>
              <w:top w:val="single" w:sz="4" w:space="0" w:color="auto"/>
              <w:left w:val="single" w:sz="6" w:space="0" w:color="auto"/>
              <w:bottom w:val="single" w:sz="4" w:space="0" w:color="auto"/>
              <w:right w:val="single" w:sz="6" w:space="0" w:color="auto"/>
            </w:tcBorders>
          </w:tcPr>
          <w:p w:rsidR="005662D5" w:rsidRPr="00DD0ADD" w:rsidRDefault="005662D5" w:rsidP="00204633">
            <w:pPr>
              <w:pStyle w:val="Tabele"/>
              <w:rPr>
                <w:lang w:val="de-DE"/>
              </w:rPr>
            </w:pPr>
            <w:r w:rsidRPr="00DD0ADD">
              <w:rPr>
                <w:lang w:val="de-DE"/>
              </w:rPr>
              <w:t>I p</w:t>
            </w:r>
            <w:r>
              <w:rPr>
                <w:lang w:val="de-DE"/>
              </w:rPr>
              <w:t>ë</w:t>
            </w:r>
            <w:r w:rsidRPr="00DD0ADD">
              <w:rPr>
                <w:lang w:val="de-DE"/>
              </w:rPr>
              <w:t>rshtatsh</w:t>
            </w:r>
            <w:r>
              <w:rPr>
                <w:lang w:val="de-DE"/>
              </w:rPr>
              <w:t>ë</w:t>
            </w:r>
            <w:r w:rsidRPr="00DD0ADD">
              <w:rPr>
                <w:lang w:val="de-DE"/>
              </w:rPr>
              <w:t>m me kushtet e</w:t>
            </w:r>
            <w:r w:rsidRPr="00370A47">
              <w:rPr>
                <w:lang w:val="es-CL"/>
              </w:rPr>
              <w:t xml:space="preserve"> </w:t>
            </w:r>
            <w:r>
              <w:rPr>
                <w:lang w:val="es-CL"/>
              </w:rPr>
              <w:t>ruajtjes së</w:t>
            </w:r>
            <w:r w:rsidRPr="00370A47">
              <w:rPr>
                <w:sz w:val="30"/>
                <w:szCs w:val="30"/>
                <w:lang w:val="es-CL"/>
              </w:rPr>
              <w:t xml:space="preserve"> </w:t>
            </w:r>
            <w:r w:rsidRPr="00370A47">
              <w:rPr>
                <w:lang w:val="es-CL"/>
              </w:rPr>
              <w:t>produktit me</w:t>
            </w:r>
            <w:r w:rsidRPr="00DD0ADD">
              <w:rPr>
                <w:lang w:val="de-DE"/>
              </w:rPr>
              <w:t xml:space="preserve"> qëllim sigurimin e ph të</w:t>
            </w:r>
            <w:r w:rsidRPr="00370A47">
              <w:rPr>
                <w:lang w:val="es-CL"/>
              </w:rPr>
              <w:t xml:space="preserve"> produktit brenda standarteve</w:t>
            </w:r>
            <w:r>
              <w:rPr>
                <w:szCs w:val="22"/>
                <w:lang w:val="es-CL"/>
              </w:rPr>
              <w:t xml:space="preserve"> të</w:t>
            </w:r>
            <w:r w:rsidRPr="00370A47">
              <w:rPr>
                <w:sz w:val="30"/>
                <w:szCs w:val="30"/>
                <w:lang w:val="es-CL"/>
              </w:rPr>
              <w:t xml:space="preserve"> </w:t>
            </w:r>
            <w:r w:rsidRPr="00370A47">
              <w:rPr>
                <w:lang w:val="es-CL"/>
              </w:rPr>
              <w:t>p</w:t>
            </w:r>
            <w:r>
              <w:rPr>
                <w:lang w:val="es-CL"/>
              </w:rPr>
              <w:t>ë</w:t>
            </w:r>
            <w:r w:rsidRPr="00370A47">
              <w:rPr>
                <w:lang w:val="es-CL"/>
              </w:rPr>
              <w:t>rcaktuar.</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370A47" w:rsidRDefault="005662D5" w:rsidP="00204633">
            <w:pPr>
              <w:pStyle w:val="Tabele"/>
              <w:rPr>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370A47" w:rsidRDefault="005662D5" w:rsidP="00204633">
            <w:pPr>
              <w:pStyle w:val="Tabele"/>
              <w:rPr>
                <w:sz w:val="20"/>
                <w:lang w:val="es-CL"/>
              </w:rPr>
            </w:pPr>
            <w:r w:rsidRPr="004F14F4">
              <w:rPr>
                <w:rFonts w:cs="Courier New"/>
              </w:rPr>
              <w:t xml:space="preserve">Nr. </w:t>
            </w:r>
            <w:r>
              <w:rPr>
                <w:rFonts w:cs="Courier New"/>
              </w:rPr>
              <w:t>Trombociteve/një</w:t>
            </w:r>
            <w:r w:rsidRPr="004F14F4">
              <w:rPr>
                <w:rFonts w:cs="Courier New"/>
              </w:rPr>
              <w:t>si**</w:t>
            </w:r>
          </w:p>
        </w:tc>
        <w:tc>
          <w:tcPr>
            <w:tcW w:w="3604" w:type="dxa"/>
            <w:tcBorders>
              <w:top w:val="single" w:sz="4" w:space="0" w:color="auto"/>
              <w:left w:val="single" w:sz="6" w:space="0" w:color="auto"/>
              <w:bottom w:val="single" w:sz="4" w:space="0" w:color="auto"/>
              <w:right w:val="single" w:sz="6" w:space="0" w:color="auto"/>
            </w:tcBorders>
          </w:tcPr>
          <w:p w:rsidR="005662D5" w:rsidRPr="00370A47" w:rsidRDefault="005662D5" w:rsidP="00204633">
            <w:pPr>
              <w:pStyle w:val="Tabele"/>
              <w:rPr>
                <w:lang w:val="es-CL"/>
              </w:rPr>
            </w:pPr>
            <w:r>
              <w:rPr>
                <w:lang w:val="es-CL"/>
              </w:rPr>
              <w:t>&gt;60x109</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3F4C93" w:rsidRDefault="005662D5" w:rsidP="00204633">
            <w:pPr>
              <w:pStyle w:val="Tabele"/>
              <w:rPr>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rFonts w:cs="Courier New"/>
                <w:lang w:val="it-IT"/>
              </w:rPr>
            </w:pPr>
            <w:r w:rsidRPr="004F14F4">
              <w:rPr>
                <w:rFonts w:cs="Courier New"/>
                <w:lang w:val="it-IT"/>
              </w:rPr>
              <w:t>Nr leukociteve p</w:t>
            </w:r>
            <w:r>
              <w:rPr>
                <w:rFonts w:cs="Courier New"/>
                <w:lang w:val="it-IT"/>
              </w:rPr>
              <w:t>ë</w:t>
            </w:r>
            <w:r w:rsidRPr="004F14F4">
              <w:rPr>
                <w:rFonts w:cs="Courier New"/>
                <w:lang w:val="it-IT"/>
              </w:rPr>
              <w:t>rpara</w:t>
            </w:r>
            <w:r w:rsidRPr="004F14F4">
              <w:rPr>
                <w:lang w:val="it-IT"/>
              </w:rPr>
              <w:t xml:space="preserve"> filtrimit/n</w:t>
            </w:r>
            <w:r>
              <w:rPr>
                <w:lang w:val="it-IT"/>
              </w:rPr>
              <w:t>jë</w:t>
            </w:r>
            <w:r w:rsidRPr="004F14F4">
              <w:rPr>
                <w:lang w:val="it-IT"/>
              </w:rPr>
              <w:t>si**</w:t>
            </w:r>
          </w:p>
        </w:tc>
        <w:tc>
          <w:tcPr>
            <w:tcW w:w="3604" w:type="dxa"/>
            <w:tcBorders>
              <w:top w:val="single" w:sz="4" w:space="0" w:color="auto"/>
              <w:left w:val="single" w:sz="6" w:space="0" w:color="auto"/>
              <w:bottom w:val="single" w:sz="4" w:space="0" w:color="auto"/>
              <w:right w:val="single" w:sz="6" w:space="0" w:color="auto"/>
            </w:tcBorders>
          </w:tcPr>
          <w:p w:rsidR="005662D5" w:rsidRPr="00DD0ADD" w:rsidRDefault="005662D5" w:rsidP="00204633">
            <w:pPr>
              <w:pStyle w:val="Tabele"/>
              <w:rPr>
                <w:lang w:val="de-DE"/>
              </w:rPr>
            </w:pP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4F14F4" w:rsidRDefault="005662D5" w:rsidP="00204633">
            <w:pPr>
              <w:pStyle w:val="Tabele"/>
              <w:rPr>
                <w:lang w:val="it-IT"/>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lang w:val="it-IT"/>
              </w:rPr>
            </w:pPr>
            <w:r w:rsidRPr="004F14F4">
              <w:rPr>
                <w:lang w:val="it-IT"/>
              </w:rPr>
              <w:t>a-pergatitur nga plazma e pasur ne_trombocite</w:t>
            </w:r>
          </w:p>
        </w:tc>
        <w:tc>
          <w:tcPr>
            <w:tcW w:w="3604" w:type="dxa"/>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lang w:val="it-IT"/>
              </w:rPr>
            </w:pPr>
            <w:r>
              <w:rPr>
                <w:lang w:val="it-IT"/>
              </w:rPr>
              <w:t>&lt;2.0x109</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4F14F4" w:rsidRDefault="005662D5" w:rsidP="00204633">
            <w:pPr>
              <w:pStyle w:val="Tabele"/>
              <w:rPr>
                <w:lang w:val="it-IT"/>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pPr>
            <w:r w:rsidRPr="004F14F4">
              <w:t>Nr. leukociteve pas fi</w:t>
            </w:r>
            <w:r>
              <w:t>ltrimit/një</w:t>
            </w:r>
            <w:r w:rsidRPr="004F14F4">
              <w:t>esi*</w:t>
            </w:r>
          </w:p>
        </w:tc>
        <w:tc>
          <w:tcPr>
            <w:tcW w:w="3604" w:type="dxa"/>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lang w:val="it-IT"/>
              </w:rPr>
            </w:pPr>
            <w:r>
              <w:rPr>
                <w:lang w:val="it-IT"/>
              </w:rPr>
              <w:t>&lt;0.2x10</w:t>
            </w:r>
            <w:r w:rsidRPr="005662D5">
              <w:rPr>
                <w:vertAlign w:val="superscript"/>
                <w:lang w:val="it-IT"/>
              </w:rPr>
              <w:t>6</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4F14F4" w:rsidRDefault="005662D5" w:rsidP="00204633">
            <w:pPr>
              <w:pStyle w:val="Tabele"/>
              <w:rPr>
                <w:lang w:val="it-IT"/>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lang w:val="de-DE"/>
              </w:rPr>
            </w:pPr>
            <w:r w:rsidRPr="004F14F4">
              <w:rPr>
                <w:lang w:val="de-DE"/>
              </w:rPr>
              <w:t>Ph ne fund te kohes se</w:t>
            </w:r>
            <w:r w:rsidRPr="004F14F4">
              <w:rPr>
                <w:lang w:val="es-CL"/>
              </w:rPr>
              <w:t xml:space="preserve"> ruajtjes</w:t>
            </w:r>
          </w:p>
        </w:tc>
        <w:tc>
          <w:tcPr>
            <w:tcW w:w="3604" w:type="dxa"/>
            <w:tcBorders>
              <w:top w:val="single" w:sz="4" w:space="0" w:color="auto"/>
              <w:left w:val="single" w:sz="6" w:space="0" w:color="auto"/>
              <w:bottom w:val="single" w:sz="4" w:space="0" w:color="auto"/>
              <w:right w:val="single" w:sz="6" w:space="0" w:color="auto"/>
            </w:tcBorders>
          </w:tcPr>
          <w:p w:rsidR="005662D5" w:rsidRPr="00204633" w:rsidRDefault="005662D5" w:rsidP="00204633">
            <w:pPr>
              <w:pStyle w:val="Tabele"/>
            </w:pPr>
            <w:r w:rsidRPr="00204633">
              <w:t>6.4-7.4</w:t>
            </w:r>
          </w:p>
        </w:tc>
      </w:tr>
      <w:tr w:rsidR="005662D5" w:rsidRPr="00DD0ADD">
        <w:tblPrEx>
          <w:tblCellMar>
            <w:top w:w="0" w:type="dxa"/>
            <w:left w:w="35" w:type="dxa"/>
            <w:bottom w:w="0" w:type="dxa"/>
            <w:right w:w="35" w:type="dxa"/>
          </w:tblCellMar>
        </w:tblPrEx>
        <w:trPr>
          <w:gridAfter w:val="1"/>
          <w:wAfter w:w="78" w:type="dxa"/>
          <w:trHeight w:val="338"/>
        </w:trPr>
        <w:tc>
          <w:tcPr>
            <w:tcW w:w="2078" w:type="dxa"/>
            <w:vMerge/>
            <w:tcBorders>
              <w:left w:val="single" w:sz="6" w:space="0" w:color="auto"/>
              <w:right w:val="nil"/>
            </w:tcBorders>
          </w:tcPr>
          <w:p w:rsidR="005662D5" w:rsidRPr="004F14F4" w:rsidRDefault="005662D5" w:rsidP="00204633">
            <w:pPr>
              <w:pStyle w:val="Tabele"/>
              <w:rPr>
                <w:lang w:val="it-IT"/>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lang w:val="de-DE"/>
              </w:rPr>
            </w:pPr>
            <w:r>
              <w:rPr>
                <w:lang w:val="de-DE"/>
              </w:rPr>
              <w:t>Etiketimi</w:t>
            </w:r>
          </w:p>
        </w:tc>
        <w:tc>
          <w:tcPr>
            <w:tcW w:w="3604" w:type="dxa"/>
            <w:tcBorders>
              <w:top w:val="single" w:sz="4" w:space="0" w:color="auto"/>
              <w:left w:val="single" w:sz="6" w:space="0" w:color="auto"/>
              <w:bottom w:val="single" w:sz="4" w:space="0" w:color="auto"/>
              <w:right w:val="single" w:sz="6" w:space="0" w:color="auto"/>
            </w:tcBorders>
          </w:tcPr>
          <w:p w:rsidR="005662D5" w:rsidRPr="00E65BE7" w:rsidRDefault="005662D5" w:rsidP="00204633">
            <w:pPr>
              <w:pStyle w:val="Tabele"/>
              <w:rPr>
                <w:sz w:val="30"/>
                <w:szCs w:val="30"/>
                <w:lang w:val="de-DE"/>
              </w:rPr>
            </w:pPr>
            <w:r w:rsidRPr="00E65BE7">
              <w:rPr>
                <w:lang w:val="de-DE"/>
              </w:rPr>
              <w:t>Sipas standarteve tëpërcaktuar në</w:t>
            </w:r>
            <w:r w:rsidRPr="00E65BE7">
              <w:rPr>
                <w:sz w:val="30"/>
                <w:szCs w:val="30"/>
                <w:lang w:val="de-DE"/>
              </w:rPr>
              <w:t xml:space="preserve"> </w:t>
            </w:r>
            <w:r w:rsidRPr="00E65BE7">
              <w:rPr>
                <w:rFonts w:cs="Courier New"/>
                <w:lang w:val="de-DE"/>
              </w:rPr>
              <w:t>rregulloren përkatëse</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bottom w:val="single" w:sz="4" w:space="0" w:color="auto"/>
              <w:right w:val="nil"/>
            </w:tcBorders>
          </w:tcPr>
          <w:p w:rsidR="005662D5" w:rsidRPr="00E65BE7" w:rsidRDefault="005662D5" w:rsidP="00204633">
            <w:pPr>
              <w:pStyle w:val="Tabele"/>
              <w:rPr>
                <w:lang w:val="de-DE"/>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F14F4" w:rsidRDefault="005662D5" w:rsidP="00204633">
            <w:pPr>
              <w:pStyle w:val="Tabele"/>
              <w:rPr>
                <w:lang w:val="de-DE"/>
              </w:rPr>
            </w:pPr>
            <w:r w:rsidRPr="004F14F4">
              <w:rPr>
                <w:rFonts w:cs="Courier New"/>
              </w:rPr>
              <w:t>Volumi</w:t>
            </w:r>
          </w:p>
        </w:tc>
        <w:tc>
          <w:tcPr>
            <w:tcW w:w="3604" w:type="dxa"/>
            <w:tcBorders>
              <w:top w:val="single" w:sz="4" w:space="0" w:color="auto"/>
              <w:left w:val="single" w:sz="6" w:space="0" w:color="auto"/>
              <w:bottom w:val="single" w:sz="4" w:space="0" w:color="auto"/>
              <w:right w:val="single" w:sz="6" w:space="0" w:color="auto"/>
            </w:tcBorders>
          </w:tcPr>
          <w:p w:rsidR="005662D5" w:rsidRDefault="005662D5" w:rsidP="00204633">
            <w:pPr>
              <w:pStyle w:val="Tabele"/>
              <w:rPr>
                <w:rFonts w:ascii="Courier New" w:hAnsi="Courier New" w:cs="Courier New"/>
              </w:rPr>
            </w:pPr>
            <w:r w:rsidRPr="004F14F4">
              <w:rPr>
                <w:rFonts w:cs="Courier New"/>
              </w:rPr>
              <w:t>Volumi i vendosur ±10%</w:t>
            </w:r>
          </w:p>
        </w:tc>
      </w:tr>
      <w:tr w:rsidR="00DD7943" w:rsidRPr="00DD0ADD">
        <w:tblPrEx>
          <w:tblCellMar>
            <w:top w:w="0" w:type="dxa"/>
            <w:left w:w="35" w:type="dxa"/>
            <w:bottom w:w="0" w:type="dxa"/>
            <w:right w:w="35" w:type="dxa"/>
          </w:tblCellMar>
        </w:tblPrEx>
        <w:trPr>
          <w:gridAfter w:val="1"/>
          <w:wAfter w:w="78" w:type="dxa"/>
        </w:trPr>
        <w:tc>
          <w:tcPr>
            <w:tcW w:w="2078" w:type="dxa"/>
            <w:tcBorders>
              <w:top w:val="single" w:sz="4" w:space="0" w:color="auto"/>
              <w:left w:val="single" w:sz="6" w:space="0" w:color="auto"/>
              <w:bottom w:val="single" w:sz="4" w:space="0" w:color="auto"/>
              <w:right w:val="nil"/>
            </w:tcBorders>
          </w:tcPr>
          <w:p w:rsidR="00DD7943" w:rsidRPr="008B0F0C" w:rsidRDefault="00DD7943" w:rsidP="00204633">
            <w:pPr>
              <w:pStyle w:val="Tabele"/>
              <w:rPr>
                <w:bCs/>
                <w:szCs w:val="22"/>
                <w:lang w:val="de-DE"/>
              </w:rPr>
            </w:pPr>
            <w:r w:rsidRPr="008B0F0C">
              <w:rPr>
                <w:szCs w:val="22"/>
                <w:lang w:val="de-DE"/>
              </w:rPr>
              <w:br w:type="page"/>
            </w:r>
            <w:r w:rsidRPr="008B0F0C">
              <w:rPr>
                <w:bCs/>
                <w:szCs w:val="22"/>
                <w:lang w:val="de-DE"/>
              </w:rPr>
              <w:t>Plazëm e fresket e ngrir</w:t>
            </w:r>
            <w:r>
              <w:rPr>
                <w:bCs/>
                <w:szCs w:val="22"/>
                <w:lang w:val="de-DE"/>
              </w:rPr>
              <w:t>ë</w:t>
            </w:r>
          </w:p>
        </w:tc>
        <w:tc>
          <w:tcPr>
            <w:tcW w:w="2880" w:type="dxa"/>
            <w:gridSpan w:val="3"/>
            <w:tcBorders>
              <w:top w:val="single" w:sz="4" w:space="0" w:color="auto"/>
              <w:left w:val="single" w:sz="6" w:space="0" w:color="auto"/>
              <w:bottom w:val="single" w:sz="4" w:space="0" w:color="auto"/>
              <w:right w:val="single" w:sz="6" w:space="0" w:color="auto"/>
            </w:tcBorders>
          </w:tcPr>
          <w:p w:rsidR="00DD7943" w:rsidRPr="008B0F0C" w:rsidRDefault="00DD7943" w:rsidP="00204633">
            <w:pPr>
              <w:pStyle w:val="Tabele"/>
              <w:rPr>
                <w:szCs w:val="22"/>
                <w:lang w:val="de-DE"/>
              </w:rPr>
            </w:pPr>
            <w:r w:rsidRPr="008B0F0C">
              <w:rPr>
                <w:szCs w:val="22"/>
                <w:lang w:val="de-DE"/>
              </w:rPr>
              <w:t>Faktori VIII*** (pas ngr</w:t>
            </w:r>
            <w:r>
              <w:rPr>
                <w:szCs w:val="22"/>
                <w:lang w:val="de-DE"/>
              </w:rPr>
              <w:t>irjes dhe shkrirj</w:t>
            </w:r>
            <w:r w:rsidRPr="008B0F0C">
              <w:rPr>
                <w:szCs w:val="22"/>
                <w:lang w:val="de-DE"/>
              </w:rPr>
              <w:t>es)</w:t>
            </w:r>
          </w:p>
        </w:tc>
        <w:tc>
          <w:tcPr>
            <w:tcW w:w="3604" w:type="dxa"/>
            <w:tcBorders>
              <w:top w:val="single" w:sz="4" w:space="0" w:color="auto"/>
              <w:left w:val="single" w:sz="6" w:space="0" w:color="auto"/>
              <w:bottom w:val="single" w:sz="4" w:space="0" w:color="auto"/>
              <w:right w:val="single" w:sz="6" w:space="0" w:color="auto"/>
            </w:tcBorders>
          </w:tcPr>
          <w:p w:rsidR="00DD7943" w:rsidRPr="008B0F0C" w:rsidRDefault="00DD7943" w:rsidP="00204633">
            <w:pPr>
              <w:pStyle w:val="Tabele"/>
              <w:rPr>
                <w:lang w:val="de-DE"/>
              </w:rPr>
            </w:pPr>
            <w:r>
              <w:rPr>
                <w:lang w:val="de-DE"/>
              </w:rPr>
              <w:t>Mesatari</w:t>
            </w:r>
            <w:r w:rsidRPr="008B0F0C">
              <w:rPr>
                <w:lang w:val="de-DE"/>
              </w:rPr>
              <w:t>sht</w:t>
            </w:r>
            <w:r>
              <w:rPr>
                <w:lang w:val="de-DE"/>
              </w:rPr>
              <w:t xml:space="preserve"> </w:t>
            </w:r>
            <w:r w:rsidRPr="00204633">
              <w:rPr>
                <w:rFonts w:ascii="Times New Roman" w:hAnsi="Times New Roman"/>
              </w:rPr>
              <w:t>≥</w:t>
            </w:r>
            <w:r>
              <w:rPr>
                <w:lang w:val="de-DE"/>
              </w:rPr>
              <w:t>70% të vlerës në plazmën e fre</w:t>
            </w:r>
            <w:r w:rsidRPr="008B0F0C">
              <w:rPr>
                <w:lang w:val="de-DE"/>
              </w:rPr>
              <w:t>sk</w:t>
            </w:r>
            <w:r>
              <w:rPr>
                <w:lang w:val="de-DE"/>
              </w:rPr>
              <w:t>ë</w:t>
            </w:r>
            <w:r w:rsidRPr="008B0F0C">
              <w:rPr>
                <w:lang w:val="de-DE"/>
              </w:rPr>
              <w:t>t /nj</w:t>
            </w:r>
            <w:r>
              <w:rPr>
                <w:lang w:val="de-DE"/>
              </w:rPr>
              <w:t>ë</w:t>
            </w:r>
            <w:r w:rsidRPr="008B0F0C">
              <w:rPr>
                <w:lang w:val="de-DE"/>
              </w:rPr>
              <w:t>s</w:t>
            </w:r>
            <w:r>
              <w:rPr>
                <w:lang w:val="de-DE"/>
              </w:rPr>
              <w:t>i</w:t>
            </w:r>
          </w:p>
        </w:tc>
      </w:tr>
      <w:tr w:rsidR="005662D5" w:rsidRPr="00DD0ADD">
        <w:tblPrEx>
          <w:tblCellMar>
            <w:top w:w="0" w:type="dxa"/>
            <w:left w:w="35" w:type="dxa"/>
            <w:bottom w:w="0" w:type="dxa"/>
            <w:right w:w="35" w:type="dxa"/>
          </w:tblCellMar>
        </w:tblPrEx>
        <w:trPr>
          <w:gridAfter w:val="1"/>
          <w:wAfter w:w="78" w:type="dxa"/>
        </w:trPr>
        <w:tc>
          <w:tcPr>
            <w:tcW w:w="2078" w:type="dxa"/>
            <w:vMerge w:val="restart"/>
            <w:tcBorders>
              <w:top w:val="single" w:sz="4" w:space="0" w:color="auto"/>
              <w:left w:val="single" w:sz="6" w:space="0" w:color="auto"/>
              <w:right w:val="nil"/>
            </w:tcBorders>
          </w:tcPr>
          <w:p w:rsidR="005662D5" w:rsidRPr="008B0F0C" w:rsidRDefault="005662D5" w:rsidP="00204633">
            <w:pPr>
              <w:pStyle w:val="Tabele"/>
              <w:rPr>
                <w:lang w:val="de-DE"/>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Nr. Eritrociteve</w:t>
            </w:r>
          </w:p>
        </w:tc>
        <w:tc>
          <w:tcPr>
            <w:tcW w:w="3604" w:type="dxa"/>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 xml:space="preserve">&lt;6 x 10 </w:t>
            </w:r>
            <w:r w:rsidRPr="008B0F0C">
              <w:rPr>
                <w:vertAlign w:val="superscript"/>
              </w:rPr>
              <w:t>9</w:t>
            </w:r>
            <w:r w:rsidRPr="008B0F0C">
              <w:t>/lit</w:t>
            </w:r>
            <w:r>
              <w:t>ë</w:t>
            </w:r>
            <w:r w:rsidRPr="008B0F0C">
              <w:t>r</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8B0F0C" w:rsidRDefault="005662D5" w:rsidP="00204633">
            <w:pPr>
              <w:pStyle w:val="Tabele"/>
              <w:rPr>
                <w:sz w:val="26"/>
                <w:szCs w:val="26"/>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Nr. Leukocite</w:t>
            </w:r>
          </w:p>
        </w:tc>
        <w:tc>
          <w:tcPr>
            <w:tcW w:w="3604" w:type="dxa"/>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&lt;0.lx 10</w:t>
            </w:r>
            <w:r w:rsidRPr="008B0F0C">
              <w:rPr>
                <w:vertAlign w:val="superscript"/>
              </w:rPr>
              <w:t>9</w:t>
            </w:r>
            <w:r w:rsidRPr="008B0F0C">
              <w:t>/lit</w:t>
            </w:r>
            <w:r>
              <w:t>ë</w:t>
            </w:r>
            <w:r w:rsidRPr="008B0F0C">
              <w:t>r</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8B0F0C" w:rsidRDefault="005662D5" w:rsidP="00204633">
            <w:pPr>
              <w:pStyle w:val="Tabele"/>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Nr.trombociteve</w:t>
            </w:r>
          </w:p>
        </w:tc>
        <w:tc>
          <w:tcPr>
            <w:tcW w:w="3604" w:type="dxa"/>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&lt;50x 10</w:t>
            </w:r>
            <w:r w:rsidRPr="008B0F0C">
              <w:rPr>
                <w:vertAlign w:val="superscript"/>
              </w:rPr>
              <w:t>9</w:t>
            </w:r>
            <w:r w:rsidRPr="008B0F0C">
              <w:t>/lit</w:t>
            </w:r>
            <w:r>
              <w:t>ë</w:t>
            </w:r>
            <w:r w:rsidRPr="008B0F0C">
              <w:t>r</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8B0F0C" w:rsidRDefault="005662D5" w:rsidP="00204633">
            <w:pPr>
              <w:pStyle w:val="Tabele"/>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Proteina totale</w:t>
            </w:r>
          </w:p>
        </w:tc>
        <w:tc>
          <w:tcPr>
            <w:tcW w:w="3604" w:type="dxa"/>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rPr>
                <w:lang w:val="es-CL"/>
              </w:rPr>
            </w:pPr>
            <w:r w:rsidRPr="008B0F0C">
              <w:rPr>
                <w:lang w:val="es-CL"/>
              </w:rPr>
              <w:t>jo me pak se 50g/lit</w:t>
            </w:r>
            <w:r>
              <w:rPr>
                <w:lang w:val="es-CL"/>
              </w:rPr>
              <w:t>ë</w:t>
            </w:r>
            <w:r w:rsidRPr="008B0F0C">
              <w:rPr>
                <w:lang w:val="es-CL"/>
              </w:rPr>
              <w:t>r</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8B0F0C" w:rsidRDefault="005662D5" w:rsidP="00204633">
            <w:pPr>
              <w:pStyle w:val="Tabele"/>
              <w:rPr>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pPr>
            <w:r w:rsidRPr="008B0F0C">
              <w:t>Kontroll vizual</w:t>
            </w:r>
          </w:p>
        </w:tc>
        <w:tc>
          <w:tcPr>
            <w:tcW w:w="3604" w:type="dxa"/>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rPr>
                <w:lang w:val="de-DE"/>
              </w:rPr>
            </w:pPr>
            <w:r w:rsidRPr="008B0F0C">
              <w:rPr>
                <w:lang w:val="de-DE"/>
              </w:rPr>
              <w:t>Munges</w:t>
            </w:r>
            <w:r>
              <w:rPr>
                <w:lang w:val="de-DE"/>
              </w:rPr>
              <w:t>ë</w:t>
            </w:r>
            <w:r w:rsidRPr="008B0F0C">
              <w:rPr>
                <w:lang w:val="de-DE"/>
              </w:rPr>
              <w:t xml:space="preserve"> t</w:t>
            </w:r>
            <w:r>
              <w:rPr>
                <w:lang w:val="de-DE"/>
              </w:rPr>
              <w:t>ë</w:t>
            </w:r>
            <w:r w:rsidRPr="008B0F0C">
              <w:rPr>
                <w:lang w:val="de-DE"/>
              </w:rPr>
              <w:t xml:space="preserve"> k</w:t>
            </w:r>
            <w:r>
              <w:rPr>
                <w:lang w:val="de-DE"/>
              </w:rPr>
              <w:t>l</w:t>
            </w:r>
            <w:r w:rsidRPr="008B0F0C">
              <w:rPr>
                <w:lang w:val="de-DE"/>
              </w:rPr>
              <w:t>ots dhe ngjyr</w:t>
            </w:r>
            <w:r>
              <w:rPr>
                <w:lang w:val="de-DE"/>
              </w:rPr>
              <w:t>ë</w:t>
            </w:r>
            <w:r w:rsidRPr="008B0F0C">
              <w:rPr>
                <w:lang w:val="de-DE"/>
              </w:rPr>
              <w:t>s</w:t>
            </w:r>
            <w:r w:rsidRPr="008B0F0C">
              <w:t xml:space="preserve"> jo normale</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8B0F0C" w:rsidRDefault="005662D5" w:rsidP="00204633">
            <w:pPr>
              <w:pStyle w:val="Tabele"/>
              <w:rPr>
                <w:sz w:val="20"/>
                <w:lang w:val="de-DE"/>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rPr>
                <w:sz w:val="20"/>
              </w:rPr>
            </w:pPr>
            <w:r w:rsidRPr="008B0F0C">
              <w:t>Rrjedha</w:t>
            </w:r>
          </w:p>
        </w:tc>
        <w:tc>
          <w:tcPr>
            <w:tcW w:w="3604" w:type="dxa"/>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rPr>
                <w:lang w:val="de-DE"/>
              </w:rPr>
            </w:pPr>
            <w:r w:rsidRPr="008B0F0C">
              <w:rPr>
                <w:lang w:val="de-DE"/>
              </w:rPr>
              <w:t>Mungese rrjedhje nga qesja e</w:t>
            </w:r>
            <w:r w:rsidRPr="008B0F0C">
              <w:rPr>
                <w:lang w:val="es-CL"/>
              </w:rPr>
              <w:t xml:space="preserve"> plazmes.</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bottom w:val="single" w:sz="4" w:space="0" w:color="auto"/>
              <w:right w:val="nil"/>
            </w:tcBorders>
          </w:tcPr>
          <w:p w:rsidR="005662D5" w:rsidRPr="008B0F0C" w:rsidRDefault="005662D5" w:rsidP="00204633">
            <w:pPr>
              <w:pStyle w:val="Tabele"/>
              <w:rPr>
                <w:sz w:val="20"/>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8B0F0C" w:rsidRDefault="005662D5" w:rsidP="00204633">
            <w:pPr>
              <w:pStyle w:val="Tabele"/>
              <w:rPr>
                <w:lang w:val="es-CL"/>
              </w:rPr>
            </w:pPr>
            <w:r w:rsidRPr="008B0F0C">
              <w:t>Etiketimi</w:t>
            </w:r>
          </w:p>
        </w:tc>
        <w:tc>
          <w:tcPr>
            <w:tcW w:w="3604" w:type="dxa"/>
            <w:tcBorders>
              <w:top w:val="single" w:sz="4" w:space="0" w:color="auto"/>
              <w:left w:val="single" w:sz="6" w:space="0" w:color="auto"/>
              <w:bottom w:val="single" w:sz="4" w:space="0" w:color="auto"/>
              <w:right w:val="single" w:sz="6" w:space="0" w:color="auto"/>
            </w:tcBorders>
          </w:tcPr>
          <w:p w:rsidR="005662D5" w:rsidRPr="007A6966" w:rsidRDefault="005662D5" w:rsidP="00204633">
            <w:pPr>
              <w:pStyle w:val="Tabele"/>
              <w:rPr>
                <w:szCs w:val="22"/>
                <w:lang w:val="es-CL"/>
              </w:rPr>
            </w:pPr>
            <w:r w:rsidRPr="007A6966">
              <w:rPr>
                <w:szCs w:val="22"/>
                <w:lang w:val="es-CL"/>
              </w:rPr>
              <w:t xml:space="preserve">Sipas standarteve të përcaktuar në </w:t>
            </w:r>
            <w:r w:rsidR="00927123">
              <w:rPr>
                <w:rFonts w:cs="Courier New"/>
                <w:szCs w:val="22"/>
                <w:lang w:val="es-CL"/>
              </w:rPr>
              <w:t>r</w:t>
            </w:r>
            <w:r w:rsidRPr="007A6966">
              <w:rPr>
                <w:rFonts w:cs="Courier New"/>
                <w:szCs w:val="22"/>
                <w:lang w:val="es-CL"/>
              </w:rPr>
              <w:t>regulloren</w:t>
            </w:r>
            <w:r w:rsidRPr="007A6966">
              <w:rPr>
                <w:lang w:val="es-CL"/>
              </w:rPr>
              <w:t xml:space="preserve"> p</w:t>
            </w:r>
            <w:r>
              <w:rPr>
                <w:lang w:val="es-CL"/>
              </w:rPr>
              <w:t>ë</w:t>
            </w:r>
            <w:r w:rsidRPr="007A6966">
              <w:rPr>
                <w:lang w:val="es-CL"/>
              </w:rPr>
              <w:t>rka</w:t>
            </w:r>
            <w:r>
              <w:rPr>
                <w:lang w:val="es-CL"/>
              </w:rPr>
              <w:t>të</w:t>
            </w:r>
            <w:r w:rsidRPr="007A6966">
              <w:rPr>
                <w:lang w:val="es-CL"/>
              </w:rPr>
              <w:t>se</w:t>
            </w:r>
          </w:p>
        </w:tc>
      </w:tr>
      <w:tr w:rsidR="00DD7943" w:rsidRPr="00DD0ADD">
        <w:tblPrEx>
          <w:tblCellMar>
            <w:top w:w="0" w:type="dxa"/>
            <w:left w:w="35" w:type="dxa"/>
            <w:bottom w:w="0" w:type="dxa"/>
            <w:right w:w="35" w:type="dxa"/>
          </w:tblCellMar>
        </w:tblPrEx>
        <w:trPr>
          <w:gridAfter w:val="1"/>
          <w:wAfter w:w="78" w:type="dxa"/>
        </w:trPr>
        <w:tc>
          <w:tcPr>
            <w:tcW w:w="2078" w:type="dxa"/>
            <w:tcBorders>
              <w:top w:val="single" w:sz="4" w:space="0" w:color="auto"/>
              <w:left w:val="single" w:sz="6" w:space="0" w:color="auto"/>
              <w:bottom w:val="single" w:sz="4" w:space="0" w:color="auto"/>
              <w:right w:val="nil"/>
            </w:tcBorders>
          </w:tcPr>
          <w:p w:rsidR="00DD7943" w:rsidRPr="00F65339" w:rsidRDefault="00DD7943" w:rsidP="00204633">
            <w:pPr>
              <w:pStyle w:val="Tabele"/>
              <w:rPr>
                <w:lang w:val="de-DE"/>
              </w:rPr>
            </w:pPr>
            <w:r w:rsidRPr="00F65339">
              <w:rPr>
                <w:lang w:val="de-DE"/>
              </w:rPr>
              <w:t>Plaz</w:t>
            </w:r>
            <w:r>
              <w:rPr>
                <w:lang w:val="de-DE"/>
              </w:rPr>
              <w:t>ë</w:t>
            </w:r>
            <w:r w:rsidRPr="00F65339">
              <w:rPr>
                <w:lang w:val="de-DE"/>
              </w:rPr>
              <w:t>m e varf</w:t>
            </w:r>
            <w:r>
              <w:rPr>
                <w:lang w:val="de-DE"/>
              </w:rPr>
              <w:t>ë</w:t>
            </w:r>
            <w:r w:rsidRPr="00F65339">
              <w:rPr>
                <w:lang w:val="de-DE"/>
              </w:rPr>
              <w:t>r</w:t>
            </w:r>
          </w:p>
        </w:tc>
        <w:tc>
          <w:tcPr>
            <w:tcW w:w="2880" w:type="dxa"/>
            <w:gridSpan w:val="3"/>
            <w:tcBorders>
              <w:top w:val="single" w:sz="4" w:space="0" w:color="auto"/>
              <w:left w:val="single" w:sz="6" w:space="0" w:color="auto"/>
              <w:bottom w:val="single" w:sz="4" w:space="0" w:color="auto"/>
              <w:right w:val="single" w:sz="6" w:space="0" w:color="auto"/>
            </w:tcBorders>
          </w:tcPr>
          <w:p w:rsidR="00DD7943" w:rsidRPr="00F65339" w:rsidRDefault="00DD7943" w:rsidP="00204633">
            <w:pPr>
              <w:pStyle w:val="Tabele"/>
              <w:rPr>
                <w:lang w:val="de-DE"/>
              </w:rPr>
            </w:pPr>
            <w:r w:rsidRPr="00F65339">
              <w:rPr>
                <w:lang w:val="de-DE"/>
              </w:rPr>
              <w:t>ABO, Rh D grup</w:t>
            </w:r>
          </w:p>
        </w:tc>
        <w:tc>
          <w:tcPr>
            <w:tcW w:w="3604" w:type="dxa"/>
            <w:tcBorders>
              <w:top w:val="single" w:sz="4" w:space="0" w:color="auto"/>
              <w:left w:val="single" w:sz="6" w:space="0" w:color="auto"/>
              <w:bottom w:val="single" w:sz="4" w:space="0" w:color="auto"/>
              <w:right w:val="single" w:sz="6" w:space="0" w:color="auto"/>
            </w:tcBorders>
          </w:tcPr>
          <w:p w:rsidR="00DD7943" w:rsidRPr="00DD0ADD" w:rsidRDefault="00DD7943" w:rsidP="00204633">
            <w:pPr>
              <w:pStyle w:val="Tabele"/>
              <w:rPr>
                <w:lang w:val="de-DE"/>
              </w:rPr>
            </w:pPr>
          </w:p>
        </w:tc>
      </w:tr>
      <w:tr w:rsidR="005662D5" w:rsidRPr="00DD0ADD">
        <w:tblPrEx>
          <w:tblCellMar>
            <w:top w:w="0" w:type="dxa"/>
            <w:left w:w="35" w:type="dxa"/>
            <w:bottom w:w="0" w:type="dxa"/>
            <w:right w:w="35" w:type="dxa"/>
          </w:tblCellMar>
        </w:tblPrEx>
        <w:trPr>
          <w:gridAfter w:val="1"/>
          <w:wAfter w:w="78" w:type="dxa"/>
        </w:trPr>
        <w:tc>
          <w:tcPr>
            <w:tcW w:w="2078" w:type="dxa"/>
            <w:vMerge w:val="restart"/>
            <w:tcBorders>
              <w:top w:val="single" w:sz="4" w:space="0" w:color="auto"/>
              <w:left w:val="single" w:sz="6" w:space="0" w:color="auto"/>
              <w:right w:val="nil"/>
            </w:tcBorders>
          </w:tcPr>
          <w:p w:rsidR="005662D5" w:rsidRPr="00F65339" w:rsidRDefault="005662D5" w:rsidP="00204633">
            <w:pPr>
              <w:pStyle w:val="Tabele"/>
              <w:rPr>
                <w:lang w:val="de-DE"/>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F65339" w:rsidRDefault="005662D5" w:rsidP="00204633">
            <w:pPr>
              <w:pStyle w:val="Tabele"/>
              <w:rPr>
                <w:rFonts w:cs="Courier New"/>
                <w:lang w:val="it-IT"/>
              </w:rPr>
            </w:pPr>
            <w:r w:rsidRPr="00F65339">
              <w:rPr>
                <w:rFonts w:cs="Courier New"/>
                <w:lang w:val="it-IT"/>
              </w:rPr>
              <w:t>Anti-HIV1/2, anti HCV, HbsAg, sifilizi, CMV</w:t>
            </w:r>
          </w:p>
        </w:tc>
        <w:tc>
          <w:tcPr>
            <w:tcW w:w="3604" w:type="dxa"/>
            <w:tcBorders>
              <w:top w:val="single" w:sz="4" w:space="0" w:color="auto"/>
              <w:left w:val="single" w:sz="6" w:space="0" w:color="auto"/>
              <w:bottom w:val="single" w:sz="4" w:space="0" w:color="auto"/>
              <w:right w:val="single" w:sz="6" w:space="0" w:color="auto"/>
            </w:tcBorders>
          </w:tcPr>
          <w:p w:rsidR="005662D5" w:rsidRPr="00F65339" w:rsidRDefault="005662D5" w:rsidP="00204633">
            <w:pPr>
              <w:pStyle w:val="Tabele"/>
            </w:pPr>
            <w:r>
              <w:t>Negativ</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0C714C" w:rsidRDefault="005662D5" w:rsidP="00204633">
            <w:pPr>
              <w:pStyle w:val="Tabele"/>
              <w:rPr>
                <w:lang w:val="de-DE"/>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F65339" w:rsidRDefault="005662D5" w:rsidP="00204633">
            <w:pPr>
              <w:pStyle w:val="Tabele"/>
              <w:rPr>
                <w:lang w:val="de-DE"/>
              </w:rPr>
            </w:pPr>
            <w:r w:rsidRPr="00F65339">
              <w:rPr>
                <w:lang w:val="de-DE"/>
              </w:rPr>
              <w:t>Volumi</w:t>
            </w:r>
          </w:p>
        </w:tc>
        <w:tc>
          <w:tcPr>
            <w:tcW w:w="3604" w:type="dxa"/>
            <w:tcBorders>
              <w:top w:val="single" w:sz="4" w:space="0" w:color="auto"/>
              <w:left w:val="single" w:sz="6" w:space="0" w:color="auto"/>
              <w:bottom w:val="single" w:sz="4" w:space="0" w:color="auto"/>
              <w:right w:val="single" w:sz="6" w:space="0" w:color="auto"/>
            </w:tcBorders>
          </w:tcPr>
          <w:p w:rsidR="005662D5" w:rsidRPr="00F65339" w:rsidRDefault="005662D5" w:rsidP="00204633">
            <w:pPr>
              <w:pStyle w:val="Tabele"/>
            </w:pPr>
            <w:r>
              <w:t>Volumi i vendosur ±10%</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bottom w:val="single" w:sz="4" w:space="0" w:color="auto"/>
              <w:right w:val="nil"/>
            </w:tcBorders>
          </w:tcPr>
          <w:p w:rsidR="005662D5" w:rsidRPr="000C714C" w:rsidRDefault="005662D5" w:rsidP="00204633">
            <w:pPr>
              <w:pStyle w:val="Tabele"/>
              <w:rPr>
                <w:lang w:val="de-DE"/>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F65339" w:rsidRDefault="005662D5" w:rsidP="00204633">
            <w:pPr>
              <w:pStyle w:val="Tabele"/>
              <w:rPr>
                <w:lang w:val="it-IT"/>
              </w:rPr>
            </w:pPr>
            <w:r w:rsidRPr="00F65339">
              <w:rPr>
                <w:lang w:val="it-IT"/>
              </w:rPr>
              <w:t xml:space="preserve">Etiketimi </w:t>
            </w:r>
          </w:p>
        </w:tc>
        <w:tc>
          <w:tcPr>
            <w:tcW w:w="3604" w:type="dxa"/>
            <w:tcBorders>
              <w:top w:val="single" w:sz="4" w:space="0" w:color="auto"/>
              <w:left w:val="single" w:sz="6" w:space="0" w:color="auto"/>
              <w:bottom w:val="single" w:sz="4" w:space="0" w:color="auto"/>
              <w:right w:val="single" w:sz="6" w:space="0" w:color="auto"/>
            </w:tcBorders>
          </w:tcPr>
          <w:p w:rsidR="005662D5" w:rsidRPr="00E65BE7" w:rsidRDefault="005662D5" w:rsidP="00204633">
            <w:pPr>
              <w:pStyle w:val="Tabele"/>
              <w:rPr>
                <w:lang w:val="it-IT"/>
              </w:rPr>
            </w:pPr>
            <w:r w:rsidRPr="00E65BE7">
              <w:rPr>
                <w:lang w:val="it-IT"/>
              </w:rPr>
              <w:t>Sipas standarteve të përcaktuar në rregulloren përgatëse</w:t>
            </w:r>
          </w:p>
        </w:tc>
      </w:tr>
      <w:tr w:rsidR="00DD7943" w:rsidRPr="00DD0ADD">
        <w:tblPrEx>
          <w:tblCellMar>
            <w:top w:w="0" w:type="dxa"/>
            <w:left w:w="35" w:type="dxa"/>
            <w:bottom w:w="0" w:type="dxa"/>
            <w:right w:w="35" w:type="dxa"/>
          </w:tblCellMar>
        </w:tblPrEx>
        <w:trPr>
          <w:gridAfter w:val="1"/>
          <w:wAfter w:w="78" w:type="dxa"/>
        </w:trPr>
        <w:tc>
          <w:tcPr>
            <w:tcW w:w="2078" w:type="dxa"/>
            <w:tcBorders>
              <w:top w:val="single" w:sz="4" w:space="0" w:color="auto"/>
              <w:left w:val="single" w:sz="6" w:space="0" w:color="auto"/>
              <w:bottom w:val="single" w:sz="4" w:space="0" w:color="auto"/>
              <w:right w:val="nil"/>
            </w:tcBorders>
          </w:tcPr>
          <w:p w:rsidR="00DD7943" w:rsidRPr="000C714C" w:rsidRDefault="00DD7943" w:rsidP="00204633">
            <w:pPr>
              <w:pStyle w:val="Tabele"/>
              <w:rPr>
                <w:lang w:val="de-DE"/>
              </w:rPr>
            </w:pPr>
            <w:r>
              <w:rPr>
                <w:lang w:val="de-DE"/>
              </w:rPr>
              <w:t>Krioprecipitat</w:t>
            </w:r>
          </w:p>
        </w:tc>
        <w:tc>
          <w:tcPr>
            <w:tcW w:w="2880" w:type="dxa"/>
            <w:gridSpan w:val="3"/>
            <w:tcBorders>
              <w:top w:val="single" w:sz="4" w:space="0" w:color="auto"/>
              <w:left w:val="single" w:sz="6" w:space="0" w:color="auto"/>
              <w:bottom w:val="single" w:sz="4" w:space="0" w:color="auto"/>
              <w:right w:val="single" w:sz="6" w:space="0" w:color="auto"/>
            </w:tcBorders>
          </w:tcPr>
          <w:p w:rsidR="00DD7943" w:rsidRPr="00444423" w:rsidRDefault="00DD7943" w:rsidP="00204633">
            <w:pPr>
              <w:pStyle w:val="Tabele"/>
              <w:rPr>
                <w:lang w:val="es-CL"/>
              </w:rPr>
            </w:pPr>
            <w:r>
              <w:rPr>
                <w:lang w:val="es-CL"/>
              </w:rPr>
              <w:t>Volumi</w:t>
            </w:r>
          </w:p>
        </w:tc>
        <w:tc>
          <w:tcPr>
            <w:tcW w:w="3604" w:type="dxa"/>
            <w:tcBorders>
              <w:top w:val="single" w:sz="4" w:space="0" w:color="auto"/>
              <w:left w:val="single" w:sz="6" w:space="0" w:color="auto"/>
              <w:bottom w:val="single" w:sz="4" w:space="0" w:color="auto"/>
              <w:right w:val="single" w:sz="6" w:space="0" w:color="auto"/>
            </w:tcBorders>
          </w:tcPr>
          <w:p w:rsidR="00DD7943" w:rsidRPr="00444423" w:rsidRDefault="00DD7943" w:rsidP="00204633">
            <w:pPr>
              <w:pStyle w:val="Tabele"/>
              <w:rPr>
                <w:lang w:val="es-CL"/>
              </w:rPr>
            </w:pPr>
            <w:r>
              <w:rPr>
                <w:lang w:val="es-CL"/>
              </w:rPr>
              <w:t>30-40 ml</w:t>
            </w:r>
          </w:p>
        </w:tc>
      </w:tr>
      <w:tr w:rsidR="005662D5" w:rsidRPr="00DD0ADD">
        <w:tblPrEx>
          <w:tblCellMar>
            <w:top w:w="0" w:type="dxa"/>
            <w:left w:w="35" w:type="dxa"/>
            <w:bottom w:w="0" w:type="dxa"/>
            <w:right w:w="35" w:type="dxa"/>
          </w:tblCellMar>
        </w:tblPrEx>
        <w:trPr>
          <w:gridAfter w:val="1"/>
          <w:wAfter w:w="78" w:type="dxa"/>
        </w:trPr>
        <w:tc>
          <w:tcPr>
            <w:tcW w:w="2078" w:type="dxa"/>
            <w:vMerge w:val="restart"/>
            <w:tcBorders>
              <w:top w:val="single" w:sz="4" w:space="0" w:color="auto"/>
              <w:left w:val="single" w:sz="6" w:space="0" w:color="auto"/>
              <w:right w:val="nil"/>
            </w:tcBorders>
          </w:tcPr>
          <w:p w:rsidR="005662D5" w:rsidRPr="00444423" w:rsidRDefault="005662D5" w:rsidP="00204633">
            <w:pPr>
              <w:pStyle w:val="Tabele"/>
              <w:rPr>
                <w:sz w:val="20"/>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44423" w:rsidRDefault="005662D5" w:rsidP="00204633">
            <w:pPr>
              <w:pStyle w:val="Tabele"/>
              <w:rPr>
                <w:lang w:val="es-CL"/>
              </w:rPr>
            </w:pPr>
            <w:r>
              <w:rPr>
                <w:lang w:val="es-CL"/>
              </w:rPr>
              <w:t>Faktori VIII c</w:t>
            </w:r>
            <w:r>
              <w:rPr>
                <w:lang w:val="es-CL"/>
              </w:rPr>
              <w:sym w:font="Symbol" w:char="F02A"/>
            </w:r>
            <w:r>
              <w:rPr>
                <w:lang w:val="es-CL"/>
              </w:rPr>
              <w:sym w:font="Symbol" w:char="F02A"/>
            </w:r>
            <w:r>
              <w:rPr>
                <w:lang w:val="es-CL"/>
              </w:rPr>
              <w:sym w:font="Symbol" w:char="F02A"/>
            </w:r>
            <w:r>
              <w:rPr>
                <w:lang w:val="es-CL"/>
              </w:rPr>
              <w:sym w:font="Symbol" w:char="F02A"/>
            </w:r>
          </w:p>
        </w:tc>
        <w:tc>
          <w:tcPr>
            <w:tcW w:w="3604" w:type="dxa"/>
            <w:tcBorders>
              <w:top w:val="single" w:sz="4" w:space="0" w:color="auto"/>
              <w:left w:val="single" w:sz="6" w:space="0" w:color="auto"/>
              <w:bottom w:val="single" w:sz="4" w:space="0" w:color="auto"/>
              <w:right w:val="single" w:sz="6" w:space="0" w:color="auto"/>
            </w:tcBorders>
          </w:tcPr>
          <w:p w:rsidR="005662D5" w:rsidRPr="00DD0ADD" w:rsidRDefault="005662D5" w:rsidP="00204633">
            <w:pPr>
              <w:pStyle w:val="Tabele"/>
              <w:rPr>
                <w:lang w:val="de-DE"/>
              </w:rPr>
            </w:pPr>
            <w:r w:rsidRPr="00204633">
              <w:rPr>
                <w:rFonts w:ascii="Times New Roman" w:hAnsi="Times New Roman"/>
              </w:rPr>
              <w:t>≥</w:t>
            </w:r>
            <w:r>
              <w:rPr>
                <w:lang w:val="de-DE"/>
              </w:rPr>
              <w:t xml:space="preserve"> 70 IU/njësi</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444423" w:rsidRDefault="005662D5" w:rsidP="00204633">
            <w:pPr>
              <w:pStyle w:val="Tabele"/>
              <w:rPr>
                <w:sz w:val="20"/>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DD0ADD" w:rsidRDefault="005662D5" w:rsidP="00204633">
            <w:pPr>
              <w:pStyle w:val="Tabele"/>
              <w:rPr>
                <w:sz w:val="20"/>
                <w:lang w:val="de-DE"/>
              </w:rPr>
            </w:pPr>
            <w:r>
              <w:rPr>
                <w:sz w:val="20"/>
                <w:lang w:val="de-DE"/>
              </w:rPr>
              <w:t>Fibrinogjen</w:t>
            </w:r>
          </w:p>
        </w:tc>
        <w:tc>
          <w:tcPr>
            <w:tcW w:w="3604" w:type="dxa"/>
            <w:tcBorders>
              <w:top w:val="single" w:sz="4" w:space="0" w:color="auto"/>
              <w:left w:val="single" w:sz="6" w:space="0" w:color="auto"/>
              <w:bottom w:val="single" w:sz="4" w:space="0" w:color="auto"/>
              <w:right w:val="single" w:sz="6" w:space="0" w:color="auto"/>
            </w:tcBorders>
          </w:tcPr>
          <w:p w:rsidR="005662D5" w:rsidRPr="00444423" w:rsidRDefault="005662D5" w:rsidP="00204633">
            <w:pPr>
              <w:pStyle w:val="Tabele"/>
              <w:rPr>
                <w:lang w:val="es-CL"/>
              </w:rPr>
            </w:pPr>
            <w:r w:rsidRPr="00204633">
              <w:rPr>
                <w:rFonts w:ascii="Times New Roman" w:hAnsi="Times New Roman"/>
              </w:rPr>
              <w:t>≥</w:t>
            </w:r>
            <w:r>
              <w:rPr>
                <w:lang w:val="de-DE"/>
              </w:rPr>
              <w:t xml:space="preserve"> 140mg/njësi</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right w:val="nil"/>
            </w:tcBorders>
          </w:tcPr>
          <w:p w:rsidR="005662D5" w:rsidRPr="00444423" w:rsidRDefault="005662D5" w:rsidP="00204633">
            <w:pPr>
              <w:pStyle w:val="Tabele"/>
              <w:rPr>
                <w:sz w:val="20"/>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444423" w:rsidRDefault="005662D5" w:rsidP="00204633">
            <w:pPr>
              <w:pStyle w:val="Tabele"/>
              <w:rPr>
                <w:lang w:val="es-CL"/>
              </w:rPr>
            </w:pPr>
            <w:r>
              <w:rPr>
                <w:lang w:val="es-CL"/>
              </w:rPr>
              <w:t>Faktori von Ëillebrand</w:t>
            </w:r>
            <w:r>
              <w:rPr>
                <w:lang w:val="es-CL"/>
              </w:rPr>
              <w:sym w:font="Symbol" w:char="F02A"/>
            </w:r>
            <w:r>
              <w:rPr>
                <w:lang w:val="es-CL"/>
              </w:rPr>
              <w:sym w:font="Symbol" w:char="F02A"/>
            </w:r>
            <w:r>
              <w:rPr>
                <w:lang w:val="es-CL"/>
              </w:rPr>
              <w:sym w:font="Symbol" w:char="F02A"/>
            </w:r>
            <w:r>
              <w:rPr>
                <w:lang w:val="es-CL"/>
              </w:rPr>
              <w:sym w:font="Symbol" w:char="F02A"/>
            </w:r>
          </w:p>
        </w:tc>
        <w:tc>
          <w:tcPr>
            <w:tcW w:w="3604" w:type="dxa"/>
            <w:tcBorders>
              <w:top w:val="single" w:sz="4" w:space="0" w:color="auto"/>
              <w:left w:val="single" w:sz="6" w:space="0" w:color="auto"/>
              <w:bottom w:val="single" w:sz="4" w:space="0" w:color="auto"/>
              <w:right w:val="single" w:sz="6" w:space="0" w:color="auto"/>
            </w:tcBorders>
          </w:tcPr>
          <w:p w:rsidR="005662D5" w:rsidRPr="00DD0ADD" w:rsidRDefault="005662D5" w:rsidP="00204633">
            <w:pPr>
              <w:pStyle w:val="Tabele"/>
              <w:rPr>
                <w:lang w:val="de-DE"/>
              </w:rPr>
            </w:pPr>
            <w:r>
              <w:rPr>
                <w:lang w:val="de-DE"/>
              </w:rPr>
              <w:t>&gt;100 IU/njësi</w:t>
            </w:r>
          </w:p>
        </w:tc>
      </w:tr>
      <w:tr w:rsidR="005662D5" w:rsidRPr="00DD0ADD">
        <w:tblPrEx>
          <w:tblCellMar>
            <w:top w:w="0" w:type="dxa"/>
            <w:left w:w="35" w:type="dxa"/>
            <w:bottom w:w="0" w:type="dxa"/>
            <w:right w:w="35" w:type="dxa"/>
          </w:tblCellMar>
        </w:tblPrEx>
        <w:trPr>
          <w:gridAfter w:val="1"/>
          <w:wAfter w:w="78" w:type="dxa"/>
        </w:trPr>
        <w:tc>
          <w:tcPr>
            <w:tcW w:w="2078" w:type="dxa"/>
            <w:vMerge/>
            <w:tcBorders>
              <w:left w:val="single" w:sz="6" w:space="0" w:color="auto"/>
              <w:bottom w:val="single" w:sz="4" w:space="0" w:color="auto"/>
              <w:right w:val="nil"/>
            </w:tcBorders>
          </w:tcPr>
          <w:p w:rsidR="005662D5" w:rsidRPr="00444423" w:rsidRDefault="005662D5" w:rsidP="00204633">
            <w:pPr>
              <w:pStyle w:val="Tabele"/>
              <w:rPr>
                <w:sz w:val="20"/>
                <w:lang w:val="es-CL"/>
              </w:rPr>
            </w:pPr>
          </w:p>
        </w:tc>
        <w:tc>
          <w:tcPr>
            <w:tcW w:w="2880" w:type="dxa"/>
            <w:gridSpan w:val="3"/>
            <w:tcBorders>
              <w:top w:val="single" w:sz="4" w:space="0" w:color="auto"/>
              <w:left w:val="single" w:sz="6" w:space="0" w:color="auto"/>
              <w:bottom w:val="single" w:sz="4" w:space="0" w:color="auto"/>
              <w:right w:val="single" w:sz="6" w:space="0" w:color="auto"/>
            </w:tcBorders>
          </w:tcPr>
          <w:p w:rsidR="005662D5" w:rsidRPr="00DD0ADD" w:rsidRDefault="005662D5" w:rsidP="00204633">
            <w:pPr>
              <w:pStyle w:val="Tabele"/>
              <w:rPr>
                <w:sz w:val="20"/>
                <w:lang w:val="de-DE"/>
              </w:rPr>
            </w:pPr>
            <w:r>
              <w:rPr>
                <w:sz w:val="20"/>
                <w:lang w:val="de-DE"/>
              </w:rPr>
              <w:t>etiketimi</w:t>
            </w:r>
          </w:p>
        </w:tc>
        <w:tc>
          <w:tcPr>
            <w:tcW w:w="3604" w:type="dxa"/>
            <w:tcBorders>
              <w:top w:val="single" w:sz="4" w:space="0" w:color="auto"/>
              <w:left w:val="single" w:sz="6" w:space="0" w:color="auto"/>
              <w:bottom w:val="single" w:sz="4" w:space="0" w:color="auto"/>
              <w:right w:val="single" w:sz="6" w:space="0" w:color="auto"/>
            </w:tcBorders>
          </w:tcPr>
          <w:p w:rsidR="005662D5" w:rsidRPr="00641C59" w:rsidRDefault="005662D5" w:rsidP="00204633">
            <w:pPr>
              <w:pStyle w:val="Tabele"/>
              <w:rPr>
                <w:lang w:val="de-DE"/>
              </w:rPr>
            </w:pPr>
            <w:r w:rsidRPr="00641C59">
              <w:rPr>
                <w:lang w:val="de-DE"/>
              </w:rPr>
              <w:t>Sipas standarteve të përcaktuara në rregulloren përkatëse</w:t>
            </w:r>
          </w:p>
        </w:tc>
      </w:tr>
    </w:tbl>
    <w:p w:rsidR="00DD7943" w:rsidRDefault="00DD7943" w:rsidP="00DD7943">
      <w:pPr>
        <w:pStyle w:val="Paragrafi"/>
        <w:rPr>
          <w:lang w:val="de-DE"/>
        </w:rPr>
      </w:pPr>
    </w:p>
    <w:p w:rsidR="00DD7943" w:rsidRDefault="00DD7943" w:rsidP="00DD7943">
      <w:pPr>
        <w:pStyle w:val="Paragrafi"/>
        <w:rPr>
          <w:szCs w:val="22"/>
          <w:lang w:val="de-DE"/>
        </w:rPr>
      </w:pPr>
      <w:r w:rsidRPr="00444423">
        <w:rPr>
          <w:lang w:val="de-DE"/>
        </w:rPr>
        <w:t>1.</w:t>
      </w:r>
      <w:r>
        <w:rPr>
          <w:lang w:val="de-DE"/>
        </w:rPr>
        <w:t xml:space="preserve"> </w:t>
      </w:r>
      <w:r w:rsidRPr="00444423">
        <w:rPr>
          <w:szCs w:val="26"/>
          <w:lang w:val="de-DE"/>
        </w:rPr>
        <w:t xml:space="preserve">Qeliza të kuqe </w:t>
      </w:r>
      <w:r w:rsidRPr="00444423">
        <w:rPr>
          <w:lang w:val="de-DE"/>
        </w:rPr>
        <w:t>nënkupton qelizat e kuqe që p</w:t>
      </w:r>
      <w:r>
        <w:rPr>
          <w:lang w:val="de-DE"/>
        </w:rPr>
        <w:t>ë</w:t>
      </w:r>
      <w:r w:rsidRPr="00444423">
        <w:rPr>
          <w:lang w:val="de-DE"/>
        </w:rPr>
        <w:t>rftohen nga një dhur</w:t>
      </w:r>
      <w:r>
        <w:rPr>
          <w:lang w:val="de-DE"/>
        </w:rPr>
        <w:t>i</w:t>
      </w:r>
      <w:r w:rsidRPr="00444423">
        <w:rPr>
          <w:lang w:val="de-DE"/>
        </w:rPr>
        <w:t xml:space="preserve">m </w:t>
      </w:r>
      <w:r>
        <w:rPr>
          <w:lang w:val="de-DE"/>
        </w:rPr>
        <w:t>i</w:t>
      </w:r>
      <w:r w:rsidRPr="00444423">
        <w:rPr>
          <w:lang w:val="de-DE"/>
        </w:rPr>
        <w:t xml:space="preserve"> vet</w:t>
      </w:r>
      <w:r>
        <w:rPr>
          <w:lang w:val="de-DE"/>
        </w:rPr>
        <w:t>ë</w:t>
      </w:r>
      <w:r w:rsidRPr="00444423">
        <w:rPr>
          <w:lang w:val="de-DE"/>
        </w:rPr>
        <w:t xml:space="preserve">m </w:t>
      </w:r>
      <w:r w:rsidRPr="00444423">
        <w:rPr>
          <w:szCs w:val="22"/>
          <w:lang w:val="de-DE"/>
        </w:rPr>
        <w:t xml:space="preserve">gjaku </w:t>
      </w:r>
      <w:r w:rsidRPr="00444423">
        <w:rPr>
          <w:lang w:val="de-DE"/>
        </w:rPr>
        <w:t>t</w:t>
      </w:r>
      <w:r>
        <w:rPr>
          <w:lang w:val="de-DE"/>
        </w:rPr>
        <w:t>ë</w:t>
      </w:r>
      <w:r w:rsidRPr="00444423">
        <w:rPr>
          <w:lang w:val="de-DE"/>
        </w:rPr>
        <w:t xml:space="preserve"> plotë pas largimit </w:t>
      </w:r>
      <w:r w:rsidRPr="00444423">
        <w:rPr>
          <w:szCs w:val="30"/>
          <w:lang w:val="de-DE"/>
        </w:rPr>
        <w:t>t</w:t>
      </w:r>
      <w:r>
        <w:rPr>
          <w:szCs w:val="30"/>
          <w:lang w:val="de-DE"/>
        </w:rPr>
        <w:t>ë</w:t>
      </w:r>
      <w:r w:rsidRPr="00444423">
        <w:rPr>
          <w:szCs w:val="30"/>
          <w:lang w:val="de-DE"/>
        </w:rPr>
        <w:t xml:space="preserve"> </w:t>
      </w:r>
      <w:r w:rsidRPr="00444423">
        <w:rPr>
          <w:lang w:val="de-DE"/>
        </w:rPr>
        <w:t>pjes</w:t>
      </w:r>
      <w:r>
        <w:rPr>
          <w:lang w:val="de-DE"/>
        </w:rPr>
        <w:t>ë</w:t>
      </w:r>
      <w:r w:rsidRPr="00444423">
        <w:rPr>
          <w:lang w:val="de-DE"/>
        </w:rPr>
        <w:t xml:space="preserve">s me </w:t>
      </w:r>
      <w:r w:rsidRPr="00444423">
        <w:rPr>
          <w:szCs w:val="30"/>
          <w:lang w:val="de-DE"/>
        </w:rPr>
        <w:t>t</w:t>
      </w:r>
      <w:r>
        <w:rPr>
          <w:szCs w:val="30"/>
          <w:lang w:val="de-DE"/>
        </w:rPr>
        <w:t>ë</w:t>
      </w:r>
      <w:r w:rsidRPr="00444423">
        <w:rPr>
          <w:szCs w:val="30"/>
          <w:lang w:val="de-DE"/>
        </w:rPr>
        <w:t xml:space="preserve"> </w:t>
      </w:r>
      <w:r w:rsidRPr="00444423">
        <w:rPr>
          <w:lang w:val="de-DE"/>
        </w:rPr>
        <w:t xml:space="preserve">madhe të </w:t>
      </w:r>
      <w:r w:rsidRPr="00444423">
        <w:rPr>
          <w:szCs w:val="22"/>
          <w:lang w:val="de-DE"/>
        </w:rPr>
        <w:t>plazmës.</w:t>
      </w:r>
    </w:p>
    <w:p w:rsidR="00DD7943" w:rsidRPr="002802F9" w:rsidRDefault="00DD7943" w:rsidP="00DD7943">
      <w:pPr>
        <w:pStyle w:val="Paragrafi"/>
        <w:rPr>
          <w:lang w:val="de-DE"/>
        </w:rPr>
      </w:pPr>
      <w:r w:rsidRPr="00444423">
        <w:rPr>
          <w:lang w:val="de-DE"/>
        </w:rPr>
        <w:t>2.</w:t>
      </w:r>
      <w:r>
        <w:rPr>
          <w:lang w:val="de-DE"/>
        </w:rPr>
        <w:t xml:space="preserve"> </w:t>
      </w:r>
      <w:r w:rsidRPr="00444423">
        <w:rPr>
          <w:i/>
          <w:szCs w:val="26"/>
          <w:lang w:val="de-DE"/>
        </w:rPr>
        <w:t>buffy coat</w:t>
      </w:r>
      <w:r w:rsidRPr="00444423">
        <w:rPr>
          <w:szCs w:val="26"/>
          <w:lang w:val="de-DE"/>
        </w:rPr>
        <w:t xml:space="preserve"> </w:t>
      </w:r>
      <w:r w:rsidRPr="00444423">
        <w:rPr>
          <w:lang w:val="de-DE"/>
        </w:rPr>
        <w:t>n</w:t>
      </w:r>
      <w:r>
        <w:rPr>
          <w:lang w:val="de-DE"/>
        </w:rPr>
        <w:t>ë</w:t>
      </w:r>
      <w:r w:rsidRPr="00444423">
        <w:rPr>
          <w:lang w:val="de-DE"/>
        </w:rPr>
        <w:t xml:space="preserve">nkupton </w:t>
      </w:r>
      <w:r w:rsidRPr="00444423">
        <w:rPr>
          <w:szCs w:val="26"/>
          <w:lang w:val="de-DE"/>
        </w:rPr>
        <w:t>nj</w:t>
      </w:r>
      <w:r>
        <w:rPr>
          <w:szCs w:val="26"/>
          <w:lang w:val="de-DE"/>
        </w:rPr>
        <w:t>ë</w:t>
      </w:r>
      <w:r w:rsidRPr="00444423">
        <w:rPr>
          <w:szCs w:val="26"/>
          <w:lang w:val="de-DE"/>
        </w:rPr>
        <w:t xml:space="preserve"> shtres</w:t>
      </w:r>
      <w:r>
        <w:rPr>
          <w:szCs w:val="26"/>
          <w:lang w:val="de-DE"/>
        </w:rPr>
        <w:t>ë</w:t>
      </w:r>
      <w:r w:rsidRPr="00444423">
        <w:rPr>
          <w:szCs w:val="26"/>
          <w:lang w:val="de-DE"/>
        </w:rPr>
        <w:t xml:space="preserve"> qel</w:t>
      </w:r>
      <w:r>
        <w:rPr>
          <w:szCs w:val="26"/>
          <w:lang w:val="de-DE"/>
        </w:rPr>
        <w:t>i</w:t>
      </w:r>
      <w:r w:rsidRPr="00444423">
        <w:rPr>
          <w:szCs w:val="26"/>
          <w:lang w:val="de-DE"/>
        </w:rPr>
        <w:t xml:space="preserve">zash </w:t>
      </w:r>
      <w:r w:rsidRPr="00444423">
        <w:rPr>
          <w:szCs w:val="30"/>
          <w:lang w:val="de-DE"/>
        </w:rPr>
        <w:t>q</w:t>
      </w:r>
      <w:r>
        <w:rPr>
          <w:szCs w:val="30"/>
          <w:lang w:val="de-DE"/>
        </w:rPr>
        <w:t>ë</w:t>
      </w:r>
      <w:r w:rsidRPr="00444423">
        <w:rPr>
          <w:szCs w:val="30"/>
          <w:lang w:val="de-DE"/>
        </w:rPr>
        <w:t xml:space="preserve"> </w:t>
      </w:r>
      <w:r w:rsidRPr="00444423">
        <w:rPr>
          <w:szCs w:val="26"/>
          <w:lang w:val="de-DE"/>
        </w:rPr>
        <w:t xml:space="preserve">përftohet pas </w:t>
      </w:r>
      <w:r w:rsidRPr="00444423">
        <w:rPr>
          <w:lang w:val="de-DE"/>
        </w:rPr>
        <w:t>centrifugi</w:t>
      </w:r>
      <w:r>
        <w:rPr>
          <w:lang w:val="de-DE"/>
        </w:rPr>
        <w:t>m</w:t>
      </w:r>
      <w:r w:rsidRPr="00444423">
        <w:rPr>
          <w:lang w:val="de-DE"/>
        </w:rPr>
        <w:t>it</w:t>
      </w:r>
      <w:r>
        <w:rPr>
          <w:lang w:val="de-DE"/>
        </w:rPr>
        <w:t xml:space="preserve"> </w:t>
      </w:r>
      <w:r w:rsidRPr="00444423">
        <w:rPr>
          <w:szCs w:val="30"/>
          <w:lang w:val="de-DE"/>
        </w:rPr>
        <w:t>t</w:t>
      </w:r>
      <w:r>
        <w:rPr>
          <w:szCs w:val="30"/>
          <w:lang w:val="de-DE"/>
        </w:rPr>
        <w:t>ë</w:t>
      </w:r>
      <w:r w:rsidRPr="00444423">
        <w:rPr>
          <w:szCs w:val="30"/>
          <w:lang w:val="de-DE"/>
        </w:rPr>
        <w:t xml:space="preserve"> </w:t>
      </w:r>
      <w:r w:rsidRPr="00444423">
        <w:rPr>
          <w:szCs w:val="26"/>
          <w:lang w:val="de-DE"/>
        </w:rPr>
        <w:t xml:space="preserve">gjakut </w:t>
      </w:r>
      <w:r w:rsidRPr="00444423">
        <w:rPr>
          <w:szCs w:val="30"/>
          <w:lang w:val="de-DE"/>
        </w:rPr>
        <w:t>t</w:t>
      </w:r>
      <w:r>
        <w:rPr>
          <w:szCs w:val="30"/>
          <w:lang w:val="de-DE"/>
        </w:rPr>
        <w:t>ë</w:t>
      </w:r>
      <w:r w:rsidRPr="00444423">
        <w:rPr>
          <w:szCs w:val="30"/>
          <w:lang w:val="de-DE"/>
        </w:rPr>
        <w:t xml:space="preserve"> </w:t>
      </w:r>
      <w:r w:rsidRPr="00444423">
        <w:rPr>
          <w:lang w:val="de-DE"/>
        </w:rPr>
        <w:t>plot</w:t>
      </w:r>
      <w:r>
        <w:rPr>
          <w:lang w:val="de-DE"/>
        </w:rPr>
        <w:t>ë</w:t>
      </w:r>
      <w:r w:rsidRPr="00444423">
        <w:rPr>
          <w:lang w:val="de-DE"/>
        </w:rPr>
        <w:t xml:space="preserve"> dhe gjendet midis plazm</w:t>
      </w:r>
      <w:r>
        <w:rPr>
          <w:lang w:val="de-DE"/>
        </w:rPr>
        <w:t>ë</w:t>
      </w:r>
      <w:r w:rsidRPr="00444423">
        <w:rPr>
          <w:lang w:val="de-DE"/>
        </w:rPr>
        <w:t xml:space="preserve">s dhe eritrociteve. </w:t>
      </w:r>
      <w:r w:rsidRPr="002802F9">
        <w:rPr>
          <w:lang w:val="de-DE"/>
        </w:rPr>
        <w:t>Kjo shtresë qelizash p</w:t>
      </w:r>
      <w:r>
        <w:rPr>
          <w:lang w:val="de-DE"/>
        </w:rPr>
        <w:t>ë</w:t>
      </w:r>
      <w:r w:rsidRPr="002802F9">
        <w:rPr>
          <w:lang w:val="de-DE"/>
        </w:rPr>
        <w:t>rmban nj</w:t>
      </w:r>
      <w:r>
        <w:rPr>
          <w:lang w:val="de-DE"/>
        </w:rPr>
        <w:t>ë</w:t>
      </w:r>
      <w:r w:rsidRPr="002802F9">
        <w:rPr>
          <w:lang w:val="de-DE"/>
        </w:rPr>
        <w:t xml:space="preserve"> numer </w:t>
      </w:r>
      <w:r w:rsidRPr="002802F9">
        <w:rPr>
          <w:szCs w:val="30"/>
          <w:lang w:val="de-DE"/>
        </w:rPr>
        <w:t>t</w:t>
      </w:r>
      <w:r>
        <w:rPr>
          <w:szCs w:val="30"/>
          <w:lang w:val="de-DE"/>
        </w:rPr>
        <w:t>ë</w:t>
      </w:r>
      <w:r w:rsidRPr="002802F9">
        <w:rPr>
          <w:szCs w:val="30"/>
          <w:lang w:val="de-DE"/>
        </w:rPr>
        <w:t xml:space="preserve"> </w:t>
      </w:r>
      <w:r w:rsidRPr="002802F9">
        <w:rPr>
          <w:lang w:val="de-DE"/>
        </w:rPr>
        <w:t>ko</w:t>
      </w:r>
      <w:r>
        <w:rPr>
          <w:lang w:val="de-DE"/>
        </w:rPr>
        <w:t>s</w:t>
      </w:r>
      <w:r w:rsidRPr="002802F9">
        <w:rPr>
          <w:lang w:val="de-DE"/>
        </w:rPr>
        <w:t>iderues</w:t>
      </w:r>
      <w:r>
        <w:rPr>
          <w:lang w:val="de-DE"/>
        </w:rPr>
        <w:t>ë</w:t>
      </w:r>
      <w:r w:rsidRPr="002802F9">
        <w:rPr>
          <w:lang w:val="de-DE"/>
        </w:rPr>
        <w:t xml:space="preserve">m leukocite dhe trombocite. </w:t>
      </w:r>
    </w:p>
    <w:p w:rsidR="00DD7943" w:rsidRDefault="00DD7943" w:rsidP="00DD7943">
      <w:pPr>
        <w:pStyle w:val="Paragrafi"/>
        <w:rPr>
          <w:szCs w:val="26"/>
          <w:lang w:val="it-IT"/>
        </w:rPr>
      </w:pPr>
      <w:r w:rsidRPr="00444423">
        <w:rPr>
          <w:szCs w:val="26"/>
          <w:lang w:val="it-IT"/>
        </w:rPr>
        <w:t xml:space="preserve">Rezultatet e testimit do përkufizohen </w:t>
      </w:r>
      <w:r>
        <w:rPr>
          <w:szCs w:val="26"/>
          <w:lang w:val="it-IT"/>
        </w:rPr>
        <w:t>si</w:t>
      </w:r>
      <w:r w:rsidRPr="00444423">
        <w:rPr>
          <w:szCs w:val="26"/>
          <w:lang w:val="it-IT"/>
        </w:rPr>
        <w:t xml:space="preserve"> m</w:t>
      </w:r>
      <w:r>
        <w:rPr>
          <w:szCs w:val="26"/>
          <w:lang w:val="it-IT"/>
        </w:rPr>
        <w:t>ë</w:t>
      </w:r>
      <w:r w:rsidRPr="00444423">
        <w:rPr>
          <w:szCs w:val="26"/>
          <w:lang w:val="it-IT"/>
        </w:rPr>
        <w:t xml:space="preserve"> posht</w:t>
      </w:r>
      <w:r>
        <w:rPr>
          <w:szCs w:val="26"/>
          <w:lang w:val="it-IT"/>
        </w:rPr>
        <w:t>ë</w:t>
      </w:r>
      <w:r w:rsidRPr="00444423">
        <w:rPr>
          <w:szCs w:val="26"/>
          <w:lang w:val="it-IT"/>
        </w:rPr>
        <w:t>:</w:t>
      </w:r>
    </w:p>
    <w:p w:rsidR="00DD7943" w:rsidRDefault="00DD7943" w:rsidP="00DD7943">
      <w:pPr>
        <w:pStyle w:val="Paragrafi"/>
        <w:rPr>
          <w:lang w:val="it-IT"/>
        </w:rPr>
      </w:pPr>
      <w:r w:rsidRPr="00444423">
        <w:rPr>
          <w:lang w:val="it-IT"/>
        </w:rPr>
        <w:t xml:space="preserve">* </w:t>
      </w:r>
      <w:r w:rsidRPr="00444423">
        <w:rPr>
          <w:szCs w:val="26"/>
          <w:lang w:val="it-IT"/>
        </w:rPr>
        <w:t xml:space="preserve">produkti është </w:t>
      </w:r>
      <w:r w:rsidRPr="00444423">
        <w:rPr>
          <w:lang w:val="it-IT"/>
        </w:rPr>
        <w:t>i p</w:t>
      </w:r>
      <w:r>
        <w:rPr>
          <w:lang w:val="it-IT"/>
        </w:rPr>
        <w:t>ë</w:t>
      </w:r>
      <w:r w:rsidRPr="00444423">
        <w:rPr>
          <w:lang w:val="it-IT"/>
        </w:rPr>
        <w:t>rshtatshem p</w:t>
      </w:r>
      <w:r>
        <w:rPr>
          <w:lang w:val="it-IT"/>
        </w:rPr>
        <w:t>ë</w:t>
      </w:r>
      <w:r w:rsidRPr="00444423">
        <w:rPr>
          <w:lang w:val="it-IT"/>
        </w:rPr>
        <w:t>r perdorim n</w:t>
      </w:r>
      <w:r>
        <w:rPr>
          <w:lang w:val="it-IT"/>
        </w:rPr>
        <w:t>ë</w:t>
      </w:r>
      <w:r w:rsidRPr="00444423">
        <w:rPr>
          <w:lang w:val="it-IT"/>
        </w:rPr>
        <w:t>s</w:t>
      </w:r>
      <w:r>
        <w:rPr>
          <w:lang w:val="it-IT"/>
        </w:rPr>
        <w:t>e</w:t>
      </w:r>
      <w:r w:rsidRPr="00444423">
        <w:rPr>
          <w:lang w:val="it-IT"/>
        </w:rPr>
        <w:t xml:space="preserve"> 90% e mostrave </w:t>
      </w:r>
      <w:r w:rsidRPr="00444423">
        <w:rPr>
          <w:szCs w:val="30"/>
          <w:lang w:val="it-IT"/>
        </w:rPr>
        <w:t>t</w:t>
      </w:r>
      <w:r>
        <w:rPr>
          <w:szCs w:val="30"/>
          <w:lang w:val="it-IT"/>
        </w:rPr>
        <w:t>ë</w:t>
      </w:r>
      <w:r w:rsidRPr="00444423">
        <w:rPr>
          <w:szCs w:val="30"/>
          <w:lang w:val="it-IT"/>
        </w:rPr>
        <w:t xml:space="preserve"> </w:t>
      </w:r>
      <w:r w:rsidRPr="00444423">
        <w:rPr>
          <w:lang w:val="it-IT"/>
        </w:rPr>
        <w:t>kontrolluara i plot</w:t>
      </w:r>
      <w:r>
        <w:rPr>
          <w:lang w:val="it-IT"/>
        </w:rPr>
        <w:t>ë</w:t>
      </w:r>
      <w:r w:rsidRPr="00444423">
        <w:rPr>
          <w:lang w:val="it-IT"/>
        </w:rPr>
        <w:t>sojn</w:t>
      </w:r>
      <w:r>
        <w:rPr>
          <w:lang w:val="it-IT"/>
        </w:rPr>
        <w:t>ë</w:t>
      </w:r>
      <w:r w:rsidRPr="00444423">
        <w:rPr>
          <w:lang w:val="it-IT"/>
        </w:rPr>
        <w:t xml:space="preserve"> standarte e k</w:t>
      </w:r>
      <w:r>
        <w:rPr>
          <w:lang w:val="it-IT"/>
        </w:rPr>
        <w:t>ë</w:t>
      </w:r>
      <w:r w:rsidRPr="00444423">
        <w:rPr>
          <w:lang w:val="it-IT"/>
        </w:rPr>
        <w:t>rkuara.</w:t>
      </w:r>
    </w:p>
    <w:p w:rsidR="00DD7943" w:rsidRPr="002802F9" w:rsidRDefault="00DD7943" w:rsidP="00DD7943">
      <w:pPr>
        <w:pStyle w:val="Paragrafi"/>
        <w:rPr>
          <w:rFonts w:eastAsia="Batang"/>
          <w:lang w:val="it-IT"/>
        </w:rPr>
      </w:pPr>
      <w:r>
        <w:rPr>
          <w:lang w:val="it-IT"/>
        </w:rPr>
        <w:t xml:space="preserve">** </w:t>
      </w:r>
      <w:r w:rsidRPr="002802F9">
        <w:rPr>
          <w:lang w:val="it-IT"/>
        </w:rPr>
        <w:t xml:space="preserve">produkti </w:t>
      </w:r>
      <w:r>
        <w:rPr>
          <w:szCs w:val="30"/>
          <w:lang w:val="it-IT"/>
        </w:rPr>
        <w:t>ë</w:t>
      </w:r>
      <w:r w:rsidRPr="002802F9">
        <w:rPr>
          <w:szCs w:val="30"/>
          <w:lang w:val="it-IT"/>
        </w:rPr>
        <w:t>sht</w:t>
      </w:r>
      <w:r>
        <w:rPr>
          <w:szCs w:val="30"/>
          <w:lang w:val="it-IT"/>
        </w:rPr>
        <w:t>ë</w:t>
      </w:r>
      <w:r w:rsidRPr="002802F9">
        <w:rPr>
          <w:szCs w:val="30"/>
          <w:lang w:val="it-IT"/>
        </w:rPr>
        <w:t xml:space="preserve"> </w:t>
      </w:r>
      <w:r w:rsidRPr="002802F9">
        <w:rPr>
          <w:lang w:val="it-IT"/>
        </w:rPr>
        <w:t xml:space="preserve">i </w:t>
      </w:r>
      <w:r w:rsidRPr="002802F9">
        <w:rPr>
          <w:szCs w:val="26"/>
          <w:lang w:val="it-IT"/>
        </w:rPr>
        <w:t>p</w:t>
      </w:r>
      <w:r>
        <w:rPr>
          <w:szCs w:val="26"/>
          <w:lang w:val="it-IT"/>
        </w:rPr>
        <w:t>ë</w:t>
      </w:r>
      <w:r w:rsidRPr="002802F9">
        <w:rPr>
          <w:szCs w:val="26"/>
          <w:lang w:val="it-IT"/>
        </w:rPr>
        <w:t xml:space="preserve">rshtatshem </w:t>
      </w:r>
      <w:r w:rsidRPr="002802F9">
        <w:rPr>
          <w:szCs w:val="30"/>
          <w:lang w:val="it-IT"/>
        </w:rPr>
        <w:t>p</w:t>
      </w:r>
      <w:r>
        <w:rPr>
          <w:szCs w:val="30"/>
          <w:lang w:val="it-IT"/>
        </w:rPr>
        <w:t>ë</w:t>
      </w:r>
      <w:r w:rsidRPr="002802F9">
        <w:rPr>
          <w:szCs w:val="30"/>
          <w:lang w:val="it-IT"/>
        </w:rPr>
        <w:t xml:space="preserve">r </w:t>
      </w:r>
      <w:r w:rsidRPr="002802F9">
        <w:rPr>
          <w:szCs w:val="26"/>
          <w:lang w:val="it-IT"/>
        </w:rPr>
        <w:t>p</w:t>
      </w:r>
      <w:r>
        <w:rPr>
          <w:szCs w:val="26"/>
          <w:lang w:val="it-IT"/>
        </w:rPr>
        <w:t>ë</w:t>
      </w:r>
      <w:r w:rsidRPr="002802F9">
        <w:rPr>
          <w:szCs w:val="26"/>
          <w:lang w:val="it-IT"/>
        </w:rPr>
        <w:t>rdorim n</w:t>
      </w:r>
      <w:r>
        <w:rPr>
          <w:szCs w:val="26"/>
          <w:lang w:val="it-IT"/>
        </w:rPr>
        <w:t>ë</w:t>
      </w:r>
      <w:r w:rsidRPr="002802F9">
        <w:rPr>
          <w:szCs w:val="26"/>
          <w:lang w:val="it-IT"/>
        </w:rPr>
        <w:t xml:space="preserve">se </w:t>
      </w:r>
      <w:r w:rsidRPr="002802F9">
        <w:rPr>
          <w:lang w:val="it-IT"/>
        </w:rPr>
        <w:t>75% e mostrave të kontrolluara</w:t>
      </w:r>
      <w:r>
        <w:rPr>
          <w:lang w:val="it-IT"/>
        </w:rPr>
        <w:t xml:space="preserve"> i</w:t>
      </w:r>
      <w:r w:rsidRPr="002802F9">
        <w:rPr>
          <w:lang w:val="it-IT"/>
        </w:rPr>
        <w:t xml:space="preserve"> plot</w:t>
      </w:r>
      <w:r>
        <w:rPr>
          <w:lang w:val="it-IT"/>
        </w:rPr>
        <w:t>ë</w:t>
      </w:r>
      <w:r w:rsidRPr="002802F9">
        <w:rPr>
          <w:lang w:val="it-IT"/>
        </w:rPr>
        <w:t>sojn</w:t>
      </w:r>
      <w:r>
        <w:rPr>
          <w:lang w:val="it-IT"/>
        </w:rPr>
        <w:t>ë</w:t>
      </w:r>
      <w:r w:rsidRPr="002802F9">
        <w:rPr>
          <w:lang w:val="it-IT"/>
        </w:rPr>
        <w:t xml:space="preserve"> standarte e k</w:t>
      </w:r>
      <w:r>
        <w:rPr>
          <w:lang w:val="it-IT"/>
        </w:rPr>
        <w:t>ë</w:t>
      </w:r>
      <w:r w:rsidRPr="002802F9">
        <w:rPr>
          <w:lang w:val="it-IT"/>
        </w:rPr>
        <w:t>rkuara.</w:t>
      </w:r>
    </w:p>
    <w:p w:rsidR="00DD7943" w:rsidRDefault="00DD7943" w:rsidP="00DD7943">
      <w:pPr>
        <w:pStyle w:val="Paragrafi"/>
        <w:rPr>
          <w:lang w:val="de-DE"/>
        </w:rPr>
      </w:pPr>
      <w:r>
        <w:rPr>
          <w:lang w:val="it-IT"/>
        </w:rPr>
        <w:t xml:space="preserve">*** </w:t>
      </w:r>
      <w:r w:rsidRPr="00DD0ADD">
        <w:rPr>
          <w:lang w:val="de-DE"/>
        </w:rPr>
        <w:t>produkti në stokun e bankës s</w:t>
      </w:r>
      <w:r>
        <w:rPr>
          <w:lang w:val="de-DE"/>
        </w:rPr>
        <w:t>ë</w:t>
      </w:r>
      <w:r w:rsidRPr="00DD0ADD">
        <w:rPr>
          <w:lang w:val="de-DE"/>
        </w:rPr>
        <w:t xml:space="preserve"> </w:t>
      </w:r>
      <w:r w:rsidRPr="00641C59">
        <w:rPr>
          <w:lang w:val="it-IT"/>
        </w:rPr>
        <w:t xml:space="preserve">gjakut </w:t>
      </w:r>
      <w:r w:rsidRPr="00DD0ADD">
        <w:rPr>
          <w:lang w:val="de-DE"/>
        </w:rPr>
        <w:t>do të kontrollohet çdo 3 muaj.</w:t>
      </w:r>
    </w:p>
    <w:p w:rsidR="00DD7943" w:rsidRDefault="00DD7943" w:rsidP="00DD7943">
      <w:pPr>
        <w:pStyle w:val="Paragrafi"/>
        <w:rPr>
          <w:lang w:val="de-DE"/>
        </w:rPr>
      </w:pPr>
      <w:r w:rsidRPr="002802F9">
        <w:rPr>
          <w:lang w:val="de-DE"/>
        </w:rPr>
        <w:t>10 njësi do të kontrollohen në muajin e par</w:t>
      </w:r>
      <w:r>
        <w:rPr>
          <w:lang w:val="de-DE"/>
        </w:rPr>
        <w:t>ë</w:t>
      </w:r>
      <w:r w:rsidRPr="002802F9">
        <w:rPr>
          <w:lang w:val="de-DE"/>
        </w:rPr>
        <w:t xml:space="preserve"> </w:t>
      </w:r>
      <w:r w:rsidRPr="002802F9">
        <w:rPr>
          <w:szCs w:val="30"/>
          <w:lang w:val="de-DE"/>
        </w:rPr>
        <w:t>t</w:t>
      </w:r>
      <w:r>
        <w:rPr>
          <w:szCs w:val="30"/>
          <w:lang w:val="de-DE"/>
        </w:rPr>
        <w:t>ë</w:t>
      </w:r>
      <w:r w:rsidRPr="002802F9">
        <w:rPr>
          <w:szCs w:val="30"/>
          <w:lang w:val="de-DE"/>
        </w:rPr>
        <w:t xml:space="preserve"> </w:t>
      </w:r>
      <w:r w:rsidRPr="002802F9">
        <w:rPr>
          <w:lang w:val="de-DE"/>
        </w:rPr>
        <w:t xml:space="preserve">kohës </w:t>
      </w:r>
      <w:r>
        <w:rPr>
          <w:szCs w:val="30"/>
          <w:lang w:val="de-DE"/>
        </w:rPr>
        <w:t>së</w:t>
      </w:r>
      <w:r w:rsidRPr="002802F9">
        <w:rPr>
          <w:szCs w:val="30"/>
          <w:lang w:val="de-DE"/>
        </w:rPr>
        <w:t xml:space="preserve"> </w:t>
      </w:r>
      <w:r w:rsidRPr="002802F9">
        <w:rPr>
          <w:lang w:val="de-DE"/>
        </w:rPr>
        <w:t xml:space="preserve">ruajtjes. Numri </w:t>
      </w:r>
      <w:r>
        <w:rPr>
          <w:lang w:val="de-DE"/>
        </w:rPr>
        <w:t xml:space="preserve">i </w:t>
      </w:r>
      <w:r w:rsidRPr="002802F9">
        <w:rPr>
          <w:lang w:val="de-DE"/>
        </w:rPr>
        <w:t xml:space="preserve">leukociteve do </w:t>
      </w:r>
      <w:r>
        <w:rPr>
          <w:lang w:val="de-DE"/>
        </w:rPr>
        <w:t>të percaktohet përpara ngrirjes së</w:t>
      </w:r>
      <w:r w:rsidRPr="002802F9">
        <w:rPr>
          <w:sz w:val="30"/>
          <w:szCs w:val="30"/>
          <w:lang w:val="de-DE"/>
        </w:rPr>
        <w:t xml:space="preserve"> </w:t>
      </w:r>
      <w:r w:rsidRPr="002802F9">
        <w:rPr>
          <w:lang w:val="de-DE"/>
        </w:rPr>
        <w:t>produkt</w:t>
      </w:r>
      <w:r>
        <w:rPr>
          <w:lang w:val="de-DE"/>
        </w:rPr>
        <w:t>i</w:t>
      </w:r>
      <w:r w:rsidRPr="002802F9">
        <w:rPr>
          <w:lang w:val="de-DE"/>
        </w:rPr>
        <w:t>t.</w:t>
      </w:r>
    </w:p>
    <w:p w:rsidR="00DD7943" w:rsidRPr="002802F9" w:rsidRDefault="00DD7943" w:rsidP="00DD7943">
      <w:pPr>
        <w:pStyle w:val="Paragrafi"/>
        <w:rPr>
          <w:rFonts w:eastAsia="Batang"/>
          <w:lang w:val="de-DE"/>
        </w:rPr>
      </w:pPr>
      <w:r w:rsidRPr="002802F9">
        <w:rPr>
          <w:lang w:val="de-DE"/>
        </w:rPr>
        <w:t>**** produkti në stokun e bankës së g</w:t>
      </w:r>
      <w:r>
        <w:rPr>
          <w:lang w:val="de-DE"/>
        </w:rPr>
        <w:t>k</w:t>
      </w:r>
      <w:r w:rsidRPr="002802F9">
        <w:rPr>
          <w:lang w:val="de-DE"/>
        </w:rPr>
        <w:t xml:space="preserve">akut do të kontrollohet </w:t>
      </w:r>
      <w:r>
        <w:rPr>
          <w:lang w:val="de-DE"/>
        </w:rPr>
        <w:t>ç</w:t>
      </w:r>
      <w:r w:rsidRPr="002802F9">
        <w:rPr>
          <w:lang w:val="de-DE"/>
        </w:rPr>
        <w:t xml:space="preserve">do 2 muaj. Kontrolli do të kryhet </w:t>
      </w:r>
      <w:r w:rsidRPr="002802F9">
        <w:rPr>
          <w:szCs w:val="30"/>
          <w:lang w:val="de-DE"/>
        </w:rPr>
        <w:t xml:space="preserve">gjatë </w:t>
      </w:r>
      <w:r w:rsidRPr="002802F9">
        <w:rPr>
          <w:lang w:val="de-DE"/>
        </w:rPr>
        <w:t xml:space="preserve">muajit </w:t>
      </w:r>
      <w:r w:rsidRPr="002802F9">
        <w:rPr>
          <w:szCs w:val="30"/>
          <w:lang w:val="de-DE"/>
        </w:rPr>
        <w:t>t</w:t>
      </w:r>
      <w:r>
        <w:rPr>
          <w:szCs w:val="30"/>
          <w:lang w:val="de-DE"/>
        </w:rPr>
        <w:t>ë</w:t>
      </w:r>
      <w:r w:rsidRPr="002802F9">
        <w:rPr>
          <w:szCs w:val="30"/>
          <w:lang w:val="de-DE"/>
        </w:rPr>
        <w:t xml:space="preserve"> </w:t>
      </w:r>
      <w:r w:rsidRPr="002802F9">
        <w:rPr>
          <w:lang w:val="de-DE"/>
        </w:rPr>
        <w:t>par</w:t>
      </w:r>
      <w:r>
        <w:rPr>
          <w:lang w:val="de-DE"/>
        </w:rPr>
        <w:t>ë</w:t>
      </w:r>
      <w:r w:rsidRPr="002802F9">
        <w:rPr>
          <w:lang w:val="de-DE"/>
        </w:rPr>
        <w:t xml:space="preserve"> dhe të fundit të ruajtjes</w:t>
      </w:r>
    </w:p>
    <w:p w:rsidR="00DD7943" w:rsidRPr="002802F9" w:rsidRDefault="00DD7943" w:rsidP="00DD7943">
      <w:pPr>
        <w:pStyle w:val="Paragrafi"/>
        <w:rPr>
          <w:rFonts w:eastAsia="Batang"/>
          <w:lang w:val="de-DE"/>
        </w:rPr>
      </w:pPr>
    </w:p>
    <w:p w:rsidR="00DD7943" w:rsidRPr="00856858" w:rsidRDefault="00DD7943" w:rsidP="00856858">
      <w:pPr>
        <w:pStyle w:val="Paragrafi"/>
        <w:jc w:val="center"/>
        <w:rPr>
          <w:b/>
        </w:rPr>
      </w:pPr>
    </w:p>
    <w:p w:rsidR="002238B2" w:rsidRPr="00856858" w:rsidRDefault="002238B2" w:rsidP="00856858">
      <w:pPr>
        <w:pStyle w:val="Paragrafi"/>
        <w:jc w:val="center"/>
        <w:rPr>
          <w:b/>
        </w:rPr>
      </w:pPr>
      <w:r w:rsidRPr="00856858">
        <w:rPr>
          <w:b/>
        </w:rPr>
        <w:t>VENDIM</w:t>
      </w:r>
    </w:p>
    <w:p w:rsidR="002238B2" w:rsidRPr="00856858" w:rsidRDefault="002238B2" w:rsidP="00856858">
      <w:pPr>
        <w:pStyle w:val="Paragrafi"/>
        <w:jc w:val="center"/>
        <w:rPr>
          <w:b/>
        </w:rPr>
      </w:pPr>
      <w:r w:rsidRPr="00856858">
        <w:rPr>
          <w:b/>
        </w:rPr>
        <w:t>Nr.19, datë 15.11.2007</w:t>
      </w:r>
    </w:p>
    <w:p w:rsidR="002238B2" w:rsidRPr="00856858" w:rsidRDefault="002238B2" w:rsidP="00856858">
      <w:pPr>
        <w:pStyle w:val="Paragrafi"/>
        <w:jc w:val="center"/>
        <w:rPr>
          <w:b/>
        </w:rPr>
      </w:pPr>
    </w:p>
    <w:p w:rsidR="002238B2" w:rsidRPr="00856858" w:rsidRDefault="002238B2" w:rsidP="00856858">
      <w:pPr>
        <w:pStyle w:val="Paragrafi"/>
        <w:jc w:val="center"/>
        <w:rPr>
          <w:b/>
        </w:rPr>
      </w:pPr>
      <w:r w:rsidRPr="00856858">
        <w:rPr>
          <w:b/>
        </w:rPr>
        <w:t>NË EMËR TË REPUBLIKËS</w:t>
      </w:r>
    </w:p>
    <w:p w:rsidR="002238B2" w:rsidRPr="009163D0" w:rsidRDefault="002238B2" w:rsidP="00856858">
      <w:pPr>
        <w:pStyle w:val="Paragrafi"/>
      </w:pPr>
    </w:p>
    <w:p w:rsidR="002238B2" w:rsidRPr="009163D0" w:rsidRDefault="002238B2" w:rsidP="00856858">
      <w:pPr>
        <w:pStyle w:val="Paragrafi"/>
      </w:pPr>
      <w:r w:rsidRPr="009163D0">
        <w:t>Kolegjet e Bashkuara të Gjykatës së Lartë, të përbërë nga:</w:t>
      </w:r>
    </w:p>
    <w:p w:rsidR="002238B2" w:rsidRPr="009163D0" w:rsidRDefault="002238B2" w:rsidP="00856858">
      <w:pPr>
        <w:pStyle w:val="Paragrafi"/>
      </w:pPr>
    </w:p>
    <w:p w:rsidR="002238B2" w:rsidRPr="009163D0" w:rsidRDefault="002238B2" w:rsidP="00856858">
      <w:pPr>
        <w:pStyle w:val="Paragrafi"/>
        <w:rPr>
          <w:noProof/>
        </w:rPr>
      </w:pPr>
      <w:r w:rsidRPr="009163D0">
        <w:rPr>
          <w:noProof/>
        </w:rPr>
        <w:t>Thimjo Kondi</w:t>
      </w:r>
      <w:r w:rsidRPr="009163D0">
        <w:rPr>
          <w:noProof/>
        </w:rPr>
        <w:tab/>
      </w:r>
      <w:r w:rsidRPr="009163D0">
        <w:rPr>
          <w:noProof/>
        </w:rPr>
        <w:tab/>
      </w:r>
      <w:r w:rsidRPr="009163D0">
        <w:rPr>
          <w:noProof/>
        </w:rPr>
        <w:tab/>
        <w:t>Kryetar</w:t>
      </w:r>
      <w:r w:rsidRPr="009163D0">
        <w:rPr>
          <w:noProof/>
        </w:rPr>
        <w:tab/>
      </w:r>
      <w:r w:rsidRPr="009163D0">
        <w:rPr>
          <w:noProof/>
        </w:rPr>
        <w:tab/>
      </w:r>
      <w:r w:rsidRPr="009163D0">
        <w:rPr>
          <w:noProof/>
        </w:rPr>
        <w:tab/>
      </w:r>
    </w:p>
    <w:p w:rsidR="002238B2" w:rsidRPr="009163D0" w:rsidRDefault="002238B2" w:rsidP="00856858">
      <w:pPr>
        <w:pStyle w:val="Paragrafi"/>
        <w:rPr>
          <w:noProof/>
        </w:rPr>
      </w:pPr>
      <w:r w:rsidRPr="009163D0">
        <w:rPr>
          <w:noProof/>
        </w:rPr>
        <w:t>Artan Hoxha</w:t>
      </w:r>
      <w:r w:rsidRPr="009163D0">
        <w:rPr>
          <w:noProof/>
        </w:rPr>
        <w:tab/>
      </w:r>
      <w:r w:rsidRPr="009163D0">
        <w:rPr>
          <w:noProof/>
        </w:rPr>
        <w:tab/>
      </w:r>
      <w:r w:rsidRPr="009163D0">
        <w:rPr>
          <w:noProof/>
        </w:rPr>
        <w:tab/>
        <w:t>An</w:t>
      </w:r>
      <w:r w:rsidRPr="009163D0">
        <w:t>ë</w:t>
      </w:r>
      <w:r w:rsidRPr="009163D0">
        <w:rPr>
          <w:noProof/>
        </w:rPr>
        <w:t>tar</w:t>
      </w:r>
    </w:p>
    <w:p w:rsidR="002238B2" w:rsidRPr="009163D0" w:rsidRDefault="002238B2" w:rsidP="00856858">
      <w:pPr>
        <w:pStyle w:val="Paragrafi"/>
        <w:rPr>
          <w:noProof/>
        </w:rPr>
      </w:pPr>
      <w:r w:rsidRPr="009163D0">
        <w:t>Gani Dizdari</w:t>
      </w:r>
      <w:r w:rsidRPr="009163D0">
        <w:tab/>
      </w:r>
      <w:r w:rsidRPr="009163D0">
        <w:tab/>
      </w:r>
      <w:r w:rsidRPr="009163D0">
        <w:tab/>
      </w:r>
      <w:r w:rsidRPr="009163D0">
        <w:rPr>
          <w:noProof/>
        </w:rPr>
        <w:t>An</w:t>
      </w:r>
      <w:r w:rsidRPr="009163D0">
        <w:t>ë</w:t>
      </w:r>
      <w:r w:rsidRPr="009163D0">
        <w:rPr>
          <w:noProof/>
        </w:rPr>
        <w:t>tar</w:t>
      </w:r>
    </w:p>
    <w:p w:rsidR="002238B2" w:rsidRPr="009163D0" w:rsidRDefault="002238B2" w:rsidP="00856858">
      <w:pPr>
        <w:pStyle w:val="Paragrafi"/>
        <w:rPr>
          <w:noProof/>
        </w:rPr>
      </w:pPr>
      <w:r w:rsidRPr="009163D0">
        <w:t>Nikoleta Kita</w:t>
      </w:r>
      <w:r w:rsidRPr="009163D0">
        <w:tab/>
      </w:r>
      <w:r w:rsidRPr="009163D0">
        <w:tab/>
      </w:r>
      <w:r w:rsidRPr="009163D0">
        <w:tab/>
      </w:r>
      <w:r w:rsidRPr="009163D0">
        <w:rPr>
          <w:noProof/>
        </w:rPr>
        <w:t>An</w:t>
      </w:r>
      <w:r w:rsidRPr="009163D0">
        <w:t>ë</w:t>
      </w:r>
      <w:r w:rsidRPr="009163D0">
        <w:rPr>
          <w:noProof/>
        </w:rPr>
        <w:t>tar</w:t>
      </w:r>
    </w:p>
    <w:p w:rsidR="002238B2" w:rsidRPr="009163D0" w:rsidRDefault="002238B2" w:rsidP="00856858">
      <w:pPr>
        <w:pStyle w:val="Paragrafi"/>
        <w:rPr>
          <w:noProof/>
        </w:rPr>
      </w:pPr>
      <w:r w:rsidRPr="009163D0">
        <w:t>Spiro Spiro</w:t>
      </w:r>
      <w:r w:rsidRPr="009163D0">
        <w:tab/>
      </w:r>
      <w:r w:rsidRPr="009163D0">
        <w:tab/>
      </w:r>
      <w:r w:rsidRPr="009163D0">
        <w:tab/>
      </w:r>
      <w:r w:rsidRPr="009163D0">
        <w:rPr>
          <w:noProof/>
        </w:rPr>
        <w:t>An</w:t>
      </w:r>
      <w:r w:rsidRPr="009163D0">
        <w:t>ë</w:t>
      </w:r>
      <w:r w:rsidRPr="009163D0">
        <w:rPr>
          <w:noProof/>
        </w:rPr>
        <w:t>tar</w:t>
      </w:r>
    </w:p>
    <w:p w:rsidR="002238B2" w:rsidRPr="009163D0" w:rsidRDefault="002238B2" w:rsidP="00856858">
      <w:pPr>
        <w:pStyle w:val="Paragrafi"/>
        <w:rPr>
          <w:noProof/>
        </w:rPr>
      </w:pPr>
      <w:r w:rsidRPr="009163D0">
        <w:rPr>
          <w:noProof/>
        </w:rPr>
        <w:t>Perikli Zaharia</w:t>
      </w:r>
      <w:r w:rsidRPr="009163D0">
        <w:rPr>
          <w:noProof/>
        </w:rPr>
        <w:tab/>
      </w:r>
      <w:r w:rsidRPr="009163D0">
        <w:rPr>
          <w:noProof/>
        </w:rPr>
        <w:tab/>
      </w:r>
      <w:r w:rsidRPr="009163D0">
        <w:rPr>
          <w:noProof/>
        </w:rPr>
        <w:tab/>
        <w:t>An</w:t>
      </w:r>
      <w:r w:rsidRPr="009163D0">
        <w:t>ë</w:t>
      </w:r>
      <w:r w:rsidRPr="009163D0">
        <w:rPr>
          <w:noProof/>
        </w:rPr>
        <w:t>tar</w:t>
      </w:r>
    </w:p>
    <w:p w:rsidR="002238B2" w:rsidRPr="009163D0" w:rsidRDefault="002238B2" w:rsidP="00856858">
      <w:pPr>
        <w:pStyle w:val="Paragrafi"/>
        <w:rPr>
          <w:noProof/>
        </w:rPr>
      </w:pPr>
      <w:r w:rsidRPr="009163D0">
        <w:rPr>
          <w:noProof/>
        </w:rPr>
        <w:t>Agron Lamaj</w:t>
      </w:r>
      <w:r w:rsidRPr="009163D0">
        <w:rPr>
          <w:noProof/>
        </w:rPr>
        <w:tab/>
      </w:r>
      <w:r w:rsidRPr="009163D0">
        <w:rPr>
          <w:noProof/>
        </w:rPr>
        <w:tab/>
      </w:r>
      <w:r w:rsidRPr="009163D0">
        <w:rPr>
          <w:noProof/>
        </w:rPr>
        <w:tab/>
        <w:t>An</w:t>
      </w:r>
      <w:r w:rsidRPr="009163D0">
        <w:t>ë</w:t>
      </w:r>
      <w:r w:rsidRPr="009163D0">
        <w:rPr>
          <w:noProof/>
        </w:rPr>
        <w:t>tar</w:t>
      </w:r>
    </w:p>
    <w:p w:rsidR="002238B2" w:rsidRPr="009163D0" w:rsidRDefault="002238B2" w:rsidP="00856858">
      <w:pPr>
        <w:pStyle w:val="Paragrafi"/>
        <w:rPr>
          <w:noProof/>
        </w:rPr>
      </w:pPr>
      <w:r w:rsidRPr="009163D0">
        <w:rPr>
          <w:noProof/>
        </w:rPr>
        <w:t>Irma Bala</w:t>
      </w:r>
      <w:r w:rsidRPr="009163D0">
        <w:tab/>
      </w:r>
      <w:r w:rsidRPr="009163D0">
        <w:tab/>
      </w:r>
      <w:r w:rsidRPr="009163D0">
        <w:tab/>
      </w:r>
      <w:r w:rsidRPr="009163D0">
        <w:rPr>
          <w:noProof/>
        </w:rPr>
        <w:t>An</w:t>
      </w:r>
      <w:r w:rsidRPr="009163D0">
        <w:t>ë</w:t>
      </w:r>
      <w:r w:rsidRPr="009163D0">
        <w:rPr>
          <w:noProof/>
        </w:rPr>
        <w:t>tar</w:t>
      </w:r>
    </w:p>
    <w:p w:rsidR="002238B2" w:rsidRPr="009163D0" w:rsidRDefault="002238B2" w:rsidP="00856858">
      <w:pPr>
        <w:pStyle w:val="Paragrafi"/>
        <w:rPr>
          <w:noProof/>
        </w:rPr>
      </w:pPr>
      <w:r w:rsidRPr="009163D0">
        <w:rPr>
          <w:noProof/>
        </w:rPr>
        <w:t>Besnik Imeraj</w:t>
      </w:r>
      <w:r w:rsidRPr="009163D0">
        <w:rPr>
          <w:noProof/>
        </w:rPr>
        <w:tab/>
      </w:r>
      <w:r w:rsidRPr="009163D0">
        <w:rPr>
          <w:noProof/>
        </w:rPr>
        <w:tab/>
        <w:t xml:space="preserve">     </w:t>
      </w:r>
      <w:r w:rsidRPr="009163D0">
        <w:rPr>
          <w:noProof/>
        </w:rPr>
        <w:tab/>
        <w:t>An</w:t>
      </w:r>
      <w:r w:rsidRPr="009163D0">
        <w:t>ë</w:t>
      </w:r>
      <w:r w:rsidRPr="009163D0">
        <w:rPr>
          <w:noProof/>
        </w:rPr>
        <w:t>tar</w:t>
      </w:r>
    </w:p>
    <w:p w:rsidR="002238B2" w:rsidRPr="009163D0" w:rsidRDefault="002238B2" w:rsidP="00856858">
      <w:pPr>
        <w:pStyle w:val="Paragrafi"/>
        <w:rPr>
          <w:noProof/>
        </w:rPr>
      </w:pPr>
      <w:r w:rsidRPr="009163D0">
        <w:t>Fatos Lulo</w:t>
      </w:r>
      <w:r w:rsidRPr="009163D0">
        <w:tab/>
      </w:r>
      <w:r w:rsidRPr="009163D0">
        <w:tab/>
      </w:r>
      <w:r w:rsidRPr="009163D0">
        <w:tab/>
      </w:r>
      <w:r w:rsidRPr="009163D0">
        <w:rPr>
          <w:noProof/>
        </w:rPr>
        <w:t>An</w:t>
      </w:r>
      <w:r w:rsidRPr="009163D0">
        <w:t>ë</w:t>
      </w:r>
      <w:r w:rsidRPr="009163D0">
        <w:rPr>
          <w:noProof/>
        </w:rPr>
        <w:t>tar</w:t>
      </w:r>
    </w:p>
    <w:p w:rsidR="002238B2" w:rsidRPr="009163D0" w:rsidRDefault="002238B2" w:rsidP="00856858">
      <w:pPr>
        <w:pStyle w:val="Paragrafi"/>
        <w:rPr>
          <w:noProof/>
        </w:rPr>
      </w:pPr>
      <w:r w:rsidRPr="009163D0">
        <w:t>Evjeni Sinojmeri</w:t>
      </w:r>
      <w:r w:rsidRPr="009163D0">
        <w:tab/>
      </w:r>
      <w:r w:rsidRPr="009163D0">
        <w:tab/>
      </w:r>
      <w:r w:rsidRPr="009163D0">
        <w:rPr>
          <w:noProof/>
        </w:rPr>
        <w:t>An</w:t>
      </w:r>
      <w:r w:rsidRPr="009163D0">
        <w:t>ë</w:t>
      </w:r>
      <w:r w:rsidRPr="009163D0">
        <w:rPr>
          <w:noProof/>
        </w:rPr>
        <w:t>tar</w:t>
      </w:r>
    </w:p>
    <w:p w:rsidR="002238B2" w:rsidRPr="009163D0" w:rsidRDefault="002238B2" w:rsidP="00856858">
      <w:pPr>
        <w:pStyle w:val="Paragrafi"/>
        <w:rPr>
          <w:noProof/>
        </w:rPr>
      </w:pPr>
      <w:r w:rsidRPr="009163D0">
        <w:rPr>
          <w:noProof/>
        </w:rPr>
        <w:t>Shpresa Becaj</w:t>
      </w:r>
      <w:r w:rsidRPr="009163D0">
        <w:tab/>
        <w:t xml:space="preserve">     </w:t>
      </w:r>
      <w:r w:rsidRPr="009163D0">
        <w:tab/>
        <w:t xml:space="preserve">    </w:t>
      </w:r>
      <w:r w:rsidRPr="009163D0">
        <w:tab/>
      </w:r>
      <w:r w:rsidRPr="009163D0">
        <w:rPr>
          <w:noProof/>
        </w:rPr>
        <w:t>An</w:t>
      </w:r>
      <w:r w:rsidRPr="009163D0">
        <w:t>ë</w:t>
      </w:r>
      <w:r w:rsidRPr="009163D0">
        <w:rPr>
          <w:noProof/>
        </w:rPr>
        <w:t>tar</w:t>
      </w:r>
    </w:p>
    <w:p w:rsidR="002238B2" w:rsidRPr="009163D0" w:rsidRDefault="002238B2" w:rsidP="00856858">
      <w:pPr>
        <w:pStyle w:val="Paragrafi"/>
        <w:rPr>
          <w:bCs/>
          <w:noProof/>
        </w:rPr>
      </w:pPr>
      <w:r w:rsidRPr="009163D0">
        <w:t>Ardian Nuni</w:t>
      </w:r>
      <w:r w:rsidRPr="009163D0">
        <w:tab/>
      </w:r>
      <w:r w:rsidRPr="009163D0">
        <w:tab/>
      </w:r>
      <w:r w:rsidRPr="009163D0">
        <w:tab/>
      </w:r>
      <w:r w:rsidRPr="009163D0">
        <w:rPr>
          <w:bCs/>
          <w:noProof/>
        </w:rPr>
        <w:t>An</w:t>
      </w:r>
      <w:r w:rsidRPr="009163D0">
        <w:t>ë</w:t>
      </w:r>
      <w:r w:rsidRPr="009163D0">
        <w:rPr>
          <w:bCs/>
          <w:noProof/>
        </w:rPr>
        <w:t>tar</w:t>
      </w:r>
    </w:p>
    <w:p w:rsidR="002238B2" w:rsidRPr="009163D0" w:rsidRDefault="002238B2" w:rsidP="00856858">
      <w:pPr>
        <w:pStyle w:val="Paragrafi"/>
      </w:pPr>
    </w:p>
    <w:p w:rsidR="002238B2" w:rsidRPr="009163D0" w:rsidRDefault="002238B2" w:rsidP="00856858">
      <w:pPr>
        <w:pStyle w:val="Paragrafi"/>
      </w:pPr>
      <w:r w:rsidRPr="009163D0">
        <w:t>në seancën gjyqësore të datës  15.11.2007 mori në shqyrtim çështjen civile që u përket:</w:t>
      </w:r>
    </w:p>
    <w:p w:rsidR="002238B2" w:rsidRPr="009163D0" w:rsidRDefault="002238B2" w:rsidP="00856858">
      <w:pPr>
        <w:pStyle w:val="Paragrafi"/>
      </w:pPr>
      <w:r w:rsidRPr="009163D0">
        <w:rPr>
          <w:b/>
          <w:bCs/>
        </w:rPr>
        <w:t xml:space="preserve"> </w:t>
      </w:r>
    </w:p>
    <w:p w:rsidR="002238B2" w:rsidRPr="00204633" w:rsidRDefault="002238B2" w:rsidP="00204633">
      <w:pPr>
        <w:pStyle w:val="Paragrafi"/>
        <w:rPr>
          <w:i/>
        </w:rPr>
      </w:pPr>
      <w:r w:rsidRPr="00204633">
        <w:rPr>
          <w:i/>
        </w:rPr>
        <w:t>PADITËS: Murat Klobocishta, përfaqësuar nga av.Luan Hasanaj.</w:t>
      </w:r>
    </w:p>
    <w:p w:rsidR="002238B2" w:rsidRPr="00204633" w:rsidRDefault="002238B2" w:rsidP="00204633">
      <w:pPr>
        <w:pStyle w:val="Paragrafi"/>
        <w:rPr>
          <w:i/>
        </w:rPr>
      </w:pPr>
      <w:r w:rsidRPr="00204633">
        <w:rPr>
          <w:i/>
        </w:rPr>
        <w:t xml:space="preserve">I PADITUR: Instituti  Italian i Tregëtisë së Jashtme, përfaqësuar nga av.Erinda Ballanca. </w:t>
      </w:r>
    </w:p>
    <w:p w:rsidR="002238B2" w:rsidRPr="00204633" w:rsidRDefault="002238B2" w:rsidP="00204633">
      <w:pPr>
        <w:pStyle w:val="Paragrafi"/>
        <w:rPr>
          <w:i/>
        </w:rPr>
      </w:pPr>
      <w:r w:rsidRPr="00204633">
        <w:rPr>
          <w:i/>
        </w:rPr>
        <w:t>OBJEKTI I PADISË</w:t>
      </w:r>
      <w:r w:rsidR="006C016C" w:rsidRPr="00204633">
        <w:rPr>
          <w:i/>
        </w:rPr>
        <w:t>:</w:t>
      </w:r>
      <w:r w:rsidRPr="00204633">
        <w:rPr>
          <w:i/>
        </w:rPr>
        <w:t xml:space="preserve">Konstatim i pavlefshmërisë së zgjidhjes së kontratës së punës, si dhe detyrimi i punëdhënësit për dhënien e  dëmshpërblimit në masën e një viti page. </w:t>
      </w:r>
    </w:p>
    <w:p w:rsidR="002238B2" w:rsidRPr="00204633" w:rsidRDefault="002238B2" w:rsidP="00204633">
      <w:pPr>
        <w:pStyle w:val="Paragrafi"/>
        <w:rPr>
          <w:i/>
        </w:rPr>
      </w:pPr>
      <w:r w:rsidRPr="00204633">
        <w:rPr>
          <w:i/>
        </w:rPr>
        <w:t>BAZA LIGJORE: Neni 146 i  Kodit të Punës.</w:t>
      </w:r>
    </w:p>
    <w:p w:rsidR="002238B2" w:rsidRPr="009163D0" w:rsidRDefault="002238B2" w:rsidP="00856858">
      <w:pPr>
        <w:pStyle w:val="Paragrafi"/>
      </w:pPr>
    </w:p>
    <w:p w:rsidR="002238B2" w:rsidRPr="00204633" w:rsidRDefault="002238B2" w:rsidP="00204633">
      <w:pPr>
        <w:pStyle w:val="Paragrafi"/>
        <w:rPr>
          <w:i/>
        </w:rPr>
      </w:pPr>
      <w:r w:rsidRPr="00204633">
        <w:rPr>
          <w:i/>
        </w:rPr>
        <w:t>Gjykata e Rrethit Gjyqësor Tiranë, me vendimin nr.2668, datë 27.5.2005, ka vendosur:</w:t>
      </w:r>
    </w:p>
    <w:p w:rsidR="002238B2" w:rsidRPr="00856858" w:rsidRDefault="00BB26D5" w:rsidP="00856858">
      <w:pPr>
        <w:pStyle w:val="Paragrafi"/>
        <w:rPr>
          <w:i/>
        </w:rPr>
      </w:pPr>
      <w:r w:rsidRPr="00856858">
        <w:rPr>
          <w:i/>
        </w:rPr>
        <w:t>-Rrëzimin e kërkesë</w:t>
      </w:r>
      <w:r w:rsidR="002238B2" w:rsidRPr="00856858">
        <w:rPr>
          <w:i/>
        </w:rPr>
        <w:t>padisë si të pambështetur në prova e në ligj.</w:t>
      </w:r>
    </w:p>
    <w:p w:rsidR="002238B2" w:rsidRPr="00204633" w:rsidRDefault="002238B2" w:rsidP="00204633">
      <w:pPr>
        <w:pStyle w:val="Paragrafi"/>
        <w:rPr>
          <w:i/>
        </w:rPr>
      </w:pPr>
      <w:r w:rsidRPr="00204633">
        <w:rPr>
          <w:i/>
        </w:rPr>
        <w:t>Gjykata e Apelit Tiranë, me vendimin nr.745, datë 16.6.2005, ka vendosur:</w:t>
      </w:r>
    </w:p>
    <w:p w:rsidR="002238B2" w:rsidRPr="00856858" w:rsidRDefault="002238B2" w:rsidP="00856858">
      <w:pPr>
        <w:pStyle w:val="Paragrafi"/>
        <w:rPr>
          <w:i/>
        </w:rPr>
      </w:pPr>
      <w:r w:rsidRPr="00856858">
        <w:rPr>
          <w:i/>
        </w:rPr>
        <w:t>-Lënien në fuqi të vendimit nr.2668,  datë 27.5.2005 të Gjykatës së Rrethit Gjyqësor Tiranë.</w:t>
      </w:r>
    </w:p>
    <w:p w:rsidR="002238B2" w:rsidRPr="009163D0" w:rsidRDefault="002238B2" w:rsidP="00856858">
      <w:pPr>
        <w:pStyle w:val="Paragrafi"/>
      </w:pPr>
      <w:r w:rsidRPr="009163D0">
        <w:t>Kundër vendimit nr.186, datë 3.5.2005 të Gjykatës së Apelit, në bazë të nenit 472 të Kodit të Procedurës Civile, kanë ushtruar rekurs Murat Klobocishta. i cili parashtron  sa më poshtë :</w:t>
      </w:r>
    </w:p>
    <w:p w:rsidR="002238B2" w:rsidRPr="00856858" w:rsidRDefault="002238B2" w:rsidP="00856858">
      <w:pPr>
        <w:pStyle w:val="Paragrafi"/>
        <w:rPr>
          <w:i/>
        </w:rPr>
      </w:pPr>
      <w:r w:rsidRPr="00856858">
        <w:rPr>
          <w:i/>
        </w:rPr>
        <w:t>- Të dyja gjykatat nuk kanë bërë një analizë të plotë të provave të administruara në dosje.</w:t>
      </w:r>
    </w:p>
    <w:p w:rsidR="002238B2" w:rsidRPr="00856858" w:rsidRDefault="002238B2" w:rsidP="00856858">
      <w:pPr>
        <w:pStyle w:val="Paragrafi"/>
        <w:rPr>
          <w:i/>
        </w:rPr>
      </w:pPr>
      <w:r w:rsidRPr="00856858">
        <w:rPr>
          <w:i/>
        </w:rPr>
        <w:t xml:space="preserve"> - Të dy</w:t>
      </w:r>
      <w:r w:rsidR="006C016C" w:rsidRPr="00856858">
        <w:rPr>
          <w:i/>
        </w:rPr>
        <w:t>ja</w:t>
      </w:r>
      <w:r w:rsidRPr="00856858">
        <w:rPr>
          <w:i/>
        </w:rPr>
        <w:t xml:space="preserve"> gjykatat kanë gabuar në rastin e rrëzimit të padisë  duke vepruar në kundërshtim me ligjin, nenin 146 të Kodit të Punës, pasi zgjidhja pa shkaqe të arsyeshme e kontratës së punës përbën detyrim për punëdhënësin për pagimin e pagës së një viti.</w:t>
      </w:r>
    </w:p>
    <w:p w:rsidR="002238B2" w:rsidRPr="00856858" w:rsidRDefault="002238B2" w:rsidP="00856858">
      <w:pPr>
        <w:pStyle w:val="Paragrafi"/>
        <w:rPr>
          <w:i/>
        </w:rPr>
      </w:pPr>
      <w:r w:rsidRPr="00856858">
        <w:rPr>
          <w:i/>
        </w:rPr>
        <w:t>- Arsyetimi i gjykatës duke u bazuar në nenin 141, 143 dhe 144 të Kodit të Punës është tërësisht i gabuar, pasi në seancë u provua që zgjidhja e kontratës është bërë pa shkaqe të arsyeshme.</w:t>
      </w:r>
    </w:p>
    <w:p w:rsidR="002238B2" w:rsidRPr="00856858" w:rsidRDefault="002238B2" w:rsidP="00856858">
      <w:pPr>
        <w:pStyle w:val="Paragrafi"/>
        <w:rPr>
          <w:i/>
        </w:rPr>
      </w:pPr>
      <w:r w:rsidRPr="00856858">
        <w:rPr>
          <w:i/>
        </w:rPr>
        <w:t>- Në këto kushte kërkoj ndryshimin e të dy vendimeve të dhëna nga gjykatat dhe pranimin e padisë sipas objektit të saj.</w:t>
      </w:r>
    </w:p>
    <w:p w:rsidR="002238B2" w:rsidRPr="00204633" w:rsidRDefault="002238B2" w:rsidP="00204633">
      <w:pPr>
        <w:pStyle w:val="Paragrafi"/>
        <w:rPr>
          <w:i/>
        </w:rPr>
      </w:pPr>
      <w:r w:rsidRPr="00204633">
        <w:rPr>
          <w:i/>
        </w:rPr>
        <w:t xml:space="preserve">Kolegji Civil i Gjykatës së Lartë,  me vendimin </w:t>
      </w:r>
      <w:r w:rsidR="006C016C" w:rsidRPr="00204633">
        <w:rPr>
          <w:i/>
        </w:rPr>
        <w:t xml:space="preserve">e </w:t>
      </w:r>
      <w:r w:rsidRPr="00204633">
        <w:rPr>
          <w:i/>
        </w:rPr>
        <w:t>datë</w:t>
      </w:r>
      <w:r w:rsidR="006C016C" w:rsidRPr="00204633">
        <w:rPr>
          <w:i/>
        </w:rPr>
        <w:t>s</w:t>
      </w:r>
      <w:r w:rsidRPr="00204633">
        <w:rPr>
          <w:i/>
        </w:rPr>
        <w:t xml:space="preserve"> 28.9.2006, ka vendosur:</w:t>
      </w:r>
    </w:p>
    <w:p w:rsidR="002238B2" w:rsidRPr="00856858" w:rsidRDefault="002238B2" w:rsidP="00856858">
      <w:pPr>
        <w:pStyle w:val="Paragrafi"/>
        <w:rPr>
          <w:i/>
        </w:rPr>
      </w:pPr>
      <w:r w:rsidRPr="00856858">
        <w:rPr>
          <w:i/>
        </w:rPr>
        <w:t>- Kalimin e çështjes për shqyrtim në Kolegjet e Bashkuara për efekt të unifikimit të praktikës.</w:t>
      </w:r>
    </w:p>
    <w:p w:rsidR="00FB7021" w:rsidRDefault="00FB7021" w:rsidP="00856858">
      <w:pPr>
        <w:pStyle w:val="Paragrafi"/>
      </w:pPr>
    </w:p>
    <w:p w:rsidR="002238B2" w:rsidRPr="00204633" w:rsidRDefault="002238B2" w:rsidP="00204633">
      <w:pPr>
        <w:pStyle w:val="Paragrafi"/>
        <w:rPr>
          <w:i/>
        </w:rPr>
      </w:pPr>
      <w:r w:rsidRPr="00204633">
        <w:rPr>
          <w:i/>
        </w:rPr>
        <w:t xml:space="preserve">Kolegjet e Bashkuara të Gjykatës së Lartë, me vendimin </w:t>
      </w:r>
      <w:r w:rsidR="006C016C" w:rsidRPr="00204633">
        <w:rPr>
          <w:i/>
        </w:rPr>
        <w:t xml:space="preserve">e </w:t>
      </w:r>
      <w:r w:rsidRPr="00204633">
        <w:rPr>
          <w:i/>
        </w:rPr>
        <w:t>datë</w:t>
      </w:r>
      <w:r w:rsidR="006C016C" w:rsidRPr="00204633">
        <w:rPr>
          <w:i/>
        </w:rPr>
        <w:t>s</w:t>
      </w:r>
      <w:r w:rsidRPr="00204633">
        <w:rPr>
          <w:i/>
        </w:rPr>
        <w:t xml:space="preserve"> 24.1.2007, kanë vendosur:</w:t>
      </w:r>
    </w:p>
    <w:p w:rsidR="002238B2" w:rsidRPr="00856858" w:rsidRDefault="002238B2" w:rsidP="00856858">
      <w:pPr>
        <w:pStyle w:val="Paragrafi"/>
        <w:rPr>
          <w:i/>
        </w:rPr>
      </w:pPr>
      <w:r w:rsidRPr="00856858">
        <w:rPr>
          <w:i/>
        </w:rPr>
        <w:t>- Pezullimin e gjykimit të çështjes dhe dërgimin e saj Gjykatës Kushtetuese për t’u shprehur për papajtueshmërinë me nenin 18 të Kushtetutës  të neneve 141, 143, 144 dhe 146/1 të Kodit të Punës.</w:t>
      </w:r>
    </w:p>
    <w:p w:rsidR="002238B2" w:rsidRPr="00204633" w:rsidRDefault="002238B2" w:rsidP="00204633">
      <w:pPr>
        <w:pStyle w:val="Paragrafi"/>
        <w:rPr>
          <w:i/>
        </w:rPr>
      </w:pPr>
      <w:r w:rsidRPr="00204633">
        <w:rPr>
          <w:i/>
        </w:rPr>
        <w:t>Gjykata Kushtetuese, me vendimin e saj nr. 33, datë 13.9.2007, ka vendosur:</w:t>
      </w:r>
    </w:p>
    <w:p w:rsidR="002238B2" w:rsidRPr="00856858" w:rsidRDefault="002238B2" w:rsidP="00856858">
      <w:pPr>
        <w:pStyle w:val="Paragrafi"/>
        <w:rPr>
          <w:i/>
        </w:rPr>
      </w:pPr>
      <w:r w:rsidRPr="00856858">
        <w:rPr>
          <w:i/>
        </w:rPr>
        <w:t>- Dispozitat e lartpërmendura të Kodit të Punës nuk janë të papajtueshme me nenin 18 të Kushtetutës.</w:t>
      </w:r>
    </w:p>
    <w:p w:rsidR="009163D0" w:rsidRPr="009163D0" w:rsidRDefault="009163D0" w:rsidP="00856858">
      <w:pPr>
        <w:pStyle w:val="Paragrafi"/>
      </w:pPr>
    </w:p>
    <w:p w:rsidR="002238B2" w:rsidRPr="009163D0" w:rsidRDefault="002238B2" w:rsidP="00856858">
      <w:pPr>
        <w:pStyle w:val="VENDOSI"/>
      </w:pPr>
      <w:r w:rsidRPr="009163D0">
        <w:t>KOLEGJET E BASHKUARA TË GJYKATËS SË LARTË,</w:t>
      </w:r>
    </w:p>
    <w:p w:rsidR="002238B2" w:rsidRPr="009163D0" w:rsidRDefault="002238B2" w:rsidP="00856858">
      <w:pPr>
        <w:pStyle w:val="Paragrafi"/>
      </w:pPr>
    </w:p>
    <w:p w:rsidR="002238B2" w:rsidRPr="009163D0" w:rsidRDefault="002238B2" w:rsidP="00204633">
      <w:pPr>
        <w:pStyle w:val="Paragrafi"/>
      </w:pPr>
      <w:r w:rsidRPr="009163D0">
        <w:t>pasi dëgjuan relatimin e çështjes nga  gjyqtarët Thimjo Kondi dhe Besnik Imeraj, pretendimet e përfaqësuesit të palës paditëse që kërkoi ndryshimin e vendimit të gjykatës së rrethit dhe të Apelit, dhe pranimin e padisë sipas objektit të saj, përfaqësuesi i palës së paditur që kërkoi lënien në fuqi të vendimit të apelit, dhe pasi e biseduan çështjen në tërësi,</w:t>
      </w:r>
    </w:p>
    <w:p w:rsidR="002238B2" w:rsidRPr="009163D0" w:rsidRDefault="002238B2" w:rsidP="00856858">
      <w:pPr>
        <w:pStyle w:val="Paragrafi"/>
      </w:pPr>
    </w:p>
    <w:p w:rsidR="002238B2" w:rsidRPr="009163D0" w:rsidRDefault="002238B2" w:rsidP="00856858">
      <w:pPr>
        <w:pStyle w:val="VENDOSI"/>
      </w:pPr>
      <w:r w:rsidRPr="009163D0">
        <w:t>VËREJNË:</w:t>
      </w:r>
    </w:p>
    <w:p w:rsidR="002238B2" w:rsidRPr="009163D0" w:rsidRDefault="002238B2" w:rsidP="00856858">
      <w:pPr>
        <w:pStyle w:val="Paragrafi"/>
      </w:pPr>
    </w:p>
    <w:p w:rsidR="002238B2" w:rsidRPr="009163D0" w:rsidRDefault="002238B2" w:rsidP="00856858">
      <w:pPr>
        <w:pStyle w:val="Paragrafi"/>
      </w:pPr>
      <w:r w:rsidRPr="009163D0">
        <w:t>Gjatë gjykimit në shkallë të parë dhe në apel kanë rezultuar  faktet dhe rrethanat e çështjes si më poshtë:</w:t>
      </w:r>
    </w:p>
    <w:p w:rsidR="002238B2" w:rsidRPr="009163D0" w:rsidRDefault="002238B2" w:rsidP="00856858">
      <w:pPr>
        <w:pStyle w:val="Paragrafi"/>
      </w:pPr>
      <w:r w:rsidRPr="009163D0">
        <w:t>Paditësi Murat Klobocishta është punësuar pranë palës së paditur, Instituti Italian i Tregëtisë së Jashtme, në detyrën e analistit të tregut, në datën 1.3.2002, fillimisht me një kontratë pune me afat 9-mujor. Më datën 2.12.2002 midis punëdhënësit e punëmarrësit është lidhur kontrata e punës pa afat. Pala e paditur (punëdhënësi) me shkresën e datës 6.10.2003 ka njoftuar paditësin (punëmarrësin) për zgjidhjen e kontratës së punës dhe ka kërkuar prej tij të paraqitet në datën 13.10.2003 për bisedime rreth arsyeve të zgjidhjes së kontratës. Bisedimet midis palëve nuk kanë çuar në një zgjidhje miqësore të mosmarrëveshjeve, përfundimisht pala e paditur e ka ko</w:t>
      </w:r>
      <w:r w:rsidR="00676234">
        <w:t>nsideruar kontratën të zgjidhur</w:t>
      </w:r>
      <w:r w:rsidRPr="009163D0">
        <w:t xml:space="preserve"> dhe ka vendosur ndërprerjen e marrëdhënieve financiare me paditësin më datë 21.12.2003.</w:t>
      </w:r>
    </w:p>
    <w:p w:rsidR="002238B2" w:rsidRPr="009163D0" w:rsidRDefault="002238B2" w:rsidP="00856858">
      <w:pPr>
        <w:pStyle w:val="Paragrafi"/>
      </w:pPr>
      <w:r w:rsidRPr="009163D0">
        <w:t xml:space="preserve">Pas kësaj paditësi ka ngritur padi me të cilën ka kërkuar detyrimin e palës së paditur për t’i paguar atij si dëmshpërblim pagën e një viti për zgjidhjen e kontratës së punës pa shkaqe të arsyeshme, bazuar në nenin 146/3 të Kodit të Punës. </w:t>
      </w:r>
    </w:p>
    <w:p w:rsidR="002238B2" w:rsidRPr="009163D0" w:rsidRDefault="002238B2" w:rsidP="00856858">
      <w:pPr>
        <w:pStyle w:val="Paragrafi"/>
      </w:pPr>
      <w:r w:rsidRPr="009163D0">
        <w:t>Pala e paditur ka prapësuar në gjykim se zgjidhja e kontratës së punës me paditësin është e vlefshme, është respektuar afati i njoftimit dhe, meqenëse nuk ndodhemi përpara zgjidhjes së kontratës së punës në mëny</w:t>
      </w:r>
      <w:r w:rsidR="00676234">
        <w:t>rë abuzive, paditësi nuk mund ta</w:t>
      </w:r>
      <w:r w:rsidRPr="009163D0">
        <w:t xml:space="preserve"> përfitojë dëmshpërblimin sipas nenit 146/3 të Kodit të Punës.</w:t>
      </w:r>
    </w:p>
    <w:p w:rsidR="002238B2" w:rsidRPr="009163D0" w:rsidRDefault="002238B2" w:rsidP="00856858">
      <w:pPr>
        <w:pStyle w:val="Paragrafi"/>
      </w:pPr>
      <w:r w:rsidRPr="009163D0">
        <w:t>Gjykata e shkallës së parë ka vendosur rrëzimin e padisë me arsyetimin se:</w:t>
      </w:r>
    </w:p>
    <w:p w:rsidR="002238B2" w:rsidRPr="009163D0" w:rsidRDefault="002238B2" w:rsidP="00856858">
      <w:pPr>
        <w:pStyle w:val="Paragrafi"/>
      </w:pPr>
      <w:r w:rsidRPr="009163D0">
        <w:t>1. Sipas nenit 141 të Kodit të Punës kontrata e punës  me afat të pacaktuar quhet e përfunduar kur zgjidhet nga njëra palë dhe ka përfunduar afati i njoftimit. Pala e paditur ka respektuar procedurën dhe afatet e parashikuara në nenet 143 dhe 144 të Kodit të Punës.</w:t>
      </w:r>
    </w:p>
    <w:p w:rsidR="002238B2" w:rsidRPr="009163D0" w:rsidRDefault="002238B2" w:rsidP="00856858">
      <w:pPr>
        <w:pStyle w:val="Paragrafi"/>
      </w:pPr>
      <w:r w:rsidRPr="009163D0">
        <w:t>2. Nuk u provua nga paditësi që i padituri e ka pushuar atë nga puna për shkak të pretendimeve të tij që rrjedhin nga kontrata e punës (neni 146/1 i Kodit të Punës).</w:t>
      </w:r>
    </w:p>
    <w:p w:rsidR="002238B2" w:rsidRPr="009163D0" w:rsidRDefault="002238B2" w:rsidP="00856858">
      <w:pPr>
        <w:pStyle w:val="Paragrafi"/>
      </w:pPr>
      <w:r w:rsidRPr="009163D0">
        <w:t>Paditësi ka pasur dijeni për kushtet e kontratës së tij të punës kur e ka nënshkruar atë.</w:t>
      </w:r>
    </w:p>
    <w:p w:rsidR="002238B2" w:rsidRPr="009163D0" w:rsidRDefault="002238B2" w:rsidP="00856858">
      <w:pPr>
        <w:pStyle w:val="Paragrafi"/>
      </w:pPr>
      <w:r w:rsidRPr="009163D0">
        <w:t>Gjykata e Apelit e ka lënë në fuqi vendimin e gjykatës së shkallës së parë duke pranuar arsyetimin e saj.</w:t>
      </w:r>
    </w:p>
    <w:p w:rsidR="002238B2" w:rsidRPr="009163D0" w:rsidRDefault="002238B2" w:rsidP="00856858">
      <w:pPr>
        <w:pStyle w:val="Paragrafi"/>
      </w:pPr>
      <w:r w:rsidRPr="009163D0">
        <w:t>Për zgjidhjen e m</w:t>
      </w:r>
      <w:r w:rsidR="00676234">
        <w:t>osmarrëveshjes të dyja gjykatat</w:t>
      </w:r>
      <w:r w:rsidRPr="009163D0">
        <w:t xml:space="preserve"> i janë referuar nenit 141 të Kodit të Punës, sipas të cilit “Kontrata me kohëzgjatje të pacaktuar përfundon kur zgjidhet nga njëra palë dhe kur ka përfunduar afati i njoftimit», si dhe nenit 146 të Kodit të Punës, që parashikon zgjidhjen e kontratës pa shkaqe të arsyeshme. Ato kanë arritur në përfundimin se nuk është vërtetuar asnjë nga shkaqet e parashikuara në nenin 146, prandaj paditësit nuk i lind e drejta të përfitojë shumën e dëmshpërblimit deri në një vit pagë.</w:t>
      </w:r>
    </w:p>
    <w:p w:rsidR="002238B2" w:rsidRPr="009163D0" w:rsidRDefault="002238B2" w:rsidP="00856858">
      <w:pPr>
        <w:pStyle w:val="Paragrafi"/>
      </w:pPr>
      <w:r w:rsidRPr="009163D0">
        <w:t>Paditësi në rekurs, ka pretenduar sa më poshtë:</w:t>
      </w:r>
    </w:p>
    <w:p w:rsidR="002238B2" w:rsidRPr="009163D0" w:rsidRDefault="002238B2" w:rsidP="00856858">
      <w:pPr>
        <w:pStyle w:val="Paragrafi"/>
      </w:pPr>
      <w:r w:rsidRPr="009163D0">
        <w:t>Duke iu referuar kontratës së punës, citon se, sipas saj, pranohet zgjidhja e kontratës pa kusht dëmshpërblimi nëse “Aktiviteti i këtij instituc</w:t>
      </w:r>
      <w:r w:rsidR="00676234">
        <w:t>ioni mund të ndërpritet, ndalon</w:t>
      </w:r>
      <w:r w:rsidRPr="009163D0">
        <w:t xml:space="preserve"> apo misioni për çfarëdo lloj arsye anulohet”. Sipas tij arsyetimi i palës së paditur për ndërprerjen e kontratës me paditësin për shkak të vendimit për minimizimin e shpenzimeve të funksionimit dhe të pakësimit të kostos së personelit të zyrës, nuk përkon me shkakun e zgjidhjes së kontratës të cituar më lart. Për më tepër, sipas paditësit, pala e paditur ka punësuar në vendin e tij, që në muajin e parë të largimit të tij edhe pesë persona të tjerë. Kjo, sipas tij, është një situatë që konsiderohet zgjidhje e kontratës së punës pa shkaqe të arsyeshme, sipas nenit 146/1 (a) 2,3 të Kodit të Punës.</w:t>
      </w:r>
    </w:p>
    <w:p w:rsidR="002238B2" w:rsidRPr="009163D0" w:rsidRDefault="002238B2" w:rsidP="00856858">
      <w:pPr>
        <w:pStyle w:val="Paragrafi"/>
      </w:pPr>
      <w:r w:rsidRPr="009163D0">
        <w:t xml:space="preserve"> Kolegji Civil i Gjykatës së Lartë ka vendosur se kjo çështje ka vend të shqyrtohet në Kolegjet e Bashkuara për efekt të unifikimit të praktikës gjyqësore, për t’u dhënë përgjigje pyetjeve të mëposhtme:</w:t>
      </w:r>
    </w:p>
    <w:p w:rsidR="002238B2" w:rsidRDefault="002238B2" w:rsidP="00856858">
      <w:pPr>
        <w:pStyle w:val="Paragrafi"/>
      </w:pPr>
      <w:r w:rsidRPr="009163D0">
        <w:t xml:space="preserve">1. Në qoftë se punëdhënësi, referuar nenit 141 të Kodit të Punës, zgjidh në mënyrë të </w:t>
      </w:r>
      <w:r w:rsidRPr="009163D0">
        <w:lastRenderedPageBreak/>
        <w:t>njëanshme kontratën e punës me afat të pacaktuar, duke respektuar afatin e njoftimit (neni 143 i Kodit të Punës ), a ka të drejtë punëmarrësi të kërkojë përfitimin e një dëmshpërblimi deri në një vit pagë?</w:t>
      </w:r>
    </w:p>
    <w:p w:rsidR="002238B2" w:rsidRPr="009163D0" w:rsidRDefault="002238B2" w:rsidP="00856858">
      <w:pPr>
        <w:pStyle w:val="Paragrafi"/>
      </w:pPr>
      <w:r w:rsidRPr="009163D0">
        <w:t>2. Referuar nenit 141 të Kodit të Punës, kjo dispozitë parashikon vetëm se, në respektim të kërkesave të saj, kontrata quhet e përfunduar dhe nuk mund të rilidhet me pa pëlqimin e palëve apo edhe se pala, pa pëlqimin e së cilës është zgjidhur kontrata, nuk ka të drejtë të kërkojë dëmshpërblimin për dëmet eventuale që i shkaktohen?</w:t>
      </w:r>
    </w:p>
    <w:p w:rsidR="002238B2" w:rsidRPr="009163D0" w:rsidRDefault="002238B2" w:rsidP="00856858">
      <w:pPr>
        <w:pStyle w:val="Paragrafi"/>
      </w:pPr>
      <w:r w:rsidRPr="009163D0">
        <w:t>3. Në rast të zgjidhjes së kontratës së punës nga punëdhënësi, pas respektimit të afatit të njoftimit dhe të procedurës përkatëse, cila palë e ka barrën e provës për të provuar se zgjidhja e kontratës është bërë me shkaqe të arsyeshme apo pa shkaqe të arsyeshme?</w:t>
      </w:r>
    </w:p>
    <w:p w:rsidR="002238B2" w:rsidRPr="009163D0" w:rsidRDefault="002238B2" w:rsidP="00856858">
      <w:pPr>
        <w:pStyle w:val="Paragrafi"/>
      </w:pPr>
      <w:r w:rsidRPr="009163D0">
        <w:t>Në cilat raste punëmarrësi ka të drejtë të përfitojë dëmshpërblim?</w:t>
      </w:r>
    </w:p>
    <w:p w:rsidR="002238B2" w:rsidRPr="009163D0" w:rsidRDefault="002238B2" w:rsidP="00856858">
      <w:pPr>
        <w:pStyle w:val="Paragrafi"/>
      </w:pPr>
      <w:r w:rsidRPr="009163D0">
        <w:t>Nëse pranohet dëmshpërblimi, në cilat kushte ai pranohet, cilat janë shkaqet e pranimit të tij dhe cilat janë kriteret në bazë të të cilave bëhet vlerësimi i dëmit?</w:t>
      </w:r>
    </w:p>
    <w:p w:rsidR="002238B2" w:rsidRPr="009163D0" w:rsidRDefault="002238B2" w:rsidP="00856858">
      <w:pPr>
        <w:pStyle w:val="Paragrafi"/>
      </w:pPr>
      <w:r w:rsidRPr="009163D0">
        <w:t>Kolegjet e Bashkuara të Gjykatës së Lartë vërejnë se  rasti në shqyrtim i referohet rregullimit ligjor të zgjidhjes jo të menjëhershme të kontratës së punës me kohëzgjatje të pacaktuar, pas respektimit të afatit të njoftimit nga punëdhënësi dhe të procedurës përkatëse. Për këtë duhet t’i referohemi nenit 141 të Kodit të Punës (“Kontrata me kohëzgjatje të pacaktuar përfundon kur zgjidhet nga njëra palë dhe ka përfunduar afati i njoftimit”), në lidhje me nenet 143-144 të Kodit të Punës.</w:t>
      </w:r>
    </w:p>
    <w:p w:rsidR="002238B2" w:rsidRPr="009163D0" w:rsidRDefault="002238B2" w:rsidP="00856858">
      <w:pPr>
        <w:pStyle w:val="Paragrafi"/>
      </w:pPr>
      <w:r w:rsidRPr="009163D0">
        <w:t>Sipas nenit 12 të Kodit të Punës, “kontrata e punës është një marrëveshje midis punëdhënësit e punëmarrësit, ku punëmarrësi merr përsipër të ofrojë shërbimet e tij për një kohëzgjatje të caktuar ose të pacaktuar, në kuadrin e organizimit dhe të urdhrave të një personi tjetër, punëdhënësit, i cili merr përsipër të paguajë një shpërblim.</w:t>
      </w:r>
    </w:p>
    <w:p w:rsidR="002238B2" w:rsidRPr="009163D0" w:rsidRDefault="002238B2" w:rsidP="00856858">
      <w:pPr>
        <w:pStyle w:val="Paragrafi"/>
      </w:pPr>
      <w:r w:rsidRPr="009163D0">
        <w:t>Pavarësisht veçorive që ka kontrata e punës, për zgjidhjen e saj veprojnë parimisht të njëjtat arsye zgjidhjeje si për marrëdhëniet e tjera të detyrimit.</w:t>
      </w:r>
    </w:p>
    <w:p w:rsidR="002238B2" w:rsidRPr="009163D0" w:rsidRDefault="002238B2" w:rsidP="00856858">
      <w:pPr>
        <w:pStyle w:val="Paragrafi"/>
      </w:pPr>
      <w:r w:rsidRPr="009163D0">
        <w:t>Zgjidhja e kontratës është shprehje e vullnetit të njërës palë në mënyrë të njëanshme dhe e detyrueshme për njoftim palës tjetër, duke respektuar formën dhe afate të caktuara për njoftim.</w:t>
      </w:r>
    </w:p>
    <w:p w:rsidR="002238B2" w:rsidRPr="009163D0" w:rsidRDefault="002238B2" w:rsidP="00856858">
      <w:pPr>
        <w:pStyle w:val="Paragrafi"/>
      </w:pPr>
      <w:r w:rsidRPr="009163D0">
        <w:t>Ligji për zgjidhjen e kontratës parashikon dy mënyra:</w:t>
      </w:r>
    </w:p>
    <w:p w:rsidR="002238B2" w:rsidRPr="009163D0" w:rsidRDefault="002238B2" w:rsidP="00856858">
      <w:pPr>
        <w:pStyle w:val="Paragrafi"/>
      </w:pPr>
      <w:r w:rsidRPr="00856858">
        <w:t xml:space="preserve">1) atë </w:t>
      </w:r>
      <w:r w:rsidRPr="009163D0">
        <w:rPr>
          <w:i/>
        </w:rPr>
        <w:t>normale</w:t>
      </w:r>
      <w:r w:rsidRPr="009163D0">
        <w:t xml:space="preserve"> (duke respektuar afatin dhe procedurën e përcaktuar shprehimisht në ligj) </w:t>
      </w:r>
    </w:p>
    <w:p w:rsidR="002238B2" w:rsidRPr="00856858" w:rsidRDefault="002238B2" w:rsidP="00856858">
      <w:pPr>
        <w:pStyle w:val="Paragrafi"/>
        <w:rPr>
          <w:rStyle w:val="ParagrafiChar"/>
        </w:rPr>
      </w:pPr>
      <w:r w:rsidRPr="009163D0">
        <w:t xml:space="preserve">2) atë të </w:t>
      </w:r>
      <w:r w:rsidRPr="009163D0">
        <w:rPr>
          <w:i/>
        </w:rPr>
        <w:t>jashtëzakonshme</w:t>
      </w:r>
      <w:r w:rsidRPr="00856858">
        <w:rPr>
          <w:rStyle w:val="ParagrafiChar"/>
        </w:rPr>
        <w:t xml:space="preserve"> - që quhet zgjidhje e kontratës me efekt të menjëhershëm (pa respektuar afate njoftimi).</w:t>
      </w:r>
    </w:p>
    <w:p w:rsidR="002238B2" w:rsidRPr="009163D0" w:rsidRDefault="002238B2" w:rsidP="00856858">
      <w:pPr>
        <w:pStyle w:val="Paragrafi"/>
      </w:pPr>
      <w:r w:rsidRPr="009163D0">
        <w:t>Kodi i Punës, në nenin 140, parashikon se kontratat lidhen me “kohëzgjatje të pacaktuar” dhe me “kohëzgjatje të caktuar”. Kontrata me kohëzgjatje të caktuar është lehtësisht e kuptueshme se përfundon në fund të kohës së parashikuar (mënyrë normale e zgjidhjes së saj parashikohet në nenet 149-152). Ndërsa kontrata me kohëzgjatje të pacaktuar, që na intereson në rastin konkret, përfundon kur zgjidhet nga njëra palë, në fund të afatit të njoftimit (mënyra normale e zgjidhjes së saj parashikohet në nenet 141-148). Ndërkohë që forma e jashtëzakonshme e zgjidhjes së kontratës parashikohet në kreun XIV, pika “C”, “Zgjidhja e menjëhershme e kontratës” (nenet 153-158) dhe vlen si për kontratën me kohëzgjatje të caktuar, edhe për atë me kohëzgjatje të pacaktuar.</w:t>
      </w:r>
    </w:p>
    <w:p w:rsidR="002238B2" w:rsidRPr="009163D0" w:rsidRDefault="002238B2" w:rsidP="00856858">
      <w:pPr>
        <w:pStyle w:val="Paragrafi"/>
      </w:pPr>
      <w:r w:rsidRPr="009163D0">
        <w:t>Në çështjen në shqyrtim diskutohet rasti kur kontrata me kohëzgjatje të pacaktuar është zgjidhur nga punëdhënësi duke respektuar procedurën dhe afatin e njoftimit, pra zgjidhja normale e kontratës pa afat të përcaktuar, që parashikohet në nenin 141 e vijues të Kodit të Punës.</w:t>
      </w:r>
    </w:p>
    <w:p w:rsidR="00462DA4" w:rsidRPr="009163D0" w:rsidRDefault="002238B2" w:rsidP="00856858">
      <w:pPr>
        <w:pStyle w:val="Paragrafi"/>
      </w:pPr>
      <w:r w:rsidRPr="009163D0">
        <w:t>Sipas nenit 141: “Kontrata me kohëzgjatje të pacaktuar përfundon kur zgjidhet nga njëra palë dhe ka përfunduar afati i njoftimit”.</w:t>
      </w:r>
    </w:p>
    <w:p w:rsidR="002238B2" w:rsidRPr="009163D0" w:rsidRDefault="002238B2" w:rsidP="00856858">
      <w:pPr>
        <w:pStyle w:val="Paragrafi"/>
      </w:pPr>
      <w:r w:rsidRPr="009163D0">
        <w:t>Ky nen jep në parim mënyrën e zgjidhjes së kontratës. Ligji e lë në vullnetin e njëanshëm të palës që të zgjidhë kontratën, duke respektuar afate të caktuar</w:t>
      </w:r>
      <w:r w:rsidR="00676234">
        <w:t>a</w:t>
      </w:r>
      <w:r w:rsidRPr="009163D0">
        <w:t xml:space="preserve"> taksative njoftimi. Sipas nenit 143 të Kodit të Punës afati i njoftimit varion, në vartësi të kohëzgjatjes së marrëdhënies së punës, nga 1 deri në 3 muaj.</w:t>
      </w:r>
    </w:p>
    <w:p w:rsidR="002238B2" w:rsidRPr="009163D0" w:rsidRDefault="002238B2" w:rsidP="00856858">
      <w:pPr>
        <w:pStyle w:val="Paragrafi"/>
      </w:pPr>
      <w:r w:rsidRPr="009163D0">
        <w:t>Nga formulimi i kësaj dispozite kuptohet se mjafton që njëra palë të kërkojë zgjidhjen dhe kontrata përfundon kur mbaron afati i njoftimit (afati midis njoftimit të zgjidhjes-duke filluar që nga marrja e letrës së dytë me shkrim sipas nenit 144-dhe përfundimit të kontratës).</w:t>
      </w:r>
    </w:p>
    <w:p w:rsidR="002238B2" w:rsidRPr="009163D0" w:rsidRDefault="002238B2" w:rsidP="00856858">
      <w:pPr>
        <w:pStyle w:val="Paragrafi"/>
      </w:pPr>
      <w:r w:rsidRPr="009163D0">
        <w:t>Pra ka dy kushte që duhet të plotësohen për ta pasur zgjidhjen e kontratës:</w:t>
      </w:r>
    </w:p>
    <w:p w:rsidR="002238B2" w:rsidRPr="009163D0" w:rsidRDefault="002238B2" w:rsidP="00856858">
      <w:pPr>
        <w:pStyle w:val="Paragrafi"/>
      </w:pPr>
      <w:r w:rsidRPr="009163D0">
        <w:t>i) shprehje e vullnetit të njërës palë;</w:t>
      </w:r>
    </w:p>
    <w:p w:rsidR="002238B2" w:rsidRPr="009163D0" w:rsidRDefault="002238B2" w:rsidP="00856858">
      <w:pPr>
        <w:pStyle w:val="Paragrafi"/>
      </w:pPr>
      <w:r w:rsidRPr="009163D0">
        <w:t>ii) respektimi i afatit të njoftimit.</w:t>
      </w:r>
    </w:p>
    <w:p w:rsidR="002238B2" w:rsidRDefault="002238B2" w:rsidP="00856858">
      <w:pPr>
        <w:pStyle w:val="Paragrafi"/>
      </w:pPr>
      <w:r w:rsidRPr="009163D0">
        <w:rPr>
          <w:b/>
        </w:rPr>
        <w:t>i.</w:t>
      </w:r>
      <w:r w:rsidRPr="00856858">
        <w:t xml:space="preserve"> Formulimi “zgjidhet nga njëra palë” nënkupton se cilado prej palëve, si punëdhënësi, ashtu dhe punëmarrësi, në mënyrë të njëanshme, mund ta zgjidhin kontratën. Por ka dy momente shumë të rëndësishme që duhet të sqarohen. </w:t>
      </w:r>
      <w:r w:rsidRPr="009163D0">
        <w:rPr>
          <w:i/>
        </w:rPr>
        <w:t>Së pari,</w:t>
      </w:r>
      <w:r w:rsidRPr="00856858">
        <w:t xml:space="preserve"> a kërkon ligji një formë të caktuar të shprehjes së vullnetit të palës që kërkon zgjidhjen? </w:t>
      </w:r>
      <w:r w:rsidRPr="009163D0">
        <w:rPr>
          <w:i/>
        </w:rPr>
        <w:t xml:space="preserve">Së dyti, </w:t>
      </w:r>
      <w:r w:rsidRPr="009163D0">
        <w:t>a kërkon ligji paraqitjen e një shkaku për zgjidhjen e kontratës?</w:t>
      </w:r>
    </w:p>
    <w:p w:rsidR="002238B2" w:rsidRPr="00856858" w:rsidRDefault="002238B2" w:rsidP="00856858">
      <w:pPr>
        <w:pStyle w:val="Paragrafi"/>
        <w:rPr>
          <w:rStyle w:val="ParagrafiChar"/>
        </w:rPr>
      </w:pPr>
      <w:r w:rsidRPr="009163D0">
        <w:t>Në nenin 141 nuk kërkohet ndonjë formë e caktuar, por kjo dispozitë nuk mund të shihet e shkëputur, por në harmoni me dispozitat e tjera. Kështu, në nenin 144 të Kodit të Punës parashikohet  për punëdhënësin respektimi i një procedure të caktuar të zgjidhjes së kontratës.</w:t>
      </w:r>
      <w:r w:rsidRPr="009163D0">
        <w:rPr>
          <w:b/>
        </w:rPr>
        <w:t xml:space="preserve"> </w:t>
      </w:r>
      <w:r w:rsidRPr="00856858">
        <w:rPr>
          <w:rStyle w:val="ParagrafiChar"/>
        </w:rPr>
        <w:t>Kjo është garanci që ligjvënësi ka parashikuar në favor të punëmarrësit, si pala më e “dobët” në kontratën e punës, që në kushtet e ekonomisë së tregut, duhet të jetë më e mbrojtur përballë punëdhënësit.</w:t>
      </w:r>
    </w:p>
    <w:p w:rsidR="002238B2" w:rsidRPr="009163D0" w:rsidRDefault="002238B2" w:rsidP="00856858">
      <w:pPr>
        <w:pStyle w:val="Paragrafi"/>
      </w:pPr>
      <w:r w:rsidRPr="009163D0">
        <w:t>Në këtë nen, pika 5, parashikohet se:</w:t>
      </w:r>
    </w:p>
    <w:p w:rsidR="002238B2" w:rsidRPr="009163D0" w:rsidRDefault="002238B2" w:rsidP="00856858">
      <w:pPr>
        <w:pStyle w:val="Paragrafi"/>
      </w:pPr>
      <w:r w:rsidRPr="009163D0">
        <w:t>“Punëdhënësi, që nuk respekton procedurën e përcaktuar në këtë nen, detyrohet t’i japë punëmarrësit një dëmshpërblim prej dy muajsh pagë, që u shtohet dëmshpërblimeve të mundshme. Zgjidhja e kontratës me këtë dispozitë mbetet e vlefshme.</w:t>
      </w:r>
    </w:p>
    <w:p w:rsidR="002238B2" w:rsidRPr="009163D0" w:rsidRDefault="002238B2" w:rsidP="00856858">
      <w:pPr>
        <w:pStyle w:val="Paragrafi"/>
      </w:pPr>
      <w:r w:rsidRPr="009163D0">
        <w:t>Pra, ligjvënësi ka lënë të vlefshme zgjidhjen e kontratës edhe pa respektimin e procedurës, por punëdhënësit i vihet një sanksion për mosrespektimin e saj. Ky është një ndryshim që i është bërë kësaj dispozite në vitin 2003, duke parë mangësinë që sillte formulimi i mëparshëm.</w:t>
      </w:r>
    </w:p>
    <w:p w:rsidR="002238B2" w:rsidRPr="00FB7021" w:rsidRDefault="002238B2" w:rsidP="00856858">
      <w:pPr>
        <w:pStyle w:val="Paragrafi"/>
      </w:pPr>
      <w:r w:rsidRPr="00FB7021">
        <w:t xml:space="preserve">Shtrohet për diskutim nëse neni 141 nënkupton që palët mund ta zgjidhin kontratën për çfardolloj shkaku. Kjo dispozitë nuk e kërkon patjetër motivimin e zgjidhjes së kontratës me një shkak formal. Palët , nëse zbatojnë procedurën dhe afatin e njoftimit, mund ta zgjidhin kontratën pa dhënë ndonjë arsye. </w:t>
      </w:r>
    </w:p>
    <w:p w:rsidR="002238B2" w:rsidRPr="009163D0" w:rsidRDefault="002238B2" w:rsidP="00856858">
      <w:pPr>
        <w:pStyle w:val="Paragrafi"/>
      </w:pPr>
      <w:r w:rsidRPr="009163D0">
        <w:t>Në rastin në shqyrtim në përmbushje të procedurës së zgjidhjes së njëanshme të kontratës nga punëdhënësi, gjatë bisedimeve të palëve, punëdhënësi ka paraqitur si shkak të zgjidhjes së kontratës riorganizimin e institucionit dhe pakësimin e shpenzimeve. Paditësi nuk e ka kundërshtuar këtë shkak dhe as ka pretenduar se punëdhënësi e largonte nga puna për ndonjë shkak apo motiv tjetër, të konsideruar si shkak i paarsyeshëm në kuptim të nenit 146/1 të Kodit të Punës.</w:t>
      </w:r>
    </w:p>
    <w:p w:rsidR="002238B2" w:rsidRPr="009163D0" w:rsidRDefault="002238B2" w:rsidP="00856858">
      <w:pPr>
        <w:pStyle w:val="Paragrafi"/>
      </w:pPr>
      <w:r w:rsidRPr="009163D0">
        <w:t>Ai thjesht ka pretenduar se punëdhënësi nuk kishte të drejtë ta zgjidhte në mënyrë të njëanshme kontratën e punës, sepse kjo zgjidhje nuk gjente mbështetje në nenin 6 të kontratës individuale të punës dhe në modalitetet e aneksit B të kësaj kontrate.</w:t>
      </w:r>
    </w:p>
    <w:p w:rsidR="002238B2" w:rsidRPr="009163D0" w:rsidRDefault="002238B2" w:rsidP="00856858">
      <w:pPr>
        <w:pStyle w:val="Paragrafi"/>
      </w:pPr>
      <w:smartTag w:uri="urn:schemas-microsoft-com:office:smarttags" w:element="place">
        <w:r w:rsidRPr="009163D0">
          <w:t>Po</w:t>
        </w:r>
      </w:smartTag>
      <w:r w:rsidRPr="009163D0">
        <w:t xml:space="preserve"> t’i referohemi nenit 6 të kontratës, vërejmë se kjo dispozitë parashikon rastet e zgjidhjes së menjëhershme të kontratës pa asnjë lloj paralajmërimi për shkaqe të quajtura objektive, siç janë ndërprerja, ndalimi i aktivitetit apo anulimi i misionit, si dhe për shkaqe të tjera subjektive të shkaktuara nga sjellja e papërshtatshme e të punësuarit (Aneksi B).</w:t>
      </w:r>
    </w:p>
    <w:p w:rsidR="002238B2" w:rsidRPr="009163D0" w:rsidRDefault="002238B2" w:rsidP="00856858">
      <w:pPr>
        <w:pStyle w:val="Paragrafi"/>
      </w:pPr>
      <w:r w:rsidRPr="009163D0">
        <w:t xml:space="preserve">Me të drejtë të dy gjykatat e faktit nuk i kanë marrë në konsideratë këto referenca të aneksit B, sepse ato lidhen dhe e gjejnë bazën në nenet 153-154-155 të Kodit të Punës. </w:t>
      </w:r>
    </w:p>
    <w:p w:rsidR="002238B2" w:rsidRPr="009163D0" w:rsidRDefault="002238B2" w:rsidP="00856858">
      <w:pPr>
        <w:pStyle w:val="Paragrafi"/>
      </w:pPr>
      <w:r w:rsidRPr="009163D0">
        <w:t>Si neni 6 i kontratës, ashtu edhe aneksi B i saj nuk kanë lidhje me çështjen në shqyrtim. Punëdhënësi e ka zgjidhur kontratën e punës me afat të pacaktuar në kushtet e nenit 141 të Kodit të Punës.</w:t>
      </w:r>
    </w:p>
    <w:p w:rsidR="002238B2" w:rsidRPr="009163D0" w:rsidRDefault="002238B2" w:rsidP="00856858">
      <w:pPr>
        <w:pStyle w:val="Paragrafi"/>
      </w:pPr>
      <w:r w:rsidRPr="009163D0">
        <w:t>Kolegjet e Bashkuara të Gjykatës së Lartë e konsiderojnë  të drejtë qëndrimin e Gjykatës së shkallës së parë dhe të Apelit, të cilat nuk e kanë pranuar pretendimin e paditësit, sipas të cilit gjersa punëdhënësi nuk ka respektuar  nenin 6 të kontratës së punës dhe gjersa nuk ndodhemi në kushtet e aneksit B të saj, atëherë zgjidhja e kontratës në mënyrë të njëanshme nga punëdhënësi edhe pse ai ka respektuar modalitetet e neneve 141, 143, 144 të Kodit të Punës, i jep të drejtën punëmarrësit që të përfitojë domosdoshmërisht edhe dëmshpërblimin deri në një vit pagë, sipas nenit 146/3 të Kodit të Punës.</w:t>
      </w:r>
    </w:p>
    <w:p w:rsidR="002238B2" w:rsidRPr="00204633" w:rsidRDefault="002238B2" w:rsidP="00204633">
      <w:pPr>
        <w:pStyle w:val="Paragrafi"/>
        <w:rPr>
          <w:i/>
        </w:rPr>
      </w:pPr>
      <w:r w:rsidRPr="00204633">
        <w:rPr>
          <w:i/>
        </w:rPr>
        <w:t xml:space="preserve"> Si përfundim, kur punëdhënësi, referuar e në zbatim të nenit 141 e vijues të Kodit të Punës, zgjidh në mënyrë të njëanshme kontratën e punës me afat të pacaktuar, punëmarrësi jo në mënyrë të domosdoshme ka të drejtë të përfitojë edhe dëmshpërblimin deri në një vit pagë. Në vijim të këtij konkluzioni, respektimi i kërkesave të nenit 141, 143, 144, 145 të Kodit të Punës nga punëdhënësi, si rregull, passjell përfundimin në mënyrë të natyrshme të kontratës së punës dhe respektimin e të gjitha të drejtave të punëmarrësit. Në këtë dispozitë e gjen mbështetjen edhe neni 4 i aneksit C të kontratës individuale të punës së paditësit, i cili, ndër të tjera, parashikonte se “ ... Zyra ICE, në rast të mosrinovimit të kontratës duhet të lajmërojë me shkrim një muaj para ose të zhdëmtojë të punësuarin duke paguar një muaj pagë e duke shtuar edhe periudhën e pushimeve të maturuara e të pashfrytëzuara deri në atë datë.</w:t>
      </w:r>
    </w:p>
    <w:p w:rsidR="002238B2" w:rsidRPr="009163D0" w:rsidRDefault="002238B2" w:rsidP="00856858">
      <w:pPr>
        <w:pStyle w:val="Paragrafi"/>
      </w:pPr>
      <w:r w:rsidRPr="009163D0">
        <w:t>Çdonjëra nga palët ka të drejtë t’i zgjidhë marrëdhëniet e punës, pasi ka lajmëruar me shkrim, siç është thënë edhe në artikujt 142, 143, 144 dhe 153 të Kodit Shqiptar të Punës, ligji nr.7961, datë 12.7.1995”.</w:t>
      </w:r>
    </w:p>
    <w:p w:rsidR="002238B2" w:rsidRPr="00204633" w:rsidRDefault="002238B2" w:rsidP="00204633">
      <w:pPr>
        <w:pStyle w:val="Paragrafi"/>
        <w:rPr>
          <w:i/>
        </w:rPr>
      </w:pPr>
      <w:r w:rsidRPr="00204633">
        <w:rPr>
          <w:i/>
        </w:rPr>
        <w:t>Përfitimet materiale që i sigurohen punëmarrësit në këtë rast, siç janë dëmshpërblimi prej 2 muajsh pagë (neni 144/5) dhe shpërblimi për vjetërsinë (neni 145), përbëjnë, si rregull, masën e njohur nga ligji të rimbursimit të dëmeve eventuale që mund t’i vinë punëmarrësit nga zgjidhja e kontratës pa ndonjë motiv apo shkak abuziv (të paarsyeshëm), siç parashikon neni 146 i Kodit të Punës. Vetëm kur vërtetohet zgjidhja e kontratës pa shkaqe të arsyeshme, siç janë shkaqet e përcaktuara në mënyrë taksative në nenin 146 të Kodit të Punës punëmarrësi ka të drejtën e përfitimit të dëmshpërblimit deri në një vit pagë.</w:t>
      </w:r>
    </w:p>
    <w:p w:rsidR="002238B2" w:rsidRPr="009163D0" w:rsidRDefault="002238B2" w:rsidP="00856858">
      <w:pPr>
        <w:pStyle w:val="Paragrafi"/>
      </w:pPr>
      <w:r w:rsidRPr="009163D0">
        <w:t>Në rastin në shqyrtim, në gjykimin në shkallë të parë e në apel, paditësi nuk pretendoi ekzistencën e ndonjë motivi  apo shkaku abuziv nga ana e punëdhënësit.</w:t>
      </w:r>
    </w:p>
    <w:p w:rsidR="002238B2" w:rsidRPr="009163D0" w:rsidRDefault="002238B2" w:rsidP="00856858">
      <w:pPr>
        <w:pStyle w:val="Paragrafi"/>
      </w:pPr>
      <w:r w:rsidRPr="009163D0">
        <w:t>Pavarësisht referencës në përgjithësi në nenin 146 të Kodit të Punës për efekt të përfitimit të dëmshpërblimit për zgjidhjen e kontratës nga punëdhënësi pa shkaqe të arsyeshme, vetëm në rekurs paditësi ka pretenduar për herë të parë motivin abuziv të punëdhënësit për zgjidhjen e njëanshme të kontratës së punës, që, sipas tij, ka qenë  hakmarrja e drejtoreshës së ICE në Tiranë pas denoncimit të bërë prej paditësit  për vjedhje nga ana e saj të fondeve publike (neni 146/1b i Kodit të Punës, që parashikon rastin kur punëmarrësi ka përmbushur një detyrim ligjor. Në fakt paditësi në rekurs i referohet rastit të pikës “a”, sipas së cilës punëmarrësi ka pretendime që rrjedhin nga kontrata e punës.</w:t>
      </w:r>
    </w:p>
    <w:p w:rsidR="002238B2" w:rsidRPr="009163D0" w:rsidRDefault="002238B2" w:rsidP="00856858">
      <w:pPr>
        <w:pStyle w:val="Paragrafi"/>
      </w:pPr>
      <w:r w:rsidRPr="009163D0">
        <w:t>Ky pretendim i ngritur për herë të parë në rekurs nuk mund të merret në shqyrtim nga Gjykata e Lartë, jo vetëm për arsye se kjo gjykatë nuk shqyrton faktet dhe rrethanat e çështjes, por vetëm interpretimin  dhe zbatimin e ligjit në dy shkallët e gjykimit, por edhe për arsye s</w:t>
      </w:r>
      <w:r w:rsidR="00676234">
        <w:t xml:space="preserve">e, në kuptim të nenit 459 të Kodit të Procedurës </w:t>
      </w:r>
      <w:r w:rsidRPr="009163D0">
        <w:t>Civile, edhe sikur pretendimi të ishte ngritur në mënyrë të shprehur në shkallë të parë e të mos ishte përsëritur në ankimin drejtuar Gjykatës së Apelit, ai do të konsiderohej si i rënë në dekadencë. Sipas kësaj dispozite, “Kur kërkesat  dhe pretendimet e pamarra parasysh në vendimin e shkallës së parë nuk përsëriten në ankim, konsiderohet sikur është hequr dorë prej tyre”.</w:t>
      </w:r>
    </w:p>
    <w:p w:rsidR="002238B2" w:rsidRPr="009163D0" w:rsidRDefault="002238B2" w:rsidP="00856858">
      <w:pPr>
        <w:pStyle w:val="Paragrafi"/>
      </w:pPr>
      <w:r w:rsidRPr="009163D0">
        <w:t>Duke iu rikthyer kërkimit për dëmshpërblim, ligji parashikon si përjashtim nenin 146, ku përcaktohet se, kur zgjidhja e kontrat</w:t>
      </w:r>
      <w:r w:rsidR="00676234">
        <w:t>ës bëhet pa shkaqe të arsyeshme</w:t>
      </w:r>
      <w:r w:rsidRPr="009163D0">
        <w:t xml:space="preserve"> (duke përcaktuar cilat shkaqe quhen të paarsyeshme në pikën 1), punëmarrësi mund të ngrejë padi në gjykatë (pika 2,3) dhe të përfitojë një dëmshpërblim deri në një vit pagë, që i shtohet pagës që ai duhet të marrë gjatë afatit të njoftimit. Pra, ai vazhdon të marrë pagën gjatë afatit të njoftimit (deri në zgjidhjen e kontratës) dhe, nëse vërtetohet se zgjidhja është bërë pa shkak të arsyeshëm, punëdhënësi do të detyrohet t’i japë edhe dëmshpërblimin në masën që do ta vendosë gjykata (maksimumi 1 vit pagë).</w:t>
      </w:r>
    </w:p>
    <w:p w:rsidR="002238B2" w:rsidRPr="00204633" w:rsidRDefault="002238B2" w:rsidP="00204633">
      <w:pPr>
        <w:pStyle w:val="Paragrafi"/>
        <w:rPr>
          <w:i/>
        </w:rPr>
      </w:pPr>
      <w:r w:rsidRPr="00204633">
        <w:rPr>
          <w:i/>
        </w:rPr>
        <w:t>Si përfundim, nga analiza e neneve 141 dhe 146 të Kodit të Punës rezulton se zgjidhja e kontratës mund të bëhet për çfarëdolloj shkaku, me përjashtim të rasteve që parashikohen në pikën 1 të nenit 146, që konsiderohen si shkaqe abuzive. Këto ligjvënësi i ka parashikuar si garanci për t’u mbrojtur nga abuzimi (tejkalimi) i së drejtës së punëdhënësit për të ndërprerë marrëdhënien e punës. Pra, dëmshpërblimi deri në një vit pagë vendoset vetëm në rastet kur punëdhënësi, nisur nga pozita superiore mund të abuzojë, duke zgjidhur kontratën pa shkaqe të arsyeshme (të tilla quhen vetëm rastet abuzive të listuara në dispozitën në analizë), duke garantuar një mbrojtje të nevojshme.</w:t>
      </w:r>
    </w:p>
    <w:p w:rsidR="002238B2" w:rsidRPr="00204633" w:rsidRDefault="002238B2" w:rsidP="00204633">
      <w:pPr>
        <w:pStyle w:val="Paragrafi"/>
        <w:rPr>
          <w:i/>
        </w:rPr>
      </w:pPr>
      <w:r w:rsidRPr="00204633">
        <w:rPr>
          <w:i/>
        </w:rPr>
        <w:t>ii. Respektimi i afatit të njoftimit  është kushti tjetër që parashikon neni 141 për të zgjidhur kontratën pa afat të përcaktuar. Në këtë lloj kontrate, ku nuk përcaktohet një afat për mbarimin e saj, normalisht që do të jetë ligji që do të parashikojë një mënyrë përfundimi me qëllim që të rregullohen pasojat e zgjidhjes për palët.</w:t>
      </w:r>
    </w:p>
    <w:p w:rsidR="002238B2" w:rsidRPr="009163D0" w:rsidRDefault="002238B2" w:rsidP="00856858">
      <w:pPr>
        <w:pStyle w:val="Paragrafi"/>
      </w:pPr>
      <w:r w:rsidRPr="009163D0">
        <w:t>Ligji ka lënë në dorë të palëve zgjidhjen vetëm me kushtin e respektimit të afatit të njoftimit, pra palët të njoftohen në një periudhë të caktuar (paralajmërimi) përpara zgjidhjes përfundimtare të kontratës, me qëllim që të kenë mundësi të marrin masa për rregullimin e situatës së tyre personale.</w:t>
      </w:r>
    </w:p>
    <w:p w:rsidR="002238B2" w:rsidRPr="009163D0" w:rsidRDefault="002238B2" w:rsidP="00856858">
      <w:pPr>
        <w:pStyle w:val="Paragrafi"/>
      </w:pPr>
      <w:r w:rsidRPr="009163D0">
        <w:t>Gjatë afatit të njoftimit, kontrata e punës ë</w:t>
      </w:r>
      <w:r w:rsidR="00676234">
        <w:t>shtë në fuqi, megjithë faktin që</w:t>
      </w:r>
      <w:r w:rsidRPr="009163D0">
        <w:t xml:space="preserve"> njëra palë ka bërë të ditur zgjidhjen e saj, dhe ajo përfundon me përfundimin e afatit të njoftimit.</w:t>
      </w:r>
    </w:p>
    <w:p w:rsidR="002238B2" w:rsidRPr="009163D0" w:rsidRDefault="002238B2" w:rsidP="00856858">
      <w:pPr>
        <w:pStyle w:val="Paragrafi"/>
      </w:pPr>
      <w:r w:rsidRPr="009163D0">
        <w:t>Sipas nenit 143, pika 4, zgjidhja e kontratës pa respektuar afatin e njoftimit trajtohet si zgjidhje e kontratës me efekt të menjëhershëm (që parashikohet në nenet 153-156). Në rastin në shqyrtim, nuk është kjo lloj zgjidhjeje e kontratës që na intereson, por do të ndalemi shkurtimisht për faktin se shpesh në praktikë ngatërrohet  zgjidhja pa shkaqe të arsyeshme (nenin 146) me atë të menjëhershëm të pajustifikuar (neni 155) të kontratës.</w:t>
      </w:r>
    </w:p>
    <w:p w:rsidR="00FB7021" w:rsidRDefault="00FB7021" w:rsidP="00856858">
      <w:pPr>
        <w:pStyle w:val="Paragrafi"/>
      </w:pPr>
    </w:p>
    <w:p w:rsidR="002238B2" w:rsidRPr="009163D0" w:rsidRDefault="002238B2" w:rsidP="00856858">
      <w:pPr>
        <w:pStyle w:val="Paragrafi"/>
      </w:pPr>
      <w:r w:rsidRPr="009163D0">
        <w:t>Sipas ligjit, në parim palët duhet t’i respektojnë afatet e njoftimit dhe zgjidhja e menjëhershme e kontratës është e ndaluar, megjithatë përjashtimi është se ajo lejohet për shkaqe të justifikuara (neni 153) dhe në këtë rast pala që ka zgjidhur kontratën nuk ndëshkohet, pavarësisht mosrespektimit të afatit.</w:t>
      </w:r>
    </w:p>
    <w:p w:rsidR="002238B2" w:rsidRPr="009163D0" w:rsidRDefault="002238B2" w:rsidP="00856858">
      <w:pPr>
        <w:pStyle w:val="Paragrafi"/>
      </w:pPr>
      <w:r w:rsidRPr="009163D0">
        <w:t xml:space="preserve">Ndërsa zgjidhja e menjëherëshme e pajustifikuar sjell pasoja për palët. Kështu, punëdhënësi detyrohet të paguajë dy dëmshpërblime në rast se nuk provon ekzistencën e një shkaku justifikues (neni 155) së pari shpërblimin e dëmit të shkaktuar nga mosrespektimi i afatit të njoftimit, (pagën për periudhën e afatit-neni 155, pika 1) dhe së dyti, dëmshpërblimin me karakter ndëshkues për punëdhënësin dhe ndreqës i dëmit </w:t>
      </w:r>
      <w:r w:rsidR="00B25B76">
        <w:t>moral të shkaktuar punëmarrësit</w:t>
      </w:r>
      <w:r w:rsidRPr="009163D0">
        <w:t xml:space="preserve"> (maksimumi një vit pagë-neni 155, pika 3).</w:t>
      </w:r>
    </w:p>
    <w:p w:rsidR="002238B2" w:rsidRPr="009163D0" w:rsidRDefault="002238B2" w:rsidP="00856858">
      <w:pPr>
        <w:pStyle w:val="Paragrafi"/>
      </w:pPr>
      <w:r w:rsidRPr="009163D0">
        <w:t>Me ndryshimet që iu bënë kësaj dispozite në vitin 2003 “për punëmarrësit në administratën publike, kur ka një vendim të formës së prerë për kthimin në vendin e mëparshëm të punës, punëdhënësi është i detyruar ta zbatojë” (neni 155, pika 3).</w:t>
      </w:r>
    </w:p>
    <w:p w:rsidR="002238B2" w:rsidRPr="009163D0" w:rsidRDefault="002238B2" w:rsidP="00856858">
      <w:pPr>
        <w:pStyle w:val="Paragrafi"/>
      </w:pPr>
      <w:r w:rsidRPr="009163D0">
        <w:t>Sipas paragrafit të 4 të nenit 143 të Kodit të Punës “Kur njëra nga palët zgjidh kontratën pa respektuar afatin e njoftimit, zgjidhja trajtohet si zgjidhje e kontratës me efekt të menjëhershëm”, por kjo nuk do të thotë që në mënyrë automatike, kur kontrata është zgjidhur nga punëdhënësi, duhet të zbatohet neni 146/3 i Kodit të Punës, duke u vendosur detyrimi i punëdhënësit të dëmshpërblejë punëmarrësin në masën e pagës deri në një vit. Duke qenë se në këto raste ligji e trajton zgjidhjen e kontratës si zgjidhje të saj me efekt të menjëhershëm, gjykata është e detyruar që sipas përcaktimeve të bëra në nenin 153/2 të Kodit të Punës, të kërkojë prej punëdhënësit të provojë, nëse kontrata është zgjidhur për shkaqe të arsyeshme apo jo. Në këtë drejtim, neni 153, paragrafi 3 i Kodit të Punës, i lë hapësirë gjykatës që duke pasur në konsideratë rastin konkret dhe ligjin, të vendosë vetë nëse kanë ekzistuar shkaqe të arsyeshme për zgjidhjen e kontratës. Vetëm në rast se zgjidhja e menjëhershme e kontratës është e pajustifikuar, gjykata në bazë të nenit 155 të Kodit të punës ka të drejtë të vendose detyrimin e punëdhënësit për pagimin e dëmshpërblimit.</w:t>
      </w:r>
    </w:p>
    <w:p w:rsidR="002238B2" w:rsidRPr="009163D0" w:rsidRDefault="002238B2" w:rsidP="00856858">
      <w:pPr>
        <w:pStyle w:val="Paragrafi"/>
      </w:pPr>
      <w:r w:rsidRPr="009163D0">
        <w:t>Një tjetër problem që ngrihet për diskutim është se cila palë ka barrën e provës për të provuar që zgjidhja e kontratës është bërë me shkaqe të arsyeshme apo të paarsyeshme.</w:t>
      </w:r>
    </w:p>
    <w:p w:rsidR="002238B2" w:rsidRPr="009163D0" w:rsidRDefault="002238B2" w:rsidP="00856858">
      <w:pPr>
        <w:pStyle w:val="Paragrafi"/>
      </w:pPr>
      <w:r w:rsidRPr="009163D0">
        <w:t>Në nenin 146, pika 1 parashtrohet se:</w:t>
      </w:r>
    </w:p>
    <w:p w:rsidR="002238B2" w:rsidRPr="009163D0" w:rsidRDefault="002238B2" w:rsidP="00856858">
      <w:pPr>
        <w:pStyle w:val="Paragrafi"/>
      </w:pPr>
      <w:r w:rsidRPr="009163D0">
        <w:t>“1) Zgjidhja e kontratës nga punëdhënësi, konsiderohet pa shkaqe të arsyeshme kur:</w:t>
      </w:r>
    </w:p>
    <w:p w:rsidR="002238B2" w:rsidRPr="009163D0" w:rsidRDefault="002238B2" w:rsidP="00856858">
      <w:pPr>
        <w:pStyle w:val="Paragrafi"/>
      </w:pPr>
      <w:r w:rsidRPr="009163D0">
        <w:t>a) Punëmarrësi ka pretendime që rrjedhin nga kontrata e punës;</w:t>
      </w:r>
    </w:p>
    <w:p w:rsidR="002238B2" w:rsidRPr="009163D0" w:rsidRDefault="002238B2" w:rsidP="00856858">
      <w:pPr>
        <w:pStyle w:val="Paragrafi"/>
      </w:pPr>
      <w:r w:rsidRPr="009163D0">
        <w:t>b) Punëmarrësi ka përmbushur një detyrim ligjor;</w:t>
      </w:r>
    </w:p>
    <w:p w:rsidR="002238B2" w:rsidRPr="009163D0" w:rsidRDefault="002238B2" w:rsidP="00856858">
      <w:pPr>
        <w:pStyle w:val="Paragrafi"/>
      </w:pPr>
      <w:r w:rsidRPr="009163D0">
        <w:t>c) Për motive të pandashme nga personeli i punëmarrësit, por që nuk kanë lidhje legjitime me raportet e punës. Konsiderohen si motive të tilla raca, ngjyra, seksi, mosha, gjendja civile, detyrimet familjare, shtatzënia, besimi fetar, bindjet politike, kombësia, gjendja shoqërore.</w:t>
      </w:r>
    </w:p>
    <w:p w:rsidR="002238B2" w:rsidRPr="009163D0" w:rsidRDefault="002238B2" w:rsidP="00856858">
      <w:pPr>
        <w:pStyle w:val="Paragrafi"/>
      </w:pPr>
      <w:r w:rsidRPr="009163D0">
        <w:t>d) Për motive që lidhen me ushtrimin nga punëmarrësi, të një të drejte kushtetuese, por që nuk sjell shkeljen e detyrimeve që rrjedhin nga kontrata e punës;</w:t>
      </w:r>
    </w:p>
    <w:p w:rsidR="002238B2" w:rsidRPr="009163D0" w:rsidRDefault="002238B2" w:rsidP="00856858">
      <w:pPr>
        <w:pStyle w:val="Paragrafi"/>
      </w:pPr>
      <w:r w:rsidRPr="009163D0">
        <w:t>e) Bëhet për motive të anëtarësimit ose jo të punëmarrësit në sindikatë për të krijuar në bazë të ligjit ose për shkak të pjesëmarrjes së tij në veprimtari sindikale në bazë të ligjit; ...”.</w:t>
      </w:r>
    </w:p>
    <w:p w:rsidR="002238B2" w:rsidRPr="009163D0" w:rsidRDefault="002238B2" w:rsidP="00856858">
      <w:pPr>
        <w:pStyle w:val="Paragrafi"/>
      </w:pPr>
      <w:r w:rsidRPr="009163D0">
        <w:t xml:space="preserve">Në të gjitha këto raste i takon punëmarrësit, i cili do të jetë në rolin e paditësit, barra e provës për të provuar që kontrata është zgjidhur për një prej këtyre shkaqeve të paarsyeshme që i kanë cenuar atij të drejtën për punë. Natyrshëm, gjatë gjykimit, do t’i takojë punëdhënësit e drejta që të provojë të kundërtën, pra që ka pasur një shkak tjetër të arsyeshëm për zgjidhjen e kontratës. </w:t>
      </w:r>
      <w:r w:rsidRPr="009163D0">
        <w:tab/>
        <w:t>Kjo është rrjedhojë logjike e asaj  që parashtruam më sipër se kontrata (sipas nenit 141) mund të zgjidhet për çdo shkak, pra nuk ka nevojë që të motivohet apo arsyetohet zgjidhja e kontratës. Të vetmet raste që ligji mbron punëmarrësin janë ato të parashikuara në pikën 1 të nenit 146, rastet abuzive të zgjidhjes së kontratës prej punëdhënësit. Pretendimi i ekzistencës së një (apo më shumë) prej tyre do të vijë gjithmonë nga punëmarrësi, i cili edhe duhet të provojë fillimisht pretendimet e tij se zgjidhja është bërë pa shkaqe të arsyeshme.</w:t>
      </w:r>
    </w:p>
    <w:p w:rsidR="002238B2" w:rsidRPr="009163D0" w:rsidRDefault="002238B2" w:rsidP="00856858">
      <w:pPr>
        <w:pStyle w:val="Paragrafi"/>
      </w:pPr>
      <w:r w:rsidRPr="009163D0">
        <w:t>Sa më sipër ka të bëjë vetëm me pretendimet substanciale lidhur me kontratën e punës, pasi në lidhje me pretendimet mbi procedurën e zgjidhjes së kontratës, ligji barrën e provës ia lë në mënyrë të shprehur punëdhënësit (neni 144, pika 5/1).</w:t>
      </w:r>
    </w:p>
    <w:p w:rsidR="002238B2" w:rsidRPr="009163D0" w:rsidRDefault="002238B2" w:rsidP="00856858">
      <w:pPr>
        <w:pStyle w:val="Paragrafi"/>
      </w:pPr>
      <w:r w:rsidRPr="009163D0">
        <w:t xml:space="preserve">Një tjetër problem për diskutim është edhe masa dhe kriteret e vendosjes së dëmshpërblimit kur kontrata pa afat të përcaktuar zgjidhet nga punëdhënësi pa shkaqe të arsyeshme duke mosrespektuar afatin dhe procedurën e njoftimit. Nga sa u tha më sipër, </w:t>
      </w:r>
      <w:smartTag w:uri="urn:schemas-microsoft-com:office:smarttags" w:element="State">
        <w:smartTag w:uri="urn:schemas-microsoft-com:office:smarttags" w:element="place">
          <w:r w:rsidRPr="009163D0">
            <w:t>del</w:t>
          </w:r>
        </w:smartTag>
      </w:smartTag>
      <w:r w:rsidRPr="009163D0">
        <w:t xml:space="preserve"> se kemi disa lloj dëmshpërblimesh që i takojnë punëmarrësit:</w:t>
      </w:r>
    </w:p>
    <w:p w:rsidR="00FB7021" w:rsidRDefault="00FB7021" w:rsidP="00856858">
      <w:pPr>
        <w:pStyle w:val="Paragrafi"/>
      </w:pPr>
    </w:p>
    <w:p w:rsidR="002238B2" w:rsidRPr="009163D0" w:rsidRDefault="002238B2" w:rsidP="00856858">
      <w:pPr>
        <w:pStyle w:val="Paragrafi"/>
      </w:pPr>
      <w:r w:rsidRPr="009163D0">
        <w:t>1) dëmshpërblimi deri në 2 paga mujore për mosrespektim të procedurës nga punëdhënësi që i shtohet dëmshpërblimeve të tjera (neni 144/4).</w:t>
      </w:r>
    </w:p>
    <w:p w:rsidR="002238B2" w:rsidRPr="009163D0" w:rsidRDefault="002238B2" w:rsidP="00856858">
      <w:pPr>
        <w:pStyle w:val="Paragrafi"/>
      </w:pPr>
      <w:r w:rsidRPr="009163D0">
        <w:t>2) Dëmshpërblimi deri në një vit pagë që paguan punëdhënësi që zgjidh kontratën pa shkaqe të arsyeshme (neni 146/1 e 3), e cila i shtohet pagës që merr punëdhënësi gjatë afatit të njoftimit.</w:t>
      </w:r>
    </w:p>
    <w:p w:rsidR="002238B2" w:rsidRPr="009163D0" w:rsidRDefault="002238B2" w:rsidP="00856858">
      <w:pPr>
        <w:pStyle w:val="Paragrafi"/>
      </w:pPr>
      <w:r w:rsidRPr="009163D0">
        <w:t>3) Shpërblimi për vjetërsi në punë (neni 145), që paguhet nga punëdhënësi kur marrëdhëniet kanë zgjatur mbi tre vjet, të cilit i shtohet shpërblimi që jepet për zgjidhjen e kontratës  pa shkaqe të arsyeshme (dëmshpërblimi i mësipërm).</w:t>
      </w:r>
    </w:p>
    <w:p w:rsidR="002238B2" w:rsidRDefault="002238B2" w:rsidP="00856858">
      <w:pPr>
        <w:pStyle w:val="Paragrafi"/>
      </w:pPr>
      <w:r w:rsidRPr="009163D0">
        <w:t>Për dëmshpërblimin e parashikuar në nenin 146, pika 3 parashikohet si masë maksimale paga e 1 viti, por ligji nuk specifikon kritere të caktimit të saj.</w:t>
      </w:r>
    </w:p>
    <w:p w:rsidR="002238B2" w:rsidRPr="00204633" w:rsidRDefault="002238B2" w:rsidP="00204633">
      <w:pPr>
        <w:pStyle w:val="Paragrafi"/>
        <w:rPr>
          <w:i/>
        </w:rPr>
      </w:pPr>
      <w:r w:rsidRPr="00204633">
        <w:rPr>
          <w:i/>
        </w:rPr>
        <w:t>Në praktikë është pranuar se masa e dëmshpërblimit, që sipas ligjit paracaktohet në mënyrë të përafërt, sipas diskrecionit të gjykatës, për shkak të pamundësisë objektive për vlerësimin e saktë të saj, si rregull, nuk përbën objekt rivlerësimi të mëvonshëm. Megjithatë, në këto raste gjykatës nuk i lejohet të caktojë një dëmshpërblim që kapërcen kriteret e vendosura në ligj. Gjithsesi brenda këtyre caqeve duhet të paracaktojmë një masë shpërblimi të arsyeshme dhe jo siç ndodh rëndom në praktikë që gjykatat vendosin maksimumin e dëmshpërblimit me pagën e një viti.</w:t>
      </w:r>
    </w:p>
    <w:p w:rsidR="002238B2" w:rsidRPr="009163D0" w:rsidRDefault="002238B2" w:rsidP="00856858">
      <w:pPr>
        <w:pStyle w:val="Paragrafi"/>
      </w:pPr>
    </w:p>
    <w:p w:rsidR="002238B2" w:rsidRPr="009163D0" w:rsidRDefault="003E49FE" w:rsidP="00856858">
      <w:pPr>
        <w:pStyle w:val="VENDOSI"/>
      </w:pPr>
      <w:r>
        <w:t>PË</w:t>
      </w:r>
      <w:r w:rsidR="002238B2" w:rsidRPr="009163D0">
        <w:t>R KËTO ARSYE,</w:t>
      </w:r>
    </w:p>
    <w:p w:rsidR="002238B2" w:rsidRPr="009163D0" w:rsidRDefault="002238B2" w:rsidP="00856858">
      <w:pPr>
        <w:pStyle w:val="Paragrafi"/>
      </w:pPr>
    </w:p>
    <w:p w:rsidR="002238B2" w:rsidRPr="009163D0" w:rsidRDefault="002238B2" w:rsidP="00856858">
      <w:pPr>
        <w:pStyle w:val="Paragrafi"/>
      </w:pPr>
      <w:r w:rsidRPr="009163D0">
        <w:t>Kolegjet e Bashkuara të Gjykatës së Lartë, në bazë të nenit 485/a të Kodit të Procedurës Civile, dhe të nenit 17 të ligjit nr.8588, datë 15.3.2000 “Për</w:t>
      </w:r>
      <w:r w:rsidR="00B25B76">
        <w:t xml:space="preserve"> o</w:t>
      </w:r>
      <w:r w:rsidRPr="009163D0">
        <w:t>rganizimin dhe funksionimin e Gjykatës së Lartë”,</w:t>
      </w:r>
    </w:p>
    <w:p w:rsidR="002238B2" w:rsidRPr="009163D0" w:rsidRDefault="002238B2" w:rsidP="00856858">
      <w:pPr>
        <w:pStyle w:val="Paragrafi"/>
      </w:pPr>
    </w:p>
    <w:p w:rsidR="002238B2" w:rsidRPr="009163D0" w:rsidRDefault="002238B2" w:rsidP="00856858">
      <w:pPr>
        <w:pStyle w:val="VENDOSI"/>
      </w:pPr>
      <w:r w:rsidRPr="009163D0">
        <w:t>VENDOSËN:</w:t>
      </w:r>
    </w:p>
    <w:p w:rsidR="002238B2" w:rsidRPr="009163D0" w:rsidRDefault="002238B2" w:rsidP="00856858">
      <w:pPr>
        <w:pStyle w:val="Paragrafi"/>
      </w:pPr>
    </w:p>
    <w:p w:rsidR="002238B2" w:rsidRPr="009163D0" w:rsidRDefault="002238B2" w:rsidP="00856858">
      <w:pPr>
        <w:pStyle w:val="Paragrafi"/>
      </w:pPr>
      <w:r w:rsidRPr="009163D0">
        <w:t>1. Lënien në fuqi të vendimit c</w:t>
      </w:r>
      <w:r w:rsidR="00B25B76">
        <w:t>ivil nr.745, datë 16.6.2005 të G</w:t>
      </w:r>
      <w:r w:rsidRPr="009163D0">
        <w:t>jykatës së Apelit Tiranë.</w:t>
      </w:r>
    </w:p>
    <w:p w:rsidR="002238B2" w:rsidRPr="009163D0" w:rsidRDefault="002238B2" w:rsidP="00856858">
      <w:pPr>
        <w:pStyle w:val="Paragrafi"/>
      </w:pPr>
      <w:r w:rsidRPr="009163D0">
        <w:t>2. Ky vendim është unifikues për praktikën gjyqësore dhe dërgohet për botim në Fletoren Zyrtare.</w:t>
      </w:r>
    </w:p>
    <w:p w:rsidR="00FB7021" w:rsidRDefault="00FB7021" w:rsidP="00856858">
      <w:pPr>
        <w:pStyle w:val="Paragrafi"/>
      </w:pPr>
    </w:p>
    <w:p w:rsidR="002238B2" w:rsidRPr="009163D0" w:rsidRDefault="002238B2" w:rsidP="00856858">
      <w:pPr>
        <w:pStyle w:val="Paragrafi"/>
      </w:pPr>
      <w:r w:rsidRPr="009163D0">
        <w:t>Kryesues: Thimjo Kondi</w:t>
      </w:r>
    </w:p>
    <w:p w:rsidR="002238B2" w:rsidRPr="009163D0" w:rsidRDefault="002238B2" w:rsidP="00856858">
      <w:pPr>
        <w:pStyle w:val="Paragrafi"/>
      </w:pPr>
      <w:r w:rsidRPr="009163D0">
        <w:t>Anëtarë: Artan Hoxha, Gani Dizdari, Perikli Zaharia, Agron A. Lamaj, Spiro Spiro, Nikoleta Kita, Shpresa Becaj, Irma Bala, Besnik Imeraj, Fatos Lulo, Ardian Nuni.</w:t>
      </w:r>
    </w:p>
    <w:p w:rsidR="00FB7021" w:rsidRDefault="00FB7021" w:rsidP="00FB7021">
      <w:pPr>
        <w:pStyle w:val="Paragrafi"/>
        <w:rPr>
          <w:noProof/>
        </w:rPr>
      </w:pPr>
    </w:p>
    <w:p w:rsidR="00FB7021" w:rsidRDefault="00FB7021" w:rsidP="00FB7021">
      <w:pPr>
        <w:pStyle w:val="Akti"/>
        <w:rPr>
          <w:noProof/>
        </w:rPr>
      </w:pPr>
    </w:p>
    <w:p w:rsidR="002238B2" w:rsidRPr="009163D0" w:rsidRDefault="002238B2" w:rsidP="00FB7021">
      <w:pPr>
        <w:pStyle w:val="Akti"/>
        <w:rPr>
          <w:noProof/>
        </w:rPr>
      </w:pPr>
      <w:r w:rsidRPr="009163D0">
        <w:rPr>
          <w:noProof/>
        </w:rPr>
        <w:t>VENDIM</w:t>
      </w:r>
    </w:p>
    <w:p w:rsidR="002238B2" w:rsidRPr="009163D0" w:rsidRDefault="002238B2" w:rsidP="00FB7021">
      <w:pPr>
        <w:pStyle w:val="NumriData"/>
      </w:pPr>
      <w:r w:rsidRPr="009163D0">
        <w:t>Nr.20, datë 15.11.2007</w:t>
      </w:r>
    </w:p>
    <w:p w:rsidR="002238B2" w:rsidRPr="009163D0" w:rsidRDefault="002238B2" w:rsidP="00FB7021">
      <w:pPr>
        <w:pStyle w:val="Paragrafi"/>
        <w:rPr>
          <w:b/>
          <w:noProof/>
        </w:rPr>
      </w:pPr>
    </w:p>
    <w:p w:rsidR="002238B2" w:rsidRPr="00FB7021" w:rsidRDefault="002238B2" w:rsidP="00FB7021">
      <w:pPr>
        <w:pStyle w:val="Titulli"/>
        <w:rPr>
          <w:b w:val="0"/>
          <w:noProof/>
        </w:rPr>
      </w:pPr>
      <w:r w:rsidRPr="00FB7021">
        <w:rPr>
          <w:b w:val="0"/>
          <w:noProof/>
        </w:rPr>
        <w:t>NË EMËR TË REPUBLIKËS</w:t>
      </w:r>
    </w:p>
    <w:p w:rsidR="002238B2" w:rsidRPr="009163D0" w:rsidRDefault="002238B2" w:rsidP="00FB7021">
      <w:pPr>
        <w:pStyle w:val="Paragrafi"/>
        <w:rPr>
          <w:b/>
          <w:noProof/>
        </w:rPr>
      </w:pPr>
    </w:p>
    <w:p w:rsidR="002238B2" w:rsidRPr="009163D0" w:rsidRDefault="002238B2" w:rsidP="00FB7021">
      <w:pPr>
        <w:pStyle w:val="Paragrafi"/>
        <w:rPr>
          <w:lang w:val="pt-BR"/>
        </w:rPr>
      </w:pPr>
      <w:r w:rsidRPr="009163D0">
        <w:rPr>
          <w:lang w:val="pt-BR"/>
        </w:rPr>
        <w:t>Kolegjet e Bashkuara të Gjykatës së Lartë, të përbërë prej:</w:t>
      </w:r>
    </w:p>
    <w:p w:rsidR="002238B2" w:rsidRPr="009163D0" w:rsidRDefault="002238B2" w:rsidP="00FB7021">
      <w:pPr>
        <w:pStyle w:val="Paragrafi"/>
        <w:rPr>
          <w:b/>
          <w:noProof/>
          <w:lang w:val="pt-BR"/>
        </w:rPr>
      </w:pPr>
    </w:p>
    <w:p w:rsidR="002238B2" w:rsidRPr="009163D0" w:rsidRDefault="002238B2" w:rsidP="00856858">
      <w:pPr>
        <w:pStyle w:val="Paragrafi"/>
      </w:pPr>
      <w:r w:rsidRPr="009163D0">
        <w:t>Thimjo Kondi</w:t>
      </w:r>
      <w:r w:rsidRPr="009163D0">
        <w:tab/>
      </w:r>
      <w:r w:rsidRPr="009163D0">
        <w:tab/>
        <w:t>Kryesues</w:t>
      </w:r>
    </w:p>
    <w:p w:rsidR="002238B2" w:rsidRPr="009163D0" w:rsidRDefault="002238B2" w:rsidP="00856858">
      <w:pPr>
        <w:pStyle w:val="Paragrafi"/>
      </w:pPr>
      <w:r w:rsidRPr="009163D0">
        <w:t xml:space="preserve">Artan Hoxha   </w:t>
      </w:r>
      <w:r w:rsidRPr="009163D0">
        <w:tab/>
      </w:r>
      <w:r w:rsidRPr="009163D0">
        <w:tab/>
        <w:t>Anëtar</w:t>
      </w:r>
    </w:p>
    <w:p w:rsidR="002238B2" w:rsidRPr="009163D0" w:rsidRDefault="002238B2" w:rsidP="00856858">
      <w:pPr>
        <w:pStyle w:val="Paragrafi"/>
      </w:pPr>
      <w:r w:rsidRPr="009163D0">
        <w:t xml:space="preserve">Gani Dizdari   </w:t>
      </w:r>
      <w:r w:rsidRPr="009163D0">
        <w:tab/>
      </w:r>
      <w:r w:rsidRPr="009163D0">
        <w:tab/>
        <w:t>Anëtar</w:t>
      </w:r>
    </w:p>
    <w:p w:rsidR="002238B2" w:rsidRPr="009163D0" w:rsidRDefault="002238B2" w:rsidP="00856858">
      <w:pPr>
        <w:pStyle w:val="Paragrafi"/>
      </w:pPr>
      <w:r w:rsidRPr="009163D0">
        <w:t xml:space="preserve">Nikoleta Kita     </w:t>
      </w:r>
      <w:r w:rsidRPr="009163D0">
        <w:tab/>
        <w:t>Anëtar</w:t>
      </w:r>
    </w:p>
    <w:p w:rsidR="002238B2" w:rsidRPr="009163D0" w:rsidRDefault="00856858" w:rsidP="00856858">
      <w:pPr>
        <w:pStyle w:val="Paragrafi"/>
      </w:pPr>
      <w:r>
        <w:t xml:space="preserve">Perikli Zaharia  </w:t>
      </w:r>
      <w:r w:rsidR="009163D0">
        <w:tab/>
      </w:r>
      <w:r w:rsidR="002238B2" w:rsidRPr="009163D0">
        <w:t>Anëtar</w:t>
      </w:r>
    </w:p>
    <w:p w:rsidR="002238B2" w:rsidRPr="009163D0" w:rsidRDefault="002238B2" w:rsidP="00856858">
      <w:pPr>
        <w:pStyle w:val="Paragrafi"/>
      </w:pPr>
      <w:r w:rsidRPr="009163D0">
        <w:t xml:space="preserve">Spiro Spiro      </w:t>
      </w:r>
      <w:r w:rsidRPr="009163D0">
        <w:tab/>
      </w:r>
      <w:r w:rsidRPr="009163D0">
        <w:tab/>
        <w:t>Anëtar</w:t>
      </w:r>
    </w:p>
    <w:p w:rsidR="002238B2" w:rsidRPr="00856858" w:rsidRDefault="002238B2" w:rsidP="00856858">
      <w:pPr>
        <w:pStyle w:val="Paragrafi"/>
        <w:rPr>
          <w:lang w:val="es-CL"/>
        </w:rPr>
      </w:pPr>
      <w:r w:rsidRPr="00856858">
        <w:rPr>
          <w:lang w:val="es-CL"/>
        </w:rPr>
        <w:t xml:space="preserve">Agron A.Lamaj    </w:t>
      </w:r>
      <w:r w:rsidRPr="00856858">
        <w:rPr>
          <w:lang w:val="es-CL"/>
        </w:rPr>
        <w:tab/>
        <w:t>Anëtar</w:t>
      </w:r>
    </w:p>
    <w:p w:rsidR="002238B2" w:rsidRPr="00856858" w:rsidRDefault="002238B2" w:rsidP="00856858">
      <w:pPr>
        <w:pStyle w:val="Paragrafi"/>
        <w:rPr>
          <w:lang w:val="es-CL"/>
        </w:rPr>
      </w:pPr>
      <w:r w:rsidRPr="00856858">
        <w:rPr>
          <w:lang w:val="es-CL"/>
        </w:rPr>
        <w:t xml:space="preserve">Irma Bala       </w:t>
      </w:r>
      <w:r w:rsidRPr="00856858">
        <w:rPr>
          <w:lang w:val="es-CL"/>
        </w:rPr>
        <w:tab/>
      </w:r>
      <w:r w:rsidRPr="00856858">
        <w:rPr>
          <w:lang w:val="es-CL"/>
        </w:rPr>
        <w:tab/>
        <w:t>Anëtar</w:t>
      </w:r>
    </w:p>
    <w:p w:rsidR="002238B2" w:rsidRPr="00856858" w:rsidRDefault="002238B2" w:rsidP="00856858">
      <w:pPr>
        <w:pStyle w:val="Paragrafi"/>
        <w:ind w:firstLine="0"/>
        <w:rPr>
          <w:lang w:val="es-CL"/>
        </w:rPr>
      </w:pPr>
      <w:r w:rsidRPr="00856858">
        <w:rPr>
          <w:lang w:val="es-CL"/>
        </w:rPr>
        <w:tab/>
        <w:t xml:space="preserve">Besnik Imeraj    </w:t>
      </w:r>
      <w:r w:rsidRPr="00856858">
        <w:rPr>
          <w:lang w:val="es-CL"/>
        </w:rPr>
        <w:tab/>
        <w:t>Anëtar</w:t>
      </w:r>
    </w:p>
    <w:p w:rsidR="002238B2" w:rsidRPr="009163D0" w:rsidRDefault="002238B2" w:rsidP="00856858">
      <w:pPr>
        <w:pStyle w:val="Paragrafi"/>
        <w:ind w:firstLine="0"/>
      </w:pPr>
      <w:r w:rsidRPr="00856858">
        <w:rPr>
          <w:lang w:val="es-CL"/>
        </w:rPr>
        <w:tab/>
      </w:r>
      <w:r w:rsidRPr="009163D0">
        <w:t xml:space="preserve">Shpresa Beçaj    </w:t>
      </w:r>
      <w:r w:rsidRPr="009163D0">
        <w:tab/>
        <w:t xml:space="preserve">Anëtar </w:t>
      </w:r>
    </w:p>
    <w:p w:rsidR="002238B2" w:rsidRPr="009163D0" w:rsidRDefault="002238B2" w:rsidP="00856858">
      <w:pPr>
        <w:pStyle w:val="Paragrafi"/>
      </w:pPr>
      <w:r w:rsidRPr="009163D0">
        <w:t>Evjeni Sinoimeri</w:t>
      </w:r>
      <w:r w:rsidRPr="009163D0">
        <w:tab/>
        <w:t>Anëtar</w:t>
      </w:r>
    </w:p>
    <w:p w:rsidR="002238B2" w:rsidRPr="009163D0" w:rsidRDefault="002238B2" w:rsidP="00856858">
      <w:pPr>
        <w:pStyle w:val="Paragrafi"/>
      </w:pPr>
      <w:r w:rsidRPr="009163D0">
        <w:t xml:space="preserve">Fatos Lulo        </w:t>
      </w:r>
      <w:r w:rsidRPr="009163D0">
        <w:tab/>
        <w:t>Anëtar</w:t>
      </w:r>
    </w:p>
    <w:p w:rsidR="002238B2" w:rsidRPr="009163D0" w:rsidRDefault="002238B2" w:rsidP="00856858">
      <w:pPr>
        <w:pStyle w:val="Paragrafi"/>
      </w:pPr>
      <w:r w:rsidRPr="009163D0">
        <w:t xml:space="preserve">Ardian Nuni      </w:t>
      </w:r>
      <w:r w:rsidRPr="009163D0">
        <w:tab/>
        <w:t>Anëtar</w:t>
      </w:r>
    </w:p>
    <w:p w:rsidR="002238B2" w:rsidRPr="009163D0" w:rsidRDefault="002238B2" w:rsidP="00856858">
      <w:pPr>
        <w:pStyle w:val="Paragrafi"/>
      </w:pPr>
    </w:p>
    <w:p w:rsidR="002238B2" w:rsidRPr="00FB7021" w:rsidRDefault="002238B2" w:rsidP="00856858">
      <w:pPr>
        <w:pStyle w:val="Paragrafi"/>
      </w:pPr>
      <w:r w:rsidRPr="009163D0">
        <w:t>në seancën gjyqësore të datës 15.11.2007, morën në shqyrtim çështjen civile me nr.5 Akti, që u përket palëve:</w:t>
      </w:r>
    </w:p>
    <w:p w:rsidR="002238B2" w:rsidRPr="00204633" w:rsidRDefault="002238B2" w:rsidP="00204633">
      <w:pPr>
        <w:pStyle w:val="Paragrafi"/>
        <w:rPr>
          <w:b/>
          <w:i/>
        </w:rPr>
      </w:pPr>
      <w:r w:rsidRPr="00204633">
        <w:t xml:space="preserve">PADITËS: DREJTORIA E PËRGJITHSHME E TATIMEVE, </w:t>
      </w:r>
      <w:r w:rsidRPr="00204633">
        <w:rPr>
          <w:b/>
          <w:i/>
        </w:rPr>
        <w:t>në mungesë</w:t>
      </w:r>
    </w:p>
    <w:p w:rsidR="002238B2" w:rsidRPr="00204633" w:rsidRDefault="002238B2" w:rsidP="00204633">
      <w:pPr>
        <w:pStyle w:val="Paragrafi"/>
        <w:rPr>
          <w:i/>
        </w:rPr>
      </w:pPr>
      <w:r w:rsidRPr="00204633">
        <w:rPr>
          <w:i/>
        </w:rPr>
        <w:t xml:space="preserve">I PADITUR:KOMISIONI I SHËRBIMIT CIVIL, në mungesë  </w:t>
      </w:r>
    </w:p>
    <w:p w:rsidR="002238B2" w:rsidRPr="00204633" w:rsidRDefault="002238B2" w:rsidP="00204633">
      <w:pPr>
        <w:pStyle w:val="Paragrafi"/>
        <w:rPr>
          <w:i/>
        </w:rPr>
      </w:pPr>
      <w:r w:rsidRPr="00204633">
        <w:t xml:space="preserve">PALË E TRETË:ARBEN PINARI, </w:t>
      </w:r>
      <w:r w:rsidRPr="00204633">
        <w:rPr>
          <w:i/>
        </w:rPr>
        <w:t xml:space="preserve">në mungesë  </w:t>
      </w:r>
    </w:p>
    <w:p w:rsidR="002238B2" w:rsidRPr="00204633" w:rsidRDefault="002238B2" w:rsidP="00204633">
      <w:pPr>
        <w:pStyle w:val="Paragrafi"/>
        <w:rPr>
          <w:i/>
        </w:rPr>
      </w:pPr>
      <w:r w:rsidRPr="00204633">
        <w:rPr>
          <w:i/>
        </w:rPr>
        <w:t>OBJEKTI: Kundërshtimi i vendimit nr.303, datë 30.12.2005 të Komisionit të Shërbimit Civil dhe lënien në fuqi të vendimit nr.319, datë 11.11.2005 të Drejtorisë së Përgjithshme të Tatimeve.</w:t>
      </w:r>
    </w:p>
    <w:p w:rsidR="002238B2" w:rsidRPr="00204633" w:rsidRDefault="002238B2" w:rsidP="00204633">
      <w:pPr>
        <w:pStyle w:val="Paragrafi"/>
        <w:rPr>
          <w:i/>
        </w:rPr>
      </w:pPr>
      <w:r w:rsidRPr="00204633">
        <w:rPr>
          <w:i/>
        </w:rPr>
        <w:t>BAZA LIGJORE: Neni 8, pika 3 e ligjit nr.8549, datë 11.11.1999, nenet 328, 442, 442/a të Kodit të Procedurës Civile.</w:t>
      </w:r>
    </w:p>
    <w:p w:rsidR="002238B2" w:rsidRPr="00204633" w:rsidRDefault="002238B2" w:rsidP="00204633">
      <w:pPr>
        <w:pStyle w:val="Paragrafi"/>
        <w:rPr>
          <w:i/>
        </w:rPr>
      </w:pPr>
      <w:r w:rsidRPr="00204633">
        <w:rPr>
          <w:i/>
        </w:rPr>
        <w:t>Gjykata e Apelit Tiranë, me vendim nr.52, datë 1.6.2006, ka vendosur:</w:t>
      </w:r>
    </w:p>
    <w:p w:rsidR="002238B2" w:rsidRPr="009163D0" w:rsidRDefault="002238B2" w:rsidP="00856858">
      <w:pPr>
        <w:pStyle w:val="Paragrafi"/>
      </w:pPr>
      <w:r w:rsidRPr="009163D0">
        <w:t>-  Pushimin e gjykimit.</w:t>
      </w:r>
    </w:p>
    <w:p w:rsidR="002238B2" w:rsidRPr="00204633" w:rsidRDefault="002238B2" w:rsidP="00204633">
      <w:pPr>
        <w:pStyle w:val="Paragrafi"/>
        <w:rPr>
          <w:i/>
        </w:rPr>
      </w:pPr>
      <w:r w:rsidRPr="00204633">
        <w:rPr>
          <w:i/>
        </w:rPr>
        <w:t xml:space="preserve">Kundër vendimit të mësipërm ka ushtruar </w:t>
      </w:r>
      <w:r w:rsidRPr="00204633">
        <w:rPr>
          <w:b/>
          <w:i/>
        </w:rPr>
        <w:t xml:space="preserve">REKURS pala paditëse, Drejtoria e Përgjithshme e Tatimeve, </w:t>
      </w:r>
      <w:r w:rsidRPr="00204633">
        <w:rPr>
          <w:i/>
        </w:rPr>
        <w:t>e cila kërkon prishjen e vendimit dhe kthimin e çështjes për rishqyrtim duke parashtruar këto shkaqe:</w:t>
      </w:r>
    </w:p>
    <w:p w:rsidR="002238B2" w:rsidRPr="00204633" w:rsidRDefault="002238B2" w:rsidP="00204633">
      <w:pPr>
        <w:pStyle w:val="Paragrafi"/>
        <w:rPr>
          <w:i/>
        </w:rPr>
      </w:pPr>
      <w:r w:rsidRPr="00204633">
        <w:rPr>
          <w:i/>
        </w:rPr>
        <w:t>- Në këtë gjykim nuk u paraqitëm, pasi atë ditë përfaqësuesi ynë ka qenë në një gjykim tjetër, ora 12.00 në gjykatën e rrethit Tiranë. Për këtë shkak nuk u paraqitëm dot, megjithëse kemi pasur dijeni.</w:t>
      </w:r>
    </w:p>
    <w:p w:rsidR="002238B2" w:rsidRPr="00204633" w:rsidRDefault="002238B2" w:rsidP="00204633">
      <w:pPr>
        <w:pStyle w:val="Paragrafi"/>
        <w:rPr>
          <w:i/>
        </w:rPr>
      </w:pPr>
      <w:r w:rsidRPr="00204633">
        <w:rPr>
          <w:i/>
        </w:rPr>
        <w:t>Kolegji Civil i Gjykatës së Lartë, me vendimin nr.11241-012</w:t>
      </w:r>
      <w:r w:rsidR="00B25B76" w:rsidRPr="00204633">
        <w:rPr>
          <w:i/>
        </w:rPr>
        <w:t>53-00-2006 të R</w:t>
      </w:r>
      <w:r w:rsidRPr="00204633">
        <w:rPr>
          <w:i/>
        </w:rPr>
        <w:t>egj.Themeltar, datë 5.9.2007 ka vendosur kalimin e çështjes për shqyrtim në Kolegjet e Bashkuara të Gjykatës së Lartë.</w:t>
      </w:r>
    </w:p>
    <w:p w:rsidR="002238B2" w:rsidRPr="009163D0" w:rsidRDefault="002238B2" w:rsidP="00856858">
      <w:pPr>
        <w:pStyle w:val="Paragrafi"/>
        <w:rPr>
          <w:noProof/>
        </w:rPr>
      </w:pPr>
    </w:p>
    <w:p w:rsidR="002238B2" w:rsidRPr="009163D0" w:rsidRDefault="002238B2" w:rsidP="00204633">
      <w:pPr>
        <w:pStyle w:val="VENDOSI"/>
        <w:rPr>
          <w:rFonts w:cs="Tahoma"/>
          <w:noProof/>
        </w:rPr>
      </w:pPr>
      <w:r w:rsidRPr="009163D0">
        <w:rPr>
          <w:noProof/>
        </w:rPr>
        <w:t>KOLEGJET E BASHKUARA TË GJYKATËS SË LARTË,</w:t>
      </w:r>
    </w:p>
    <w:p w:rsidR="009163D0" w:rsidRPr="009163D0" w:rsidRDefault="002238B2" w:rsidP="00856858">
      <w:pPr>
        <w:pStyle w:val="Paragrafi"/>
        <w:rPr>
          <w:noProof/>
        </w:rPr>
      </w:pPr>
      <w:r w:rsidRPr="009163D0">
        <w:rPr>
          <w:noProof/>
        </w:rPr>
        <w:t>pasi dëgjuan relacionin e anëtarëve Agron A.Lamaj dhe Shpresa Beçaj, në mungesë të palëve ndërgjyqëse dhe pasi biseduan çështjen në tërësi,</w:t>
      </w:r>
    </w:p>
    <w:p w:rsidR="009163D0" w:rsidRPr="009163D0" w:rsidRDefault="009163D0" w:rsidP="00856858">
      <w:pPr>
        <w:pStyle w:val="Paragrafi"/>
        <w:rPr>
          <w:noProof/>
        </w:rPr>
      </w:pPr>
    </w:p>
    <w:p w:rsidR="002238B2" w:rsidRPr="009163D0" w:rsidRDefault="002238B2" w:rsidP="00204633">
      <w:pPr>
        <w:pStyle w:val="VENDOSI"/>
        <w:rPr>
          <w:noProof/>
        </w:rPr>
      </w:pPr>
      <w:r w:rsidRPr="009163D0">
        <w:rPr>
          <w:noProof/>
        </w:rPr>
        <w:t>VËREJNË:</w:t>
      </w:r>
    </w:p>
    <w:p w:rsidR="002238B2" w:rsidRPr="009163D0" w:rsidRDefault="002238B2" w:rsidP="00856858">
      <w:pPr>
        <w:pStyle w:val="Paragrafi"/>
      </w:pPr>
    </w:p>
    <w:p w:rsidR="002238B2" w:rsidRPr="009163D0" w:rsidRDefault="002238B2" w:rsidP="00856858">
      <w:pPr>
        <w:pStyle w:val="Paragrafi"/>
      </w:pPr>
      <w:r w:rsidRPr="009163D0">
        <w:tab/>
        <w:t>Vendimi nr.52, datë 1.6.2006 i Gjykatës së Apelit Tiranë, me të cilin është vendosur pushimi i gjykimit të çështjes me nr.66 Akti, datë 31.3.2006, bazuar në nenin 179/1 të Kodit të Procedurës Civile, është rrjedhojë e zbatimit të gabuar të ligjit.</w:t>
      </w:r>
    </w:p>
    <w:p w:rsidR="002238B2" w:rsidRPr="009163D0" w:rsidRDefault="002238B2" w:rsidP="00856858">
      <w:pPr>
        <w:pStyle w:val="Paragrafi"/>
      </w:pPr>
      <w:r w:rsidRPr="009163D0">
        <w:tab/>
        <w:t>Nga aktet e ndodhura në dosjen gjyqësore rezulton se personi i tretë Arben Pinari, ka punuar pranë palës së paditur, në detyrën e përgjegjësit të sektorit të tatimeve të tjera dhe më pas, ka kaluar në detyrën e përgjegjësit të sektorit të kontrollit tatimor po në degën e tatimeve Tiranë.</w:t>
      </w:r>
    </w:p>
    <w:p w:rsidR="002238B2" w:rsidRPr="00204633" w:rsidRDefault="002238B2" w:rsidP="00204633">
      <w:pPr>
        <w:pStyle w:val="Paragrafi"/>
        <w:rPr>
          <w:i/>
        </w:rPr>
      </w:pPr>
      <w:r w:rsidRPr="00204633">
        <w:tab/>
        <w:t xml:space="preserve">Me vendimin nr.319, datë 11.11.2005 të Drejtorit të Përgjithshëm të Tatimeve, është urdhëruar lirimi i tij nga detyra me motivacionin, </w:t>
      </w:r>
      <w:r w:rsidRPr="00204633">
        <w:rPr>
          <w:i/>
        </w:rPr>
        <w:t>“… se ka marrë pjesë në veprimtari politike, e konkretisht ka qenë anëtar komisioni në një qendër votimi për Partinë Socialiste”.</w:t>
      </w:r>
    </w:p>
    <w:p w:rsidR="002238B2" w:rsidRPr="00204633" w:rsidRDefault="002238B2" w:rsidP="00204633">
      <w:pPr>
        <w:pStyle w:val="Paragrafi"/>
        <w:rPr>
          <w:i/>
        </w:rPr>
      </w:pPr>
      <w:r w:rsidRPr="00204633">
        <w:tab/>
        <w:t>Mbi ankimin e personit të tretë në këtë gjykim, Komisioni i Shërbimit Civil me vendimin nr.303, datë 30.12.2005 ka pranuar ankimin, “</w:t>
      </w:r>
      <w:r w:rsidRPr="00204633">
        <w:rPr>
          <w:i/>
        </w:rPr>
        <w:t>duke shfuqizuar vendimin nr.139, datë 11.11.2005 të Drejtorit të Përgjithshëm të Tatimeve, si akt i nxjerrë në kundërshtim me ligjin. Kthimin e ankuesit në pozicionin e mëparshëm të punës. Pagim</w:t>
      </w:r>
      <w:r w:rsidR="009324F0" w:rsidRPr="00204633">
        <w:rPr>
          <w:i/>
        </w:rPr>
        <w:t>in e pagës për gjithë kohën e që</w:t>
      </w:r>
      <w:r w:rsidRPr="00204633">
        <w:rPr>
          <w:i/>
        </w:rPr>
        <w:t>ndrimit pa punë, padrejtësisht, duke filluar nga momenti i ndërprerjes së marrëdhënieve financiare, deri në ekzekutimin e këtij vendimi”.</w:t>
      </w:r>
    </w:p>
    <w:p w:rsidR="002238B2" w:rsidRPr="009163D0" w:rsidRDefault="002238B2" w:rsidP="00856858">
      <w:pPr>
        <w:pStyle w:val="Paragrafi"/>
      </w:pPr>
      <w:r w:rsidRPr="009163D0">
        <w:tab/>
        <w:t>Me padinë e paraqitur për gjykim para Gjykatës së Apelit Tiranë, Drejtoria e Përgjithshme e Tatimeve ka kërkuar kundërshtimin e vendimit nr.303, datë 30.12.2005 të Komisionit të Shërbimit Civil dhe lënien në fuqi të vendimit nr.319, datë 11.11.2005 të Drejtorisë së Përgjithshme të Tatimeve, duke e konsideruar këtë vendim si të nxjerrë në kundërshtim me ligjin.</w:t>
      </w:r>
    </w:p>
    <w:p w:rsidR="002238B2" w:rsidRPr="009163D0" w:rsidRDefault="002238B2" w:rsidP="00856858">
      <w:pPr>
        <w:pStyle w:val="Paragrafi"/>
      </w:pPr>
      <w:r w:rsidRPr="009163D0">
        <w:tab/>
        <w:t>Gjykata e Apelit Tiranë, në seancën e datës 1.6.2006, ka vendosur pushimin e gjykimit të çështjes, pasi Drejtoria e Përgjithshme e Tatimeve nuk është paraqitur në gjykim pa shkaqe të arsyeshme, megjithëse kishte dijeni për ditën dhe orën e gjykimit. Vendimin e saj, gjykata e ka bazuar në nenin 179 të Kodit të Procedurës Civile, dispozitë e cila rregullon pasojat juridike të mosparaqitjes së palëve në gjykimin në shkallë të parë.</w:t>
      </w:r>
    </w:p>
    <w:p w:rsidR="002238B2" w:rsidRPr="009163D0" w:rsidRDefault="002238B2" w:rsidP="00856858">
      <w:pPr>
        <w:pStyle w:val="Paragrafi"/>
      </w:pPr>
      <w:r w:rsidRPr="009163D0">
        <w:tab/>
        <w:t>Kolegji Civil i Gjykatës së Lartë, me vendi</w:t>
      </w:r>
      <w:r w:rsidR="00B25B76">
        <w:t>min nr.11241-01253-00-2006 të Regj.T</w:t>
      </w:r>
      <w:r w:rsidRPr="009163D0">
        <w:t>hemeltar, datë 5.9.2007, ka vendosur kalimin e çështjes në Kolgjet e Bashkuara të Gjykatës së Lartë për të unifikuar praktikën gjyqësore, lidhur me gjykimin e këtyre çështjeve nga gjykatat e apelit, duke marrë pë</w:t>
      </w:r>
      <w:r w:rsidR="00B25B76">
        <w:t>r bazë faktin se janë mbajtur që</w:t>
      </w:r>
      <w:r w:rsidRPr="009163D0">
        <w:t>ndrime të ndryshme në këtë drejtim.</w:t>
      </w:r>
    </w:p>
    <w:p w:rsidR="002238B2" w:rsidRPr="009163D0" w:rsidRDefault="002238B2" w:rsidP="00856858">
      <w:pPr>
        <w:pStyle w:val="Paragrafi"/>
      </w:pPr>
      <w:r w:rsidRPr="009163D0">
        <w:tab/>
        <w:t xml:space="preserve">Pyetja që i shtrohet për zgjidhje këtij Kolegji është:  </w:t>
      </w:r>
    </w:p>
    <w:p w:rsidR="002238B2" w:rsidRPr="009163D0" w:rsidRDefault="002238B2" w:rsidP="00856858">
      <w:pPr>
        <w:pStyle w:val="Paragrafi"/>
      </w:pPr>
      <w:r w:rsidRPr="009163D0">
        <w:t>Kur institucionet e administratës qendrore apo vendore ankohen në Gjykatën e Apelit kundër vendimeve të Komisionit të Shërbimit Civil, kjo gjykatë (Gjykata e Apelit) do të zbatojë procedurën e gjykimit në shkallë të parë apo do të veprojë me procedurën e shqyrtimit të zakonshëm? A duhet të zbatojë Gjykata e Apelit nenin 179 të Kodit të Procedurës Civile në rast të mosparaqitjes së palëve apo nenin 461 të ligjit nr.8431, datë 14.12.1998, ku është pranuar se mosparaqitja e palëve nuk pengon shqyrtimin e çështjes, në rast se gjykata nuk është njoftuar për ndonjë shkak të ligjshëm?</w:t>
      </w:r>
    </w:p>
    <w:p w:rsidR="002238B2" w:rsidRDefault="002238B2" w:rsidP="00856858">
      <w:pPr>
        <w:pStyle w:val="Paragrafi"/>
      </w:pPr>
      <w:r w:rsidRPr="009163D0">
        <w:t>Për t’i dhënë përgjigje kësaj pyetje, Kolegjet e Bashkuara të Gjykatës së Lartë i referohen praktikës së tyre të mëparshme unifikuese ku kanë trajtuar pozitën procedurale të Komisionit të Shërbimit Civil në gjykimet me objekt kundërshtim i vendimeve të dhëna prej tij dhe pozitën procedurale të nëpunësit civil në kuadrin e krijimit të ndërgjyqësisë.</w:t>
      </w:r>
    </w:p>
    <w:p w:rsidR="002238B2" w:rsidRPr="00204633" w:rsidRDefault="002238B2" w:rsidP="00204633">
      <w:pPr>
        <w:pStyle w:val="Paragrafi"/>
        <w:rPr>
          <w:i/>
        </w:rPr>
      </w:pPr>
      <w:r w:rsidRPr="00204633">
        <w:rPr>
          <w:i/>
        </w:rPr>
        <w:t>Duke iu referuar parimeve të legjislacionit të Shërbimit Civil dhe parimit të përgjithshëm të legjislacionit procedural civil me vendimin nr.3, datë 24.1.2007 të Kolegjeve të Bashkuara të Gjykatës së Lartë është arritur në përfundimin unifikues se “në rast ankimimi të vendimeve të Komisionit të Shërbimit Civil qoftë nga personi i interesuar në gjykatën e shkallës së parë apo nga institucioni  i administratës publike, në gjykatën e apelit, palët do të jenë po ato të fillimit të procesit të zgjidhjes së mosmarrëveshjes, punëdhënësi dhe punëmarrësi. Komisioni i Shërbimit Civil nuk duhet të thirret në gjykim me cilësinë e palës së paditur apo të personit të tretë”.</w:t>
      </w:r>
    </w:p>
    <w:p w:rsidR="002238B2" w:rsidRPr="00204633" w:rsidRDefault="002238B2" w:rsidP="00204633">
      <w:pPr>
        <w:pStyle w:val="Paragrafi"/>
        <w:rPr>
          <w:i/>
        </w:rPr>
      </w:pPr>
      <w:r w:rsidRPr="00204633">
        <w:rPr>
          <w:i/>
        </w:rPr>
        <w:t xml:space="preserve">Duke arritur në këtë përfundim, </w:t>
      </w:r>
      <w:smartTag w:uri="urn:schemas-microsoft-com:office:smarttags" w:element="State">
        <w:smartTag w:uri="urn:schemas-microsoft-com:office:smarttags" w:element="place">
          <w:r w:rsidRPr="00204633">
            <w:rPr>
              <w:i/>
            </w:rPr>
            <w:t>del</w:t>
          </w:r>
        </w:smartTag>
      </w:smartTag>
      <w:r w:rsidRPr="00204633">
        <w:rPr>
          <w:i/>
        </w:rPr>
        <w:t xml:space="preserve"> se Komisioni i Shërbimit Civil nuk ka drejpërdrejt një interes të ligjshëm të palës që ushtron të drejtën e ankimit. Për këtë, dhe referuar trajtimit që i bën ligji nr.8549, datë 11.11.1999 në nenin 8 të tij, Kolegjet e Bashkuara në pjesën arsyetuese të vendimit nr.3, datë 24.1.2007 kanë arritur në konkluzionin se “I veshur në tiparet e një organi administrativ, të pavarur dhe të ngarkuar me zgjidhjen e ankimeve ndaj vendimeve lidhur me nëpunësin civil, Komisioni i Shërbimit Civil ka tiparet e një arbitri administrativ apo të një trupe (organi) me funksion dhe kompetenca quasi gjyqësore”.</w:t>
      </w:r>
    </w:p>
    <w:p w:rsidR="002238B2" w:rsidRPr="00204633" w:rsidRDefault="002238B2" w:rsidP="00204633">
      <w:pPr>
        <w:pStyle w:val="Paragrafi"/>
        <w:rPr>
          <w:i/>
        </w:rPr>
      </w:pPr>
      <w:r w:rsidRPr="00204633">
        <w:rPr>
          <w:i/>
        </w:rPr>
        <w:t xml:space="preserve">Si rrjedhojë e këtij konkluzioni se “Komisioni i Shërbimit Civil vepron si shkallë e parë shqyrtimi, vendimet e të cilit ankimohen në gjykatë dhe i nënshtrohen shqyrtimit gjyqësor” në vendimin unifikues thuhet se “është e detyrueshme që gjykata të administrojë dhe t’ia nënshtrojë hetimit materialet e çështjes së shqyrtuar nga Komisioni i Shërbimit Civil në mënyrë që t’u japë përgjigje të bazuar pretendimeve të palëve”. </w:t>
      </w:r>
    </w:p>
    <w:p w:rsidR="002238B2" w:rsidRPr="009163D0" w:rsidRDefault="002238B2" w:rsidP="00856858">
      <w:pPr>
        <w:pStyle w:val="Paragrafi"/>
      </w:pPr>
      <w:r w:rsidRPr="009163D0">
        <w:t>Nisur nga konkluzioni i mësipërm ku Komisioni i Shërbimit Civil është trajtuar si një shkallë e parë e një gjykimi administrativ dhe se vendimi i dhënë prej tij është parë i ngjashëm me vendimin e dhënë nga gjykata e shkallës së parë, Kolegjet e Bashkuara të Gjykatës së Lartë çmojë se, në përgjigje të pyetjeve në gjykimin e çështjes, Gjykata e Apelit duhet të zbatojë rregullat që parashikon kreu II, në nenin 452 e vijues të Kodit të Procedurës Civile, për paraqitjen e ankimit dhe gjykimin në apel. Pra, Gjykata e Apelit duhet të shqyrtojë ankimin ndaj një vendimi të dhënë nga Komisioni i Shërbimit Civil sipas nenit 461 të Kodit të Procedurës Civile dhe mosparaqitja e palëve, të cilat kanë njoftim të rregullt për gjykimin e çështjes, nuk pengon shqyrtimin e çështjes nga gjykata.</w:t>
      </w:r>
    </w:p>
    <w:p w:rsidR="002238B2" w:rsidRPr="00204633" w:rsidRDefault="002238B2" w:rsidP="00204633">
      <w:pPr>
        <w:pStyle w:val="Paragrafi"/>
        <w:rPr>
          <w:i/>
        </w:rPr>
      </w:pPr>
      <w:r w:rsidRPr="00204633">
        <w:rPr>
          <w:i/>
        </w:rPr>
        <w:t>Sa më sipër, Kolegjet e Bashkuara të Gjykatës së Lartë arrijnë në përfundimin unifikues se procedura e shqyrtimit nga gjykata e apelit e mosmarrëveshjeve që lidhen me ankimin ndaj një vendimi të dhënë nga Komisioni i Shërbimit Civil do të jetë ajo e parashikuar nga neni 461 të Kodit të Procedurës Civile, ku kjo gjykatë do të veprojë me procedurën e shqyrtimit të çështjes si gjykatë apeli.</w:t>
      </w:r>
    </w:p>
    <w:p w:rsidR="002238B2" w:rsidRPr="009163D0" w:rsidRDefault="002238B2" w:rsidP="00856858">
      <w:pPr>
        <w:pStyle w:val="Paragrafi"/>
      </w:pPr>
      <w:r w:rsidRPr="009163D0">
        <w:rPr>
          <w:b/>
        </w:rPr>
        <w:t xml:space="preserve"> </w:t>
      </w:r>
      <w:r w:rsidRPr="009163D0">
        <w:t>Përsa u arsyetua më lart, arrihet në përfundimin se Gjykata e Apelit Tiranë ka zbatuar keq dispozitat e Kodit të Procedurës Civile kur ka vendosur pushimin e gjykimit të çështjes në atë gjykatë. Për pasojë, vendimi i Gjykatës së Apelit duhet të prishet dhe çështja duhet t’i dërgohet për shqyrtim asaj gjykate.</w:t>
      </w:r>
    </w:p>
    <w:p w:rsidR="002238B2" w:rsidRPr="009163D0" w:rsidRDefault="009324F0" w:rsidP="00856858">
      <w:pPr>
        <w:pStyle w:val="Paragrafi"/>
      </w:pPr>
      <w:r>
        <w:t>Në gjykimin e çështjes, Gjykata e A</w:t>
      </w:r>
      <w:r w:rsidR="002238B2" w:rsidRPr="009163D0">
        <w:t>pelit duhet t’i referohet vendimit unifikues të Kolegjeve të Bashkuara të Gjykatës së Lartë nr.3, datë 24.1.2007 dhe nr.20, datë 15.11.2007.</w:t>
      </w:r>
    </w:p>
    <w:p w:rsidR="002238B2" w:rsidRPr="009163D0" w:rsidRDefault="002238B2" w:rsidP="00856858">
      <w:pPr>
        <w:pStyle w:val="Paragrafi"/>
        <w:rPr>
          <w:noProof/>
        </w:rPr>
      </w:pPr>
    </w:p>
    <w:p w:rsidR="002238B2" w:rsidRPr="009163D0" w:rsidRDefault="002238B2" w:rsidP="00856858">
      <w:pPr>
        <w:pStyle w:val="VENDOSI"/>
        <w:rPr>
          <w:noProof/>
        </w:rPr>
      </w:pPr>
      <w:r w:rsidRPr="009163D0">
        <w:rPr>
          <w:noProof/>
        </w:rPr>
        <w:t>PËR KËTO ARSYE,</w:t>
      </w:r>
    </w:p>
    <w:p w:rsidR="002238B2" w:rsidRPr="009163D0" w:rsidRDefault="002238B2" w:rsidP="00856858">
      <w:pPr>
        <w:pStyle w:val="Paragrafi"/>
        <w:rPr>
          <w:noProof/>
        </w:rPr>
      </w:pPr>
    </w:p>
    <w:p w:rsidR="002238B2" w:rsidRPr="009163D0" w:rsidRDefault="002238B2" w:rsidP="00204633">
      <w:pPr>
        <w:pStyle w:val="Paragrafi"/>
      </w:pPr>
      <w:r w:rsidRPr="009163D0">
        <w:t xml:space="preserve">Kolegjet e Bashkuara të Gjykatës </w:t>
      </w:r>
      <w:r w:rsidR="009324F0">
        <w:t>së Lartë, në bazë të nenit 484/ “</w:t>
      </w:r>
      <w:r w:rsidRPr="009163D0">
        <w:t>c” të Kodit të Procedurës Civile,</w:t>
      </w:r>
    </w:p>
    <w:p w:rsidR="005539CE" w:rsidRPr="009163D0" w:rsidRDefault="005539CE" w:rsidP="00204633">
      <w:pPr>
        <w:pStyle w:val="Paragrafi"/>
      </w:pPr>
    </w:p>
    <w:p w:rsidR="002238B2" w:rsidRPr="009163D0" w:rsidRDefault="002238B2" w:rsidP="00204633">
      <w:pPr>
        <w:pStyle w:val="VENDOSI"/>
      </w:pPr>
      <w:r w:rsidRPr="009163D0">
        <w:t>VENDOSËN:</w:t>
      </w:r>
    </w:p>
    <w:p w:rsidR="002238B2" w:rsidRPr="009163D0" w:rsidRDefault="002238B2" w:rsidP="00856858">
      <w:pPr>
        <w:pStyle w:val="Paragrafi"/>
      </w:pPr>
    </w:p>
    <w:p w:rsidR="002238B2" w:rsidRPr="009163D0" w:rsidRDefault="002238B2" w:rsidP="00856858">
      <w:pPr>
        <w:pStyle w:val="Paragrafi"/>
      </w:pPr>
      <w:r w:rsidRPr="009163D0">
        <w:tab/>
        <w:t>Prishjen e vendimit nr.52, datë 1.6.2006 të Gjykatës së Apelit Tiranë dhe dërgimin e çështjes për shqyrtim në atë gjykatë me tjetër trup gjykues.</w:t>
      </w:r>
    </w:p>
    <w:p w:rsidR="002238B2" w:rsidRPr="009163D0" w:rsidRDefault="002238B2" w:rsidP="00856858">
      <w:pPr>
        <w:pStyle w:val="Paragrafi"/>
      </w:pPr>
      <w:r w:rsidRPr="009163D0">
        <w:t>Ky vendim për unifikimin e praktikës gjyqësore të dërgohet për botim në Fletoren Zyrtare.</w:t>
      </w:r>
    </w:p>
    <w:p w:rsidR="002238B2" w:rsidRPr="009163D0" w:rsidRDefault="002238B2" w:rsidP="00856858">
      <w:pPr>
        <w:pStyle w:val="Paragrafi"/>
      </w:pPr>
    </w:p>
    <w:p w:rsidR="002238B2" w:rsidRPr="009163D0" w:rsidRDefault="002238B2" w:rsidP="00856858">
      <w:pPr>
        <w:pStyle w:val="Paragrafi"/>
      </w:pPr>
      <w:r w:rsidRPr="009163D0">
        <w:t>Kryesues: Thimjo Kondi</w:t>
      </w:r>
    </w:p>
    <w:p w:rsidR="002238B2" w:rsidRPr="006A5704" w:rsidRDefault="002238B2" w:rsidP="00856858">
      <w:pPr>
        <w:pStyle w:val="Paragrafi"/>
      </w:pPr>
      <w:r w:rsidRPr="009163D0">
        <w:t xml:space="preserve">Anëtarë: Artan Hoxha, Gani Dizdari, Perikli Zaharia, Agron A. Lamaj, Spiro Spiro, Nikoleta Kita, Shpresa Becaj. </w:t>
      </w:r>
      <w:r w:rsidRPr="006A5704">
        <w:t>Irma Bala, Besnik Imeraj, Fatos Lulo, Ardian Nuni.</w:t>
      </w:r>
    </w:p>
    <w:p w:rsidR="002238B2" w:rsidRPr="009163D0" w:rsidRDefault="002238B2" w:rsidP="00856858">
      <w:pPr>
        <w:pStyle w:val="Paragrafi"/>
      </w:pPr>
    </w:p>
    <w:p w:rsidR="006A5704" w:rsidRDefault="006A5704" w:rsidP="006A5704">
      <w:pPr>
        <w:pStyle w:val="Titulli"/>
        <w:keepNext w:val="0"/>
        <w:rPr>
          <w:rFonts w:cs="Tahoma"/>
          <w:b w:val="0"/>
          <w:sz w:val="21"/>
          <w:szCs w:val="21"/>
          <w:lang w:val="pt-BR"/>
        </w:rPr>
      </w:pPr>
    </w:p>
    <w:p w:rsidR="006A5704" w:rsidRPr="006A5704" w:rsidRDefault="006A5704" w:rsidP="006A5704">
      <w:pPr>
        <w:pStyle w:val="Akti"/>
      </w:pPr>
      <w:r w:rsidRPr="006A5704">
        <w:t>VENDIM</w:t>
      </w:r>
    </w:p>
    <w:p w:rsidR="006A5704" w:rsidRPr="006A5704" w:rsidRDefault="006A5704" w:rsidP="006A5704">
      <w:pPr>
        <w:pStyle w:val="TitulliTitull"/>
      </w:pPr>
      <w:r w:rsidRPr="006A5704">
        <w:rPr>
          <w:caps w:val="0"/>
        </w:rPr>
        <w:t>(i shkurtuar)</w:t>
      </w:r>
    </w:p>
    <w:p w:rsidR="006A5704" w:rsidRPr="006A5704" w:rsidRDefault="006A5704" w:rsidP="006A5704">
      <w:pPr>
        <w:pStyle w:val="TitulliTitull"/>
        <w:keepNext w:val="0"/>
        <w:rPr>
          <w:i/>
          <w:sz w:val="21"/>
          <w:szCs w:val="21"/>
          <w:lang w:val="pt-BR"/>
        </w:rPr>
      </w:pPr>
    </w:p>
    <w:p w:rsidR="006A5704" w:rsidRPr="00C95704" w:rsidRDefault="006A5704" w:rsidP="006A5704">
      <w:pPr>
        <w:pStyle w:val="Paragrafi"/>
        <w:rPr>
          <w:sz w:val="21"/>
          <w:szCs w:val="21"/>
          <w:lang w:val="sq-AL"/>
        </w:rPr>
      </w:pPr>
      <w:r w:rsidRPr="00C95704">
        <w:rPr>
          <w:sz w:val="21"/>
          <w:szCs w:val="21"/>
          <w:lang w:val="sq-AL"/>
        </w:rPr>
        <w:t xml:space="preserve">Gjykata e Rrethit Gjyqësor </w:t>
      </w:r>
      <w:r>
        <w:rPr>
          <w:sz w:val="21"/>
          <w:szCs w:val="21"/>
          <w:lang w:val="sq-AL"/>
        </w:rPr>
        <w:t>Lezhë</w:t>
      </w:r>
      <w:r w:rsidRPr="00C95704">
        <w:rPr>
          <w:sz w:val="21"/>
          <w:szCs w:val="21"/>
          <w:lang w:val="sq-AL"/>
        </w:rPr>
        <w:t>, me vendimin nr.</w:t>
      </w:r>
      <w:r>
        <w:rPr>
          <w:sz w:val="21"/>
          <w:szCs w:val="21"/>
          <w:lang w:val="sq-AL"/>
        </w:rPr>
        <w:t>816</w:t>
      </w:r>
      <w:r w:rsidRPr="00C95704">
        <w:rPr>
          <w:sz w:val="21"/>
          <w:szCs w:val="21"/>
          <w:lang w:val="sq-AL"/>
        </w:rPr>
        <w:t xml:space="preserve">, datë </w:t>
      </w:r>
      <w:r>
        <w:rPr>
          <w:sz w:val="21"/>
          <w:szCs w:val="21"/>
          <w:lang w:val="sq-AL"/>
        </w:rPr>
        <w:t>26.12.2007</w:t>
      </w:r>
      <w:r w:rsidRPr="00C95704">
        <w:rPr>
          <w:sz w:val="21"/>
          <w:szCs w:val="21"/>
          <w:lang w:val="sq-AL"/>
        </w:rPr>
        <w:t xml:space="preserve">, shpall të </w:t>
      </w:r>
      <w:r>
        <w:rPr>
          <w:sz w:val="21"/>
          <w:szCs w:val="21"/>
          <w:lang w:val="sq-AL"/>
        </w:rPr>
        <w:t>zhdukur</w:t>
      </w:r>
      <w:r w:rsidRPr="00C95704">
        <w:rPr>
          <w:sz w:val="21"/>
          <w:szCs w:val="21"/>
          <w:lang w:val="sq-AL"/>
        </w:rPr>
        <w:t xml:space="preserve"> shtetasin </w:t>
      </w:r>
      <w:r w:rsidRPr="006A5704">
        <w:rPr>
          <w:sz w:val="21"/>
          <w:szCs w:val="21"/>
          <w:lang w:val="pt-BR"/>
        </w:rPr>
        <w:t>Dhamo Mekshi</w:t>
      </w:r>
      <w:r>
        <w:rPr>
          <w:sz w:val="21"/>
          <w:szCs w:val="21"/>
          <w:lang w:val="sq-AL"/>
        </w:rPr>
        <w:t>,</w:t>
      </w:r>
      <w:r w:rsidRPr="00C95704">
        <w:rPr>
          <w:sz w:val="21"/>
          <w:szCs w:val="21"/>
          <w:lang w:val="sq-AL"/>
        </w:rPr>
        <w:t xml:space="preserve"> </w:t>
      </w:r>
      <w:r>
        <w:rPr>
          <w:sz w:val="21"/>
          <w:szCs w:val="21"/>
          <w:lang w:val="sq-AL"/>
        </w:rPr>
        <w:t>i datëlindjes</w:t>
      </w:r>
      <w:r w:rsidRPr="00C95704">
        <w:rPr>
          <w:sz w:val="21"/>
          <w:szCs w:val="21"/>
          <w:lang w:val="sq-AL"/>
        </w:rPr>
        <w:t xml:space="preserve"> </w:t>
      </w:r>
      <w:r>
        <w:rPr>
          <w:sz w:val="21"/>
          <w:szCs w:val="21"/>
          <w:lang w:val="sq-AL"/>
        </w:rPr>
        <w:t>8.2.1903</w:t>
      </w:r>
      <w:r w:rsidRPr="00C95704">
        <w:rPr>
          <w:sz w:val="21"/>
          <w:szCs w:val="21"/>
          <w:lang w:val="sq-AL"/>
        </w:rPr>
        <w:t>.</w:t>
      </w:r>
    </w:p>
    <w:p w:rsidR="002238B2" w:rsidRPr="006A5704" w:rsidRDefault="002238B2" w:rsidP="00856858">
      <w:pPr>
        <w:pStyle w:val="Paragrafi"/>
        <w:rPr>
          <w:noProof/>
        </w:rPr>
      </w:pPr>
    </w:p>
    <w:p w:rsidR="00B73F64" w:rsidRPr="009163D0" w:rsidRDefault="00B73F64" w:rsidP="009163D0">
      <w:pPr>
        <w:rPr>
          <w:sz w:val="21"/>
          <w:szCs w:val="21"/>
        </w:rPr>
      </w:pPr>
    </w:p>
    <w:sectPr w:rsidR="00B73F64" w:rsidRPr="009163D0" w:rsidSect="001275B7">
      <w:footerReference w:type="even" r:id="rId7"/>
      <w:footerReference w:type="default" r:id="rId8"/>
      <w:footnotePr>
        <w:numRestart w:val="eachPage"/>
      </w:footnotePr>
      <w:pgSz w:w="11907" w:h="16840" w:code="9"/>
      <w:pgMar w:top="1418" w:right="1418" w:bottom="1418" w:left="1418" w:header="0" w:footer="1134" w:gutter="0"/>
      <w:pgNumType w:start="61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6D0" w:rsidRDefault="00E546D0">
      <w:r>
        <w:separator/>
      </w:r>
    </w:p>
  </w:endnote>
  <w:endnote w:type="continuationSeparator" w:id="0">
    <w:p w:rsidR="00E546D0" w:rsidRDefault="00E5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660" w:rsidRDefault="007C666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6660" w:rsidRDefault="007C666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660" w:rsidRDefault="007C666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7AF7">
      <w:rPr>
        <w:rStyle w:val="PageNumber"/>
        <w:noProof/>
      </w:rPr>
      <w:t>6137</w:t>
    </w:r>
    <w:r>
      <w:rPr>
        <w:rStyle w:val="PageNumber"/>
      </w:rPr>
      <w:fldChar w:fldCharType="end"/>
    </w:r>
  </w:p>
  <w:p w:rsidR="007C6660" w:rsidRDefault="007C666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6D0" w:rsidRDefault="00E546D0">
      <w:r>
        <w:separator/>
      </w:r>
    </w:p>
  </w:footnote>
  <w:footnote w:type="continuationSeparator" w:id="0">
    <w:p w:rsidR="00E546D0" w:rsidRDefault="00E54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7E3"/>
    <w:multiLevelType w:val="hybridMultilevel"/>
    <w:tmpl w:val="48B22FE2"/>
    <w:lvl w:ilvl="0" w:tplc="F9C82F2E">
      <w:start w:val="2"/>
      <w:numFmt w:val="decimal"/>
      <w:lvlText w:val="%1."/>
      <w:lvlJc w:val="left"/>
      <w:pPr>
        <w:tabs>
          <w:tab w:val="num" w:pos="720"/>
        </w:tabs>
        <w:ind w:left="720" w:hanging="720"/>
      </w:pPr>
      <w:rPr>
        <w:rFonts w:hint="default"/>
        <w:lang w:val="fr-FR"/>
      </w:rPr>
    </w:lvl>
    <w:lvl w:ilvl="1" w:tplc="04090019">
      <w:start w:val="1"/>
      <w:numFmt w:val="lowerLetter"/>
      <w:lvlText w:val="%2."/>
      <w:lvlJc w:val="left"/>
      <w:pPr>
        <w:tabs>
          <w:tab w:val="num" w:pos="360"/>
        </w:tabs>
        <w:ind w:left="360" w:hanging="360"/>
      </w:pPr>
      <w:rPr>
        <w:rFonts w:hint="default"/>
        <w:lang w:val="fr-FR"/>
      </w:rPr>
    </w:lvl>
    <w:lvl w:ilvl="2" w:tplc="2E5E3792">
      <w:start w:val="1"/>
      <w:numFmt w:val="decimal"/>
      <w:lvlText w:val="%3."/>
      <w:legacy w:legacy="1" w:legacySpace="0" w:legacyIndent="360"/>
      <w:lvlJc w:val="left"/>
      <w:pPr>
        <w:ind w:left="2340" w:hanging="360"/>
      </w:pPr>
      <w:rPr>
        <w:rFonts w:hint="default"/>
        <w:b/>
        <w:lang w:val="fr-FR"/>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B2D47"/>
    <w:multiLevelType w:val="hybridMultilevel"/>
    <w:tmpl w:val="5AFA9D28"/>
    <w:lvl w:ilvl="0" w:tplc="04090019">
      <w:start w:val="1"/>
      <w:numFmt w:val="lowerLetter"/>
      <w:lvlText w:val="%1."/>
      <w:lvlJc w:val="left"/>
      <w:pPr>
        <w:tabs>
          <w:tab w:val="num" w:pos="360"/>
        </w:tabs>
        <w:ind w:left="360" w:hanging="360"/>
      </w:pPr>
      <w:rPr>
        <w:rFonts w:hint="default"/>
      </w:rPr>
    </w:lvl>
    <w:lvl w:ilvl="1" w:tplc="2E5E3792">
      <w:start w:val="1"/>
      <w:numFmt w:val="decimal"/>
      <w:lvlText w:val="%2."/>
      <w:legacy w:legacy="1" w:legacySpace="360" w:legacyIndent="360"/>
      <w:lvlJc w:val="left"/>
      <w:pPr>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CD16C1E"/>
    <w:multiLevelType w:val="hybridMultilevel"/>
    <w:tmpl w:val="893AFC50"/>
    <w:lvl w:ilvl="0" w:tplc="04090019">
      <w:start w:val="1"/>
      <w:numFmt w:val="lowerLetter"/>
      <w:lvlText w:val="%1."/>
      <w:lvlJc w:val="left"/>
      <w:pPr>
        <w:tabs>
          <w:tab w:val="num" w:pos="360"/>
        </w:tabs>
        <w:ind w:left="360" w:hanging="360"/>
      </w:pPr>
      <w:rPr>
        <w:rFonts w:hint="default"/>
      </w:rPr>
    </w:lvl>
    <w:lvl w:ilvl="1" w:tplc="B05410CC">
      <w:start w:val="1"/>
      <w:numFmt w:val="decimal"/>
      <w:lvlText w:val="%2."/>
      <w:legacy w:legacy="1" w:legacySpace="360" w:legacyIndent="360"/>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463D29"/>
    <w:multiLevelType w:val="hybridMultilevel"/>
    <w:tmpl w:val="131459FC"/>
    <w:lvl w:ilvl="0" w:tplc="67AC88D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0D500CF"/>
    <w:multiLevelType w:val="hybridMultilevel"/>
    <w:tmpl w:val="8020C39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FD67E7C"/>
    <w:multiLevelType w:val="hybridMultilevel"/>
    <w:tmpl w:val="4FF01BCC"/>
    <w:lvl w:ilvl="0" w:tplc="C32871D4">
      <w:numFmt w:val="bullet"/>
      <w:lvlText w:val=""/>
      <w:lvlJc w:val="left"/>
      <w:pPr>
        <w:tabs>
          <w:tab w:val="num" w:pos="720"/>
        </w:tabs>
        <w:ind w:left="720" w:hanging="360"/>
      </w:pPr>
      <w:rPr>
        <w:rFonts w:ascii="Symbol" w:eastAsia="Times New Roman" w:hAnsi="Symbol" w:hint="default"/>
        <w:w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3B219B8"/>
    <w:multiLevelType w:val="hybridMultilevel"/>
    <w:tmpl w:val="A01CE57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24B9044B"/>
    <w:multiLevelType w:val="hybridMultilevel"/>
    <w:tmpl w:val="B2D64C4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63E5202"/>
    <w:multiLevelType w:val="hybridMultilevel"/>
    <w:tmpl w:val="5B903754"/>
    <w:lvl w:ilvl="0" w:tplc="2E5E3792">
      <w:start w:val="1"/>
      <w:numFmt w:val="decimal"/>
      <w:lvlText w:val="%1."/>
      <w:legacy w:legacy="1" w:legacySpace="0" w:legacyIndent="360"/>
      <w:lvlJc w:val="left"/>
      <w:pPr>
        <w:ind w:left="360" w:hanging="360"/>
      </w:pPr>
      <w:rPr>
        <w:b/>
      </w:rPr>
    </w:lvl>
    <w:lvl w:ilvl="1" w:tplc="04090019">
      <w:start w:val="1"/>
      <w:numFmt w:val="lowerLetter"/>
      <w:lvlText w:val="%2."/>
      <w:lvlJc w:val="left"/>
      <w:pPr>
        <w:tabs>
          <w:tab w:val="num" w:pos="1080"/>
        </w:tabs>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6E12EB6"/>
    <w:multiLevelType w:val="hybridMultilevel"/>
    <w:tmpl w:val="769E11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28131B25"/>
    <w:multiLevelType w:val="multilevel"/>
    <w:tmpl w:val="2576898C"/>
    <w:lvl w:ilvl="0">
      <w:start w:val="1"/>
      <w:numFmt w:val="upperRoman"/>
      <w:pStyle w:val="ALB-Regparagraph"/>
      <w:isLgl/>
      <w:lvlText w:val="%1."/>
      <w:lvlJc w:val="left"/>
      <w:pPr>
        <w:tabs>
          <w:tab w:val="num" w:pos="397"/>
        </w:tabs>
        <w:ind w:left="397" w:hanging="397"/>
      </w:pPr>
      <w:rPr>
        <w:rFonts w:ascii="Times New Roman" w:hAnsi="Times New Roman" w:cs="Times New Roman" w:hint="default"/>
        <w:b/>
        <w:bCs/>
        <w:i w:val="0"/>
        <w:iCs w:val="0"/>
        <w:sz w:val="20"/>
        <w:szCs w:val="20"/>
      </w:rPr>
    </w:lvl>
    <w:lvl w:ilvl="1">
      <w:start w:val="1"/>
      <w:numFmt w:val="lowerLetter"/>
      <w:lvlText w:val="%2."/>
      <w:lvlJc w:val="left"/>
      <w:pPr>
        <w:tabs>
          <w:tab w:val="num" w:pos="794"/>
        </w:tabs>
        <w:ind w:left="794" w:hanging="340"/>
      </w:pPr>
      <w:rPr>
        <w:rFonts w:hint="default"/>
      </w:rPr>
    </w:lvl>
    <w:lvl w:ilvl="2">
      <w:start w:val="1"/>
      <w:numFmt w:val="bullet"/>
      <w:lvlText w:val=""/>
      <w:lvlJc w:val="left"/>
      <w:pPr>
        <w:tabs>
          <w:tab w:val="num" w:pos="1247"/>
        </w:tabs>
        <w:ind w:left="1247" w:hanging="340"/>
      </w:pPr>
      <w:rPr>
        <w:rFonts w:ascii="Symbol" w:eastAsia="Times New Roman" w:hAnsi="Symbol"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nsid w:val="299C7423"/>
    <w:multiLevelType w:val="hybridMultilevel"/>
    <w:tmpl w:val="8CE46F7A"/>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C8D4F41"/>
    <w:multiLevelType w:val="hybridMultilevel"/>
    <w:tmpl w:val="4592896C"/>
    <w:lvl w:ilvl="0" w:tplc="04090019">
      <w:start w:val="1"/>
      <w:numFmt w:val="lowerLetter"/>
      <w:lvlText w:val="%1."/>
      <w:lvlJc w:val="left"/>
      <w:pPr>
        <w:tabs>
          <w:tab w:val="num" w:pos="360"/>
        </w:tabs>
        <w:ind w:left="360" w:hanging="360"/>
      </w:pPr>
      <w:rPr>
        <w:rFonts w:hint="default"/>
      </w:rPr>
    </w:lvl>
    <w:lvl w:ilvl="1" w:tplc="2E5E3792">
      <w:start w:val="1"/>
      <w:numFmt w:val="decimal"/>
      <w:lvlText w:val="%2."/>
      <w:legacy w:legacy="1" w:legacySpace="360" w:legacyIndent="360"/>
      <w:lvlJc w:val="left"/>
      <w:pPr>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0185874"/>
    <w:multiLevelType w:val="hybridMultilevel"/>
    <w:tmpl w:val="F21258F2"/>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4B505D"/>
    <w:multiLevelType w:val="hybridMultilevel"/>
    <w:tmpl w:val="423457E6"/>
    <w:lvl w:ilvl="0" w:tplc="8D1CF2E0">
      <w:start w:val="2"/>
      <w:numFmt w:val="upp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3E5F04AF"/>
    <w:multiLevelType w:val="hybridMultilevel"/>
    <w:tmpl w:val="B72E07EE"/>
    <w:lvl w:ilvl="0" w:tplc="3C9A74A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51F725CD"/>
    <w:multiLevelType w:val="multilevel"/>
    <w:tmpl w:val="63E25B38"/>
    <w:lvl w:ilvl="0">
      <w:start w:val="1"/>
      <w:numFmt w:val="upperRoman"/>
      <w:pStyle w:val="ALB-lawparagraphindent3"/>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indent"/>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nsid w:val="521D6D2D"/>
    <w:multiLevelType w:val="hybridMultilevel"/>
    <w:tmpl w:val="6EC27E8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83946EE"/>
    <w:multiLevelType w:val="hybridMultilevel"/>
    <w:tmpl w:val="376EF64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60EE49D7"/>
    <w:multiLevelType w:val="multilevel"/>
    <w:tmpl w:val="D492A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DD7A4F"/>
    <w:multiLevelType w:val="hybridMultilevel"/>
    <w:tmpl w:val="15885792"/>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82D626D"/>
    <w:multiLevelType w:val="hybridMultilevel"/>
    <w:tmpl w:val="5C0A84CA"/>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A9744B"/>
    <w:multiLevelType w:val="hybridMultilevel"/>
    <w:tmpl w:val="DD94EFD0"/>
    <w:lvl w:ilvl="0" w:tplc="04090019">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BF55935"/>
    <w:multiLevelType w:val="hybridMultilevel"/>
    <w:tmpl w:val="0AA836F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nsid w:val="6C1531F1"/>
    <w:multiLevelType w:val="hybridMultilevel"/>
    <w:tmpl w:val="45CE83CA"/>
    <w:lvl w:ilvl="0" w:tplc="04090019">
      <w:start w:val="1"/>
      <w:numFmt w:val="lowerLetter"/>
      <w:lvlText w:val="%1."/>
      <w:lvlJc w:val="left"/>
      <w:pPr>
        <w:tabs>
          <w:tab w:val="num" w:pos="360"/>
        </w:tabs>
        <w:ind w:left="3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nsid w:val="6E422F46"/>
    <w:multiLevelType w:val="hybridMultilevel"/>
    <w:tmpl w:val="18A01AF8"/>
    <w:lvl w:ilvl="0" w:tplc="04090019">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AC53CFD"/>
    <w:multiLevelType w:val="hybridMultilevel"/>
    <w:tmpl w:val="04090019"/>
    <w:lvl w:ilvl="0" w:tplc="FFFFFFFF">
      <w:start w:val="1"/>
      <w:numFmt w:val="lowerLetter"/>
      <w:lvlText w:val="%1."/>
      <w:lvlJc w:val="left"/>
      <w:pPr>
        <w:tabs>
          <w:tab w:val="num" w:pos="360"/>
        </w:tabs>
        <w:ind w:left="360" w:hanging="360"/>
      </w:pPr>
      <w:rPr>
        <w:rFonts w:hint="default"/>
        <w:b/>
        <w:bCs/>
        <w:i w:val="0"/>
        <w:iCs w:val="0"/>
        <w:sz w:val="20"/>
        <w:szCs w:val="20"/>
      </w:rPr>
    </w:lvl>
    <w:lvl w:ilvl="1" w:tplc="FFFFFFFF" w:tentative="1">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rPr>
        <w:rFonts w:hint="default"/>
      </w:rPr>
    </w:lvl>
    <w:lvl w:ilvl="5" w:tplc="FFFFFFFF" w:tentative="1">
      <w:start w:val="1"/>
      <w:numFmt w:val="lowerRoman"/>
      <w:lvlText w:val="%6."/>
      <w:lvlJc w:val="right"/>
      <w:pPr>
        <w:tabs>
          <w:tab w:val="num" w:pos="3960"/>
        </w:tabs>
        <w:ind w:left="3960" w:hanging="180"/>
      </w:pPr>
      <w:rPr>
        <w:rFonts w:hint="default"/>
      </w:rPr>
    </w:lvl>
    <w:lvl w:ilvl="6" w:tplc="FFFFFFFF" w:tentative="1">
      <w:start w:val="1"/>
      <w:numFmt w:val="decimal"/>
      <w:lvlText w:val="%7."/>
      <w:lvlJc w:val="left"/>
      <w:pPr>
        <w:tabs>
          <w:tab w:val="num" w:pos="4680"/>
        </w:tabs>
        <w:ind w:left="4680" w:hanging="360"/>
      </w:pPr>
      <w:rPr>
        <w:rFonts w:hint="default"/>
      </w:rPr>
    </w:lvl>
    <w:lvl w:ilvl="7" w:tplc="FFFFFFFF" w:tentative="1">
      <w:start w:val="1"/>
      <w:numFmt w:val="lowerLetter"/>
      <w:lvlText w:val="%8."/>
      <w:lvlJc w:val="left"/>
      <w:pPr>
        <w:tabs>
          <w:tab w:val="num" w:pos="5400"/>
        </w:tabs>
        <w:ind w:left="5400" w:hanging="360"/>
      </w:pPr>
      <w:rPr>
        <w:rFonts w:hint="default"/>
      </w:rPr>
    </w:lvl>
    <w:lvl w:ilvl="8" w:tplc="FFFFFFFF" w:tentative="1">
      <w:start w:val="1"/>
      <w:numFmt w:val="lowerRoman"/>
      <w:lvlText w:val="%9."/>
      <w:lvlJc w:val="right"/>
      <w:pPr>
        <w:tabs>
          <w:tab w:val="num" w:pos="6120"/>
        </w:tabs>
        <w:ind w:left="6120" w:hanging="180"/>
      </w:pPr>
      <w:rPr>
        <w:rFonts w:hint="default"/>
      </w:rPr>
    </w:lvl>
  </w:abstractNum>
  <w:abstractNum w:abstractNumId="27">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10"/>
  </w:num>
  <w:num w:numId="2">
    <w:abstractNumId w:val="16"/>
  </w:num>
  <w:num w:numId="3">
    <w:abstractNumId w:val="5"/>
  </w:num>
  <w:num w:numId="4">
    <w:abstractNumId w:val="24"/>
  </w:num>
  <w:num w:numId="5">
    <w:abstractNumId w:val="22"/>
  </w:num>
  <w:num w:numId="6">
    <w:abstractNumId w:val="25"/>
  </w:num>
  <w:num w:numId="7">
    <w:abstractNumId w:val="2"/>
  </w:num>
  <w:num w:numId="8">
    <w:abstractNumId w:val="1"/>
  </w:num>
  <w:num w:numId="9">
    <w:abstractNumId w:val="21"/>
  </w:num>
  <w:num w:numId="10">
    <w:abstractNumId w:val="6"/>
  </w:num>
  <w:num w:numId="11">
    <w:abstractNumId w:val="8"/>
  </w:num>
  <w:num w:numId="12">
    <w:abstractNumId w:val="0"/>
  </w:num>
  <w:num w:numId="13">
    <w:abstractNumId w:val="4"/>
  </w:num>
  <w:num w:numId="14">
    <w:abstractNumId w:val="26"/>
  </w:num>
  <w:num w:numId="15">
    <w:abstractNumId w:val="13"/>
  </w:num>
  <w:num w:numId="16">
    <w:abstractNumId w:val="19"/>
  </w:num>
  <w:num w:numId="17">
    <w:abstractNumId w:val="20"/>
  </w:num>
  <w:num w:numId="18">
    <w:abstractNumId w:val="12"/>
  </w:num>
  <w:num w:numId="19">
    <w:abstractNumId w:val="17"/>
  </w:num>
  <w:num w:numId="20">
    <w:abstractNumId w:val="7"/>
  </w:num>
  <w:num w:numId="21">
    <w:abstractNumId w:val="9"/>
  </w:num>
  <w:num w:numId="22">
    <w:abstractNumId w:val="23"/>
  </w:num>
  <w:num w:numId="23">
    <w:abstractNumId w:val="14"/>
  </w:num>
  <w:num w:numId="24">
    <w:abstractNumId w:val="27"/>
  </w:num>
  <w:num w:numId="25">
    <w:abstractNumId w:val="15"/>
  </w:num>
  <w:num w:numId="26">
    <w:abstractNumId w:val="18"/>
  </w:num>
  <w:num w:numId="27">
    <w:abstractNumId w:val="11"/>
  </w:num>
  <w:num w:numId="2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C29"/>
    <w:rsid w:val="0000164F"/>
    <w:rsid w:val="00001F86"/>
    <w:rsid w:val="00004EB5"/>
    <w:rsid w:val="00005233"/>
    <w:rsid w:val="00005412"/>
    <w:rsid w:val="000075AB"/>
    <w:rsid w:val="00013D64"/>
    <w:rsid w:val="000144F5"/>
    <w:rsid w:val="000178C2"/>
    <w:rsid w:val="00022C70"/>
    <w:rsid w:val="00026410"/>
    <w:rsid w:val="000329CF"/>
    <w:rsid w:val="00032F56"/>
    <w:rsid w:val="00044E05"/>
    <w:rsid w:val="000453A6"/>
    <w:rsid w:val="0004776A"/>
    <w:rsid w:val="00047994"/>
    <w:rsid w:val="00050526"/>
    <w:rsid w:val="00052879"/>
    <w:rsid w:val="0005346D"/>
    <w:rsid w:val="00060A33"/>
    <w:rsid w:val="000648C2"/>
    <w:rsid w:val="00065202"/>
    <w:rsid w:val="00065290"/>
    <w:rsid w:val="000705EE"/>
    <w:rsid w:val="00071E86"/>
    <w:rsid w:val="00073FB1"/>
    <w:rsid w:val="000746A6"/>
    <w:rsid w:val="00080CBE"/>
    <w:rsid w:val="000827E1"/>
    <w:rsid w:val="000844F2"/>
    <w:rsid w:val="000879DE"/>
    <w:rsid w:val="00087D44"/>
    <w:rsid w:val="00095094"/>
    <w:rsid w:val="00095DC3"/>
    <w:rsid w:val="00096331"/>
    <w:rsid w:val="0009691A"/>
    <w:rsid w:val="00096F2E"/>
    <w:rsid w:val="000A083A"/>
    <w:rsid w:val="000A1AD1"/>
    <w:rsid w:val="000A2BA3"/>
    <w:rsid w:val="000A3804"/>
    <w:rsid w:val="000A6D83"/>
    <w:rsid w:val="000B548C"/>
    <w:rsid w:val="000C1D7A"/>
    <w:rsid w:val="000C2DEC"/>
    <w:rsid w:val="000C5BCE"/>
    <w:rsid w:val="000C6F29"/>
    <w:rsid w:val="000D1D36"/>
    <w:rsid w:val="000D7739"/>
    <w:rsid w:val="000E0901"/>
    <w:rsid w:val="000E16D9"/>
    <w:rsid w:val="000E4FAA"/>
    <w:rsid w:val="000E7B8D"/>
    <w:rsid w:val="000F125D"/>
    <w:rsid w:val="000F1670"/>
    <w:rsid w:val="000F59CA"/>
    <w:rsid w:val="001019EA"/>
    <w:rsid w:val="0010262F"/>
    <w:rsid w:val="001031B7"/>
    <w:rsid w:val="00104CE1"/>
    <w:rsid w:val="00104D67"/>
    <w:rsid w:val="00110AF3"/>
    <w:rsid w:val="00110FA8"/>
    <w:rsid w:val="00112948"/>
    <w:rsid w:val="00114254"/>
    <w:rsid w:val="00114E71"/>
    <w:rsid w:val="00116C68"/>
    <w:rsid w:val="00117817"/>
    <w:rsid w:val="001209DE"/>
    <w:rsid w:val="00123491"/>
    <w:rsid w:val="00125BEB"/>
    <w:rsid w:val="00126444"/>
    <w:rsid w:val="001275B7"/>
    <w:rsid w:val="00132B08"/>
    <w:rsid w:val="0015265C"/>
    <w:rsid w:val="00154471"/>
    <w:rsid w:val="00157E70"/>
    <w:rsid w:val="00161D6E"/>
    <w:rsid w:val="00167385"/>
    <w:rsid w:val="00170FE9"/>
    <w:rsid w:val="00172102"/>
    <w:rsid w:val="001734CD"/>
    <w:rsid w:val="00173BB9"/>
    <w:rsid w:val="0017636F"/>
    <w:rsid w:val="00177DB7"/>
    <w:rsid w:val="00177E5A"/>
    <w:rsid w:val="00183032"/>
    <w:rsid w:val="00183CA2"/>
    <w:rsid w:val="00185793"/>
    <w:rsid w:val="00190F0E"/>
    <w:rsid w:val="00195302"/>
    <w:rsid w:val="00195BC2"/>
    <w:rsid w:val="001A1D79"/>
    <w:rsid w:val="001A1E7F"/>
    <w:rsid w:val="001A2183"/>
    <w:rsid w:val="001A22B3"/>
    <w:rsid w:val="001A35F0"/>
    <w:rsid w:val="001A3B4C"/>
    <w:rsid w:val="001A4173"/>
    <w:rsid w:val="001A41BB"/>
    <w:rsid w:val="001A5E69"/>
    <w:rsid w:val="001A6F76"/>
    <w:rsid w:val="001B097D"/>
    <w:rsid w:val="001B0E64"/>
    <w:rsid w:val="001D2951"/>
    <w:rsid w:val="001E1D52"/>
    <w:rsid w:val="001E372E"/>
    <w:rsid w:val="001E469F"/>
    <w:rsid w:val="001E7EE6"/>
    <w:rsid w:val="001F55D0"/>
    <w:rsid w:val="00201118"/>
    <w:rsid w:val="00201969"/>
    <w:rsid w:val="00201DC7"/>
    <w:rsid w:val="00204633"/>
    <w:rsid w:val="002060CD"/>
    <w:rsid w:val="00207F52"/>
    <w:rsid w:val="00211305"/>
    <w:rsid w:val="00212BF6"/>
    <w:rsid w:val="00220F8F"/>
    <w:rsid w:val="002238B2"/>
    <w:rsid w:val="00224652"/>
    <w:rsid w:val="00225033"/>
    <w:rsid w:val="00227451"/>
    <w:rsid w:val="00231D29"/>
    <w:rsid w:val="002338D2"/>
    <w:rsid w:val="00235123"/>
    <w:rsid w:val="0024271D"/>
    <w:rsid w:val="0024738D"/>
    <w:rsid w:val="00253EDC"/>
    <w:rsid w:val="002542EE"/>
    <w:rsid w:val="002555AB"/>
    <w:rsid w:val="00255709"/>
    <w:rsid w:val="00256269"/>
    <w:rsid w:val="00273D1F"/>
    <w:rsid w:val="00277B18"/>
    <w:rsid w:val="0028193F"/>
    <w:rsid w:val="002870F0"/>
    <w:rsid w:val="002927CD"/>
    <w:rsid w:val="002963F9"/>
    <w:rsid w:val="0029663E"/>
    <w:rsid w:val="002A3006"/>
    <w:rsid w:val="002A319F"/>
    <w:rsid w:val="002A3D77"/>
    <w:rsid w:val="002A5BED"/>
    <w:rsid w:val="002B383C"/>
    <w:rsid w:val="002C0B74"/>
    <w:rsid w:val="002C124E"/>
    <w:rsid w:val="002C363B"/>
    <w:rsid w:val="002C4078"/>
    <w:rsid w:val="002C5A02"/>
    <w:rsid w:val="002C6FE0"/>
    <w:rsid w:val="002C75FC"/>
    <w:rsid w:val="002D5A40"/>
    <w:rsid w:val="002D6299"/>
    <w:rsid w:val="002D752A"/>
    <w:rsid w:val="002D76D7"/>
    <w:rsid w:val="002D7CC4"/>
    <w:rsid w:val="002E076F"/>
    <w:rsid w:val="002E318E"/>
    <w:rsid w:val="002E546B"/>
    <w:rsid w:val="002E77FD"/>
    <w:rsid w:val="002F087E"/>
    <w:rsid w:val="002F0D60"/>
    <w:rsid w:val="002F5535"/>
    <w:rsid w:val="002F58F5"/>
    <w:rsid w:val="002F67D5"/>
    <w:rsid w:val="00303D20"/>
    <w:rsid w:val="00304149"/>
    <w:rsid w:val="00307F67"/>
    <w:rsid w:val="0031066A"/>
    <w:rsid w:val="003106A4"/>
    <w:rsid w:val="00310888"/>
    <w:rsid w:val="00311EEE"/>
    <w:rsid w:val="003123A2"/>
    <w:rsid w:val="00313443"/>
    <w:rsid w:val="003176FF"/>
    <w:rsid w:val="003274E7"/>
    <w:rsid w:val="00327B9A"/>
    <w:rsid w:val="00327D35"/>
    <w:rsid w:val="00335237"/>
    <w:rsid w:val="003452E0"/>
    <w:rsid w:val="00350C50"/>
    <w:rsid w:val="00352C5A"/>
    <w:rsid w:val="00354C87"/>
    <w:rsid w:val="0037053D"/>
    <w:rsid w:val="00375A62"/>
    <w:rsid w:val="00381700"/>
    <w:rsid w:val="0038499D"/>
    <w:rsid w:val="00384BAA"/>
    <w:rsid w:val="00384D08"/>
    <w:rsid w:val="003906E9"/>
    <w:rsid w:val="00391506"/>
    <w:rsid w:val="003926A5"/>
    <w:rsid w:val="00396E0F"/>
    <w:rsid w:val="00396E46"/>
    <w:rsid w:val="003A446A"/>
    <w:rsid w:val="003A4AFD"/>
    <w:rsid w:val="003B21D4"/>
    <w:rsid w:val="003C2AB9"/>
    <w:rsid w:val="003C376B"/>
    <w:rsid w:val="003C4D9B"/>
    <w:rsid w:val="003C502C"/>
    <w:rsid w:val="003C6CFD"/>
    <w:rsid w:val="003C7082"/>
    <w:rsid w:val="003C72B2"/>
    <w:rsid w:val="003D2553"/>
    <w:rsid w:val="003D3EAD"/>
    <w:rsid w:val="003D6A8E"/>
    <w:rsid w:val="003D6E96"/>
    <w:rsid w:val="003E0657"/>
    <w:rsid w:val="003E1E5C"/>
    <w:rsid w:val="003E35CE"/>
    <w:rsid w:val="003E49FE"/>
    <w:rsid w:val="003E71FB"/>
    <w:rsid w:val="003E7BC0"/>
    <w:rsid w:val="003F5B8A"/>
    <w:rsid w:val="00401F08"/>
    <w:rsid w:val="004074AF"/>
    <w:rsid w:val="00407FC5"/>
    <w:rsid w:val="004143D9"/>
    <w:rsid w:val="0041771C"/>
    <w:rsid w:val="004326DB"/>
    <w:rsid w:val="00433C69"/>
    <w:rsid w:val="00433CEA"/>
    <w:rsid w:val="004413AF"/>
    <w:rsid w:val="00441CB8"/>
    <w:rsid w:val="0044261A"/>
    <w:rsid w:val="00443DC0"/>
    <w:rsid w:val="00446072"/>
    <w:rsid w:val="00455257"/>
    <w:rsid w:val="0045567A"/>
    <w:rsid w:val="004613AD"/>
    <w:rsid w:val="0046166B"/>
    <w:rsid w:val="00461FEC"/>
    <w:rsid w:val="00462DA4"/>
    <w:rsid w:val="00463134"/>
    <w:rsid w:val="00467051"/>
    <w:rsid w:val="00470414"/>
    <w:rsid w:val="00470F05"/>
    <w:rsid w:val="00473173"/>
    <w:rsid w:val="004736C4"/>
    <w:rsid w:val="00475671"/>
    <w:rsid w:val="00480EF2"/>
    <w:rsid w:val="00481099"/>
    <w:rsid w:val="004927EC"/>
    <w:rsid w:val="00492D07"/>
    <w:rsid w:val="00492E3F"/>
    <w:rsid w:val="00495E9D"/>
    <w:rsid w:val="004969DF"/>
    <w:rsid w:val="004A24AB"/>
    <w:rsid w:val="004B09EE"/>
    <w:rsid w:val="004B201C"/>
    <w:rsid w:val="004B306A"/>
    <w:rsid w:val="004B3799"/>
    <w:rsid w:val="004B394B"/>
    <w:rsid w:val="004C1C2C"/>
    <w:rsid w:val="004C1FA7"/>
    <w:rsid w:val="004C2B6C"/>
    <w:rsid w:val="004D7759"/>
    <w:rsid w:val="004D7A98"/>
    <w:rsid w:val="004E2251"/>
    <w:rsid w:val="004E2680"/>
    <w:rsid w:val="004E3612"/>
    <w:rsid w:val="004E57AF"/>
    <w:rsid w:val="004E6646"/>
    <w:rsid w:val="004E735D"/>
    <w:rsid w:val="004F2275"/>
    <w:rsid w:val="004F398D"/>
    <w:rsid w:val="004F4146"/>
    <w:rsid w:val="004F4741"/>
    <w:rsid w:val="004F6429"/>
    <w:rsid w:val="004F680E"/>
    <w:rsid w:val="004F78D1"/>
    <w:rsid w:val="004F7B14"/>
    <w:rsid w:val="005008C0"/>
    <w:rsid w:val="00501C24"/>
    <w:rsid w:val="00510E98"/>
    <w:rsid w:val="00511896"/>
    <w:rsid w:val="00511BD3"/>
    <w:rsid w:val="00512A38"/>
    <w:rsid w:val="00512AF9"/>
    <w:rsid w:val="00515BAC"/>
    <w:rsid w:val="00515C49"/>
    <w:rsid w:val="00522004"/>
    <w:rsid w:val="00530AC9"/>
    <w:rsid w:val="005469EE"/>
    <w:rsid w:val="00550E04"/>
    <w:rsid w:val="005539CE"/>
    <w:rsid w:val="0055478F"/>
    <w:rsid w:val="00557A6F"/>
    <w:rsid w:val="00563635"/>
    <w:rsid w:val="005662D5"/>
    <w:rsid w:val="00567B2D"/>
    <w:rsid w:val="00571C04"/>
    <w:rsid w:val="00573174"/>
    <w:rsid w:val="005745F5"/>
    <w:rsid w:val="00576373"/>
    <w:rsid w:val="0058199C"/>
    <w:rsid w:val="005842F8"/>
    <w:rsid w:val="00587285"/>
    <w:rsid w:val="00591977"/>
    <w:rsid w:val="00594C11"/>
    <w:rsid w:val="005A1BCE"/>
    <w:rsid w:val="005A3D20"/>
    <w:rsid w:val="005A3D6E"/>
    <w:rsid w:val="005A56B6"/>
    <w:rsid w:val="005A5A57"/>
    <w:rsid w:val="005A6FDB"/>
    <w:rsid w:val="005B164E"/>
    <w:rsid w:val="005C0592"/>
    <w:rsid w:val="005C1441"/>
    <w:rsid w:val="005C3432"/>
    <w:rsid w:val="005C3CB1"/>
    <w:rsid w:val="005C53D9"/>
    <w:rsid w:val="005D7433"/>
    <w:rsid w:val="005D7D96"/>
    <w:rsid w:val="005E132A"/>
    <w:rsid w:val="005E1FA9"/>
    <w:rsid w:val="005E65B6"/>
    <w:rsid w:val="005F0F4E"/>
    <w:rsid w:val="005F60FE"/>
    <w:rsid w:val="00602D7C"/>
    <w:rsid w:val="0060480D"/>
    <w:rsid w:val="00606F38"/>
    <w:rsid w:val="00610F36"/>
    <w:rsid w:val="00611AF3"/>
    <w:rsid w:val="00613553"/>
    <w:rsid w:val="00614C8D"/>
    <w:rsid w:val="00615AE5"/>
    <w:rsid w:val="00621850"/>
    <w:rsid w:val="0062222C"/>
    <w:rsid w:val="0062278C"/>
    <w:rsid w:val="0062637C"/>
    <w:rsid w:val="006266B3"/>
    <w:rsid w:val="006302BE"/>
    <w:rsid w:val="00632348"/>
    <w:rsid w:val="00636D0B"/>
    <w:rsid w:val="00636F6E"/>
    <w:rsid w:val="006405FC"/>
    <w:rsid w:val="0064145A"/>
    <w:rsid w:val="00645187"/>
    <w:rsid w:val="006457E5"/>
    <w:rsid w:val="00647C30"/>
    <w:rsid w:val="006524C5"/>
    <w:rsid w:val="00652A0E"/>
    <w:rsid w:val="006633D8"/>
    <w:rsid w:val="00665101"/>
    <w:rsid w:val="0067072E"/>
    <w:rsid w:val="00670D07"/>
    <w:rsid w:val="006727B0"/>
    <w:rsid w:val="00675217"/>
    <w:rsid w:val="0067559F"/>
    <w:rsid w:val="00675DE7"/>
    <w:rsid w:val="00676234"/>
    <w:rsid w:val="00681442"/>
    <w:rsid w:val="006824FD"/>
    <w:rsid w:val="00684AFE"/>
    <w:rsid w:val="00686EE0"/>
    <w:rsid w:val="006874E7"/>
    <w:rsid w:val="006A5704"/>
    <w:rsid w:val="006A6793"/>
    <w:rsid w:val="006B07FD"/>
    <w:rsid w:val="006B3C0E"/>
    <w:rsid w:val="006B420D"/>
    <w:rsid w:val="006B718B"/>
    <w:rsid w:val="006C016C"/>
    <w:rsid w:val="006C594A"/>
    <w:rsid w:val="006D0A08"/>
    <w:rsid w:val="006D47EF"/>
    <w:rsid w:val="006D4FAE"/>
    <w:rsid w:val="006E0582"/>
    <w:rsid w:val="006E0F1F"/>
    <w:rsid w:val="006E1B54"/>
    <w:rsid w:val="006E31DF"/>
    <w:rsid w:val="006E6C68"/>
    <w:rsid w:val="00702D50"/>
    <w:rsid w:val="00702F80"/>
    <w:rsid w:val="007065B5"/>
    <w:rsid w:val="00710D58"/>
    <w:rsid w:val="007136F4"/>
    <w:rsid w:val="0072022F"/>
    <w:rsid w:val="0072334E"/>
    <w:rsid w:val="007245ED"/>
    <w:rsid w:val="00726073"/>
    <w:rsid w:val="00730FC1"/>
    <w:rsid w:val="007326F2"/>
    <w:rsid w:val="00733A38"/>
    <w:rsid w:val="00733C29"/>
    <w:rsid w:val="00734E1F"/>
    <w:rsid w:val="0073510B"/>
    <w:rsid w:val="00746007"/>
    <w:rsid w:val="00746922"/>
    <w:rsid w:val="00747950"/>
    <w:rsid w:val="00754AD6"/>
    <w:rsid w:val="0075642E"/>
    <w:rsid w:val="007571BB"/>
    <w:rsid w:val="007605E5"/>
    <w:rsid w:val="00760AE6"/>
    <w:rsid w:val="00761779"/>
    <w:rsid w:val="00763184"/>
    <w:rsid w:val="0076322E"/>
    <w:rsid w:val="0076490C"/>
    <w:rsid w:val="00766F41"/>
    <w:rsid w:val="00770AFF"/>
    <w:rsid w:val="00770CEA"/>
    <w:rsid w:val="0077465D"/>
    <w:rsid w:val="0077486D"/>
    <w:rsid w:val="007750E0"/>
    <w:rsid w:val="00777832"/>
    <w:rsid w:val="00780E97"/>
    <w:rsid w:val="00783381"/>
    <w:rsid w:val="00783CAD"/>
    <w:rsid w:val="007844D1"/>
    <w:rsid w:val="00785A49"/>
    <w:rsid w:val="00795C15"/>
    <w:rsid w:val="00796A1C"/>
    <w:rsid w:val="007A2443"/>
    <w:rsid w:val="007A5EF1"/>
    <w:rsid w:val="007A6BC0"/>
    <w:rsid w:val="007A709F"/>
    <w:rsid w:val="007B0BBC"/>
    <w:rsid w:val="007B3AD3"/>
    <w:rsid w:val="007B600D"/>
    <w:rsid w:val="007B77C6"/>
    <w:rsid w:val="007C150B"/>
    <w:rsid w:val="007C1F0F"/>
    <w:rsid w:val="007C30A0"/>
    <w:rsid w:val="007C552A"/>
    <w:rsid w:val="007C6660"/>
    <w:rsid w:val="007C6ACC"/>
    <w:rsid w:val="007D6C47"/>
    <w:rsid w:val="007D76EE"/>
    <w:rsid w:val="007D77E9"/>
    <w:rsid w:val="007E3254"/>
    <w:rsid w:val="007E4F49"/>
    <w:rsid w:val="007E6D2F"/>
    <w:rsid w:val="007E7E20"/>
    <w:rsid w:val="007F048B"/>
    <w:rsid w:val="007F1871"/>
    <w:rsid w:val="007F2669"/>
    <w:rsid w:val="007F4108"/>
    <w:rsid w:val="007F6169"/>
    <w:rsid w:val="007F78A5"/>
    <w:rsid w:val="00805CEC"/>
    <w:rsid w:val="008060C1"/>
    <w:rsid w:val="00810864"/>
    <w:rsid w:val="00811A82"/>
    <w:rsid w:val="00813652"/>
    <w:rsid w:val="00816AA7"/>
    <w:rsid w:val="00816D76"/>
    <w:rsid w:val="00817CF6"/>
    <w:rsid w:val="00822194"/>
    <w:rsid w:val="00823154"/>
    <w:rsid w:val="00824D23"/>
    <w:rsid w:val="00827A3E"/>
    <w:rsid w:val="0083185F"/>
    <w:rsid w:val="00833029"/>
    <w:rsid w:val="008368EC"/>
    <w:rsid w:val="00837C98"/>
    <w:rsid w:val="0084123C"/>
    <w:rsid w:val="00842046"/>
    <w:rsid w:val="00843EDE"/>
    <w:rsid w:val="008477CC"/>
    <w:rsid w:val="00847CD5"/>
    <w:rsid w:val="0085117B"/>
    <w:rsid w:val="008549B2"/>
    <w:rsid w:val="0085675C"/>
    <w:rsid w:val="00856858"/>
    <w:rsid w:val="008605C4"/>
    <w:rsid w:val="00860607"/>
    <w:rsid w:val="00862861"/>
    <w:rsid w:val="0086630C"/>
    <w:rsid w:val="00874EED"/>
    <w:rsid w:val="0088227B"/>
    <w:rsid w:val="00882F7E"/>
    <w:rsid w:val="00884062"/>
    <w:rsid w:val="008856B4"/>
    <w:rsid w:val="00891972"/>
    <w:rsid w:val="0089698E"/>
    <w:rsid w:val="008A189F"/>
    <w:rsid w:val="008B0AD3"/>
    <w:rsid w:val="008B1C87"/>
    <w:rsid w:val="008B3950"/>
    <w:rsid w:val="008B58D0"/>
    <w:rsid w:val="008B7E2D"/>
    <w:rsid w:val="008C2D5B"/>
    <w:rsid w:val="008C2D96"/>
    <w:rsid w:val="008C4778"/>
    <w:rsid w:val="008D1150"/>
    <w:rsid w:val="008D2901"/>
    <w:rsid w:val="008D37E9"/>
    <w:rsid w:val="008D4F33"/>
    <w:rsid w:val="008E054C"/>
    <w:rsid w:val="008E57D0"/>
    <w:rsid w:val="008E7CDF"/>
    <w:rsid w:val="008F0ED2"/>
    <w:rsid w:val="008F2B89"/>
    <w:rsid w:val="008F6E33"/>
    <w:rsid w:val="009036ED"/>
    <w:rsid w:val="00906C53"/>
    <w:rsid w:val="00907C1F"/>
    <w:rsid w:val="009163D0"/>
    <w:rsid w:val="009175A2"/>
    <w:rsid w:val="009219D0"/>
    <w:rsid w:val="0092217D"/>
    <w:rsid w:val="00922E79"/>
    <w:rsid w:val="009238B4"/>
    <w:rsid w:val="00925A25"/>
    <w:rsid w:val="00927123"/>
    <w:rsid w:val="009300AB"/>
    <w:rsid w:val="00931014"/>
    <w:rsid w:val="009324F0"/>
    <w:rsid w:val="009327E2"/>
    <w:rsid w:val="00934EF0"/>
    <w:rsid w:val="0094038F"/>
    <w:rsid w:val="009423D0"/>
    <w:rsid w:val="00942C1F"/>
    <w:rsid w:val="00944ACC"/>
    <w:rsid w:val="00944D18"/>
    <w:rsid w:val="00950F52"/>
    <w:rsid w:val="00951AA8"/>
    <w:rsid w:val="00957779"/>
    <w:rsid w:val="00961545"/>
    <w:rsid w:val="009620B3"/>
    <w:rsid w:val="00962FB6"/>
    <w:rsid w:val="009654BC"/>
    <w:rsid w:val="009721A8"/>
    <w:rsid w:val="00980071"/>
    <w:rsid w:val="009806BF"/>
    <w:rsid w:val="00980D32"/>
    <w:rsid w:val="00985628"/>
    <w:rsid w:val="009879FA"/>
    <w:rsid w:val="00987FE5"/>
    <w:rsid w:val="009931BA"/>
    <w:rsid w:val="00993749"/>
    <w:rsid w:val="0099654D"/>
    <w:rsid w:val="00997C63"/>
    <w:rsid w:val="00997D5F"/>
    <w:rsid w:val="009A0DFA"/>
    <w:rsid w:val="009A18E5"/>
    <w:rsid w:val="009A1C00"/>
    <w:rsid w:val="009A5529"/>
    <w:rsid w:val="009A5D02"/>
    <w:rsid w:val="009B2438"/>
    <w:rsid w:val="009B2819"/>
    <w:rsid w:val="009B37DA"/>
    <w:rsid w:val="009B5959"/>
    <w:rsid w:val="009C1613"/>
    <w:rsid w:val="009C2DEE"/>
    <w:rsid w:val="009C324C"/>
    <w:rsid w:val="009C72F7"/>
    <w:rsid w:val="009D1781"/>
    <w:rsid w:val="009D1E8A"/>
    <w:rsid w:val="009D22FC"/>
    <w:rsid w:val="009D60C7"/>
    <w:rsid w:val="009D680A"/>
    <w:rsid w:val="009D742C"/>
    <w:rsid w:val="009D74A1"/>
    <w:rsid w:val="009E41C8"/>
    <w:rsid w:val="009E4897"/>
    <w:rsid w:val="009F1547"/>
    <w:rsid w:val="009F656E"/>
    <w:rsid w:val="009F678B"/>
    <w:rsid w:val="00A04BC0"/>
    <w:rsid w:val="00A05C65"/>
    <w:rsid w:val="00A072FE"/>
    <w:rsid w:val="00A073B7"/>
    <w:rsid w:val="00A113F3"/>
    <w:rsid w:val="00A11616"/>
    <w:rsid w:val="00A11968"/>
    <w:rsid w:val="00A13FA9"/>
    <w:rsid w:val="00A14548"/>
    <w:rsid w:val="00A330AD"/>
    <w:rsid w:val="00A34414"/>
    <w:rsid w:val="00A35968"/>
    <w:rsid w:val="00A36335"/>
    <w:rsid w:val="00A37757"/>
    <w:rsid w:val="00A47F15"/>
    <w:rsid w:val="00A47F80"/>
    <w:rsid w:val="00A54640"/>
    <w:rsid w:val="00A55D76"/>
    <w:rsid w:val="00A5678C"/>
    <w:rsid w:val="00A6438F"/>
    <w:rsid w:val="00A64B39"/>
    <w:rsid w:val="00A711E7"/>
    <w:rsid w:val="00A71A50"/>
    <w:rsid w:val="00A8380E"/>
    <w:rsid w:val="00A8578E"/>
    <w:rsid w:val="00A857CF"/>
    <w:rsid w:val="00A96BE9"/>
    <w:rsid w:val="00AA1EF0"/>
    <w:rsid w:val="00AA25C5"/>
    <w:rsid w:val="00AA2D07"/>
    <w:rsid w:val="00AA426C"/>
    <w:rsid w:val="00AA79A9"/>
    <w:rsid w:val="00AB193C"/>
    <w:rsid w:val="00AB199D"/>
    <w:rsid w:val="00AB1A71"/>
    <w:rsid w:val="00AB28EC"/>
    <w:rsid w:val="00AB42D2"/>
    <w:rsid w:val="00AC11A3"/>
    <w:rsid w:val="00AC37F1"/>
    <w:rsid w:val="00AC6D01"/>
    <w:rsid w:val="00AD23D7"/>
    <w:rsid w:val="00AD7E63"/>
    <w:rsid w:val="00AE3947"/>
    <w:rsid w:val="00AE3A2B"/>
    <w:rsid w:val="00AE5CB6"/>
    <w:rsid w:val="00AF3C1F"/>
    <w:rsid w:val="00AF59E2"/>
    <w:rsid w:val="00AF5C36"/>
    <w:rsid w:val="00AF7AA7"/>
    <w:rsid w:val="00B050CC"/>
    <w:rsid w:val="00B10B56"/>
    <w:rsid w:val="00B16F4B"/>
    <w:rsid w:val="00B227FC"/>
    <w:rsid w:val="00B24B75"/>
    <w:rsid w:val="00B25B76"/>
    <w:rsid w:val="00B2624C"/>
    <w:rsid w:val="00B313EE"/>
    <w:rsid w:val="00B3297C"/>
    <w:rsid w:val="00B42126"/>
    <w:rsid w:val="00B42618"/>
    <w:rsid w:val="00B4515E"/>
    <w:rsid w:val="00B51106"/>
    <w:rsid w:val="00B51254"/>
    <w:rsid w:val="00B55091"/>
    <w:rsid w:val="00B56833"/>
    <w:rsid w:val="00B56FE0"/>
    <w:rsid w:val="00B61B58"/>
    <w:rsid w:val="00B67905"/>
    <w:rsid w:val="00B73F64"/>
    <w:rsid w:val="00B744A6"/>
    <w:rsid w:val="00B747B7"/>
    <w:rsid w:val="00B74808"/>
    <w:rsid w:val="00B759D9"/>
    <w:rsid w:val="00B76A3D"/>
    <w:rsid w:val="00B8390A"/>
    <w:rsid w:val="00B83CF0"/>
    <w:rsid w:val="00B878F5"/>
    <w:rsid w:val="00B90027"/>
    <w:rsid w:val="00BA1C3D"/>
    <w:rsid w:val="00BA2999"/>
    <w:rsid w:val="00BA6983"/>
    <w:rsid w:val="00BA6C2E"/>
    <w:rsid w:val="00BB12AF"/>
    <w:rsid w:val="00BB24FE"/>
    <w:rsid w:val="00BB26D5"/>
    <w:rsid w:val="00BB2BF6"/>
    <w:rsid w:val="00BB3738"/>
    <w:rsid w:val="00BB3F3A"/>
    <w:rsid w:val="00BB7E0A"/>
    <w:rsid w:val="00BC2DAC"/>
    <w:rsid w:val="00BC4727"/>
    <w:rsid w:val="00BD0074"/>
    <w:rsid w:val="00BD2068"/>
    <w:rsid w:val="00BD4A96"/>
    <w:rsid w:val="00BD7CFB"/>
    <w:rsid w:val="00BE4F50"/>
    <w:rsid w:val="00BE50B7"/>
    <w:rsid w:val="00BF14C2"/>
    <w:rsid w:val="00BF54F4"/>
    <w:rsid w:val="00BF5B4F"/>
    <w:rsid w:val="00BF6DB3"/>
    <w:rsid w:val="00C0181B"/>
    <w:rsid w:val="00C23375"/>
    <w:rsid w:val="00C25226"/>
    <w:rsid w:val="00C26BA4"/>
    <w:rsid w:val="00C27774"/>
    <w:rsid w:val="00C278E8"/>
    <w:rsid w:val="00C355E4"/>
    <w:rsid w:val="00C367C9"/>
    <w:rsid w:val="00C37348"/>
    <w:rsid w:val="00C3753D"/>
    <w:rsid w:val="00C50661"/>
    <w:rsid w:val="00C50DE8"/>
    <w:rsid w:val="00C541C4"/>
    <w:rsid w:val="00C56E52"/>
    <w:rsid w:val="00C6214B"/>
    <w:rsid w:val="00C70631"/>
    <w:rsid w:val="00C70AE1"/>
    <w:rsid w:val="00C73BC1"/>
    <w:rsid w:val="00C76805"/>
    <w:rsid w:val="00C84B66"/>
    <w:rsid w:val="00C84F90"/>
    <w:rsid w:val="00C90190"/>
    <w:rsid w:val="00C9101F"/>
    <w:rsid w:val="00C92139"/>
    <w:rsid w:val="00C9282D"/>
    <w:rsid w:val="00C93A8B"/>
    <w:rsid w:val="00C97E28"/>
    <w:rsid w:val="00CA3CC8"/>
    <w:rsid w:val="00CA4B4F"/>
    <w:rsid w:val="00CA6799"/>
    <w:rsid w:val="00CB3BB7"/>
    <w:rsid w:val="00CB5F2B"/>
    <w:rsid w:val="00CC1EE8"/>
    <w:rsid w:val="00CD10D2"/>
    <w:rsid w:val="00CD2705"/>
    <w:rsid w:val="00CD4370"/>
    <w:rsid w:val="00CD67C4"/>
    <w:rsid w:val="00CE3254"/>
    <w:rsid w:val="00CE56F1"/>
    <w:rsid w:val="00CE79F2"/>
    <w:rsid w:val="00CF11FF"/>
    <w:rsid w:val="00CF33D6"/>
    <w:rsid w:val="00CF3AE0"/>
    <w:rsid w:val="00CF3C1D"/>
    <w:rsid w:val="00CF5859"/>
    <w:rsid w:val="00D020E0"/>
    <w:rsid w:val="00D02B9E"/>
    <w:rsid w:val="00D123CB"/>
    <w:rsid w:val="00D1417C"/>
    <w:rsid w:val="00D1673B"/>
    <w:rsid w:val="00D227F9"/>
    <w:rsid w:val="00D234CB"/>
    <w:rsid w:val="00D26962"/>
    <w:rsid w:val="00D31E81"/>
    <w:rsid w:val="00D322D4"/>
    <w:rsid w:val="00D41FA5"/>
    <w:rsid w:val="00D438B1"/>
    <w:rsid w:val="00D43D8F"/>
    <w:rsid w:val="00D44362"/>
    <w:rsid w:val="00D478A3"/>
    <w:rsid w:val="00D5092E"/>
    <w:rsid w:val="00D521B9"/>
    <w:rsid w:val="00D52DD1"/>
    <w:rsid w:val="00D573F6"/>
    <w:rsid w:val="00D60D56"/>
    <w:rsid w:val="00D66E39"/>
    <w:rsid w:val="00D7205A"/>
    <w:rsid w:val="00D76B46"/>
    <w:rsid w:val="00D77F6A"/>
    <w:rsid w:val="00D80A02"/>
    <w:rsid w:val="00D841A2"/>
    <w:rsid w:val="00D86FA1"/>
    <w:rsid w:val="00D87865"/>
    <w:rsid w:val="00D916AF"/>
    <w:rsid w:val="00D954DC"/>
    <w:rsid w:val="00D96308"/>
    <w:rsid w:val="00DA1EA6"/>
    <w:rsid w:val="00DA1F11"/>
    <w:rsid w:val="00DA216E"/>
    <w:rsid w:val="00DA5DBD"/>
    <w:rsid w:val="00DB093D"/>
    <w:rsid w:val="00DB3158"/>
    <w:rsid w:val="00DB4FE2"/>
    <w:rsid w:val="00DB6108"/>
    <w:rsid w:val="00DC6459"/>
    <w:rsid w:val="00DD3D18"/>
    <w:rsid w:val="00DD7943"/>
    <w:rsid w:val="00DE02C5"/>
    <w:rsid w:val="00DE0E67"/>
    <w:rsid w:val="00DE5031"/>
    <w:rsid w:val="00DF0C6D"/>
    <w:rsid w:val="00DF5D31"/>
    <w:rsid w:val="00DF67FF"/>
    <w:rsid w:val="00DF7EBA"/>
    <w:rsid w:val="00E00318"/>
    <w:rsid w:val="00E03A74"/>
    <w:rsid w:val="00E04D23"/>
    <w:rsid w:val="00E057E5"/>
    <w:rsid w:val="00E1785D"/>
    <w:rsid w:val="00E17AF7"/>
    <w:rsid w:val="00E2216D"/>
    <w:rsid w:val="00E242FD"/>
    <w:rsid w:val="00E244FF"/>
    <w:rsid w:val="00E24589"/>
    <w:rsid w:val="00E26DD2"/>
    <w:rsid w:val="00E31E77"/>
    <w:rsid w:val="00E371E6"/>
    <w:rsid w:val="00E37CBF"/>
    <w:rsid w:val="00E41340"/>
    <w:rsid w:val="00E41CB6"/>
    <w:rsid w:val="00E4597A"/>
    <w:rsid w:val="00E45F00"/>
    <w:rsid w:val="00E470FD"/>
    <w:rsid w:val="00E545BA"/>
    <w:rsid w:val="00E546D0"/>
    <w:rsid w:val="00E55367"/>
    <w:rsid w:val="00E55E0F"/>
    <w:rsid w:val="00E61103"/>
    <w:rsid w:val="00E62B56"/>
    <w:rsid w:val="00E62DE4"/>
    <w:rsid w:val="00E65807"/>
    <w:rsid w:val="00E66761"/>
    <w:rsid w:val="00E716A5"/>
    <w:rsid w:val="00E722EE"/>
    <w:rsid w:val="00E75E6F"/>
    <w:rsid w:val="00E7703A"/>
    <w:rsid w:val="00E808B2"/>
    <w:rsid w:val="00E81488"/>
    <w:rsid w:val="00E9350C"/>
    <w:rsid w:val="00E94FA4"/>
    <w:rsid w:val="00EA2480"/>
    <w:rsid w:val="00EA63F5"/>
    <w:rsid w:val="00EA6947"/>
    <w:rsid w:val="00EA73D4"/>
    <w:rsid w:val="00EB5C35"/>
    <w:rsid w:val="00EC2B59"/>
    <w:rsid w:val="00ED15CF"/>
    <w:rsid w:val="00ED4CC2"/>
    <w:rsid w:val="00ED6481"/>
    <w:rsid w:val="00EE1A1C"/>
    <w:rsid w:val="00EE1BF7"/>
    <w:rsid w:val="00EE226C"/>
    <w:rsid w:val="00EE3281"/>
    <w:rsid w:val="00EE49D6"/>
    <w:rsid w:val="00EE7922"/>
    <w:rsid w:val="00EF3348"/>
    <w:rsid w:val="00EF74C9"/>
    <w:rsid w:val="00EF7D33"/>
    <w:rsid w:val="00EF7EAF"/>
    <w:rsid w:val="00F030C9"/>
    <w:rsid w:val="00F043FB"/>
    <w:rsid w:val="00F07A29"/>
    <w:rsid w:val="00F126D0"/>
    <w:rsid w:val="00F158CD"/>
    <w:rsid w:val="00F20DD3"/>
    <w:rsid w:val="00F228B3"/>
    <w:rsid w:val="00F23FA3"/>
    <w:rsid w:val="00F2531D"/>
    <w:rsid w:val="00F27183"/>
    <w:rsid w:val="00F32715"/>
    <w:rsid w:val="00F34921"/>
    <w:rsid w:val="00F34924"/>
    <w:rsid w:val="00F376C9"/>
    <w:rsid w:val="00F42658"/>
    <w:rsid w:val="00F45077"/>
    <w:rsid w:val="00F538A3"/>
    <w:rsid w:val="00F62A20"/>
    <w:rsid w:val="00F63D99"/>
    <w:rsid w:val="00F735D4"/>
    <w:rsid w:val="00F73F1C"/>
    <w:rsid w:val="00F749BB"/>
    <w:rsid w:val="00F91DC1"/>
    <w:rsid w:val="00F949E5"/>
    <w:rsid w:val="00FA401D"/>
    <w:rsid w:val="00FB0F52"/>
    <w:rsid w:val="00FB5799"/>
    <w:rsid w:val="00FB7021"/>
    <w:rsid w:val="00FC4DD1"/>
    <w:rsid w:val="00FD039E"/>
    <w:rsid w:val="00FD3877"/>
    <w:rsid w:val="00FD5F07"/>
    <w:rsid w:val="00FD6930"/>
    <w:rsid w:val="00FE6CB4"/>
    <w:rsid w:val="00FF2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F23B29D-247E-450F-A1CC-A7E776AD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ootnote Text Char,Footnote Text Char1 Char Char Char,Footnote Text Char Char Char Char Char"/>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paragraph" w:styleId="PlainText">
    <w:name w:val="Plain Text"/>
    <w:basedOn w:val="Normal"/>
    <w:rsid w:val="00E03A74"/>
    <w:pPr>
      <w:widowControl/>
      <w:overflowPunct w:val="0"/>
      <w:autoSpaceDE w:val="0"/>
      <w:autoSpaceDN w:val="0"/>
      <w:adjustRightInd w:val="0"/>
      <w:textAlignment w:val="baseline"/>
    </w:pPr>
    <w:rPr>
      <w:rFonts w:ascii="Courier New" w:eastAsia="MS Mincho" w:hAnsi="Courier New"/>
      <w:sz w:val="20"/>
      <w:szCs w:val="20"/>
      <w:lang w:val="en-US"/>
    </w:rPr>
  </w:style>
  <w:style w:type="paragraph" w:styleId="BalloonText">
    <w:name w:val="Balloon Text"/>
    <w:basedOn w:val="Normal"/>
    <w:semiHidden/>
    <w:rsid w:val="00E03A74"/>
    <w:pPr>
      <w:widowControl/>
    </w:pPr>
    <w:rPr>
      <w:rFonts w:ascii="Tahoma" w:eastAsia="MS Mincho" w:hAnsi="Tahoma" w:cs="Tahoma"/>
      <w:sz w:val="16"/>
      <w:szCs w:val="16"/>
      <w:lang w:val="en-US"/>
    </w:rPr>
  </w:style>
  <w:style w:type="paragraph" w:customStyle="1" w:styleId="ALB-Regparagraph">
    <w:name w:val="ALB-Reg paragraph"/>
    <w:basedOn w:val="Normal"/>
    <w:rsid w:val="00E03A74"/>
    <w:pPr>
      <w:widowControl/>
      <w:numPr>
        <w:numId w:val="1"/>
      </w:numPr>
      <w:spacing w:before="120" w:after="240" w:line="360" w:lineRule="auto"/>
      <w:jc w:val="both"/>
    </w:pPr>
    <w:rPr>
      <w:rFonts w:ascii="Palatino" w:eastAsia="MS Mincho" w:hAnsi="Palatino" w:cs="Palatino"/>
      <w:noProof/>
      <w:sz w:val="24"/>
      <w:szCs w:val="24"/>
      <w:lang w:val="en-GB"/>
    </w:rPr>
  </w:style>
  <w:style w:type="paragraph" w:customStyle="1" w:styleId="ALB-Regparagraphindent">
    <w:name w:val="ALB-Reg paragraph indent"/>
    <w:basedOn w:val="ALB-Regparagraph"/>
    <w:rsid w:val="00E03A74"/>
    <w:pPr>
      <w:numPr>
        <w:ilvl w:val="1"/>
        <w:numId w:val="2"/>
      </w:numPr>
    </w:pPr>
  </w:style>
  <w:style w:type="paragraph" w:customStyle="1" w:styleId="ALB-lawparagraphindent3">
    <w:name w:val="ALB-law paragraph indent3"/>
    <w:basedOn w:val="Normal"/>
    <w:rsid w:val="00E03A74"/>
    <w:pPr>
      <w:widowControl/>
      <w:numPr>
        <w:numId w:val="2"/>
      </w:numPr>
      <w:tabs>
        <w:tab w:val="left" w:pos="851"/>
      </w:tabs>
      <w:spacing w:after="120" w:line="360" w:lineRule="auto"/>
      <w:jc w:val="both"/>
    </w:pPr>
    <w:rPr>
      <w:rFonts w:ascii="Palatino" w:eastAsia="MS Mincho" w:hAnsi="Palatino" w:cs="Palatino"/>
      <w:noProof/>
      <w:sz w:val="24"/>
      <w:szCs w:val="24"/>
      <w:lang w:val="en-GB"/>
    </w:rPr>
  </w:style>
  <w:style w:type="paragraph" w:customStyle="1" w:styleId="ALB-lawparagraphindent">
    <w:name w:val="ALB-law paragraph indent"/>
    <w:basedOn w:val="Normal"/>
    <w:rsid w:val="00E03A74"/>
    <w:pPr>
      <w:widowControl/>
      <w:numPr>
        <w:ilvl w:val="1"/>
        <w:numId w:val="3"/>
      </w:numPr>
      <w:spacing w:after="120" w:line="360" w:lineRule="auto"/>
      <w:jc w:val="both"/>
    </w:pPr>
    <w:rPr>
      <w:rFonts w:ascii="Palatino" w:eastAsia="MS Mincho" w:hAnsi="Palatino" w:cs="Palatino"/>
      <w:noProof/>
      <w:sz w:val="24"/>
      <w:szCs w:val="24"/>
      <w:lang w:val="en-GB"/>
    </w:rPr>
  </w:style>
  <w:style w:type="paragraph" w:customStyle="1" w:styleId="ALB-regparagraphindent2">
    <w:name w:val="ALB-reg paragraph indent2"/>
    <w:basedOn w:val="ALB-Regparagraphindent"/>
    <w:rsid w:val="00E03A74"/>
    <w:pPr>
      <w:numPr>
        <w:ilvl w:val="2"/>
        <w:numId w:val="3"/>
      </w:numPr>
    </w:pPr>
  </w:style>
  <w:style w:type="character" w:styleId="CommentReference">
    <w:name w:val="annotation reference"/>
    <w:basedOn w:val="DefaultParagraphFont"/>
    <w:semiHidden/>
    <w:rsid w:val="00E03A74"/>
    <w:rPr>
      <w:sz w:val="18"/>
      <w:szCs w:val="18"/>
    </w:rPr>
  </w:style>
  <w:style w:type="paragraph" w:styleId="CommentText">
    <w:name w:val="annotation text"/>
    <w:basedOn w:val="Normal"/>
    <w:semiHidden/>
    <w:rsid w:val="00E03A74"/>
    <w:pPr>
      <w:widowControl/>
      <w:tabs>
        <w:tab w:val="right" w:pos="9356"/>
      </w:tabs>
      <w:spacing w:after="120"/>
    </w:pPr>
    <w:rPr>
      <w:rFonts w:ascii="Palatino" w:eastAsia="MS Mincho" w:hAnsi="Palatino" w:cs="Palatino"/>
      <w:noProof/>
      <w:sz w:val="24"/>
      <w:szCs w:val="24"/>
      <w:lang w:val="en-GB"/>
    </w:rPr>
  </w:style>
  <w:style w:type="paragraph" w:customStyle="1" w:styleId="ALB-LawPreamble">
    <w:name w:val="ALB-Law Preamble"/>
    <w:basedOn w:val="Normal"/>
    <w:rsid w:val="00E03A74"/>
    <w:pPr>
      <w:widowControl/>
      <w:tabs>
        <w:tab w:val="right" w:pos="9356"/>
      </w:tabs>
      <w:spacing w:before="240" w:after="240"/>
      <w:jc w:val="both"/>
    </w:pPr>
    <w:rPr>
      <w:rFonts w:ascii="Palatino" w:eastAsia="MS Mincho" w:hAnsi="Palatino" w:cs="Palatino"/>
      <w:noProof/>
      <w:sz w:val="24"/>
      <w:szCs w:val="24"/>
      <w:lang w:val="en-GB"/>
    </w:rPr>
  </w:style>
  <w:style w:type="paragraph" w:customStyle="1" w:styleId="ALB-Lawannexheading">
    <w:name w:val="ALB-Law annex heading"/>
    <w:basedOn w:val="Normal"/>
    <w:next w:val="Normal"/>
    <w:rsid w:val="00E03A74"/>
    <w:pPr>
      <w:keepNext/>
      <w:pageBreakBefore/>
      <w:widowControl/>
      <w:spacing w:before="240" w:after="120" w:line="360" w:lineRule="auto"/>
      <w:outlineLvl w:val="1"/>
    </w:pPr>
    <w:rPr>
      <w:rFonts w:ascii="Palatino" w:eastAsia="MS Mincho" w:hAnsi="Palatino" w:cs="Palatino"/>
      <w:b/>
      <w:bCs/>
      <w:noProof/>
      <w:sz w:val="24"/>
      <w:szCs w:val="24"/>
      <w:lang w:val="en-GB"/>
    </w:rPr>
  </w:style>
  <w:style w:type="character" w:styleId="Hyperlink">
    <w:name w:val="Hyperlink"/>
    <w:basedOn w:val="DefaultParagraphFont"/>
    <w:rsid w:val="00E03A74"/>
    <w:rPr>
      <w:color w:val="0000FF"/>
      <w:u w:val="single"/>
    </w:rPr>
  </w:style>
  <w:style w:type="paragraph" w:customStyle="1" w:styleId="ALB-Lawparagraph">
    <w:name w:val="ALB-Law paragraph"/>
    <w:basedOn w:val="BodyText"/>
    <w:rsid w:val="00B73F64"/>
    <w:pPr>
      <w:widowControl/>
      <w:autoSpaceDE/>
      <w:autoSpaceDN/>
      <w:adjustRightInd/>
      <w:spacing w:after="120" w:line="360" w:lineRule="auto"/>
    </w:pPr>
    <w:rPr>
      <w:rFonts w:ascii="Arial" w:hAnsi="Arial" w:cs="Arial"/>
      <w:sz w:val="22"/>
      <w:szCs w:val="22"/>
      <w:lang w:val="en-GB"/>
    </w:rPr>
  </w:style>
  <w:style w:type="paragraph" w:customStyle="1" w:styleId="ALB-lawparagraphindent2">
    <w:name w:val="ALB-law paragraph indent2"/>
    <w:basedOn w:val="ALB-lawparagraphindent"/>
    <w:rsid w:val="00B73F64"/>
    <w:pPr>
      <w:numPr>
        <w:ilvl w:val="0"/>
        <w:numId w:val="0"/>
      </w:numPr>
    </w:pPr>
    <w:rPr>
      <w:rFonts w:ascii="Arial" w:eastAsia="Times New Roman" w:hAnsi="Arial" w:cs="Arial"/>
      <w:noProof w:val="0"/>
      <w:sz w:val="22"/>
      <w:szCs w:val="22"/>
    </w:rPr>
  </w:style>
  <w:style w:type="paragraph" w:customStyle="1" w:styleId="CharCharCharCharCharCharChar">
    <w:name w:val=" Char Char Char Char Char Char Char"/>
    <w:basedOn w:val="Normal"/>
    <w:rsid w:val="00B73F64"/>
    <w:pPr>
      <w:widowControl/>
      <w:spacing w:after="160" w:line="240" w:lineRule="exact"/>
    </w:pPr>
    <w:rPr>
      <w:rFonts w:ascii="Tahoma" w:hAnsi="Tahoma" w:cs="Tahoma"/>
      <w:sz w:val="20"/>
      <w:szCs w:val="20"/>
      <w:lang w:val="en-US"/>
    </w:rPr>
  </w:style>
  <w:style w:type="paragraph" w:styleId="Title">
    <w:name w:val="Title"/>
    <w:basedOn w:val="Normal"/>
    <w:qFormat/>
    <w:rsid w:val="00515BAC"/>
    <w:pPr>
      <w:widowControl/>
      <w:jc w:val="center"/>
    </w:pPr>
    <w:rPr>
      <w:rFonts w:ascii="Arial" w:hAnsi="Arial" w:cs="Arial"/>
      <w:b/>
      <w:bCs/>
      <w:caps/>
      <w:sz w:val="28"/>
      <w:szCs w:val="28"/>
      <w:lang w:val="en-GB"/>
    </w:rPr>
  </w:style>
  <w:style w:type="character" w:customStyle="1" w:styleId="AktiChar">
    <w:name w:val="Akti Char"/>
    <w:basedOn w:val="DefaultParagraphFont"/>
    <w:link w:val="Akti"/>
    <w:rsid w:val="00DD7943"/>
    <w:rPr>
      <w:rFonts w:ascii="CG Times" w:hAnsi="CG Times"/>
      <w:b/>
      <w:caps/>
      <w:color w:val="000000"/>
      <w:sz w:val="22"/>
      <w:szCs w:val="22"/>
      <w:lang w:val="en-GB" w:eastAsia="en-US" w:bidi="ar-SA"/>
    </w:rPr>
  </w:style>
  <w:style w:type="character" w:customStyle="1" w:styleId="ParagrafiChar">
    <w:name w:val="Paragrafi Char"/>
    <w:basedOn w:val="DefaultParagraphFont"/>
    <w:link w:val="Paragrafi"/>
    <w:rsid w:val="006A5704"/>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6534</Words>
  <Characters>37246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2008-02-19T09:10:00Z</cp:lastPrinted>
  <dcterms:created xsi:type="dcterms:W3CDTF">2019-02-15T14:29:00Z</dcterms:created>
  <dcterms:modified xsi:type="dcterms:W3CDTF">2019-02-15T14:29:00Z</dcterms:modified>
</cp:coreProperties>
</file>