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2920" w:rsidRPr="00FF3B8C" w:rsidRDefault="00E72920" w:rsidP="00FF3B8C">
      <w:pPr>
        <w:pStyle w:val="Paragrafi"/>
      </w:pPr>
      <w:bookmarkStart w:id="0" w:name="_GoBack"/>
      <w:bookmarkEnd w:id="0"/>
    </w:p>
    <w:p w:rsidR="00A42904" w:rsidRPr="00FF3B8C" w:rsidRDefault="00FF3B8C" w:rsidP="008715CA">
      <w:pPr>
        <w:pStyle w:val="Akti"/>
      </w:pPr>
      <w:r>
        <w:t>LIG</w:t>
      </w:r>
      <w:r w:rsidR="00A42904" w:rsidRPr="00FF3B8C">
        <w:t>J</w:t>
      </w:r>
    </w:p>
    <w:p w:rsidR="00A42904" w:rsidRPr="00FF3B8C" w:rsidRDefault="00A42904" w:rsidP="008715CA">
      <w:pPr>
        <w:pStyle w:val="NumriData"/>
      </w:pPr>
      <w:r w:rsidRPr="00FF3B8C">
        <w:t>Nr.10 020, datë 24.11.2008</w:t>
      </w:r>
    </w:p>
    <w:p w:rsidR="00A42904" w:rsidRPr="00FF3B8C" w:rsidRDefault="00A42904" w:rsidP="00FF3B8C">
      <w:pPr>
        <w:pStyle w:val="Paragrafi"/>
      </w:pPr>
    </w:p>
    <w:p w:rsidR="00A42904" w:rsidRPr="00FF3B8C" w:rsidRDefault="00A42904" w:rsidP="008715CA">
      <w:pPr>
        <w:pStyle w:val="Titulli"/>
      </w:pPr>
      <w:r w:rsidRPr="00FF3B8C">
        <w:t>PËR RATIFIKIMIN E “MARRËVESHJES NDËRMJET KËSHILLIT TË MINISTRAVE TË REPUBLIKËS SË SHQIPËRISË DHE QEVERISË SË REPUBLIKËS  FEDERALE TË GJERMANISË PËR HAPJEN E ZYRËS LOKALE GJERMANE PËR BASHKËPUNIMIN PËR ZHVILLIM NË SHQIPËRI”</w:t>
      </w:r>
    </w:p>
    <w:p w:rsidR="00A42904" w:rsidRPr="00FF3B8C" w:rsidRDefault="00A42904" w:rsidP="00FF3B8C">
      <w:pPr>
        <w:pStyle w:val="Paragrafi"/>
        <w:ind w:firstLine="0"/>
      </w:pPr>
    </w:p>
    <w:p w:rsidR="00A42904" w:rsidRPr="00FF3B8C" w:rsidRDefault="00A42904" w:rsidP="00FF3B8C">
      <w:pPr>
        <w:pStyle w:val="Paragrafi"/>
      </w:pPr>
      <w:r w:rsidRPr="00FF3B8C">
        <w:t xml:space="preserve">Në mbështetje të neneve 78, 83 pika 1 dhe 121 të Kushtetutës, me propozimin e Këshillit të Ministrave, </w:t>
      </w:r>
    </w:p>
    <w:p w:rsidR="00A42904" w:rsidRPr="00FF3B8C" w:rsidRDefault="00A42904" w:rsidP="00FF3B8C">
      <w:pPr>
        <w:pStyle w:val="Paragrafi"/>
        <w:ind w:firstLine="0"/>
      </w:pPr>
    </w:p>
    <w:p w:rsidR="00A42904" w:rsidRPr="00FF3B8C" w:rsidRDefault="00FF3B8C" w:rsidP="008715CA">
      <w:pPr>
        <w:pStyle w:val="Institucioni"/>
      </w:pPr>
      <w:r>
        <w:t>KUVEND</w:t>
      </w:r>
      <w:r w:rsidR="00A42904" w:rsidRPr="00FF3B8C">
        <w:t>I</w:t>
      </w:r>
    </w:p>
    <w:p w:rsidR="00A42904" w:rsidRPr="00FF3B8C" w:rsidRDefault="00A42904" w:rsidP="008715CA">
      <w:pPr>
        <w:pStyle w:val="Institucioni"/>
      </w:pPr>
      <w:r w:rsidRPr="00FF3B8C">
        <w:t>I REPUBLIKËS SË SHQIPËRISË</w:t>
      </w:r>
    </w:p>
    <w:p w:rsidR="00A42904" w:rsidRPr="00FF3B8C" w:rsidRDefault="00A42904" w:rsidP="00FF3B8C">
      <w:pPr>
        <w:pStyle w:val="Paragrafi"/>
      </w:pPr>
    </w:p>
    <w:p w:rsidR="00A42904" w:rsidRPr="00FF3B8C" w:rsidRDefault="00FF3B8C" w:rsidP="008715CA">
      <w:pPr>
        <w:pStyle w:val="VENDOSI"/>
      </w:pPr>
      <w:r>
        <w:t>VENDOS</w:t>
      </w:r>
      <w:r w:rsidR="00A42904" w:rsidRPr="00FF3B8C">
        <w:t>I:</w:t>
      </w:r>
    </w:p>
    <w:p w:rsidR="00A42904" w:rsidRPr="00FF3B8C" w:rsidRDefault="00A42904" w:rsidP="00FF3B8C">
      <w:pPr>
        <w:pStyle w:val="Paragrafi"/>
      </w:pPr>
    </w:p>
    <w:p w:rsidR="00A42904" w:rsidRPr="00FF3B8C" w:rsidRDefault="00A42904" w:rsidP="008715CA">
      <w:pPr>
        <w:pStyle w:val="NeniNr"/>
      </w:pPr>
      <w:r w:rsidRPr="00FF3B8C">
        <w:t>Neni 1</w:t>
      </w:r>
    </w:p>
    <w:p w:rsidR="00A42904" w:rsidRPr="00FF3B8C" w:rsidRDefault="00A42904" w:rsidP="00FF3B8C">
      <w:pPr>
        <w:pStyle w:val="Paragrafi"/>
      </w:pPr>
    </w:p>
    <w:p w:rsidR="00A42904" w:rsidRPr="00FF3B8C" w:rsidRDefault="00A42904" w:rsidP="00FF3B8C">
      <w:pPr>
        <w:pStyle w:val="Paragrafi"/>
      </w:pPr>
      <w:r w:rsidRPr="00FF3B8C">
        <w:t>Ratifikohet “Marrëveshja ndërmjet Këshillit të Ministrave të Republikës së Shqipërisë dhe Qeverisë së Republikës Federale të Gjermanisë për hapjen e zyrës lokale gjermane për bashkëpunimin për zhvillim në Shqipëri”.</w:t>
      </w:r>
    </w:p>
    <w:p w:rsidR="00A42904" w:rsidRPr="00FF3B8C" w:rsidRDefault="00A42904" w:rsidP="00FF3B8C">
      <w:pPr>
        <w:pStyle w:val="Paragrafi"/>
      </w:pPr>
    </w:p>
    <w:p w:rsidR="00A42904" w:rsidRPr="00FF3B8C" w:rsidRDefault="00A42904" w:rsidP="008715CA">
      <w:pPr>
        <w:pStyle w:val="NeniNr"/>
      </w:pPr>
      <w:r w:rsidRPr="00FF3B8C">
        <w:t>Neni 2</w:t>
      </w:r>
    </w:p>
    <w:p w:rsidR="00A42904" w:rsidRPr="00FF3B8C" w:rsidRDefault="00A42904" w:rsidP="00FF3B8C">
      <w:pPr>
        <w:pStyle w:val="Paragrafi"/>
      </w:pPr>
    </w:p>
    <w:p w:rsidR="00A42904" w:rsidRPr="00FF3B8C" w:rsidRDefault="00A42904" w:rsidP="00FF3B8C">
      <w:pPr>
        <w:pStyle w:val="Paragrafi"/>
      </w:pPr>
      <w:r w:rsidRPr="00FF3B8C">
        <w:t>Ky ligj hyn në fuqi 15 ditë pas botimit në Fletoren Zyrtare.</w:t>
      </w:r>
    </w:p>
    <w:p w:rsidR="00A42904" w:rsidRPr="00FF3B8C" w:rsidRDefault="00A42904" w:rsidP="00FF3B8C">
      <w:pPr>
        <w:pStyle w:val="Paragrafi"/>
      </w:pPr>
    </w:p>
    <w:p w:rsidR="00A42904" w:rsidRPr="00FF3B8C" w:rsidRDefault="00A42904" w:rsidP="00FF3B8C">
      <w:pPr>
        <w:pStyle w:val="Paragrafi"/>
      </w:pPr>
    </w:p>
    <w:p w:rsidR="0058676E" w:rsidRDefault="0058676E" w:rsidP="0058676E">
      <w:pPr>
        <w:pStyle w:val="Shpallja"/>
        <w:rPr>
          <w:sz w:val="23"/>
          <w:szCs w:val="23"/>
        </w:rPr>
      </w:pPr>
      <w:r w:rsidRPr="00B81AC6">
        <w:rPr>
          <w:sz w:val="23"/>
          <w:szCs w:val="23"/>
        </w:rPr>
        <w:t>Shpallur me dekretin nr.</w:t>
      </w:r>
      <w:r>
        <w:rPr>
          <w:sz w:val="23"/>
          <w:szCs w:val="23"/>
        </w:rPr>
        <w:t>5971, datë 1</w:t>
      </w:r>
      <w:r w:rsidR="0088014E">
        <w:rPr>
          <w:sz w:val="23"/>
          <w:szCs w:val="23"/>
        </w:rPr>
        <w:t>2.12</w:t>
      </w:r>
      <w:r w:rsidRPr="00B81AC6">
        <w:rPr>
          <w:sz w:val="23"/>
          <w:szCs w:val="23"/>
        </w:rPr>
        <w:t>.2008</w:t>
      </w:r>
      <w:r>
        <w:rPr>
          <w:sz w:val="23"/>
          <w:szCs w:val="23"/>
        </w:rPr>
        <w:t xml:space="preserve"> </w:t>
      </w:r>
      <w:r w:rsidRPr="00B81AC6">
        <w:rPr>
          <w:sz w:val="23"/>
          <w:szCs w:val="23"/>
        </w:rPr>
        <w:t xml:space="preserve">të Presidentit të Republikës së Shqipërisë, </w:t>
      </w:r>
    </w:p>
    <w:p w:rsidR="0058676E" w:rsidRPr="00B81AC6" w:rsidRDefault="0058676E" w:rsidP="0058676E">
      <w:pPr>
        <w:pStyle w:val="Shpallja"/>
        <w:rPr>
          <w:sz w:val="23"/>
          <w:szCs w:val="23"/>
        </w:rPr>
      </w:pPr>
      <w:r w:rsidRPr="00B81AC6">
        <w:rPr>
          <w:sz w:val="23"/>
          <w:szCs w:val="23"/>
        </w:rPr>
        <w:t>Bamir Topi</w:t>
      </w:r>
    </w:p>
    <w:p w:rsidR="00FF3B8C" w:rsidRPr="00FF3B8C" w:rsidRDefault="00FF3B8C" w:rsidP="00FF3B8C">
      <w:pPr>
        <w:pStyle w:val="Paragrafi"/>
      </w:pPr>
    </w:p>
    <w:p w:rsidR="004860FA" w:rsidRPr="00FA7E80" w:rsidRDefault="004860FA" w:rsidP="004860FA">
      <w:pPr>
        <w:pStyle w:val="Paragrafi"/>
      </w:pPr>
    </w:p>
    <w:p w:rsidR="004860FA" w:rsidRPr="00FA7E80" w:rsidRDefault="004860FA" w:rsidP="004860FA">
      <w:pPr>
        <w:pStyle w:val="Titulli"/>
      </w:pPr>
      <w:r w:rsidRPr="00FA7E80">
        <w:t>MARR</w:t>
      </w:r>
      <w:r>
        <w:t>Ë</w:t>
      </w:r>
      <w:r w:rsidRPr="00FA7E80">
        <w:t xml:space="preserve">VESHJE </w:t>
      </w:r>
    </w:p>
    <w:p w:rsidR="004860FA" w:rsidRPr="00FA7E80" w:rsidRDefault="004860FA" w:rsidP="000D2763">
      <w:pPr>
        <w:pStyle w:val="TitulliTitull"/>
      </w:pPr>
      <w:r w:rsidRPr="00FA7E80">
        <w:t>ND</w:t>
      </w:r>
      <w:r>
        <w:t>Ë</w:t>
      </w:r>
      <w:r w:rsidRPr="00FA7E80">
        <w:t>RMJET</w:t>
      </w:r>
      <w:r>
        <w:t xml:space="preserve"> </w:t>
      </w:r>
      <w:r w:rsidRPr="00FA7E80">
        <w:t>K</w:t>
      </w:r>
      <w:r>
        <w:t>Ë</w:t>
      </w:r>
      <w:r w:rsidRPr="00FA7E80">
        <w:t>SHILLIT T</w:t>
      </w:r>
      <w:r>
        <w:t>Ë</w:t>
      </w:r>
      <w:r w:rsidRPr="00FA7E80">
        <w:t xml:space="preserve"> MINIST</w:t>
      </w:r>
      <w:smartTag w:uri="urn:schemas-microsoft-com:office:smarttags" w:element="stockticker">
        <w:r w:rsidRPr="00FA7E80">
          <w:t>RAVE</w:t>
        </w:r>
      </w:smartTag>
      <w:r w:rsidRPr="00FA7E80">
        <w:t xml:space="preserve"> T</w:t>
      </w:r>
      <w:r>
        <w:t>Ë</w:t>
      </w:r>
      <w:r w:rsidRPr="00FA7E80">
        <w:t xml:space="preserve"> REPUBLIK</w:t>
      </w:r>
      <w:r>
        <w:t>Ë</w:t>
      </w:r>
      <w:r w:rsidRPr="00FA7E80">
        <w:t>S S</w:t>
      </w:r>
      <w:r>
        <w:t>Ë</w:t>
      </w:r>
      <w:r w:rsidRPr="00FA7E80">
        <w:t xml:space="preserve"> SHQIP</w:t>
      </w:r>
      <w:r>
        <w:t>Ë</w:t>
      </w:r>
      <w:r w:rsidRPr="00FA7E80">
        <w:t>RIS</w:t>
      </w:r>
      <w:r>
        <w:t>Ë</w:t>
      </w:r>
    </w:p>
    <w:p w:rsidR="004860FA" w:rsidRPr="00FA7E80" w:rsidRDefault="004860FA" w:rsidP="000D2763">
      <w:pPr>
        <w:pStyle w:val="TitulliTitull"/>
      </w:pPr>
      <w:r w:rsidRPr="00FA7E80">
        <w:t>DHE</w:t>
      </w:r>
      <w:r>
        <w:t xml:space="preserve"> </w:t>
      </w:r>
      <w:r w:rsidRPr="00FA7E80">
        <w:t>QEVERIS</w:t>
      </w:r>
      <w:r>
        <w:t>Ë</w:t>
      </w:r>
      <w:r w:rsidRPr="00FA7E80">
        <w:t xml:space="preserve"> S</w:t>
      </w:r>
      <w:r>
        <w:t>Ë</w:t>
      </w:r>
      <w:r w:rsidRPr="00FA7E80">
        <w:t xml:space="preserve"> REPUBLIK</w:t>
      </w:r>
      <w:r>
        <w:t>Ë</w:t>
      </w:r>
      <w:r w:rsidRPr="00FA7E80">
        <w:t>S FE</w:t>
      </w:r>
      <w:smartTag w:uri="urn:schemas-microsoft-com:office:smarttags" w:element="stockticker">
        <w:r w:rsidRPr="00FA7E80">
          <w:t>DER</w:t>
        </w:r>
      </w:smartTag>
      <w:r w:rsidRPr="00FA7E80">
        <w:t>ALE T</w:t>
      </w:r>
      <w:r>
        <w:t>Ë</w:t>
      </w:r>
      <w:r w:rsidRPr="00FA7E80">
        <w:t xml:space="preserve"> GJERMANIS</w:t>
      </w:r>
      <w:r>
        <w:t>Ë</w:t>
      </w:r>
    </w:p>
    <w:p w:rsidR="004860FA" w:rsidRPr="00FA7E80" w:rsidRDefault="004860FA" w:rsidP="000D2763">
      <w:pPr>
        <w:pStyle w:val="TitulliTitull"/>
      </w:pPr>
      <w:r w:rsidRPr="00FA7E80">
        <w:t>P</w:t>
      </w:r>
      <w:r>
        <w:t>Ë</w:t>
      </w:r>
      <w:r w:rsidRPr="00FA7E80">
        <w:t>R</w:t>
      </w:r>
      <w:r>
        <w:t xml:space="preserve"> </w:t>
      </w:r>
      <w:r w:rsidRPr="00FA7E80">
        <w:t>HAPJEN E NJ</w:t>
      </w:r>
      <w:r>
        <w:t>Ë</w:t>
      </w:r>
      <w:r w:rsidRPr="00FA7E80">
        <w:t xml:space="preserve"> ZYRE LOKALE T</w:t>
      </w:r>
      <w:r>
        <w:t>Ë</w:t>
      </w:r>
      <w:r w:rsidRPr="00FA7E80">
        <w:t xml:space="preserve"> BASHK</w:t>
      </w:r>
      <w:r>
        <w:t>Ë</w:t>
      </w:r>
      <w:r w:rsidRPr="00FA7E80">
        <w:t>PUNIMIT GJERMAN P</w:t>
      </w:r>
      <w:r>
        <w:t>Ë</w:t>
      </w:r>
      <w:r w:rsidRPr="00FA7E80">
        <w:t>R ZHVILLIM</w:t>
      </w:r>
    </w:p>
    <w:p w:rsidR="004860FA" w:rsidRPr="00FA7E80" w:rsidRDefault="004860FA" w:rsidP="004860FA">
      <w:pPr>
        <w:pStyle w:val="Titulli"/>
      </w:pPr>
    </w:p>
    <w:p w:rsidR="004860FA" w:rsidRDefault="004860FA" w:rsidP="004860FA">
      <w:pPr>
        <w:pStyle w:val="Paragrafi"/>
      </w:pPr>
      <w:r>
        <w:t>Këshilli i Ministrave i Republikës së Shqipërisë dhe Qeveria e Republikës Federale të Gjermanisë,</w:t>
      </w:r>
    </w:p>
    <w:p w:rsidR="004860FA" w:rsidRDefault="004860FA" w:rsidP="004860FA">
      <w:pPr>
        <w:pStyle w:val="Paragrafi"/>
      </w:pPr>
      <w:r w:rsidRPr="004164C2">
        <w:rPr>
          <w:i/>
        </w:rPr>
        <w:t>në frymën</w:t>
      </w:r>
      <w:r>
        <w:t xml:space="preserve"> e marrëdhënieve miqësore ekzistuese ndërmjet Republikës së Shqipërisë dhe Republikës Federale të Gjermanisë;</w:t>
      </w:r>
    </w:p>
    <w:p w:rsidR="004860FA" w:rsidRDefault="004860FA" w:rsidP="004860FA">
      <w:pPr>
        <w:pStyle w:val="Paragrafi"/>
      </w:pPr>
      <w:r w:rsidRPr="004164C2">
        <w:rPr>
          <w:i/>
        </w:rPr>
        <w:t>duke u nisur</w:t>
      </w:r>
      <w:r>
        <w:t xml:space="preserve"> nga dëshira për t’i forcuar dhe thelluar këto mar</w:t>
      </w:r>
      <w:r w:rsidR="00156B5D">
        <w:t>rëdhënie miqësore nëpërmjet bashkëpunimit t</w:t>
      </w:r>
      <w:r>
        <w:t>eknik si partnerë;</w:t>
      </w:r>
    </w:p>
    <w:p w:rsidR="004860FA" w:rsidRDefault="004860FA" w:rsidP="004860FA">
      <w:pPr>
        <w:pStyle w:val="Paragrafi"/>
      </w:pPr>
      <w:r w:rsidRPr="004164C2">
        <w:rPr>
          <w:i/>
        </w:rPr>
        <w:t>të ndërgjegjshëm</w:t>
      </w:r>
      <w:r>
        <w:t xml:space="preserve"> se ruajtja e këtyre marr</w:t>
      </w:r>
      <w:r w:rsidR="000D2763">
        <w:t>ëdhënieve përbën bazën e kësaj M</w:t>
      </w:r>
      <w:r>
        <w:t>arrëveshjeje;</w:t>
      </w:r>
    </w:p>
    <w:p w:rsidR="004860FA" w:rsidRDefault="004860FA" w:rsidP="004860FA">
      <w:pPr>
        <w:pStyle w:val="Paragrafi"/>
      </w:pPr>
      <w:r w:rsidRPr="004164C2">
        <w:rPr>
          <w:i/>
        </w:rPr>
        <w:t>me qëllim</w:t>
      </w:r>
      <w:r>
        <w:t xml:space="preserve"> për të kontribuar në zhvillimin social dhe ekonomik në Republikën e Shqipërisë;</w:t>
      </w:r>
    </w:p>
    <w:p w:rsidR="004860FA" w:rsidRDefault="004860FA" w:rsidP="004860FA">
      <w:pPr>
        <w:pStyle w:val="Paragrafi"/>
      </w:pPr>
      <w:r w:rsidRPr="004164C2">
        <w:rPr>
          <w:i/>
        </w:rPr>
        <w:t>në zbatim</w:t>
      </w:r>
      <w:r>
        <w:t xml:space="preserve"> të marrëveshjes së datës 21 tetor 1988 ndërmjet Qeverisë së Republikës Popullore Socialiste të Shqipërisë dhe Qeverisë së Republikës Federale të Gjermanisë për bashkëpunimin teknik, si dhe duke iu referuar pikës 4 të shënimeve mbi protokollin e konsultimeve ndërqeveritare të datës 23 prill 2008 për përgatitjen e bisedimeve ndërqeveritare të vitit 2008,</w:t>
      </w:r>
    </w:p>
    <w:p w:rsidR="004860FA" w:rsidRDefault="004860FA" w:rsidP="004860FA">
      <w:pPr>
        <w:pStyle w:val="Paragrafi"/>
      </w:pPr>
      <w:r>
        <w:t>u morën vesh si vijon.</w:t>
      </w:r>
    </w:p>
    <w:p w:rsidR="004860FA" w:rsidRDefault="004860FA" w:rsidP="004860FA">
      <w:pPr>
        <w:pStyle w:val="Paragrafi"/>
      </w:pPr>
    </w:p>
    <w:p w:rsidR="004860FA" w:rsidRDefault="004860FA" w:rsidP="004860FA">
      <w:pPr>
        <w:pStyle w:val="NeniNr"/>
      </w:pPr>
      <w:r>
        <w:t>Neni 1</w:t>
      </w:r>
    </w:p>
    <w:p w:rsidR="004860FA" w:rsidRDefault="004860FA" w:rsidP="004860FA">
      <w:pPr>
        <w:pStyle w:val="Paragrafi"/>
      </w:pPr>
    </w:p>
    <w:p w:rsidR="004860FA" w:rsidRDefault="004860FA" w:rsidP="004860FA">
      <w:pPr>
        <w:pStyle w:val="Paragrafi"/>
      </w:pPr>
      <w:r>
        <w:t xml:space="preserve">Këshilli i Ministrave i Republikës së Shqipërisë dhe Qeveria e Republikës Federale të Gjermanisë, me qëllimin e mbështetjes së bashkëpunimit dypalësh ndërmjet dy vendeve, merren vesh </w:t>
      </w:r>
      <w:r>
        <w:lastRenderedPageBreak/>
        <w:t>për hapjen e një zyre lokale të bashkëpunimit dypalësh gjerman në Tiranë (më poshtë e quajtur “zyrë”). Kjo zyrë mund të shfrytëzohet nga të gjitha organizatat zbatuese gjermane, të cilat zhvillojnë aktivitetet e tyre në Republikën e Shqipërisë me porosi të Qeverisë së Republikës Federale të Gjermanisë dhe duke u marrë vesh me Këshillin e Ministrave të Republikës së Shqipërisë.</w:t>
      </w:r>
    </w:p>
    <w:p w:rsidR="004860FA" w:rsidRDefault="004860FA" w:rsidP="004860FA">
      <w:pPr>
        <w:pStyle w:val="Paragrafi"/>
      </w:pPr>
    </w:p>
    <w:p w:rsidR="004860FA" w:rsidRDefault="004860FA" w:rsidP="004860FA">
      <w:pPr>
        <w:pStyle w:val="NeniNr"/>
      </w:pPr>
      <w:r>
        <w:t>Neni 2</w:t>
      </w:r>
    </w:p>
    <w:p w:rsidR="004860FA" w:rsidRDefault="004860FA" w:rsidP="004860FA">
      <w:pPr>
        <w:pStyle w:val="Paragrafi"/>
      </w:pPr>
    </w:p>
    <w:p w:rsidR="004860FA" w:rsidRDefault="004860FA" w:rsidP="004860FA">
      <w:pPr>
        <w:pStyle w:val="Paragrafi"/>
      </w:pPr>
      <w:r>
        <w:t>Zyrës mund t’i jepen detyrat e mëposhtme:</w:t>
      </w:r>
    </w:p>
    <w:p w:rsidR="004860FA" w:rsidRDefault="004860FA" w:rsidP="004860FA">
      <w:pPr>
        <w:pStyle w:val="Paragrafi"/>
      </w:pPr>
      <w:r>
        <w:t>1. Mbështetja për projektet në të gjitha aspektet e zbatimit të tyre.</w:t>
      </w:r>
    </w:p>
    <w:p w:rsidR="004860FA" w:rsidRDefault="004860FA" w:rsidP="004860FA">
      <w:pPr>
        <w:pStyle w:val="Paragrafi"/>
      </w:pPr>
      <w:r>
        <w:t>2. Kryerja e detyrave më të gjera specifike dhe administrative në lidhje me zbatimin e projekteve, me të cilat merren organizatat e përmendura zbatuese me porosi të Qeverisë së Republikës Federale të Gjermanisë.</w:t>
      </w:r>
    </w:p>
    <w:p w:rsidR="004860FA" w:rsidRDefault="004860FA" w:rsidP="004860FA">
      <w:pPr>
        <w:pStyle w:val="Paragrafi"/>
      </w:pPr>
      <w:r>
        <w:t>3. Kryerja e detyrave, të cilat nuk kanë të bëjnë me ndonjë projekt të përcaktuar, por me specifikat e vendit.</w:t>
      </w:r>
    </w:p>
    <w:p w:rsidR="004860FA" w:rsidRDefault="004860FA" w:rsidP="004860FA">
      <w:pPr>
        <w:pStyle w:val="Paragrafi"/>
      </w:pPr>
      <w:r>
        <w:t>4. Përfaqësimi i organizatave zbatuese në vend.</w:t>
      </w:r>
    </w:p>
    <w:p w:rsidR="004860FA" w:rsidRDefault="004860FA" w:rsidP="004860FA">
      <w:pPr>
        <w:pStyle w:val="Paragrafi"/>
      </w:pPr>
    </w:p>
    <w:p w:rsidR="004860FA" w:rsidRDefault="004860FA" w:rsidP="004860FA">
      <w:pPr>
        <w:pStyle w:val="NeniNr"/>
      </w:pPr>
      <w:r>
        <w:t>Neni 3</w:t>
      </w:r>
    </w:p>
    <w:p w:rsidR="004860FA" w:rsidRDefault="004860FA" w:rsidP="004860FA">
      <w:pPr>
        <w:pStyle w:val="Paragrafi"/>
      </w:pPr>
    </w:p>
    <w:p w:rsidR="004860FA" w:rsidRDefault="004860FA" w:rsidP="004860FA">
      <w:pPr>
        <w:pStyle w:val="Paragrafi"/>
      </w:pPr>
      <w:r>
        <w:t>Qeveria e Republikës Federale të Gjermanisë jep kontributet e mëposhtme:</w:t>
      </w:r>
    </w:p>
    <w:p w:rsidR="004860FA" w:rsidRDefault="004860FA" w:rsidP="004860FA">
      <w:pPr>
        <w:pStyle w:val="Paragrafi"/>
      </w:pPr>
      <w:r>
        <w:t>Ajo:</w:t>
      </w:r>
    </w:p>
    <w:p w:rsidR="004860FA" w:rsidRDefault="004860FA" w:rsidP="004860FA">
      <w:pPr>
        <w:pStyle w:val="Paragrafi"/>
      </w:pPr>
      <w:r>
        <w:t>1. merr përsipër të gjitha shpenzimet për investimet në zyrë dhe për funksionimin e saj;</w:t>
      </w:r>
    </w:p>
    <w:p w:rsidR="004860FA" w:rsidRDefault="00B07EF1" w:rsidP="004860FA">
      <w:pPr>
        <w:pStyle w:val="Paragrafi"/>
      </w:pPr>
      <w:r>
        <w:t xml:space="preserve">2. </w:t>
      </w:r>
      <w:r w:rsidR="004860FA">
        <w:t xml:space="preserve">merr përsipër shpenzimet për specialistët e dërguar me qëndrim afatgjatë dhe afatshkurtër, si dhe për punonjësit </w:t>
      </w:r>
      <w:smartTag w:uri="urn:schemas-microsoft-com:office:smarttags" w:element="place">
        <w:smartTag w:uri="urn:schemas-microsoft-com:office:smarttags" w:element="country-region">
          <w:r w:rsidR="004860FA">
            <w:t>vendas</w:t>
          </w:r>
        </w:smartTag>
      </w:smartTag>
      <w:r w:rsidR="004860FA">
        <w:t xml:space="preserve"> që punësohen nga zyra.</w:t>
      </w:r>
    </w:p>
    <w:p w:rsidR="004860FA" w:rsidRDefault="004860FA" w:rsidP="004860FA">
      <w:pPr>
        <w:pStyle w:val="Paragrafi"/>
      </w:pPr>
    </w:p>
    <w:p w:rsidR="004860FA" w:rsidRDefault="004860FA" w:rsidP="004860FA">
      <w:pPr>
        <w:pStyle w:val="NeniNr"/>
      </w:pPr>
      <w:r>
        <w:t>Neni 4</w:t>
      </w:r>
    </w:p>
    <w:p w:rsidR="004860FA" w:rsidRDefault="004860FA" w:rsidP="004860FA">
      <w:pPr>
        <w:pStyle w:val="Paragrafi"/>
      </w:pPr>
    </w:p>
    <w:p w:rsidR="004860FA" w:rsidRDefault="004860FA" w:rsidP="004860FA">
      <w:pPr>
        <w:pStyle w:val="Paragrafi"/>
      </w:pPr>
      <w:r>
        <w:t>Këshilli i Ministrave i Republikës së Shqipër</w:t>
      </w:r>
      <w:r w:rsidR="00D372AA">
        <w:t>isë jep kontributet e mëposhtme:</w:t>
      </w:r>
    </w:p>
    <w:p w:rsidR="004860FA" w:rsidRDefault="004860FA" w:rsidP="004860FA">
      <w:pPr>
        <w:pStyle w:val="Paragrafi"/>
      </w:pPr>
      <w:r>
        <w:t>Ai:</w:t>
      </w:r>
    </w:p>
    <w:p w:rsidR="004860FA" w:rsidRDefault="004860FA" w:rsidP="004860FA">
      <w:pPr>
        <w:pStyle w:val="Paragrafi"/>
      </w:pPr>
      <w:r>
        <w:t xml:space="preserve">1. i çliron livrimet e materialeve dhe </w:t>
      </w:r>
      <w:r w:rsidR="00D372AA">
        <w:t>të</w:t>
      </w:r>
      <w:r w:rsidR="00BD2BF9">
        <w:t xml:space="preserve"> </w:t>
      </w:r>
      <w:r>
        <w:t>automjeteve për zyrën nga licencat, taksat e portit, të importit dhe të eksportit dhe nga tatimet e tjera publike, si dhe nga pag</w:t>
      </w:r>
      <w:r w:rsidR="00B07EF1">
        <w:t>esat për magazinim dhe garanton</w:t>
      </w:r>
      <w:r>
        <w:t xml:space="preserve"> që materialet të zhdoganohen pa vonesë. Çlirimet e përmendura vlejnë me kërkesë të zyrës edhe për materialet e siguruara në Republikën e Shqipërisë;</w:t>
      </w:r>
    </w:p>
    <w:p w:rsidR="004860FA" w:rsidRDefault="004860FA" w:rsidP="004860FA">
      <w:pPr>
        <w:pStyle w:val="Paragrafi"/>
      </w:pPr>
      <w:r>
        <w:t>2. i mbështet kërkesat e zyrës për</w:t>
      </w:r>
      <w:r w:rsidR="00B07EF1">
        <w:t>:</w:t>
      </w:r>
    </w:p>
    <w:p w:rsidR="004860FA" w:rsidRDefault="004860FA" w:rsidP="004860FA">
      <w:pPr>
        <w:pStyle w:val="Paragrafi"/>
      </w:pPr>
      <w:r>
        <w:t>-  pajisje me lidhje telekomunikimi, duke përfshirë radiondërlidhje  dhe lidhje me satelit;</w:t>
      </w:r>
    </w:p>
    <w:p w:rsidR="004860FA" w:rsidRDefault="004860FA" w:rsidP="004860FA">
      <w:pPr>
        <w:pStyle w:val="Paragrafi"/>
      </w:pPr>
      <w:r>
        <w:t xml:space="preserve">- lejet e punës dhe të qëndrimit të specialistëve të dërguar, si dhe për lejet e punës të punonjësve </w:t>
      </w:r>
      <w:smartTag w:uri="urn:schemas-microsoft-com:office:smarttags" w:element="place">
        <w:smartTag w:uri="urn:schemas-microsoft-com:office:smarttags" w:element="country-region">
          <w:r>
            <w:t>vendas</w:t>
          </w:r>
        </w:smartTag>
      </w:smartTag>
      <w:r>
        <w:t xml:space="preserve"> të zyrës;</w:t>
      </w:r>
    </w:p>
    <w:p w:rsidR="004860FA" w:rsidRDefault="004860FA" w:rsidP="004860FA">
      <w:pPr>
        <w:pStyle w:val="Paragrafi"/>
      </w:pPr>
      <w:r>
        <w:t>3. u garanton specialistëve të dërguar të organizatave zbatuese dhe pjesëtarëve të familjeve të tyre, të cilët bëjnë pjesë të ekonomisë familjare, të gjitha të drejtat në përputhje me marrëveshjen e lartpërmendur të datës 21 tetor 1988;</w:t>
      </w:r>
    </w:p>
    <w:p w:rsidR="004860FA" w:rsidRDefault="004860FA" w:rsidP="004860FA">
      <w:pPr>
        <w:pStyle w:val="Paragrafi"/>
      </w:pPr>
      <w:r>
        <w:t>4. e çliron zyrën nga taksat dhe tatimet publike në Republikën e Shqipërisë.</w:t>
      </w:r>
    </w:p>
    <w:p w:rsidR="004860FA" w:rsidRDefault="004860FA" w:rsidP="004860FA">
      <w:pPr>
        <w:pStyle w:val="Paragrafi"/>
      </w:pPr>
    </w:p>
    <w:p w:rsidR="004860FA" w:rsidRDefault="004860FA" w:rsidP="004860FA">
      <w:pPr>
        <w:pStyle w:val="NeniNr"/>
      </w:pPr>
      <w:r>
        <w:t>Neni 5</w:t>
      </w:r>
    </w:p>
    <w:p w:rsidR="004860FA" w:rsidRDefault="004860FA" w:rsidP="004860FA">
      <w:pPr>
        <w:pStyle w:val="Paragrafi"/>
      </w:pPr>
    </w:p>
    <w:p w:rsidR="004860FA" w:rsidRDefault="004860FA" w:rsidP="004860FA">
      <w:pPr>
        <w:pStyle w:val="Paragrafi"/>
      </w:pPr>
      <w:r>
        <w:t>Materialet e livruara për zyrën, duke përfshirë automjetet, mbeten pronë e organizatave zbatuese gjermane. Në çastin e shpërndarjes së zyrës, ato do të kalojnë në pronë të Republikës së Shqipërisë.</w:t>
      </w:r>
    </w:p>
    <w:p w:rsidR="004860FA" w:rsidRDefault="004860FA" w:rsidP="004860FA">
      <w:pPr>
        <w:pStyle w:val="Paragrafi"/>
      </w:pPr>
    </w:p>
    <w:p w:rsidR="004C42D6" w:rsidRDefault="004C42D6" w:rsidP="004860FA">
      <w:pPr>
        <w:pStyle w:val="Paragrafi"/>
      </w:pPr>
    </w:p>
    <w:p w:rsidR="004860FA" w:rsidRDefault="004860FA" w:rsidP="004860FA">
      <w:pPr>
        <w:pStyle w:val="NeniNr"/>
      </w:pPr>
      <w:r>
        <w:t>Neni 6</w:t>
      </w:r>
    </w:p>
    <w:p w:rsidR="004860FA" w:rsidRDefault="004860FA" w:rsidP="004860FA">
      <w:pPr>
        <w:pStyle w:val="Paragrafi"/>
      </w:pPr>
    </w:p>
    <w:p w:rsidR="004860FA" w:rsidRDefault="004860FA" w:rsidP="004860FA">
      <w:pPr>
        <w:pStyle w:val="Paragrafi"/>
      </w:pPr>
      <w:r>
        <w:t>Emërimi i organizatave zbatuese:</w:t>
      </w:r>
    </w:p>
    <w:p w:rsidR="004860FA" w:rsidRDefault="004860FA" w:rsidP="004860FA">
      <w:pPr>
        <w:pStyle w:val="Paragrafi"/>
      </w:pPr>
      <w:r>
        <w:t>1. Qeveria e Republikës Federale jep kontributet e saj nëpërmjet organizatave zbatuese të përmendura në nenin 1.</w:t>
      </w:r>
    </w:p>
    <w:p w:rsidR="004860FA" w:rsidRDefault="004860FA" w:rsidP="004860FA">
      <w:pPr>
        <w:pStyle w:val="Paragrafi"/>
      </w:pPr>
      <w:r>
        <w:t>2. Bashkëbiseduesi shqiptar për organizatat zbatuese është Këshilli i Ministrave i Republikës së Shqipërisë.</w:t>
      </w:r>
    </w:p>
    <w:p w:rsidR="004860FA" w:rsidRDefault="004860FA" w:rsidP="004860FA">
      <w:pPr>
        <w:pStyle w:val="Paragrafi"/>
      </w:pPr>
    </w:p>
    <w:p w:rsidR="004860FA" w:rsidRDefault="004860FA" w:rsidP="004860FA">
      <w:pPr>
        <w:pStyle w:val="NeniNr"/>
      </w:pPr>
      <w:r>
        <w:t>Neni 7</w:t>
      </w:r>
    </w:p>
    <w:p w:rsidR="004860FA" w:rsidRDefault="004860FA" w:rsidP="004860FA">
      <w:pPr>
        <w:pStyle w:val="Paragrafi"/>
      </w:pPr>
    </w:p>
    <w:p w:rsidR="004860FA" w:rsidRDefault="004860FA" w:rsidP="004860FA">
      <w:pPr>
        <w:pStyle w:val="Paragrafi"/>
      </w:pPr>
      <w:r>
        <w:t>Kjo marrëveshje vlen për një afat trevjeçar dhe do të zgjatet çdo herë për dy vjet, në qoftë se ajo nuk anulohet me shkrim nga një palë kontraktuese gjashtë muaj para mbarimit të afatit aktual të vlefshmërisë.</w:t>
      </w:r>
    </w:p>
    <w:p w:rsidR="004860FA" w:rsidRDefault="004860FA" w:rsidP="004860FA">
      <w:pPr>
        <w:pStyle w:val="Paragrafi"/>
      </w:pPr>
    </w:p>
    <w:p w:rsidR="004860FA" w:rsidRDefault="004860FA" w:rsidP="004860FA">
      <w:pPr>
        <w:pStyle w:val="NeniNr"/>
      </w:pPr>
      <w:r>
        <w:t>Neni 8</w:t>
      </w:r>
    </w:p>
    <w:p w:rsidR="004860FA" w:rsidRDefault="004860FA" w:rsidP="004860FA">
      <w:pPr>
        <w:pStyle w:val="Paragrafi"/>
      </w:pPr>
    </w:p>
    <w:p w:rsidR="004860FA" w:rsidRDefault="004860FA" w:rsidP="004860FA">
      <w:pPr>
        <w:pStyle w:val="Paragrafi"/>
      </w:pPr>
      <w:r>
        <w:t>Përveç kësaj edhe për këtë marrëveshje janë të vlefshme dispozitat e marrëveshjes së lartpërmendur të datës 21 tetor 1988.</w:t>
      </w:r>
    </w:p>
    <w:p w:rsidR="004860FA" w:rsidRDefault="004860FA" w:rsidP="004860FA">
      <w:pPr>
        <w:pStyle w:val="Paragrafi"/>
      </w:pPr>
    </w:p>
    <w:p w:rsidR="004860FA" w:rsidRDefault="004860FA" w:rsidP="004860FA">
      <w:pPr>
        <w:pStyle w:val="NeniNr"/>
      </w:pPr>
      <w:r>
        <w:t>Neni 9</w:t>
      </w:r>
    </w:p>
    <w:p w:rsidR="004860FA" w:rsidRDefault="004860FA" w:rsidP="004860FA">
      <w:pPr>
        <w:pStyle w:val="Paragrafi"/>
      </w:pPr>
    </w:p>
    <w:p w:rsidR="004860FA" w:rsidRDefault="004860FA" w:rsidP="004860FA">
      <w:pPr>
        <w:pStyle w:val="Paragrafi"/>
      </w:pPr>
      <w:r>
        <w:t>Kjo marrëveshje hyn në fuqi në ditën kur Këshilli i Ministrave i Republikës së Shqipërisë i njofton Qeverisë së Republikës Federale të Gjermanisë se janë përmbushur kushtet brendashtetërore për hyrjen e saj në fuqi. Përcaktuese është dita e marrjes së njoftimit.</w:t>
      </w:r>
    </w:p>
    <w:p w:rsidR="004860FA" w:rsidRDefault="004860FA" w:rsidP="004860FA">
      <w:pPr>
        <w:pStyle w:val="Paragrafi"/>
      </w:pPr>
    </w:p>
    <w:p w:rsidR="004860FA" w:rsidRDefault="004860FA" w:rsidP="004860FA">
      <w:pPr>
        <w:pStyle w:val="Paragrafi"/>
      </w:pPr>
      <w:r>
        <w:t>Bërë në Tiranë më datë 23 tetor 2008 në dy origjinale, secili në gjuhën shqipe dhe gjermane, duke pasur secili tekst fuqi të barabartë</w:t>
      </w:r>
      <w:r w:rsidR="00594F5F">
        <w:t>.</w:t>
      </w:r>
    </w:p>
    <w:p w:rsidR="00FF3B8C" w:rsidRDefault="00FF3B8C" w:rsidP="00FF3B8C">
      <w:pPr>
        <w:pStyle w:val="Paragrafi"/>
      </w:pPr>
    </w:p>
    <w:p w:rsidR="00CD569F" w:rsidRDefault="00CD569F" w:rsidP="00FF3B8C">
      <w:pPr>
        <w:pStyle w:val="Paragrafi"/>
      </w:pPr>
    </w:p>
    <w:p w:rsidR="00FF3B8C" w:rsidRPr="00FF3B8C" w:rsidRDefault="00FF3B8C" w:rsidP="001064E9">
      <w:pPr>
        <w:pStyle w:val="Akti"/>
      </w:pPr>
      <w:r>
        <w:t>LIG</w:t>
      </w:r>
      <w:r w:rsidRPr="00FF3B8C">
        <w:t>J</w:t>
      </w:r>
    </w:p>
    <w:p w:rsidR="00FF3B8C" w:rsidRPr="00FF3B8C" w:rsidRDefault="00FF3B8C" w:rsidP="001064E9">
      <w:pPr>
        <w:pStyle w:val="NumriData"/>
      </w:pPr>
      <w:r w:rsidRPr="00FF3B8C">
        <w:t>Nr.10 021, datë 24.11.2008</w:t>
      </w:r>
    </w:p>
    <w:p w:rsidR="00FF3B8C" w:rsidRPr="00FF3B8C" w:rsidRDefault="00FF3B8C" w:rsidP="00FF3B8C">
      <w:pPr>
        <w:pStyle w:val="Paragrafi"/>
      </w:pPr>
    </w:p>
    <w:p w:rsidR="00FF3B8C" w:rsidRPr="00FF3B8C" w:rsidRDefault="00FF3B8C" w:rsidP="001064E9">
      <w:pPr>
        <w:pStyle w:val="Titulli"/>
      </w:pPr>
      <w:r w:rsidRPr="00FF3B8C">
        <w:t>PËR RATIFIKIMIN E “MARRËVESHJES DHE PROTOKOLLIT BASHKËLIDHUR NDËRMJET KËSHILLIT TË MINISTRAVE TË REPUBLIKËS SË SHQIPËRISË DHE KËSHILLIT FEDERAL ZVICERAN PËR TRANSPORTIN NDËRKOMBËTAR RRUGOR TË UDHËTARËVE DHE TË MALLRAVE”</w:t>
      </w:r>
    </w:p>
    <w:p w:rsidR="00FF3B8C" w:rsidRPr="00FF3B8C" w:rsidRDefault="00FF3B8C" w:rsidP="00FF3B8C">
      <w:pPr>
        <w:pStyle w:val="Paragrafi"/>
        <w:ind w:firstLine="0"/>
      </w:pPr>
    </w:p>
    <w:p w:rsidR="00FF3B8C" w:rsidRPr="00FF3B8C" w:rsidRDefault="00FF3B8C" w:rsidP="001064E9">
      <w:pPr>
        <w:pStyle w:val="BazLigjPropozues0"/>
      </w:pPr>
      <w:r w:rsidRPr="00FF3B8C">
        <w:t xml:space="preserve">Në mbështetje të neneve 78, 83 pika 1 dhe 121 të Kushtetutës, me propozimin e Këshillit të Ministrave, </w:t>
      </w:r>
    </w:p>
    <w:p w:rsidR="00FF3B8C" w:rsidRPr="00FF3B8C" w:rsidRDefault="00FF3B8C" w:rsidP="00FF3B8C">
      <w:pPr>
        <w:pStyle w:val="Paragrafi"/>
        <w:ind w:firstLine="0"/>
      </w:pPr>
    </w:p>
    <w:p w:rsidR="00FF3B8C" w:rsidRPr="00FF3B8C" w:rsidRDefault="00FF3B8C" w:rsidP="001064E9">
      <w:pPr>
        <w:pStyle w:val="Institucioni"/>
      </w:pPr>
      <w:r>
        <w:t>KUVEND</w:t>
      </w:r>
      <w:r w:rsidRPr="00FF3B8C">
        <w:t>I</w:t>
      </w:r>
    </w:p>
    <w:p w:rsidR="00FF3B8C" w:rsidRPr="00FF3B8C" w:rsidRDefault="00FF3B8C" w:rsidP="001064E9">
      <w:pPr>
        <w:pStyle w:val="Institucioni"/>
      </w:pPr>
      <w:r w:rsidRPr="00FF3B8C">
        <w:t>I REPUBLIKËS SË SHQIPËRISË</w:t>
      </w:r>
    </w:p>
    <w:p w:rsidR="00FF3B8C" w:rsidRPr="00FF3B8C" w:rsidRDefault="00FF3B8C" w:rsidP="00FF3B8C">
      <w:pPr>
        <w:pStyle w:val="Paragrafi"/>
      </w:pPr>
    </w:p>
    <w:p w:rsidR="00FF3B8C" w:rsidRPr="00FF3B8C" w:rsidRDefault="00FF3B8C" w:rsidP="001064E9">
      <w:pPr>
        <w:pStyle w:val="VENDOSI"/>
      </w:pPr>
      <w:r>
        <w:t>VENDOS</w:t>
      </w:r>
      <w:r w:rsidRPr="00FF3B8C">
        <w:t>I:</w:t>
      </w:r>
    </w:p>
    <w:p w:rsidR="00FF3B8C" w:rsidRPr="00FF3B8C" w:rsidRDefault="00FF3B8C" w:rsidP="00FF3B8C">
      <w:pPr>
        <w:pStyle w:val="Paragrafi"/>
      </w:pPr>
    </w:p>
    <w:p w:rsidR="00FF3B8C" w:rsidRPr="00FF3B8C" w:rsidRDefault="00FF3B8C" w:rsidP="001064E9">
      <w:pPr>
        <w:pStyle w:val="NeniNr"/>
      </w:pPr>
      <w:r w:rsidRPr="00FF3B8C">
        <w:t>Neni 1</w:t>
      </w:r>
    </w:p>
    <w:p w:rsidR="00FF3B8C" w:rsidRPr="00FF3B8C" w:rsidRDefault="00FF3B8C" w:rsidP="00FF3B8C">
      <w:pPr>
        <w:pStyle w:val="Paragrafi"/>
      </w:pPr>
    </w:p>
    <w:p w:rsidR="00FF3B8C" w:rsidRPr="00FF3B8C" w:rsidRDefault="00FF3B8C" w:rsidP="00FF3B8C">
      <w:pPr>
        <w:pStyle w:val="Paragrafi"/>
      </w:pPr>
      <w:r w:rsidRPr="00FF3B8C">
        <w:t>Ratifikohet “Marrëveshja dhe protokolli bashkëlidhur ndërmjet Këshillit të Ministrave të Republikës së Shqipërisë dhe Këshillit Federal Zviceran për transportin ndërkombëtar rrugor të udhëtarëve dhe të mallrave”.</w:t>
      </w:r>
    </w:p>
    <w:p w:rsidR="00FF3B8C" w:rsidRDefault="00FF3B8C" w:rsidP="00FF3B8C">
      <w:pPr>
        <w:pStyle w:val="Paragrafi"/>
      </w:pPr>
    </w:p>
    <w:p w:rsidR="00FB7FA5" w:rsidRPr="00FF3B8C" w:rsidRDefault="00FB7FA5" w:rsidP="00FF3B8C">
      <w:pPr>
        <w:pStyle w:val="Paragrafi"/>
      </w:pPr>
    </w:p>
    <w:p w:rsidR="00FF3B8C" w:rsidRPr="00FF3B8C" w:rsidRDefault="00FF3B8C" w:rsidP="001064E9">
      <w:pPr>
        <w:pStyle w:val="NeniNr"/>
      </w:pPr>
      <w:r w:rsidRPr="00FF3B8C">
        <w:t>Neni 2</w:t>
      </w:r>
    </w:p>
    <w:p w:rsidR="00FF3B8C" w:rsidRPr="00FF3B8C" w:rsidRDefault="00FF3B8C" w:rsidP="00FF3B8C">
      <w:pPr>
        <w:pStyle w:val="Paragrafi"/>
      </w:pPr>
    </w:p>
    <w:p w:rsidR="00FF3B8C" w:rsidRPr="00FF3B8C" w:rsidRDefault="00FF3B8C" w:rsidP="00FF3B8C">
      <w:pPr>
        <w:pStyle w:val="Paragrafi"/>
      </w:pPr>
      <w:r w:rsidRPr="00FF3B8C">
        <w:t>Ky ligj hyn në fuqi 15 ditë pas botimit në Fletoren Zyrtare.</w:t>
      </w:r>
    </w:p>
    <w:p w:rsidR="00FF3B8C" w:rsidRPr="00FF3B8C" w:rsidRDefault="00FF3B8C" w:rsidP="00FF3B8C">
      <w:pPr>
        <w:pStyle w:val="Paragrafi"/>
      </w:pPr>
    </w:p>
    <w:p w:rsidR="001064E9" w:rsidRDefault="001064E9" w:rsidP="001064E9">
      <w:pPr>
        <w:pStyle w:val="Shpallja"/>
        <w:rPr>
          <w:sz w:val="23"/>
          <w:szCs w:val="23"/>
        </w:rPr>
      </w:pPr>
      <w:r w:rsidRPr="00B81AC6">
        <w:rPr>
          <w:sz w:val="23"/>
          <w:szCs w:val="23"/>
        </w:rPr>
        <w:t>Shpallur me dekretin nr.</w:t>
      </w:r>
      <w:r>
        <w:rPr>
          <w:sz w:val="23"/>
          <w:szCs w:val="23"/>
        </w:rPr>
        <w:t>5972, datë 12.12</w:t>
      </w:r>
      <w:r w:rsidRPr="00B81AC6">
        <w:rPr>
          <w:sz w:val="23"/>
          <w:szCs w:val="23"/>
        </w:rPr>
        <w:t>.2008</w:t>
      </w:r>
      <w:r>
        <w:rPr>
          <w:sz w:val="23"/>
          <w:szCs w:val="23"/>
        </w:rPr>
        <w:t xml:space="preserve"> </w:t>
      </w:r>
      <w:r w:rsidRPr="00B81AC6">
        <w:rPr>
          <w:sz w:val="23"/>
          <w:szCs w:val="23"/>
        </w:rPr>
        <w:t xml:space="preserve">të Presidentit të Republikës së Shqipërisë, </w:t>
      </w:r>
    </w:p>
    <w:p w:rsidR="001064E9" w:rsidRPr="00B81AC6" w:rsidRDefault="001064E9" w:rsidP="001064E9">
      <w:pPr>
        <w:pStyle w:val="Shpallja"/>
        <w:rPr>
          <w:sz w:val="23"/>
          <w:szCs w:val="23"/>
        </w:rPr>
      </w:pPr>
      <w:r w:rsidRPr="00B81AC6">
        <w:rPr>
          <w:sz w:val="23"/>
          <w:szCs w:val="23"/>
        </w:rPr>
        <w:t>Bamir Topi</w:t>
      </w:r>
    </w:p>
    <w:p w:rsidR="00FF3B8C" w:rsidRPr="00FF3B8C" w:rsidRDefault="00FF3B8C" w:rsidP="00FF3B8C">
      <w:pPr>
        <w:pStyle w:val="Paragrafi"/>
      </w:pPr>
    </w:p>
    <w:p w:rsidR="004860FA" w:rsidRDefault="004860FA" w:rsidP="004860FA">
      <w:pPr>
        <w:pStyle w:val="NumriData"/>
      </w:pPr>
    </w:p>
    <w:p w:rsidR="006A7047" w:rsidRDefault="004860FA" w:rsidP="004860FA">
      <w:pPr>
        <w:pStyle w:val="Titulli"/>
      </w:pPr>
      <w:r w:rsidRPr="006A7047">
        <w:t>MARRËVESHJE</w:t>
      </w:r>
      <w:r>
        <w:t xml:space="preserve"> </w:t>
      </w:r>
    </w:p>
    <w:p w:rsidR="004860FA" w:rsidRDefault="004860FA" w:rsidP="006A7047">
      <w:pPr>
        <w:pStyle w:val="TitulliTitull"/>
      </w:pPr>
      <w:r>
        <w:t>PËR TRANSPORTIN NDËRKOMBËTAR RRUGOR TË UDHËTARËVE DHE MALL</w:t>
      </w:r>
      <w:smartTag w:uri="urn:schemas-microsoft-com:office:smarttags" w:element="stockticker">
        <w:r>
          <w:t>RAVE</w:t>
        </w:r>
      </w:smartTag>
      <w:r>
        <w:t xml:space="preserve"> </w:t>
      </w:r>
      <w:r>
        <w:lastRenderedPageBreak/>
        <w:t>NDËRMJET KËSHILLIT TË MINIST</w:t>
      </w:r>
      <w:smartTag w:uri="urn:schemas-microsoft-com:office:smarttags" w:element="stockticker">
        <w:r>
          <w:t>RAVE</w:t>
        </w:r>
      </w:smartTag>
      <w:r>
        <w:t xml:space="preserve"> TË REPUBLIKËS SË SHQIPËRISË DHE KËSHILLIT FEDERAL ZVICERAN</w:t>
      </w:r>
    </w:p>
    <w:p w:rsidR="004860FA" w:rsidRDefault="004860FA" w:rsidP="004860FA">
      <w:pPr>
        <w:pStyle w:val="Paragrafi"/>
      </w:pPr>
    </w:p>
    <w:p w:rsidR="004860FA" w:rsidRDefault="004860FA" w:rsidP="004860FA">
      <w:pPr>
        <w:pStyle w:val="Paragrafi"/>
      </w:pPr>
      <w:r>
        <w:t>Këshilli i Ministrave i Republikës së Shqipërisë dhe Këshilli Federal Zviceran, që më poshtë do të quhen Palë Kontraktuese, me dëshirën për të lehtësuar transportin rrugor të udhëtarëve dhe mallrave mes dy vendeve, si dhe kalimin tranzit përmes territoreve të tyre, kanë rënë dakord si më poshtë.</w:t>
      </w:r>
    </w:p>
    <w:p w:rsidR="004860FA" w:rsidRDefault="004860FA" w:rsidP="004860FA">
      <w:pPr>
        <w:pStyle w:val="Paragrafi"/>
      </w:pPr>
    </w:p>
    <w:p w:rsidR="004860FA" w:rsidRDefault="004860FA" w:rsidP="004860FA">
      <w:pPr>
        <w:pStyle w:val="NeniNr"/>
      </w:pPr>
      <w:r>
        <w:t>Neni 1</w:t>
      </w:r>
    </w:p>
    <w:p w:rsidR="004860FA" w:rsidRDefault="004860FA" w:rsidP="004860FA">
      <w:pPr>
        <w:pStyle w:val="NeniTitull"/>
      </w:pPr>
      <w:r>
        <w:t>Objekti</w:t>
      </w:r>
    </w:p>
    <w:p w:rsidR="004860FA" w:rsidRDefault="004860FA" w:rsidP="004860FA">
      <w:pPr>
        <w:pStyle w:val="Paragrafi"/>
      </w:pPr>
    </w:p>
    <w:p w:rsidR="004860FA" w:rsidRDefault="004860FA" w:rsidP="004860FA">
      <w:pPr>
        <w:pStyle w:val="Paragrafi"/>
      </w:pPr>
      <w:r>
        <w:t>Dispozitat e kësaj Marrëveshjeje gjejnë zbatim për transportin e udhëtarëve dhe mallrave, origjina e të cilave ose destinacioni i itinerarit të transportit ndodhet në terr</w:t>
      </w:r>
      <w:r w:rsidR="0069543E">
        <w:t>itorin e shtetit të njërës nga palët k</w:t>
      </w:r>
      <w:r>
        <w:t>ontraktuese, me anë të mjeteve të transportit të regjistru</w:t>
      </w:r>
      <w:r w:rsidR="003F7857">
        <w:t>ara në territorin e shtetit të p</w:t>
      </w:r>
      <w:r>
        <w:t>alës tjetër Kontraktuese.</w:t>
      </w:r>
    </w:p>
    <w:p w:rsidR="004860FA" w:rsidRDefault="004860FA" w:rsidP="004860FA">
      <w:pPr>
        <w:pStyle w:val="Paragrafi"/>
      </w:pPr>
    </w:p>
    <w:p w:rsidR="004860FA" w:rsidRDefault="004860FA" w:rsidP="004860FA">
      <w:pPr>
        <w:pStyle w:val="NeniNr"/>
      </w:pPr>
      <w:r>
        <w:t>Neni 2</w:t>
      </w:r>
    </w:p>
    <w:p w:rsidR="004860FA" w:rsidRDefault="004860FA" w:rsidP="004860FA">
      <w:pPr>
        <w:pStyle w:val="NeniTitull"/>
      </w:pPr>
      <w:r>
        <w:t>Përkufizime</w:t>
      </w:r>
    </w:p>
    <w:p w:rsidR="004860FA" w:rsidRDefault="004860FA" w:rsidP="004860FA">
      <w:pPr>
        <w:pStyle w:val="Paragrafi"/>
      </w:pPr>
    </w:p>
    <w:p w:rsidR="004860FA" w:rsidRDefault="004860FA" w:rsidP="004860FA">
      <w:pPr>
        <w:pStyle w:val="Paragrafi"/>
      </w:pPr>
      <w:r>
        <w:t>1. Termi “transportues” nënkupton një person fizik ose jurdik me banim në Zvicër ose në Shqipëri, i cili autorizohet në bazë të ligjeve në fuqi në vendet përkatëse që të kryejë transport rrugor të udhëtarëve dhe mallrave.</w:t>
      </w:r>
    </w:p>
    <w:p w:rsidR="004860FA" w:rsidRDefault="004860FA" w:rsidP="004860FA">
      <w:pPr>
        <w:pStyle w:val="Paragrafi"/>
      </w:pPr>
      <w:r>
        <w:t>2. Termi “mjet” nënkupton një mjet rrugor, me shtytje mekanike dhe, nëse ka, rimorkio ose gjysmërimorkio, i cili është projektuar për transportin e:</w:t>
      </w:r>
    </w:p>
    <w:p w:rsidR="004860FA" w:rsidRDefault="004860FA" w:rsidP="004860FA">
      <w:pPr>
        <w:pStyle w:val="Paragrafi"/>
      </w:pPr>
      <w:r>
        <w:t>a) mbi nëntë udhëtarëve të ulur, përfshirë drejtuesin e mjetit; ose</w:t>
      </w:r>
    </w:p>
    <w:p w:rsidR="004860FA" w:rsidRDefault="004860FA" w:rsidP="004860FA">
      <w:pPr>
        <w:pStyle w:val="Paragrafi"/>
      </w:pPr>
      <w:r>
        <w:t>b) mallrave.</w:t>
      </w:r>
    </w:p>
    <w:p w:rsidR="004860FA" w:rsidRDefault="004860FA" w:rsidP="004860FA">
      <w:pPr>
        <w:pStyle w:val="Paragrafi"/>
      </w:pPr>
      <w:r>
        <w:t>3. Termi “autorizim” nënkupton çdo licencë, koncesion ose leje që kërkohet nga legjislacioni në fuqi në shtetin e secilës nga Palët Kontraktuese.</w:t>
      </w:r>
    </w:p>
    <w:p w:rsidR="004860FA" w:rsidRDefault="004860FA" w:rsidP="004860FA">
      <w:pPr>
        <w:pStyle w:val="Paragrafi"/>
      </w:pPr>
    </w:p>
    <w:p w:rsidR="004860FA" w:rsidRDefault="004860FA" w:rsidP="004860FA">
      <w:pPr>
        <w:pStyle w:val="NeniNr"/>
      </w:pPr>
      <w:r>
        <w:t>Neni 3</w:t>
      </w:r>
    </w:p>
    <w:p w:rsidR="004860FA" w:rsidRDefault="004860FA" w:rsidP="004860FA">
      <w:pPr>
        <w:pStyle w:val="NeniTitull"/>
      </w:pPr>
      <w:r>
        <w:t>Transporti i udhëtarëve</w:t>
      </w:r>
    </w:p>
    <w:p w:rsidR="004860FA" w:rsidRDefault="004860FA" w:rsidP="004860FA">
      <w:pPr>
        <w:pStyle w:val="Paragrafi"/>
      </w:pPr>
    </w:p>
    <w:p w:rsidR="004860FA" w:rsidRDefault="004860FA" w:rsidP="004860FA">
      <w:pPr>
        <w:pStyle w:val="Paragrafi"/>
      </w:pPr>
      <w:r>
        <w:t>1. Transporti i rastit i udhëtarëve në kushtet e mëposhtme përjashtohet nga autorizimi:</w:t>
      </w:r>
    </w:p>
    <w:p w:rsidR="004860FA" w:rsidRDefault="004860FA" w:rsidP="004860FA">
      <w:pPr>
        <w:pStyle w:val="Paragrafi"/>
      </w:pPr>
      <w:r>
        <w:t>transporti i personave të njëjtë me të njëjtin mjet transporti, gjatë gjithë udhëtimit, pikat e origjinës dhe destinacionit të të cilit gjenden në territorin e shtetit të Palës Kontraktuese, ku mjeti është i regjistruar, dhe gjatë udhëtimit ose në ndalesa jashtë vendit në fjalë udhëtarët nuk hipin apo nuk zbresin nga mjeti i transportit (udh</w:t>
      </w:r>
      <w:r w:rsidR="003F7857">
        <w:t>ëtime me dyer të mbyllura), ose</w:t>
      </w:r>
    </w:p>
    <w:p w:rsidR="004860FA" w:rsidRDefault="004860FA" w:rsidP="004860FA">
      <w:pPr>
        <w:pStyle w:val="Paragrafi"/>
      </w:pPr>
      <w:r>
        <w:t>transporti i një grupi njerëzish nga një pikë në vendin ku mjeti është i regjistruar, në një pikë në territorin e shtetit të Palës tjetër Kontraktuese, me kusht që mjeti të largohet nga territori i shtetit të Palës së dytë Kontraktuese pa udhëtarë, ose,</w:t>
      </w:r>
    </w:p>
    <w:p w:rsidR="00D64389" w:rsidRDefault="00D64389" w:rsidP="004860FA">
      <w:pPr>
        <w:pStyle w:val="Paragrafi"/>
      </w:pPr>
    </w:p>
    <w:p w:rsidR="00D64389" w:rsidRDefault="00D64389" w:rsidP="004860FA">
      <w:pPr>
        <w:pStyle w:val="Paragrafi"/>
      </w:pPr>
    </w:p>
    <w:p w:rsidR="004860FA" w:rsidRDefault="004860FA" w:rsidP="004860FA">
      <w:pPr>
        <w:pStyle w:val="Paragrafi"/>
      </w:pPr>
      <w:r>
        <w:t>transporti i një grupi njerëzish nga një pikë në territorin e shtetit të Palës tjetër Kontraktuese në një pikë në vendin ku mjeti është i regjistruar, me kusht që shërbimi të paraprihet nga një udhëtim në kthim pa udhëtarë dhe që udhëtarët:</w:t>
      </w:r>
    </w:p>
    <w:p w:rsidR="004860FA" w:rsidRDefault="004860FA" w:rsidP="004860FA">
      <w:pPr>
        <w:pStyle w:val="Paragrafi"/>
      </w:pPr>
      <w:r>
        <w:t>- të jenë të grupuar në bazë të kontratave për transportin, të cilat lidhen përpara mbërritjes së tyre në vendin ku janë marrë, ose</w:t>
      </w:r>
    </w:p>
    <w:p w:rsidR="004860FA" w:rsidRDefault="004860FA" w:rsidP="004860FA">
      <w:pPr>
        <w:pStyle w:val="Paragrafi"/>
      </w:pPr>
      <w:r>
        <w:t>- të jenë sjellë më parë nga i njëjti transportues, në kushtet që përmenden në germën “b” të këtij neni, në vendin ku janë marrë sërish dhe janë transportuar jashtë këtij vendi, ose</w:t>
      </w:r>
    </w:p>
    <w:p w:rsidR="004860FA" w:rsidRDefault="004860FA" w:rsidP="004860FA">
      <w:pPr>
        <w:pStyle w:val="Paragrafi"/>
      </w:pPr>
      <w:r>
        <w:t>- të kenë pasur ftesë për të udhëtuar në territorin e shtetit të Palës tjetër Kontraktuese dhe shpenzimet e transportit të mbulohen nga pritësi. Udhëtarët formojnë një grup homogjen, i cili nuk formohet vetëm për qëllimin e udhëtimit,</w:t>
      </w:r>
    </w:p>
    <w:p w:rsidR="004860FA" w:rsidRDefault="004860FA" w:rsidP="004860FA">
      <w:pPr>
        <w:pStyle w:val="Paragrafi"/>
      </w:pPr>
      <w:r>
        <w:t>udhëtimet tranzit përmes territorit të shtetit të Palës tjetër Kontraktuese.</w:t>
      </w:r>
    </w:p>
    <w:p w:rsidR="004860FA" w:rsidRDefault="004860FA" w:rsidP="004860FA">
      <w:pPr>
        <w:pStyle w:val="Paragrafi"/>
      </w:pPr>
      <w:r>
        <w:t>Transporti i udhëtarëve që plotëson kushtet e mëposhtme, përjashtohet nga autorizimi:</w:t>
      </w:r>
    </w:p>
    <w:p w:rsidR="004860FA" w:rsidRDefault="004860FA" w:rsidP="004860FA">
      <w:pPr>
        <w:pStyle w:val="Paragrafi"/>
      </w:pPr>
      <w:r>
        <w:t xml:space="preserve">- Shërbimi vajtje-ardhje me akomodim, tranzit, përmes ose drejtpërsëdrejti, në territorin e </w:t>
      </w:r>
      <w:r>
        <w:lastRenderedPageBreak/>
        <w:t>Shtetit të Palës tjetër Kontraktuese, dhe</w:t>
      </w:r>
    </w:p>
    <w:p w:rsidR="004860FA" w:rsidRDefault="004860FA" w:rsidP="004860FA">
      <w:pPr>
        <w:pStyle w:val="Paragrafi"/>
      </w:pPr>
      <w:r>
        <w:t>- udhëtimet pa ngarkesë të mjeteve, të cilat përdoren lidhur me shërbimet vajtje-ardhje.</w:t>
      </w:r>
    </w:p>
    <w:p w:rsidR="004860FA" w:rsidRDefault="004860FA" w:rsidP="004860FA">
      <w:pPr>
        <w:pStyle w:val="Paragrafi"/>
      </w:pPr>
      <w:r>
        <w:t>Shërbimet e përcaktuara në paragrafët 1 dhe 2 të këtij neni kryhen sipas një dokumenti kontrolli.</w:t>
      </w:r>
    </w:p>
    <w:p w:rsidR="004860FA" w:rsidRDefault="004860FA" w:rsidP="004860FA">
      <w:pPr>
        <w:pStyle w:val="Paragrafi"/>
      </w:pPr>
      <w:r>
        <w:t>Për lloje të tjera transporti, përveç atyre që përmenden në paragrafët 1 dhe 2 të këtij neni, autorizimet janë të detyrueshme në përputhje me ligjet dhe rregullat e vendit të Palëve Kontraktuese. Autorizimet jepen në bazë të parimit të reciprocitetit.</w:t>
      </w:r>
    </w:p>
    <w:p w:rsidR="004860FA" w:rsidRPr="009B71F2" w:rsidRDefault="004860FA" w:rsidP="004860FA">
      <w:pPr>
        <w:pStyle w:val="Paragrafi"/>
        <w:rPr>
          <w:sz w:val="14"/>
        </w:rPr>
      </w:pPr>
    </w:p>
    <w:p w:rsidR="004860FA" w:rsidRDefault="004860FA" w:rsidP="004860FA">
      <w:pPr>
        <w:pStyle w:val="NeniNr"/>
      </w:pPr>
      <w:r>
        <w:t>Neni 4</w:t>
      </w:r>
    </w:p>
    <w:p w:rsidR="004860FA" w:rsidRDefault="004860FA" w:rsidP="004860FA">
      <w:pPr>
        <w:pStyle w:val="NeniTitull"/>
      </w:pPr>
      <w:r>
        <w:t>Transporti i mallrave</w:t>
      </w:r>
    </w:p>
    <w:p w:rsidR="004860FA" w:rsidRDefault="004860FA" w:rsidP="004860FA">
      <w:pPr>
        <w:pStyle w:val="Paragrafi"/>
      </w:pPr>
    </w:p>
    <w:p w:rsidR="004860FA" w:rsidRDefault="004860FA" w:rsidP="004860FA">
      <w:pPr>
        <w:pStyle w:val="Paragrafi"/>
      </w:pPr>
      <w:r>
        <w:t>Një transportues i një Pale Kontraktuese ka të drejtën të importojë përkohësisht një mjet transporti bosh ose me ngarkesë në territorin e shtetit të Palës tjetër Kontraktuese, me qëllim që të kryejë operacione transporti, të cilat nuk u nënshtrohen lejeve si më poshtë:</w:t>
      </w:r>
    </w:p>
    <w:p w:rsidR="004860FA" w:rsidRDefault="004860FA" w:rsidP="004860FA">
      <w:pPr>
        <w:pStyle w:val="Paragrafi"/>
      </w:pPr>
      <w:r>
        <w:t>a) ndërmjet një pike në territorin e shtetit të njërës Palë Kontraktuese dhe një pike në territorin e shtetit të Palës tjetër Kontraktuese, ose</w:t>
      </w:r>
    </w:p>
    <w:p w:rsidR="004860FA" w:rsidRDefault="004860FA" w:rsidP="004860FA">
      <w:pPr>
        <w:pStyle w:val="Paragrafi"/>
      </w:pPr>
      <w:r>
        <w:t>b) kur niset nga territori i shtetit të Palës tjetër Kontraktuese në drejtim të një vendi të tretë, kur vjen nga një vend i tretë në territorin e shtetit të Palës tjetër Kontraktuese, ose</w:t>
      </w:r>
    </w:p>
    <w:p w:rsidR="004860FA" w:rsidRDefault="004860FA" w:rsidP="004860FA">
      <w:pPr>
        <w:pStyle w:val="Paragrafi"/>
      </w:pPr>
      <w:r>
        <w:t>c) tranzit përmes territorit të shtetit të Palës tjetër Kontraktuese.</w:t>
      </w:r>
    </w:p>
    <w:p w:rsidR="004860FA" w:rsidRPr="009B71F2" w:rsidRDefault="004860FA" w:rsidP="004860FA">
      <w:pPr>
        <w:pStyle w:val="Paragrafi"/>
        <w:rPr>
          <w:sz w:val="14"/>
        </w:rPr>
      </w:pPr>
    </w:p>
    <w:p w:rsidR="004860FA" w:rsidRDefault="004860FA" w:rsidP="004860FA">
      <w:pPr>
        <w:pStyle w:val="NeniNr"/>
      </w:pPr>
      <w:r>
        <w:t>Neni 5</w:t>
      </w:r>
    </w:p>
    <w:p w:rsidR="004860FA" w:rsidRDefault="004860FA" w:rsidP="004860FA">
      <w:pPr>
        <w:pStyle w:val="NeniTitull"/>
      </w:pPr>
      <w:r>
        <w:t>Zbatimi i legjislacionit kombëtar</w:t>
      </w:r>
    </w:p>
    <w:p w:rsidR="004860FA" w:rsidRDefault="004860FA" w:rsidP="004860FA">
      <w:pPr>
        <w:pStyle w:val="NeniTitull"/>
      </w:pPr>
    </w:p>
    <w:p w:rsidR="004860FA" w:rsidRDefault="004860FA" w:rsidP="004860FA">
      <w:pPr>
        <w:pStyle w:val="Paragrafi"/>
      </w:pPr>
      <w:r>
        <w:t>Për të gjitha çështjet që nuk rregullohen nga kjo Marrëveshje, transportuesit dhe drejtuesit e mjeteve të njërës Palë Kontraktuese, të cilët udhëtojnë në territorin e shtetit të Palës tjetër Kontraktuese, janë të detyruar të respektojnë dispozitat ligjore dhe rregullat e kësaj të fundit, të cilat do të zbatohen për ta në mënyrë jodiskriminuese.</w:t>
      </w:r>
    </w:p>
    <w:p w:rsidR="004860FA" w:rsidRPr="009B71F2" w:rsidRDefault="004860FA" w:rsidP="004860FA">
      <w:pPr>
        <w:pStyle w:val="Paragrafi"/>
        <w:rPr>
          <w:sz w:val="12"/>
        </w:rPr>
      </w:pPr>
    </w:p>
    <w:p w:rsidR="004860FA" w:rsidRDefault="004860FA" w:rsidP="004860FA">
      <w:pPr>
        <w:pStyle w:val="NeniNr"/>
      </w:pPr>
      <w:r>
        <w:t>Neni 6</w:t>
      </w:r>
    </w:p>
    <w:p w:rsidR="004860FA" w:rsidRDefault="004860FA" w:rsidP="004860FA">
      <w:pPr>
        <w:pStyle w:val="NeniTitull"/>
      </w:pPr>
      <w:r>
        <w:t>Ndalimi i transportit të brendshëm</w:t>
      </w:r>
    </w:p>
    <w:p w:rsidR="004860FA" w:rsidRDefault="004860FA" w:rsidP="004860FA">
      <w:pPr>
        <w:pStyle w:val="Paragrafi"/>
      </w:pPr>
    </w:p>
    <w:p w:rsidR="004860FA" w:rsidRDefault="004860FA" w:rsidP="004860FA">
      <w:pPr>
        <w:pStyle w:val="Paragrafi"/>
      </w:pPr>
      <w:r>
        <w:t>Transporti i brendshëm i udhëtarëve dhe mallrave është i ndaluar. Komisioni i përbashkët, që përmendet në nenin 10, mund të përfshijë përjashtime nga ky rregull.</w:t>
      </w:r>
    </w:p>
    <w:p w:rsidR="004860FA" w:rsidRPr="009B71F2" w:rsidRDefault="004860FA" w:rsidP="004860FA">
      <w:pPr>
        <w:pStyle w:val="Paragrafi"/>
        <w:rPr>
          <w:sz w:val="14"/>
        </w:rPr>
      </w:pPr>
    </w:p>
    <w:p w:rsidR="004860FA" w:rsidRDefault="004860FA" w:rsidP="004860FA">
      <w:pPr>
        <w:pStyle w:val="NeniNr"/>
      </w:pPr>
      <w:r>
        <w:t>Neni 7</w:t>
      </w:r>
    </w:p>
    <w:p w:rsidR="004860FA" w:rsidRDefault="004860FA" w:rsidP="004860FA">
      <w:pPr>
        <w:pStyle w:val="NeniTitull"/>
      </w:pPr>
      <w:r>
        <w:t>Shkeljet</w:t>
      </w:r>
    </w:p>
    <w:p w:rsidR="004860FA" w:rsidRDefault="004860FA" w:rsidP="004860FA">
      <w:pPr>
        <w:pStyle w:val="Paragrafi"/>
      </w:pPr>
    </w:p>
    <w:p w:rsidR="004860FA" w:rsidRDefault="004860FA" w:rsidP="004860FA">
      <w:pPr>
        <w:pStyle w:val="Paragrafi"/>
      </w:pPr>
      <w:r>
        <w:t>1. Autoritetet kompetente të Palëve Kontraktuese kontrollojnë zbatimin e dispozitave të kësaj Marrëveshjeje nga ana e transportuesve.</w:t>
      </w:r>
    </w:p>
    <w:p w:rsidR="004860FA" w:rsidRDefault="004860FA" w:rsidP="004860FA">
      <w:pPr>
        <w:pStyle w:val="Paragrafi"/>
      </w:pPr>
      <w:r>
        <w:t>2. Autoritetet e Palës Kontraktuese ku mjeti është i regjistruar, në rast se transportuesit dhe drejtuesit e saj të mjeteve të transportit, ndërsa ndodhen në territorin e shtetit të Palës tjetër Kontraktuese, shkelin</w:t>
      </w:r>
      <w:r w:rsidR="00F12D64">
        <w:t xml:space="preserve"> rregullat e kësaj Marrëveshjej</w:t>
      </w:r>
      <w:r>
        <w:t>e</w:t>
      </w:r>
      <w:r w:rsidR="002C3714">
        <w:t>,</w:t>
      </w:r>
      <w:r>
        <w:t xml:space="preserve"> si dhe ligjet dhe rregullat e qarkullimit dhe transportit që janë në fuqi në atë territor, marrin masat e mëposhtme nëse kërkohet nga autoritetet kompetente të Palës së fundit Kontraktuese:</w:t>
      </w:r>
    </w:p>
    <w:p w:rsidR="004860FA" w:rsidRDefault="004860FA" w:rsidP="004860FA">
      <w:pPr>
        <w:pStyle w:val="Paragrafi"/>
      </w:pPr>
      <w:r>
        <w:t>a) paralajmërim;</w:t>
      </w:r>
    </w:p>
    <w:p w:rsidR="004860FA" w:rsidRDefault="004860FA" w:rsidP="004860FA">
      <w:pPr>
        <w:pStyle w:val="Paragrafi"/>
      </w:pPr>
      <w:r>
        <w:t>b) pezullim i përkohshëm, i pjesshëm ose i plotë i lejes së transportit në territorin e shtetit të Palës Kontraktuese ku ka ndodhur shkelja.</w:t>
      </w:r>
    </w:p>
    <w:p w:rsidR="004860FA" w:rsidRDefault="004860FA" w:rsidP="004860FA">
      <w:pPr>
        <w:pStyle w:val="Paragrafi"/>
      </w:pPr>
      <w:r>
        <w:t>3. Autoriteti kompetent njofton autoritetin kompetent të Palës tjetër Kontraktuese në lidhje me masat që janë marrë.</w:t>
      </w:r>
    </w:p>
    <w:p w:rsidR="004860FA" w:rsidRDefault="004860FA" w:rsidP="004860FA">
      <w:pPr>
        <w:pStyle w:val="Paragrafi"/>
      </w:pPr>
      <w:r>
        <w:t>4. Secila nga Palët Kontraktuese respekton dënimet që mund të jepen nga gjykatat ose autoritetet kompetente të Palës tjetër Kontraktuese, në përputhje me ligjet dhe rregullat e vendit, për shkeljen që ka ndodhur në territorin e saj.</w:t>
      </w:r>
    </w:p>
    <w:p w:rsidR="004860FA" w:rsidRPr="009B71F2" w:rsidRDefault="004860FA" w:rsidP="004860FA">
      <w:pPr>
        <w:pStyle w:val="Paragrafi"/>
        <w:rPr>
          <w:sz w:val="16"/>
        </w:rPr>
      </w:pPr>
    </w:p>
    <w:p w:rsidR="004860FA" w:rsidRDefault="004860FA" w:rsidP="004860FA">
      <w:pPr>
        <w:pStyle w:val="NeniNr"/>
      </w:pPr>
      <w:r>
        <w:t>Neni 8</w:t>
      </w:r>
    </w:p>
    <w:p w:rsidR="004860FA" w:rsidRDefault="004860FA" w:rsidP="004860FA">
      <w:pPr>
        <w:pStyle w:val="NeniTitull"/>
      </w:pPr>
      <w:r>
        <w:t>Autoritetet kompetente</w:t>
      </w:r>
    </w:p>
    <w:p w:rsidR="004860FA" w:rsidRDefault="004860FA" w:rsidP="004860FA">
      <w:pPr>
        <w:pStyle w:val="Paragrafi"/>
      </w:pPr>
    </w:p>
    <w:p w:rsidR="004860FA" w:rsidRDefault="004860FA" w:rsidP="004860FA">
      <w:pPr>
        <w:pStyle w:val="Paragrafi"/>
      </w:pPr>
      <w:r>
        <w:t xml:space="preserve">Palët Kontraktuese njoftojnë njëra-tjetrën në lidhje me autoritetet që janë përgjegjëse për </w:t>
      </w:r>
      <w:r>
        <w:lastRenderedPageBreak/>
        <w:t>zbatimin e kësaj Marrëveshjeje. Këto autoritete komunikojnë drejtpërsëdrejti.</w:t>
      </w:r>
    </w:p>
    <w:p w:rsidR="004860FA" w:rsidRPr="009B71F2" w:rsidRDefault="004860FA" w:rsidP="004860FA">
      <w:pPr>
        <w:pStyle w:val="Paragrafi"/>
        <w:rPr>
          <w:sz w:val="16"/>
        </w:rPr>
      </w:pPr>
    </w:p>
    <w:p w:rsidR="004860FA" w:rsidRDefault="004860FA" w:rsidP="004860FA">
      <w:pPr>
        <w:pStyle w:val="NeniNr"/>
      </w:pPr>
      <w:r>
        <w:t>Neni 9</w:t>
      </w:r>
    </w:p>
    <w:p w:rsidR="004860FA" w:rsidRDefault="004860FA" w:rsidP="004860FA">
      <w:pPr>
        <w:pStyle w:val="NeniTitull"/>
      </w:pPr>
      <w:r>
        <w:t>Ekzekutimi dhe zbatimi</w:t>
      </w:r>
    </w:p>
    <w:p w:rsidR="004860FA" w:rsidRDefault="004860FA" w:rsidP="004860FA">
      <w:pPr>
        <w:pStyle w:val="Paragrafi"/>
      </w:pPr>
    </w:p>
    <w:p w:rsidR="004860FA" w:rsidRDefault="004860FA" w:rsidP="004860FA">
      <w:pPr>
        <w:pStyle w:val="Paragrafi"/>
      </w:pPr>
      <w:r>
        <w:t>Një protokoll në lidhje me mënyrat dhe mjetet e zbatimit të Marrëveshjes në fjalë përfundohet njëkohësisht me këtë Marrëveshje dhe është pjesë përbërëse e saj.</w:t>
      </w:r>
    </w:p>
    <w:p w:rsidR="004860FA" w:rsidRPr="009B71F2" w:rsidRDefault="004860FA" w:rsidP="004860FA">
      <w:pPr>
        <w:pStyle w:val="Paragrafi"/>
        <w:rPr>
          <w:sz w:val="16"/>
        </w:rPr>
      </w:pPr>
    </w:p>
    <w:p w:rsidR="004860FA" w:rsidRDefault="004860FA" w:rsidP="004860FA">
      <w:pPr>
        <w:pStyle w:val="NeniNr"/>
      </w:pPr>
      <w:r>
        <w:t>Neni 10</w:t>
      </w:r>
    </w:p>
    <w:p w:rsidR="004860FA" w:rsidRDefault="004860FA" w:rsidP="004860FA">
      <w:pPr>
        <w:pStyle w:val="NeniTitull"/>
      </w:pPr>
      <w:r>
        <w:t>Komiteti i përbashkët</w:t>
      </w:r>
    </w:p>
    <w:p w:rsidR="004860FA" w:rsidRDefault="004860FA" w:rsidP="004860FA">
      <w:pPr>
        <w:pStyle w:val="Paragrafi"/>
      </w:pPr>
    </w:p>
    <w:p w:rsidR="004860FA" w:rsidRDefault="004860FA" w:rsidP="004860FA">
      <w:pPr>
        <w:pStyle w:val="Paragrafi"/>
      </w:pPr>
      <w:r>
        <w:t>1. Palët Kontraktuese krijojnë një komitet të përbashkët, i cili do të rregullojë të gjitha çështjet në lidhje me zbatimin dhe përdorimin e kësaj Marrëveshjeje.</w:t>
      </w:r>
    </w:p>
    <w:p w:rsidR="004860FA" w:rsidRDefault="004860FA" w:rsidP="004860FA">
      <w:pPr>
        <w:pStyle w:val="Paragrafi"/>
      </w:pPr>
      <w:r>
        <w:t>2. Komiteti i përbashkët është kompetent për modifikimin ose përfundimin e protokollit që përmendet në nenin 9.</w:t>
      </w:r>
    </w:p>
    <w:p w:rsidR="004860FA" w:rsidRDefault="004860FA" w:rsidP="004860FA">
      <w:pPr>
        <w:pStyle w:val="Paragrafi"/>
      </w:pPr>
      <w:r>
        <w:t>3. Komiteti i përbashkët mblidhet me kërkesën e secilës nga Palët Kontraktuese; ai do të mblidhet në mënyrë të alternuar në territorin e shtetit të secilës nga Palët Kontraktuese.</w:t>
      </w:r>
    </w:p>
    <w:p w:rsidR="004860FA" w:rsidRPr="009B71F2" w:rsidRDefault="004860FA" w:rsidP="004860FA">
      <w:pPr>
        <w:pStyle w:val="Paragrafi"/>
        <w:rPr>
          <w:sz w:val="14"/>
        </w:rPr>
      </w:pPr>
    </w:p>
    <w:p w:rsidR="004860FA" w:rsidRDefault="004860FA" w:rsidP="004860FA">
      <w:pPr>
        <w:pStyle w:val="NeniNr"/>
      </w:pPr>
      <w:r>
        <w:t>Neni 11</w:t>
      </w:r>
    </w:p>
    <w:p w:rsidR="004860FA" w:rsidRDefault="004860FA" w:rsidP="004860FA">
      <w:pPr>
        <w:pStyle w:val="NeniTitull"/>
      </w:pPr>
      <w:r>
        <w:t>Shtrirja e Marrëveshjes në Principatën e Lihtenshteinit</w:t>
      </w:r>
    </w:p>
    <w:p w:rsidR="004860FA" w:rsidRDefault="004860FA" w:rsidP="004860FA">
      <w:pPr>
        <w:pStyle w:val="Paragrafi"/>
      </w:pPr>
    </w:p>
    <w:p w:rsidR="004860FA" w:rsidRDefault="004860FA" w:rsidP="004860FA">
      <w:pPr>
        <w:pStyle w:val="Paragrafi"/>
      </w:pPr>
      <w:r>
        <w:t>Sipas një kërkese formale të Principatës së Lihtenshteinit, dispozitat e kësaj Marrëveshjeje shtrihen te ky vend për aq kohë sa mbetet në fuqi traktati për doganat që ka ajo me Zvicrën.</w:t>
      </w:r>
    </w:p>
    <w:p w:rsidR="004860FA" w:rsidRPr="009B71F2" w:rsidRDefault="004860FA" w:rsidP="004860FA">
      <w:pPr>
        <w:pStyle w:val="Paragrafi"/>
        <w:rPr>
          <w:sz w:val="12"/>
        </w:rPr>
      </w:pPr>
    </w:p>
    <w:p w:rsidR="004860FA" w:rsidRDefault="004860FA" w:rsidP="004860FA">
      <w:pPr>
        <w:pStyle w:val="NeniNr"/>
      </w:pPr>
      <w:r>
        <w:t>Neni 12</w:t>
      </w:r>
    </w:p>
    <w:p w:rsidR="004860FA" w:rsidRDefault="004860FA" w:rsidP="004860FA">
      <w:pPr>
        <w:pStyle w:val="NeniTitull"/>
      </w:pPr>
      <w:r>
        <w:t>Hyrja në fuqi dhe kohëzgjatja e vlefshmërisë</w:t>
      </w:r>
    </w:p>
    <w:p w:rsidR="004860FA" w:rsidRDefault="004860FA" w:rsidP="004860FA">
      <w:pPr>
        <w:pStyle w:val="Paragrafi"/>
      </w:pPr>
    </w:p>
    <w:p w:rsidR="004860FA" w:rsidRDefault="004860FA" w:rsidP="004860FA">
      <w:pPr>
        <w:pStyle w:val="Paragrafi"/>
      </w:pPr>
      <w:r>
        <w:t>1. Kjo Marrëveshje hyn në fuqi pas shkëmbimit të notave diplomatike lidhur me kryrjen e të gjitha procedurave përkatëse kombëtare. Marrëveshja hyn në fuqi ditën kur bëhet njoftimi i fundit për të.</w:t>
      </w:r>
    </w:p>
    <w:p w:rsidR="004860FA" w:rsidRDefault="004860FA" w:rsidP="004860FA">
      <w:pPr>
        <w:pStyle w:val="Paragrafi"/>
      </w:pPr>
      <w:r>
        <w:t>2. Me hyrjen në fuqi të kësaj Marrëveshjeje, Marrëveshja ndërmjet Këshillit Federal Zviceran dhe Këshillit të Ministrave të Republikës Popullore Socialiste të Shqipërisë për transportin ndërkombëtar rrugor të mallrave, lidhur në Tiranë, më 9 maj 1984, shfuqizohet.</w:t>
      </w:r>
    </w:p>
    <w:p w:rsidR="004860FA" w:rsidRDefault="004860FA" w:rsidP="004860FA">
      <w:pPr>
        <w:pStyle w:val="Paragrafi"/>
      </w:pPr>
      <w:r>
        <w:t>3. Kjo Marrëveshje është e vlefshme për një periudhë të pacaktuar kohore; ajo mund të përfundohet nga secila nga Palët Kontraktuese në fund të vitit kalendarik, duke bërë njoftim me shkrim për përfundimin e saj të paktën gjashtë muaj përpara.</w:t>
      </w:r>
    </w:p>
    <w:p w:rsidR="004860FA" w:rsidRDefault="004860FA" w:rsidP="004860FA">
      <w:pPr>
        <w:pStyle w:val="Paragrafi"/>
      </w:pPr>
      <w:r>
        <w:t>Në dëshmi sa më sipër, të nënshkruarit, të cilët autorizohen për këtë nga qeveritë e tyre përkatëse, e nënshkruan këtë Marrëveshje.</w:t>
      </w:r>
    </w:p>
    <w:p w:rsidR="004860FA" w:rsidRDefault="004860FA" w:rsidP="004860FA">
      <w:pPr>
        <w:pStyle w:val="Paragrafi"/>
      </w:pPr>
      <w:r>
        <w:t xml:space="preserve">Bërë në Bernë, më 30 shtator 2008 në dy tekste </w:t>
      </w:r>
      <w:r w:rsidR="00B20940">
        <w:t>origjinale, në gjuhët shqip, frë</w:t>
      </w:r>
      <w:r>
        <w:t>ngjisht dhe anglisht</w:t>
      </w:r>
      <w:r w:rsidR="00D84A16">
        <w:t>,</w:t>
      </w:r>
      <w:r>
        <w:t xml:space="preserve"> ku të gjitha tekstet kanë të njëjtën vlefshmëri.</w:t>
      </w:r>
    </w:p>
    <w:p w:rsidR="004860FA" w:rsidRDefault="004860FA" w:rsidP="004860FA">
      <w:pPr>
        <w:pStyle w:val="Paragrafi"/>
      </w:pPr>
      <w:r>
        <w:t>Në rast mosmarrëveshjeje në lidhje me interpretimin e dispozitave të kësaj Marrëveshjeje, do të ketë përparësi versioni në gjuhën angleze.</w:t>
      </w:r>
    </w:p>
    <w:p w:rsidR="004860FA" w:rsidRDefault="004860FA" w:rsidP="004860FA">
      <w:pPr>
        <w:pStyle w:val="Paragrafi"/>
      </w:pPr>
    </w:p>
    <w:p w:rsidR="00F92AB3" w:rsidRDefault="004860FA" w:rsidP="00F92AB3">
      <w:pPr>
        <w:pStyle w:val="Titulli"/>
      </w:pPr>
      <w:r w:rsidRPr="00F92AB3">
        <w:t>PROTOKOLLI</w:t>
      </w:r>
      <w:r>
        <w:t xml:space="preserve"> </w:t>
      </w:r>
    </w:p>
    <w:p w:rsidR="004860FA" w:rsidRDefault="00E712D3" w:rsidP="00F92AB3">
      <w:pPr>
        <w:pStyle w:val="TitulliTitull"/>
      </w:pPr>
      <w:r>
        <w:t>PËR MARRËVESHJEN PËR TRANSPORTIN</w:t>
      </w:r>
      <w:r w:rsidR="004860FA">
        <w:t xml:space="preserve"> NDËRKOMBËTAR RRUGOR TË UDHËTARËVE DHE MALLRAVE NDËRMJET KËSHILLIT TË MINISTRAVE TË REPUBLIKËS SË SHQIPËRISË DHE KËSHILLIT FEDERAL ZVICERAN</w:t>
      </w:r>
    </w:p>
    <w:p w:rsidR="004860FA" w:rsidRDefault="004860FA" w:rsidP="004860FA">
      <w:pPr>
        <w:pStyle w:val="Paragrafi"/>
      </w:pPr>
    </w:p>
    <w:p w:rsidR="004860FA" w:rsidRDefault="004860FA" w:rsidP="004860FA">
      <w:pPr>
        <w:pStyle w:val="Paragrafi"/>
      </w:pPr>
      <w:r>
        <w:t>Në përputhje me nenin 9 të Marrëveshjes, Palët Kontraktuese kanë rënë dakord si më poshtë:</w:t>
      </w:r>
    </w:p>
    <w:p w:rsidR="004860FA" w:rsidRDefault="004860FA" w:rsidP="004860FA">
      <w:pPr>
        <w:pStyle w:val="Paragrafi"/>
      </w:pPr>
      <w:r>
        <w:t>1. Transporti i udhëtarëve (neni 3)</w:t>
      </w:r>
    </w:p>
    <w:p w:rsidR="004860FA" w:rsidRDefault="004860FA" w:rsidP="004860FA">
      <w:pPr>
        <w:pStyle w:val="Paragrafi"/>
      </w:pPr>
      <w:r>
        <w:t>Transportet sipas nenit 3, paragrafët 1 dhe 2, shoqërohen me një dokument udhëtimi, si dhe një listë të udhëtarëve.</w:t>
      </w:r>
    </w:p>
    <w:p w:rsidR="004860FA" w:rsidRDefault="004860FA" w:rsidP="004860FA">
      <w:pPr>
        <w:pStyle w:val="Paragrafi"/>
      </w:pPr>
      <w:r>
        <w:t>Kërkesat për marrjen e autorizimeve lidhur me transporte të tjera të udhëtarëve, të cilat nuk i plotësojnë kushtet që përmenden në nenin 3, paragrafët 1 dhe 2 (për shembull, linjat e rregullta)</w:t>
      </w:r>
      <w:r w:rsidR="00F86461">
        <w:t>,</w:t>
      </w:r>
      <w:r>
        <w:t xml:space="preserve"> i paraqiten autoritetit kompetent të vendit të regjistrimit të mjetit, i cili do t’ia transmetojë kërkesat autoritetit kompetent të Palës tjetër Kontraktuese.</w:t>
      </w:r>
    </w:p>
    <w:p w:rsidR="004860FA" w:rsidRDefault="004860FA" w:rsidP="004860FA">
      <w:pPr>
        <w:pStyle w:val="Paragrafi"/>
      </w:pPr>
      <w:r>
        <w:t>Në kërkesat e tyre, transportuesit njoftojnë për oraret, tarifat, itinerarin dhe gjithë informacionin tjetër që kërkohet nga autoritetet kompetente. Procedura për dhënien e autorizimit dhe të gjitha çështjet e tjera përkatëse rregullohen bashkërisht, në bazë të parimit të reciprocitetit, nga ana e autoriteteve kompetente të Palëve Kontraktuese.</w:t>
      </w:r>
    </w:p>
    <w:p w:rsidR="004860FA" w:rsidRDefault="004860FA" w:rsidP="004860FA">
      <w:pPr>
        <w:pStyle w:val="Paragrafi"/>
      </w:pPr>
      <w:r>
        <w:t>Autoriteti kompetent që ka lëshuar autorizimin informon autoritetin kompetent të Palës tjetër Kontraktuese, duke i dërguar një kopje të dokumentit të lëshuar.</w:t>
      </w:r>
    </w:p>
    <w:p w:rsidR="004860FA" w:rsidRDefault="004860FA" w:rsidP="004860FA">
      <w:pPr>
        <w:pStyle w:val="Paragrafi"/>
      </w:pPr>
      <w:r>
        <w:t>Autorizimet mbahen në mjet dhe i paraqiten autoriteteve të kontrollit, sipas kërkesës. Për shërbimet e rregullta, numri i autorizimeve të lëshuara bazohet te numri i mjeteve, të cilat kryejnë transport në këtë itinerar.</w:t>
      </w:r>
    </w:p>
    <w:p w:rsidR="004860FA" w:rsidRDefault="004860FA" w:rsidP="004860FA">
      <w:pPr>
        <w:pStyle w:val="Paragrafi"/>
      </w:pPr>
      <w:r>
        <w:t>Gjatë një tranziti me mjet pa ngarkesë, transportuesi justifikon se po e kalon me mjet pa ngarkesë territorin e shtetit të Palës tjetër Kontraktuese.</w:t>
      </w:r>
    </w:p>
    <w:p w:rsidR="004860FA" w:rsidRDefault="004860FA" w:rsidP="004860FA">
      <w:pPr>
        <w:pStyle w:val="Paragrafi"/>
      </w:pPr>
      <w:r>
        <w:t>Me paraqitjen e justifikimit, mjetet të cilat dërgohen për të zëvendësuar autobuz</w:t>
      </w:r>
      <w:r w:rsidR="004255C2">
        <w:t>ë</w:t>
      </w:r>
      <w:r>
        <w:t>t që janë dëmtuar ose janë prishur, përjashtohen nga marrja e autorizimit për hyrje me mjet pa ngarkesë.</w:t>
      </w:r>
    </w:p>
    <w:p w:rsidR="004860FA" w:rsidRDefault="004860FA" w:rsidP="004860FA">
      <w:pPr>
        <w:pStyle w:val="Paragrafi"/>
      </w:pPr>
      <w:r>
        <w:t>2. Transporti i mallrave (neni 4)</w:t>
      </w:r>
    </w:p>
    <w:p w:rsidR="004860FA" w:rsidRDefault="004860FA" w:rsidP="004860FA">
      <w:pPr>
        <w:pStyle w:val="Paragrafi"/>
      </w:pPr>
      <w:r>
        <w:t>Kur udhëtimet kryhen duke përdorur një kombinim të mjeteve çift të transportit, të cilët përbëhen nga elemente të kombësive të ndryshme, rregullat e Marrëveshjes zbatohen për të gjithë kombinimin vetëm nëse njësia tërheqëse është e regjistruar në shtetin e njërës nga Palët Kontraktuese.</w:t>
      </w:r>
    </w:p>
    <w:p w:rsidR="004860FA" w:rsidRDefault="004860FA" w:rsidP="004860FA">
      <w:pPr>
        <w:pStyle w:val="Paragrafi"/>
      </w:pPr>
      <w:r>
        <w:t>3. Zbatimi i legjislacionit kombëtar (neni 5)</w:t>
      </w:r>
    </w:p>
    <w:p w:rsidR="004860FA" w:rsidRDefault="004860FA" w:rsidP="004860FA">
      <w:pPr>
        <w:pStyle w:val="Paragrafi"/>
      </w:pPr>
      <w:r>
        <w:t xml:space="preserve">Palët Kontraktuese pranojnë se neni 5 i Marrëveshjes gjen zbatim veçanërisht te legjislacioni për transportin rrugor dhe qarkullimin rrugor, peshat dhe përmasat e mjeteve të transportit, kohëzgjatjen e punës dhe </w:t>
      </w:r>
      <w:r w:rsidR="00CB1716">
        <w:t>të</w:t>
      </w:r>
      <w:r w:rsidR="00926E88">
        <w:t xml:space="preserve"> </w:t>
      </w:r>
      <w:r>
        <w:t>pushimit të ekuipazhit të mjetit të transportit, kohës së ngarjes së automjetit, si dhe te legjislacioni për taksat rrugore.</w:t>
      </w:r>
    </w:p>
    <w:p w:rsidR="004860FA" w:rsidRPr="009B71F2" w:rsidRDefault="004860FA" w:rsidP="004860FA">
      <w:pPr>
        <w:pStyle w:val="Paragrafi"/>
        <w:rPr>
          <w:sz w:val="10"/>
        </w:rPr>
      </w:pPr>
    </w:p>
    <w:p w:rsidR="004860FA" w:rsidRDefault="004860FA" w:rsidP="004860FA">
      <w:pPr>
        <w:pStyle w:val="Paragrafi"/>
      </w:pPr>
      <w:r>
        <w:t>Autoritetet kompetente (neni 8)</w:t>
      </w:r>
    </w:p>
    <w:p w:rsidR="004860FA" w:rsidRDefault="004860FA" w:rsidP="004860FA">
      <w:pPr>
        <w:pStyle w:val="Paragrafi"/>
      </w:pPr>
      <w:r>
        <w:t>Autoritetet kompetente për zbatimin e Marrëveshjes janë:</w:t>
      </w:r>
    </w:p>
    <w:p w:rsidR="004860FA" w:rsidRPr="009B71F2" w:rsidRDefault="004860FA" w:rsidP="004860FA">
      <w:pPr>
        <w:pStyle w:val="Paragrafi"/>
        <w:rPr>
          <w:sz w:val="8"/>
        </w:rPr>
      </w:pPr>
    </w:p>
    <w:p w:rsidR="004860FA" w:rsidRDefault="004860FA" w:rsidP="004860FA">
      <w:pPr>
        <w:pStyle w:val="Paragrafi"/>
      </w:pPr>
      <w:r>
        <w:t>Për Shqipërinë:</w:t>
      </w:r>
    </w:p>
    <w:p w:rsidR="004860FA" w:rsidRDefault="004860FA" w:rsidP="004860FA">
      <w:pPr>
        <w:pStyle w:val="Paragrafi"/>
      </w:pPr>
      <w:r>
        <w:t>Ministria e Punëve Publike, Transportit dhe Telekomunikacionit</w:t>
      </w:r>
    </w:p>
    <w:p w:rsidR="004860FA" w:rsidRDefault="004860FA" w:rsidP="004860FA">
      <w:pPr>
        <w:pStyle w:val="Paragrafi"/>
      </w:pPr>
      <w:r>
        <w:t>Sheshi “Skënderbej”, nr.5, Tiranë-Shqipëri</w:t>
      </w:r>
    </w:p>
    <w:p w:rsidR="004860FA" w:rsidRPr="009B71F2" w:rsidRDefault="004860FA" w:rsidP="004860FA">
      <w:pPr>
        <w:pStyle w:val="Paragrafi"/>
        <w:rPr>
          <w:sz w:val="8"/>
        </w:rPr>
      </w:pPr>
    </w:p>
    <w:p w:rsidR="004860FA" w:rsidRDefault="004860FA" w:rsidP="004860FA">
      <w:pPr>
        <w:pStyle w:val="Paragrafi"/>
      </w:pPr>
      <w:r>
        <w:t>Për Zvicrën:</w:t>
      </w:r>
    </w:p>
    <w:p w:rsidR="004860FA" w:rsidRDefault="004860FA" w:rsidP="004860FA">
      <w:pPr>
        <w:pStyle w:val="Paragrafi"/>
      </w:pPr>
      <w:r>
        <w:t>Ministria Federale e Mjedisit, Transportit, Energjisë dhe Komunikacionit</w:t>
      </w:r>
    </w:p>
    <w:p w:rsidR="004860FA" w:rsidRDefault="004860FA" w:rsidP="004860FA">
      <w:pPr>
        <w:pStyle w:val="Paragrafi"/>
      </w:pPr>
      <w:r>
        <w:t>Zyra Federale e Transportit</w:t>
      </w:r>
    </w:p>
    <w:p w:rsidR="004860FA" w:rsidRDefault="004860FA" w:rsidP="004860FA">
      <w:pPr>
        <w:pStyle w:val="Paragrafi"/>
      </w:pPr>
      <w:r>
        <w:t xml:space="preserve">CH-3003 </w:t>
      </w:r>
      <w:smartTag w:uri="urn:schemas-microsoft-com:office:smarttags" w:element="place">
        <w:r>
          <w:t>Berne</w:t>
        </w:r>
      </w:smartTag>
    </w:p>
    <w:p w:rsidR="004860FA" w:rsidRDefault="004860FA" w:rsidP="004860FA">
      <w:pPr>
        <w:pStyle w:val="Paragrafi"/>
      </w:pPr>
      <w:r>
        <w:t>Peshat dhe përmasat e mjeteve të transportit</w:t>
      </w:r>
    </w:p>
    <w:p w:rsidR="000B0C82" w:rsidRDefault="000B0C82" w:rsidP="004860FA">
      <w:pPr>
        <w:pStyle w:val="Paragrafi"/>
      </w:pPr>
    </w:p>
    <w:p w:rsidR="004860FA" w:rsidRDefault="004860FA" w:rsidP="004860FA">
      <w:pPr>
        <w:pStyle w:val="Paragrafi"/>
      </w:pPr>
      <w:r>
        <w:t>Përsa u përket peshave dhe përmasave të mjeteve të transportit, secila nga Palët Kontraktuese bie dakord që mjetet e transportit të regjistruara në shtetin e Palës tjetër Kontraktuese nuk do t’u nënshtrohen kushteve më kufizuese sesa mjetet e transportit të regjistruara në shtetin e saj.</w:t>
      </w:r>
    </w:p>
    <w:p w:rsidR="004860FA" w:rsidRDefault="004860FA" w:rsidP="004860FA">
      <w:pPr>
        <w:pStyle w:val="Paragrafi"/>
      </w:pPr>
      <w:r>
        <w:t>Procedurat e mëposhtme zbatohen:</w:t>
      </w:r>
    </w:p>
    <w:p w:rsidR="004860FA" w:rsidRDefault="004860FA" w:rsidP="004860FA">
      <w:pPr>
        <w:pStyle w:val="Paragrafi"/>
      </w:pPr>
    </w:p>
    <w:p w:rsidR="004860FA" w:rsidRDefault="004860FA" w:rsidP="004860FA">
      <w:pPr>
        <w:pStyle w:val="Paragrafi"/>
      </w:pPr>
      <w:r>
        <w:t>Për Shqipërinë:</w:t>
      </w:r>
    </w:p>
    <w:p w:rsidR="004860FA" w:rsidRDefault="004860FA" w:rsidP="004860FA">
      <w:pPr>
        <w:pStyle w:val="Paragrafi"/>
      </w:pPr>
      <w:r>
        <w:t>Drejtoria e Përgjithshme e Rrugëve, rruga “Sami Frashëri”, Tiranë, e cila do të lëshojë autorizim të veçantë për mjetet e transportit që e kalojnë peshën dhe përmasat e lejuara, të cilat parashikohen në legjislacionin kombëtar.</w:t>
      </w:r>
    </w:p>
    <w:p w:rsidR="004860FA" w:rsidRDefault="004860FA" w:rsidP="004860FA">
      <w:pPr>
        <w:pStyle w:val="Paragrafi"/>
      </w:pPr>
    </w:p>
    <w:p w:rsidR="004860FA" w:rsidRDefault="004860FA" w:rsidP="004860FA">
      <w:pPr>
        <w:pStyle w:val="Paragrafi"/>
      </w:pPr>
      <w:r>
        <w:t>Për Zvicrën:</w:t>
      </w:r>
    </w:p>
    <w:p w:rsidR="004860FA" w:rsidRDefault="004860FA" w:rsidP="004860FA">
      <w:pPr>
        <w:pStyle w:val="Paragrafi"/>
      </w:pPr>
      <w:r>
        <w:t>Zyra Federale e Rrugëve, CH-3003</w:t>
      </w:r>
      <w:r w:rsidR="00E66FB1">
        <w:t>,</w:t>
      </w:r>
      <w:r>
        <w:t xml:space="preserve"> Bernë, e cila do të lëshojë autorizim të veçantë vetëm për transportin e mallrave të pandashme dhe nëse kushtet e rrugës e lejojnë transportin.</w:t>
      </w:r>
    </w:p>
    <w:p w:rsidR="004860FA" w:rsidRDefault="004860FA" w:rsidP="004860FA">
      <w:pPr>
        <w:pStyle w:val="Paragrafi"/>
      </w:pPr>
      <w:r>
        <w:t>Në çdo rast, nuk tejkalohet pesha e garantuar që lejon prodhuesi.</w:t>
      </w:r>
    </w:p>
    <w:p w:rsidR="004860FA" w:rsidRDefault="004860FA" w:rsidP="004860FA">
      <w:pPr>
        <w:pStyle w:val="Paragrafi"/>
      </w:pPr>
    </w:p>
    <w:p w:rsidR="004860FA" w:rsidRDefault="004860FA" w:rsidP="004860FA">
      <w:pPr>
        <w:pStyle w:val="Paragrafi"/>
      </w:pPr>
      <w:r>
        <w:t>Procedura doganore</w:t>
      </w:r>
    </w:p>
    <w:p w:rsidR="004860FA" w:rsidRDefault="004860FA" w:rsidP="004860FA">
      <w:pPr>
        <w:pStyle w:val="Paragrafi"/>
      </w:pPr>
      <w:r>
        <w:t>Lënda djegëse dhe benzina në serbatorët normalë të mjeteve, që lejohen përkohësisht, lejohen pa doganë.</w:t>
      </w:r>
    </w:p>
    <w:p w:rsidR="004860FA" w:rsidRDefault="004860FA" w:rsidP="004860FA">
      <w:pPr>
        <w:pStyle w:val="Paragrafi"/>
      </w:pPr>
      <w:r>
        <w:t>Pjesët e këmbimit të sjella nga jashtë për riparimin e një mjeti të caktuar transporti, që tashmë është importuar përkohësisht, lejohen në bazë të lejimit të përkohshëm pa doganë dhe pa ndalimin ose kufizimin e importimit. Pjesët e zëvendësuara u nënshtrohen taksave doganore, rieksportohen ose asgjësohen nën kontrollin e doganës.</w:t>
      </w:r>
    </w:p>
    <w:p w:rsidR="004860FA" w:rsidRDefault="004860FA" w:rsidP="004860FA">
      <w:pPr>
        <w:pStyle w:val="Paragrafi"/>
      </w:pPr>
    </w:p>
    <w:p w:rsidR="004860FA" w:rsidRDefault="004860FA" w:rsidP="004860FA">
      <w:pPr>
        <w:pStyle w:val="Paragrafi"/>
      </w:pPr>
      <w:r>
        <w:t>Bërë në Bernë më 30 shtator 2008, në dy tekste origjinale</w:t>
      </w:r>
      <w:r w:rsidR="00E66FB1">
        <w:t>,</w:t>
      </w:r>
      <w:r>
        <w:t xml:space="preserve"> në gjuhët shqip, frëngjisht dhe anglisht, ku të gjitha tekstet kanë të njëjtën vlefshmëri.</w:t>
      </w:r>
    </w:p>
    <w:p w:rsidR="004860FA" w:rsidRDefault="004860FA" w:rsidP="004860FA">
      <w:pPr>
        <w:pStyle w:val="Paragrafi"/>
      </w:pPr>
      <w:r>
        <w:t>Në rast mosmarrëveshjeje lidhur me interpretimin e dispozitave të kësaj Marrëveshjeje, ka përparësi versioni në gjuhën angleze.</w:t>
      </w:r>
    </w:p>
    <w:p w:rsidR="004860FA" w:rsidRDefault="004860FA" w:rsidP="004E3AB6">
      <w:pPr>
        <w:pStyle w:val="Akti"/>
      </w:pPr>
    </w:p>
    <w:p w:rsidR="004860FA" w:rsidRDefault="004860FA" w:rsidP="004E3AB6">
      <w:pPr>
        <w:pStyle w:val="Akti"/>
      </w:pPr>
    </w:p>
    <w:p w:rsidR="00FF3B8C" w:rsidRPr="00FF3B8C" w:rsidRDefault="00FF3B8C" w:rsidP="004E3AB6">
      <w:pPr>
        <w:pStyle w:val="Akti"/>
      </w:pPr>
      <w:r>
        <w:t>LIG</w:t>
      </w:r>
      <w:r w:rsidRPr="00FF3B8C">
        <w:t>J</w:t>
      </w:r>
    </w:p>
    <w:p w:rsidR="00FF3B8C" w:rsidRPr="00FF3B8C" w:rsidRDefault="00FF3B8C" w:rsidP="004E3AB6">
      <w:pPr>
        <w:pStyle w:val="NumriData"/>
      </w:pPr>
      <w:r w:rsidRPr="00FF3B8C">
        <w:t>Nr. 10 022, datë 24.11.2008</w:t>
      </w:r>
    </w:p>
    <w:p w:rsidR="00FF3B8C" w:rsidRPr="00FF3B8C" w:rsidRDefault="00FF3B8C" w:rsidP="00FF3B8C">
      <w:pPr>
        <w:pStyle w:val="Paragrafi"/>
      </w:pPr>
    </w:p>
    <w:p w:rsidR="00FF3B8C" w:rsidRPr="00FF3B8C" w:rsidRDefault="00FF3B8C" w:rsidP="004E3AB6">
      <w:pPr>
        <w:pStyle w:val="Titulli"/>
      </w:pPr>
      <w:r w:rsidRPr="00FF3B8C">
        <w:t>PËR NJË NDRYSHIM DHE NJË SHTESË NË LIGJIN NR.8537, DATË 18.10.1999 “PËR BARRËT SIGURUESE”, TË NDRYSHUAR</w:t>
      </w:r>
    </w:p>
    <w:p w:rsidR="00FF3B8C" w:rsidRPr="00FF3B8C" w:rsidRDefault="00FF3B8C" w:rsidP="00FF3B8C">
      <w:pPr>
        <w:pStyle w:val="Paragrafi"/>
        <w:ind w:firstLine="0"/>
      </w:pPr>
    </w:p>
    <w:p w:rsidR="00FF3B8C" w:rsidRPr="00FF3B8C" w:rsidRDefault="00FF3B8C" w:rsidP="004E3AB6">
      <w:pPr>
        <w:pStyle w:val="BazLigjPropozues0"/>
      </w:pPr>
      <w:r w:rsidRPr="00FF3B8C">
        <w:t>Në mbështetje të neneve 78 e 83 pika 1 të Kushtetutës, me propozimin e Këshillit të Ministrave,</w:t>
      </w:r>
    </w:p>
    <w:p w:rsidR="00FF3B8C" w:rsidRPr="00FF3B8C" w:rsidRDefault="00FF3B8C" w:rsidP="00FF3B8C">
      <w:pPr>
        <w:pStyle w:val="Paragrafi"/>
      </w:pPr>
    </w:p>
    <w:p w:rsidR="00FF3B8C" w:rsidRPr="00FF3B8C" w:rsidRDefault="00FF3B8C" w:rsidP="004E3AB6">
      <w:pPr>
        <w:pStyle w:val="Institucioni"/>
      </w:pPr>
      <w:r>
        <w:t>KUV</w:t>
      </w:r>
      <w:r w:rsidRPr="00FF3B8C">
        <w:t>ENDI</w:t>
      </w:r>
    </w:p>
    <w:p w:rsidR="00FF3B8C" w:rsidRPr="00FF3B8C" w:rsidRDefault="00FF3B8C" w:rsidP="004E3AB6">
      <w:pPr>
        <w:pStyle w:val="Institucioni"/>
      </w:pPr>
      <w:r w:rsidRPr="00FF3B8C">
        <w:t>I REPUBLIKËS SË SHQIPËRISË</w:t>
      </w:r>
    </w:p>
    <w:p w:rsidR="00FF3B8C" w:rsidRPr="00FF3B8C" w:rsidRDefault="00FF3B8C" w:rsidP="00FF3B8C">
      <w:pPr>
        <w:pStyle w:val="Paragrafi"/>
      </w:pPr>
    </w:p>
    <w:p w:rsidR="00FF3B8C" w:rsidRPr="00FF3B8C" w:rsidRDefault="00FF3B8C" w:rsidP="004E3AB6">
      <w:pPr>
        <w:pStyle w:val="VENDOSI"/>
      </w:pPr>
      <w:r>
        <w:t>VENDO</w:t>
      </w:r>
      <w:r w:rsidRPr="00FF3B8C">
        <w:t>SI:</w:t>
      </w:r>
    </w:p>
    <w:p w:rsidR="00FF3B8C" w:rsidRPr="00FF3B8C" w:rsidRDefault="00FF3B8C" w:rsidP="00FF3B8C">
      <w:pPr>
        <w:pStyle w:val="Paragrafi"/>
      </w:pPr>
    </w:p>
    <w:p w:rsidR="00FF3B8C" w:rsidRPr="00FF3B8C" w:rsidRDefault="00FF3B8C" w:rsidP="00FF3B8C">
      <w:pPr>
        <w:pStyle w:val="Paragrafi"/>
      </w:pPr>
      <w:r w:rsidRPr="00FF3B8C">
        <w:t>Në ligjin nr.8537, datë 18.10.1999 “Për barrët siguruese”, të ndryshuar, bëhen ndryshimi dhe shtesa e mëposhtme:</w:t>
      </w:r>
    </w:p>
    <w:p w:rsidR="00FB7FA5" w:rsidRPr="00FF3B8C" w:rsidRDefault="00FB7FA5" w:rsidP="00FF3B8C">
      <w:pPr>
        <w:pStyle w:val="Paragrafi"/>
      </w:pPr>
    </w:p>
    <w:p w:rsidR="00FF3B8C" w:rsidRPr="00FF3B8C" w:rsidRDefault="00FF3B8C" w:rsidP="004E3AB6">
      <w:pPr>
        <w:pStyle w:val="NeniNr"/>
      </w:pPr>
      <w:r w:rsidRPr="00FF3B8C">
        <w:t>Neni 1</w:t>
      </w:r>
    </w:p>
    <w:p w:rsidR="00FF3B8C" w:rsidRPr="00FF3B8C" w:rsidRDefault="00FF3B8C" w:rsidP="00FF3B8C">
      <w:pPr>
        <w:pStyle w:val="Paragrafi"/>
      </w:pPr>
    </w:p>
    <w:p w:rsidR="00FF3B8C" w:rsidRPr="00FF3B8C" w:rsidRDefault="00FF3B8C" w:rsidP="00FF3B8C">
      <w:pPr>
        <w:pStyle w:val="Paragrafi"/>
      </w:pPr>
      <w:r w:rsidRPr="00FF3B8C">
        <w:t>Neni 25 ndryshohet si më poshtë:</w:t>
      </w:r>
    </w:p>
    <w:p w:rsidR="00FF3B8C" w:rsidRPr="00FF3B8C" w:rsidRDefault="00FF3B8C" w:rsidP="00FF3B8C">
      <w:pPr>
        <w:pStyle w:val="Paragrafi"/>
      </w:pPr>
    </w:p>
    <w:p w:rsidR="00FF3B8C" w:rsidRPr="00FF3B8C" w:rsidRDefault="00FF3B8C" w:rsidP="004E3AB6">
      <w:pPr>
        <w:pStyle w:val="NeniNr"/>
      </w:pPr>
      <w:r w:rsidRPr="00FF3B8C">
        <w:t>“Neni 25</w:t>
      </w:r>
    </w:p>
    <w:p w:rsidR="00FF3B8C" w:rsidRPr="00FF3B8C" w:rsidRDefault="00FF3B8C" w:rsidP="004E3AB6">
      <w:pPr>
        <w:pStyle w:val="NeniTitull"/>
      </w:pPr>
      <w:r w:rsidRPr="00FF3B8C">
        <w:t>Regjistri i barrëve siguruese</w:t>
      </w:r>
    </w:p>
    <w:p w:rsidR="00FF3B8C" w:rsidRPr="00FF3B8C" w:rsidRDefault="00FF3B8C" w:rsidP="00FF3B8C">
      <w:pPr>
        <w:pStyle w:val="Paragrafi"/>
      </w:pPr>
    </w:p>
    <w:p w:rsidR="00FF3B8C" w:rsidRPr="00FF3B8C" w:rsidRDefault="00FF3B8C" w:rsidP="00FF3B8C">
      <w:pPr>
        <w:pStyle w:val="Paragrafi"/>
      </w:pPr>
      <w:r w:rsidRPr="00FF3B8C">
        <w:t>Regjistri i barrëve siguruese krijohet dhe ofron shërbimin e regjistrimit të barrëve siguruese, të pretendimeve dhe të të drejtave, që lindin nga ky ligj ose nga çdo ligj tjetër, i cili kërkon ose lejon regjistrimin në këtë regjistër.</w:t>
      </w:r>
    </w:p>
    <w:p w:rsidR="00FF3B8C" w:rsidRPr="00FF3B8C" w:rsidRDefault="00FF3B8C" w:rsidP="00FF3B8C">
      <w:pPr>
        <w:pStyle w:val="Paragrafi"/>
      </w:pPr>
      <w:r w:rsidRPr="00FF3B8C">
        <w:t>Ministria e Ekonomisë, Tregtisë dhe Energjetikës është përgjegjëse për veprimtarinë e regjistrit të barrëve siguruese.</w:t>
      </w:r>
    </w:p>
    <w:p w:rsidR="00FF3B8C" w:rsidRPr="00FF3B8C" w:rsidRDefault="00FF3B8C" w:rsidP="00FF3B8C">
      <w:pPr>
        <w:pStyle w:val="Paragrafi"/>
      </w:pPr>
      <w:r w:rsidRPr="00FF3B8C">
        <w:t>Në rastet kur ky shërbim i delegohet një personi juridik privat, në formën e koncesionit, sipas ligjit nr.9663, datë 18.12.2006 “Për koncesionet”, ofruesi i shërbimit i propozon Ministrit të Ekonomisë, Tregtisë dhe Energjetikës emërimin e kryeregjistruesit të regjistrit të barrëve siguruese dhe të një ose disa zëvendësve të tij.</w:t>
      </w:r>
    </w:p>
    <w:p w:rsidR="00FF3B8C" w:rsidRPr="00FF3B8C" w:rsidRDefault="00FF3B8C" w:rsidP="00FF3B8C">
      <w:pPr>
        <w:pStyle w:val="Paragrafi"/>
      </w:pPr>
      <w:r w:rsidRPr="00FF3B8C">
        <w:t>Në të gjitha rastet, regjistri i barrëve siguruese është pronë publike.”.</w:t>
      </w:r>
    </w:p>
    <w:p w:rsidR="00FF3B8C" w:rsidRPr="00FF3B8C" w:rsidRDefault="00FF3B8C" w:rsidP="00FF3B8C">
      <w:pPr>
        <w:pStyle w:val="Paragrafi"/>
      </w:pPr>
    </w:p>
    <w:p w:rsidR="00FF3B8C" w:rsidRPr="00FF3B8C" w:rsidRDefault="00FF3B8C" w:rsidP="004E3AB6">
      <w:pPr>
        <w:pStyle w:val="NeniNr"/>
      </w:pPr>
      <w:r w:rsidRPr="00FF3B8C">
        <w:t>Neni 2</w:t>
      </w:r>
    </w:p>
    <w:p w:rsidR="00FF3B8C" w:rsidRPr="00FF3B8C" w:rsidRDefault="00FF3B8C" w:rsidP="00FF3B8C">
      <w:pPr>
        <w:pStyle w:val="Paragrafi"/>
      </w:pPr>
    </w:p>
    <w:p w:rsidR="00FF3B8C" w:rsidRPr="00FF3B8C" w:rsidRDefault="00FF3B8C" w:rsidP="00FF3B8C">
      <w:pPr>
        <w:pStyle w:val="Paragrafi"/>
      </w:pPr>
      <w:r w:rsidRPr="00FF3B8C">
        <w:t>Në fund të nenit 27 “Përgjegjësia e Këshillit të Ministrave” shtohet një paragraf me këtë përmbajtje:</w:t>
      </w:r>
    </w:p>
    <w:p w:rsidR="00FF3B8C" w:rsidRPr="00FF3B8C" w:rsidRDefault="00FF3B8C" w:rsidP="00FF3B8C">
      <w:pPr>
        <w:pStyle w:val="Paragrafi"/>
      </w:pPr>
      <w:r w:rsidRPr="00FF3B8C">
        <w:t>“Në rastet kur ky shërbim ofrohet nga një subjekt juridik privat, ofruesi i shërbimit është përgjegjës për humbjen e shkaktuar, si rezultat i gabimeve ose mosfunksionimit të sistemit të regjistrimit. Kufijtë e përgjegjësisë dhe mënyra se si do të garantohet mbulimi i humbjeve përcaktohen në kontratën e lidhur ndërmjet palëve.</w:t>
      </w:r>
    </w:p>
    <w:p w:rsidR="00FF3B8C" w:rsidRPr="00FF3B8C" w:rsidRDefault="00FF3B8C" w:rsidP="00FF3B8C">
      <w:pPr>
        <w:pStyle w:val="Paragrafi"/>
      </w:pPr>
      <w:r w:rsidRPr="00FF3B8C">
        <w:t>Shteti nuk ka detyrim të mbulojë efektet (humbjet), në rast të deklarimit të barrëve false.”.</w:t>
      </w:r>
    </w:p>
    <w:p w:rsidR="00FF3B8C" w:rsidRPr="00FF3B8C" w:rsidRDefault="00FF3B8C" w:rsidP="00FF3B8C">
      <w:pPr>
        <w:pStyle w:val="Paragrafi"/>
      </w:pPr>
    </w:p>
    <w:p w:rsidR="00FF3B8C" w:rsidRPr="00FF3B8C" w:rsidRDefault="00FF3B8C" w:rsidP="004E3AB6">
      <w:pPr>
        <w:pStyle w:val="NeniNr"/>
      </w:pPr>
      <w:r w:rsidRPr="00FF3B8C">
        <w:t>Neni 3</w:t>
      </w:r>
    </w:p>
    <w:p w:rsidR="00FF3B8C" w:rsidRPr="00FF3B8C" w:rsidRDefault="00FF3B8C" w:rsidP="00FF3B8C">
      <w:pPr>
        <w:pStyle w:val="Paragrafi"/>
      </w:pPr>
    </w:p>
    <w:p w:rsidR="00FF3B8C" w:rsidRPr="00FF3B8C" w:rsidRDefault="00FF3B8C" w:rsidP="00FF3B8C">
      <w:pPr>
        <w:pStyle w:val="Paragrafi"/>
      </w:pPr>
      <w:r w:rsidRPr="00FF3B8C">
        <w:t>Ky ligj hyn në fuqi 15 ditë pas botimit në Fletoren Zyrtare.</w:t>
      </w:r>
    </w:p>
    <w:p w:rsidR="00FF3B8C" w:rsidRPr="00FF3B8C" w:rsidRDefault="00FF3B8C" w:rsidP="00FF3B8C">
      <w:pPr>
        <w:pStyle w:val="Paragrafi"/>
      </w:pPr>
    </w:p>
    <w:p w:rsidR="00FF3B8C" w:rsidRPr="00FF3B8C" w:rsidRDefault="00FF3B8C" w:rsidP="00FF3B8C">
      <w:pPr>
        <w:pStyle w:val="Paragrafi"/>
      </w:pPr>
    </w:p>
    <w:p w:rsidR="004E3AB6" w:rsidRDefault="004E3AB6" w:rsidP="004E3AB6">
      <w:pPr>
        <w:pStyle w:val="Shpallja"/>
        <w:rPr>
          <w:sz w:val="23"/>
          <w:szCs w:val="23"/>
        </w:rPr>
      </w:pPr>
      <w:r w:rsidRPr="00B81AC6">
        <w:rPr>
          <w:sz w:val="23"/>
          <w:szCs w:val="23"/>
        </w:rPr>
        <w:t>Shpallur me dekretin nr.</w:t>
      </w:r>
      <w:r>
        <w:rPr>
          <w:sz w:val="23"/>
          <w:szCs w:val="23"/>
        </w:rPr>
        <w:t>5973, datë 12.12</w:t>
      </w:r>
      <w:r w:rsidRPr="00B81AC6">
        <w:rPr>
          <w:sz w:val="23"/>
          <w:szCs w:val="23"/>
        </w:rPr>
        <w:t>.2008</w:t>
      </w:r>
      <w:r>
        <w:rPr>
          <w:sz w:val="23"/>
          <w:szCs w:val="23"/>
        </w:rPr>
        <w:t xml:space="preserve"> </w:t>
      </w:r>
      <w:r w:rsidRPr="00B81AC6">
        <w:rPr>
          <w:sz w:val="23"/>
          <w:szCs w:val="23"/>
        </w:rPr>
        <w:t xml:space="preserve">të Presidentit të Republikës së Shqipërisë, </w:t>
      </w:r>
    </w:p>
    <w:p w:rsidR="004E3AB6" w:rsidRPr="00B81AC6" w:rsidRDefault="004E3AB6" w:rsidP="004E3AB6">
      <w:pPr>
        <w:pStyle w:val="Shpallja"/>
        <w:rPr>
          <w:sz w:val="23"/>
          <w:szCs w:val="23"/>
        </w:rPr>
      </w:pPr>
      <w:r w:rsidRPr="00B81AC6">
        <w:rPr>
          <w:sz w:val="23"/>
          <w:szCs w:val="23"/>
        </w:rPr>
        <w:t>Bamir Topi</w:t>
      </w:r>
    </w:p>
    <w:p w:rsidR="00FF3B8C" w:rsidRDefault="00FF3B8C" w:rsidP="00A42904">
      <w:pPr>
        <w:pStyle w:val="Paragrafi"/>
      </w:pPr>
    </w:p>
    <w:p w:rsidR="00E403CE" w:rsidRDefault="00E403CE" w:rsidP="00A42904">
      <w:pPr>
        <w:pStyle w:val="Paragrafi"/>
      </w:pPr>
    </w:p>
    <w:p w:rsidR="00E403CE" w:rsidRDefault="00E403CE" w:rsidP="00E403CE">
      <w:pPr>
        <w:pStyle w:val="Akti"/>
      </w:pPr>
      <w:r>
        <w:t>Akti Normativ</w:t>
      </w:r>
    </w:p>
    <w:p w:rsidR="00E403CE" w:rsidRDefault="00E403CE" w:rsidP="00E403CE">
      <w:pPr>
        <w:pStyle w:val="NumriData"/>
      </w:pPr>
      <w:r>
        <w:t>Nr.7, datë 15.12.2008</w:t>
      </w:r>
    </w:p>
    <w:p w:rsidR="00E403CE" w:rsidRDefault="00E403CE" w:rsidP="00E403CE">
      <w:pPr>
        <w:pStyle w:val="Paragrafi"/>
      </w:pPr>
    </w:p>
    <w:p w:rsidR="00E403CE" w:rsidRDefault="00E403CE" w:rsidP="00E403CE">
      <w:pPr>
        <w:pStyle w:val="Titulli"/>
      </w:pPr>
      <w:r>
        <w:t>Për disa ndryshime në ligj</w:t>
      </w:r>
      <w:r w:rsidR="00B07AC6">
        <w:t>in nr.9836, datë 26.11.2007 “Për buxhetin e shtetit</w:t>
      </w:r>
      <w:r>
        <w:t xml:space="preserve"> të vitit 2008”, të ndryshuar</w:t>
      </w:r>
    </w:p>
    <w:p w:rsidR="00E403CE" w:rsidRDefault="00E403CE" w:rsidP="00E403CE">
      <w:pPr>
        <w:pStyle w:val="Paragrafi"/>
      </w:pPr>
    </w:p>
    <w:p w:rsidR="00E403CE" w:rsidRDefault="00E403CE" w:rsidP="00E403CE">
      <w:pPr>
        <w:pStyle w:val="Paragrafi"/>
      </w:pPr>
      <w:r>
        <w:t>Në mbështetje të nenit 101 të Kushtetutës, me propozimin e Ministrit të Financave, Këshilli i Ministrave</w:t>
      </w:r>
    </w:p>
    <w:p w:rsidR="00E403CE" w:rsidRDefault="00E403CE" w:rsidP="00E403CE">
      <w:pPr>
        <w:pStyle w:val="Paragrafi"/>
      </w:pPr>
    </w:p>
    <w:p w:rsidR="00E403CE" w:rsidRDefault="00E403CE" w:rsidP="00E403CE">
      <w:pPr>
        <w:pStyle w:val="VENDOSI"/>
      </w:pPr>
      <w:r>
        <w:t>Vendosi:</w:t>
      </w:r>
    </w:p>
    <w:p w:rsidR="00E403CE" w:rsidRDefault="00E403CE" w:rsidP="00E403CE">
      <w:pPr>
        <w:pStyle w:val="Paragrafi"/>
      </w:pPr>
    </w:p>
    <w:p w:rsidR="00E403CE" w:rsidRDefault="00E403CE" w:rsidP="00E403CE">
      <w:pPr>
        <w:pStyle w:val="Paragrafi"/>
      </w:pPr>
      <w:r>
        <w:t xml:space="preserve">Në </w:t>
      </w:r>
      <w:r w:rsidR="00B07AC6">
        <w:t>ligjin nr.9836, datë 26.11.2007</w:t>
      </w:r>
      <w:r>
        <w:t xml:space="preserve"> “Për Buxhetin e Shte</w:t>
      </w:r>
      <w:r w:rsidR="00B07AC6">
        <w:t>tit</w:t>
      </w:r>
      <w:r>
        <w:t xml:space="preserve"> të vitit 2008”, të ndryshuar, bëhen këto ndryshime:</w:t>
      </w:r>
    </w:p>
    <w:p w:rsidR="00E403CE" w:rsidRDefault="00E403CE" w:rsidP="00E403CE">
      <w:pPr>
        <w:pStyle w:val="Paragrafi"/>
      </w:pPr>
    </w:p>
    <w:p w:rsidR="00E403CE" w:rsidRDefault="00E403CE" w:rsidP="00E403CE">
      <w:pPr>
        <w:pStyle w:val="NeniNr"/>
      </w:pPr>
      <w:r>
        <w:t>Neni 1</w:t>
      </w:r>
    </w:p>
    <w:p w:rsidR="00E403CE" w:rsidRDefault="00E403CE" w:rsidP="00E403CE">
      <w:pPr>
        <w:pStyle w:val="Paragrafi"/>
      </w:pPr>
    </w:p>
    <w:p w:rsidR="00E403CE" w:rsidRDefault="00E403CE" w:rsidP="00E403CE">
      <w:pPr>
        <w:pStyle w:val="Paragrafi"/>
      </w:pPr>
      <w:r>
        <w:t>Neni 1 ndryshohet, si më poshtë vijon:</w:t>
      </w:r>
    </w:p>
    <w:p w:rsidR="00E403CE" w:rsidRDefault="00E403CE" w:rsidP="00E403CE">
      <w:pPr>
        <w:pStyle w:val="Paragrafi"/>
      </w:pPr>
    </w:p>
    <w:p w:rsidR="00E403CE" w:rsidRDefault="00E403CE" w:rsidP="00E403CE">
      <w:pPr>
        <w:pStyle w:val="NeniNr"/>
      </w:pPr>
      <w:r>
        <w:t>“Neni 1</w:t>
      </w:r>
    </w:p>
    <w:p w:rsidR="00E403CE" w:rsidRDefault="00E403CE" w:rsidP="00E403CE">
      <w:pPr>
        <w:pStyle w:val="Paragrafi"/>
      </w:pPr>
    </w:p>
    <w:p w:rsidR="00E403CE" w:rsidRDefault="00B07AC6" w:rsidP="00E403CE">
      <w:pPr>
        <w:pStyle w:val="Paragrafi"/>
      </w:pPr>
      <w:r>
        <w:t xml:space="preserve">Buxheti i </w:t>
      </w:r>
      <w:r w:rsidR="007B4F80">
        <w:t>S</w:t>
      </w:r>
      <w:r w:rsidR="00E403CE">
        <w:t>htetit, për vitin 2008, është:</w:t>
      </w:r>
    </w:p>
    <w:p w:rsidR="004C5F63" w:rsidRDefault="004C5F63" w:rsidP="00E403CE">
      <w:pPr>
        <w:pStyle w:val="Paragrafi"/>
      </w:pPr>
    </w:p>
    <w:tbl>
      <w:tblPr>
        <w:tblW w:w="0" w:type="auto"/>
        <w:tblLook w:val="01E0" w:firstRow="1" w:lastRow="1" w:firstColumn="1" w:lastColumn="1" w:noHBand="0" w:noVBand="0"/>
      </w:tblPr>
      <w:tblGrid>
        <w:gridCol w:w="4643"/>
        <w:gridCol w:w="4644"/>
      </w:tblGrid>
      <w:tr w:rsidR="004C5F63" w:rsidTr="007C7A85">
        <w:tc>
          <w:tcPr>
            <w:tcW w:w="4643" w:type="dxa"/>
            <w:shd w:val="clear" w:color="auto" w:fill="auto"/>
          </w:tcPr>
          <w:p w:rsidR="004C5F63" w:rsidRPr="00AD025D" w:rsidRDefault="00AD025D" w:rsidP="007C7A85">
            <w:pPr>
              <w:pStyle w:val="Paragrafi"/>
              <w:ind w:firstLine="0"/>
            </w:pPr>
            <w:r w:rsidRPr="00AD025D">
              <w:t>Të ardhurat</w:t>
            </w:r>
          </w:p>
        </w:tc>
        <w:tc>
          <w:tcPr>
            <w:tcW w:w="4644" w:type="dxa"/>
            <w:shd w:val="clear" w:color="auto" w:fill="auto"/>
          </w:tcPr>
          <w:p w:rsidR="004C5F63" w:rsidRPr="00AD025D" w:rsidRDefault="00AD025D" w:rsidP="007C7A85">
            <w:pPr>
              <w:pStyle w:val="Paragrafi"/>
              <w:ind w:firstLine="0"/>
            </w:pPr>
            <w:r w:rsidRPr="00AD025D">
              <w:t>298 220 milionë lekë;</w:t>
            </w:r>
          </w:p>
        </w:tc>
      </w:tr>
      <w:tr w:rsidR="00AD025D" w:rsidTr="007C7A85">
        <w:tc>
          <w:tcPr>
            <w:tcW w:w="4643" w:type="dxa"/>
            <w:shd w:val="clear" w:color="auto" w:fill="auto"/>
          </w:tcPr>
          <w:p w:rsidR="00AD025D" w:rsidRPr="00AD025D" w:rsidRDefault="00AD025D" w:rsidP="007C7A85">
            <w:pPr>
              <w:pStyle w:val="Paragrafi"/>
              <w:ind w:firstLine="0"/>
            </w:pPr>
            <w:r w:rsidRPr="00AD025D">
              <w:t>Shpenzimet</w:t>
            </w:r>
          </w:p>
        </w:tc>
        <w:tc>
          <w:tcPr>
            <w:tcW w:w="4644" w:type="dxa"/>
            <w:shd w:val="clear" w:color="auto" w:fill="auto"/>
          </w:tcPr>
          <w:p w:rsidR="00AD025D" w:rsidRPr="00AD025D" w:rsidRDefault="00AD025D" w:rsidP="007C7A85">
            <w:pPr>
              <w:pStyle w:val="Paragrafi"/>
              <w:ind w:firstLine="0"/>
            </w:pPr>
            <w:r w:rsidRPr="00AD025D">
              <w:t>354 762 milionë lekë;</w:t>
            </w:r>
          </w:p>
        </w:tc>
      </w:tr>
      <w:tr w:rsidR="00AD025D" w:rsidTr="007C7A85">
        <w:tc>
          <w:tcPr>
            <w:tcW w:w="4643" w:type="dxa"/>
            <w:shd w:val="clear" w:color="auto" w:fill="auto"/>
          </w:tcPr>
          <w:p w:rsidR="00AD025D" w:rsidRPr="00AD025D" w:rsidRDefault="00AD025D" w:rsidP="007C7A85">
            <w:pPr>
              <w:pStyle w:val="Paragrafi"/>
              <w:ind w:firstLine="0"/>
            </w:pPr>
            <w:r w:rsidRPr="00AD025D">
              <w:t>Deficiti</w:t>
            </w:r>
          </w:p>
        </w:tc>
        <w:tc>
          <w:tcPr>
            <w:tcW w:w="4644" w:type="dxa"/>
            <w:shd w:val="clear" w:color="auto" w:fill="auto"/>
          </w:tcPr>
          <w:p w:rsidR="00AD025D" w:rsidRPr="00AD025D" w:rsidRDefault="00AD025D" w:rsidP="007C7A85">
            <w:pPr>
              <w:pStyle w:val="Paragrafi"/>
              <w:ind w:firstLine="0"/>
            </w:pPr>
            <w:r w:rsidRPr="00AD025D">
              <w:t>56 542 milionë lekë.</w:t>
            </w:r>
          </w:p>
        </w:tc>
      </w:tr>
    </w:tbl>
    <w:p w:rsidR="00E403CE" w:rsidRDefault="00E403CE" w:rsidP="00AD025D">
      <w:pPr>
        <w:pStyle w:val="Paragrafi"/>
        <w:ind w:firstLine="0"/>
      </w:pPr>
    </w:p>
    <w:p w:rsidR="00E403CE" w:rsidRDefault="00F1512F" w:rsidP="00E403CE">
      <w:pPr>
        <w:pStyle w:val="Paragrafi"/>
      </w:pPr>
      <w:r>
        <w:t>Buxheti i S</w:t>
      </w:r>
      <w:r w:rsidR="00E403CE">
        <w:t>htetit përbëhet nga fondi i konsoliduar, buxheti i sigurimeve shoqërore dhe buxheti i sigurimeve shëndetësore.”.</w:t>
      </w:r>
    </w:p>
    <w:p w:rsidR="00E403CE" w:rsidRDefault="00E403CE" w:rsidP="00E403CE">
      <w:pPr>
        <w:pStyle w:val="Paragrafi"/>
      </w:pPr>
    </w:p>
    <w:p w:rsidR="00E403CE" w:rsidRDefault="00E403CE" w:rsidP="00E403CE">
      <w:pPr>
        <w:pStyle w:val="NeniNr"/>
      </w:pPr>
      <w:r>
        <w:t>Neni 2</w:t>
      </w:r>
    </w:p>
    <w:p w:rsidR="00E403CE" w:rsidRDefault="00E403CE" w:rsidP="00E403CE">
      <w:pPr>
        <w:pStyle w:val="Paragrafi"/>
      </w:pPr>
    </w:p>
    <w:p w:rsidR="00E403CE" w:rsidRDefault="00E403CE" w:rsidP="00E403CE">
      <w:pPr>
        <w:pStyle w:val="Paragrafi"/>
      </w:pPr>
      <w:r>
        <w:t>Neni 2 ndryshohet, si më poshtë vijon:</w:t>
      </w:r>
    </w:p>
    <w:p w:rsidR="00E403CE" w:rsidRDefault="00E403CE" w:rsidP="00E403CE">
      <w:pPr>
        <w:pStyle w:val="Paragrafi"/>
      </w:pPr>
    </w:p>
    <w:p w:rsidR="00E403CE" w:rsidRDefault="00E403CE" w:rsidP="00E403CE">
      <w:pPr>
        <w:pStyle w:val="NeniNr"/>
      </w:pPr>
      <w:r>
        <w:t>“Neni 2</w:t>
      </w:r>
    </w:p>
    <w:p w:rsidR="00E403CE" w:rsidRDefault="00E403CE" w:rsidP="00E403CE">
      <w:pPr>
        <w:pStyle w:val="Paragrafi"/>
      </w:pPr>
    </w:p>
    <w:p w:rsidR="00E403CE" w:rsidRDefault="00E403CE" w:rsidP="00E403CE">
      <w:pPr>
        <w:pStyle w:val="Paragrafi"/>
      </w:pPr>
      <w:r>
        <w:t>A.</w:t>
      </w:r>
      <w:r w:rsidR="00F1512F">
        <w:t xml:space="preserve"> </w:t>
      </w:r>
      <w:r>
        <w:t>Fondi i konsoliduar, për vitin 2008, është:</w:t>
      </w:r>
    </w:p>
    <w:p w:rsidR="00AD025D" w:rsidRDefault="00AD025D" w:rsidP="00E403CE">
      <w:pPr>
        <w:pStyle w:val="Paragrafi"/>
      </w:pPr>
    </w:p>
    <w:tbl>
      <w:tblPr>
        <w:tblW w:w="0" w:type="auto"/>
        <w:tblLook w:val="01E0" w:firstRow="1" w:lastRow="1" w:firstColumn="1" w:lastColumn="1" w:noHBand="0" w:noVBand="0"/>
      </w:tblPr>
      <w:tblGrid>
        <w:gridCol w:w="4643"/>
        <w:gridCol w:w="4644"/>
      </w:tblGrid>
      <w:tr w:rsidR="00AD025D" w:rsidTr="007C7A85">
        <w:tc>
          <w:tcPr>
            <w:tcW w:w="4643" w:type="dxa"/>
            <w:shd w:val="clear" w:color="auto" w:fill="auto"/>
          </w:tcPr>
          <w:p w:rsidR="00AD025D" w:rsidRDefault="00AD025D" w:rsidP="007C7A85">
            <w:pPr>
              <w:pStyle w:val="Paragrafi"/>
              <w:ind w:firstLine="0"/>
            </w:pPr>
            <w:r>
              <w:t>Të ardhurat</w:t>
            </w:r>
          </w:p>
        </w:tc>
        <w:tc>
          <w:tcPr>
            <w:tcW w:w="4644" w:type="dxa"/>
            <w:shd w:val="clear" w:color="auto" w:fill="auto"/>
          </w:tcPr>
          <w:p w:rsidR="00AD025D" w:rsidRDefault="00AD025D" w:rsidP="007C7A85">
            <w:pPr>
              <w:pStyle w:val="Paragrafi"/>
              <w:ind w:firstLine="0"/>
            </w:pPr>
            <w:r>
              <w:t>250 061 milionë lekë;</w:t>
            </w:r>
          </w:p>
        </w:tc>
      </w:tr>
      <w:tr w:rsidR="00AD025D" w:rsidTr="007C7A85">
        <w:tc>
          <w:tcPr>
            <w:tcW w:w="4643" w:type="dxa"/>
            <w:shd w:val="clear" w:color="auto" w:fill="auto"/>
          </w:tcPr>
          <w:p w:rsidR="00AD025D" w:rsidRDefault="00AD025D" w:rsidP="007C7A85">
            <w:pPr>
              <w:pStyle w:val="Paragrafi"/>
              <w:ind w:firstLine="0"/>
            </w:pPr>
            <w:r>
              <w:t>Shpenzimet</w:t>
            </w:r>
          </w:p>
        </w:tc>
        <w:tc>
          <w:tcPr>
            <w:tcW w:w="4644" w:type="dxa"/>
            <w:shd w:val="clear" w:color="auto" w:fill="auto"/>
          </w:tcPr>
          <w:p w:rsidR="00AD025D" w:rsidRDefault="00AD025D" w:rsidP="007C7A85">
            <w:pPr>
              <w:pStyle w:val="Paragrafi"/>
              <w:ind w:firstLine="0"/>
            </w:pPr>
            <w:r>
              <w:t>306 603 milionë lekë;</w:t>
            </w:r>
          </w:p>
        </w:tc>
      </w:tr>
      <w:tr w:rsidR="00AD025D" w:rsidTr="007C7A85">
        <w:tc>
          <w:tcPr>
            <w:tcW w:w="4643" w:type="dxa"/>
            <w:shd w:val="clear" w:color="auto" w:fill="auto"/>
          </w:tcPr>
          <w:p w:rsidR="00AD025D" w:rsidRDefault="00AD025D" w:rsidP="007C7A85">
            <w:pPr>
              <w:pStyle w:val="Paragrafi"/>
              <w:ind w:firstLine="0"/>
            </w:pPr>
            <w:r>
              <w:t>Deficiti</w:t>
            </w:r>
          </w:p>
        </w:tc>
        <w:tc>
          <w:tcPr>
            <w:tcW w:w="4644" w:type="dxa"/>
            <w:shd w:val="clear" w:color="auto" w:fill="auto"/>
          </w:tcPr>
          <w:p w:rsidR="00AD025D" w:rsidRDefault="00AD025D" w:rsidP="007C7A85">
            <w:pPr>
              <w:pStyle w:val="Paragrafi"/>
              <w:ind w:firstLine="0"/>
            </w:pPr>
            <w:r>
              <w:t>56 542 milionë lekë.</w:t>
            </w:r>
          </w:p>
        </w:tc>
      </w:tr>
    </w:tbl>
    <w:p w:rsidR="00AD025D" w:rsidRDefault="00AD025D" w:rsidP="00E403CE">
      <w:pPr>
        <w:pStyle w:val="Paragrafi"/>
      </w:pPr>
    </w:p>
    <w:p w:rsidR="00E403CE" w:rsidRDefault="00E403CE" w:rsidP="00E403CE">
      <w:pPr>
        <w:pStyle w:val="Paragrafi"/>
      </w:pPr>
      <w:r>
        <w:t>Fondi i konsoliduar përbëhet:</w:t>
      </w:r>
    </w:p>
    <w:p w:rsidR="00E403CE" w:rsidRDefault="00E403CE" w:rsidP="00E403CE">
      <w:pPr>
        <w:pStyle w:val="Paragrafi"/>
      </w:pPr>
      <w:r>
        <w:t>A.1.</w:t>
      </w:r>
      <w:r w:rsidR="00F04448">
        <w:t xml:space="preserve"> </w:t>
      </w:r>
      <w:r>
        <w:t>Buxheti qendror:</w:t>
      </w:r>
    </w:p>
    <w:p w:rsidR="00AD025D" w:rsidRDefault="00AD025D" w:rsidP="00E403CE">
      <w:pPr>
        <w:pStyle w:val="Paragrafi"/>
      </w:pPr>
    </w:p>
    <w:tbl>
      <w:tblPr>
        <w:tblW w:w="0" w:type="auto"/>
        <w:tblLook w:val="01E0" w:firstRow="1" w:lastRow="1" w:firstColumn="1" w:lastColumn="1" w:noHBand="0" w:noVBand="0"/>
      </w:tblPr>
      <w:tblGrid>
        <w:gridCol w:w="4643"/>
        <w:gridCol w:w="4644"/>
      </w:tblGrid>
      <w:tr w:rsidR="00AD025D" w:rsidTr="007C7A85">
        <w:tc>
          <w:tcPr>
            <w:tcW w:w="4643" w:type="dxa"/>
            <w:shd w:val="clear" w:color="auto" w:fill="auto"/>
          </w:tcPr>
          <w:p w:rsidR="00AD025D" w:rsidRDefault="00AD025D" w:rsidP="007C7A85">
            <w:pPr>
              <w:pStyle w:val="Paragrafi"/>
              <w:ind w:firstLine="0"/>
            </w:pPr>
            <w:r>
              <w:t>Të ardhurat</w:t>
            </w:r>
          </w:p>
        </w:tc>
        <w:tc>
          <w:tcPr>
            <w:tcW w:w="4644" w:type="dxa"/>
            <w:shd w:val="clear" w:color="auto" w:fill="auto"/>
          </w:tcPr>
          <w:p w:rsidR="00AD025D" w:rsidRDefault="00AD025D" w:rsidP="007C7A85">
            <w:pPr>
              <w:pStyle w:val="Paragrafi"/>
              <w:ind w:firstLine="0"/>
            </w:pPr>
            <w:r>
              <w:t>236 979 milionë lekë;</w:t>
            </w:r>
          </w:p>
        </w:tc>
      </w:tr>
      <w:tr w:rsidR="00AD025D" w:rsidTr="007C7A85">
        <w:tc>
          <w:tcPr>
            <w:tcW w:w="4643" w:type="dxa"/>
            <w:shd w:val="clear" w:color="auto" w:fill="auto"/>
          </w:tcPr>
          <w:p w:rsidR="00AD025D" w:rsidRDefault="00AD025D" w:rsidP="007C7A85">
            <w:pPr>
              <w:pStyle w:val="Paragrafi"/>
              <w:ind w:firstLine="0"/>
            </w:pPr>
            <w:r>
              <w:t>Shpenzimet</w:t>
            </w:r>
          </w:p>
        </w:tc>
        <w:tc>
          <w:tcPr>
            <w:tcW w:w="4644" w:type="dxa"/>
            <w:shd w:val="clear" w:color="auto" w:fill="auto"/>
          </w:tcPr>
          <w:p w:rsidR="00AD025D" w:rsidRDefault="00AD025D" w:rsidP="007C7A85">
            <w:pPr>
              <w:pStyle w:val="Paragrafi"/>
              <w:ind w:firstLine="0"/>
            </w:pPr>
            <w:r>
              <w:t>293 521 milionë lekë;</w:t>
            </w:r>
          </w:p>
        </w:tc>
      </w:tr>
    </w:tbl>
    <w:p w:rsidR="00AD025D" w:rsidRDefault="00AD025D" w:rsidP="00E403CE">
      <w:pPr>
        <w:pStyle w:val="Paragrafi"/>
      </w:pPr>
    </w:p>
    <w:p w:rsidR="00E403CE" w:rsidRDefault="00E403CE" w:rsidP="00E403CE">
      <w:pPr>
        <w:pStyle w:val="Paragrafi"/>
      </w:pPr>
      <w:r>
        <w:t>A.2.</w:t>
      </w:r>
      <w:r w:rsidR="00F1512F">
        <w:t xml:space="preserve"> </w:t>
      </w:r>
      <w:r>
        <w:t>Buxheti i pushtetit vendor:</w:t>
      </w:r>
    </w:p>
    <w:p w:rsidR="00AD025D" w:rsidRDefault="00AD025D" w:rsidP="00AD025D">
      <w:pPr>
        <w:pStyle w:val="Paragrafi"/>
        <w:ind w:firstLine="0"/>
      </w:pPr>
    </w:p>
    <w:tbl>
      <w:tblPr>
        <w:tblW w:w="0" w:type="auto"/>
        <w:tblLook w:val="01E0" w:firstRow="1" w:lastRow="1" w:firstColumn="1" w:lastColumn="1" w:noHBand="0" w:noVBand="0"/>
      </w:tblPr>
      <w:tblGrid>
        <w:gridCol w:w="4643"/>
        <w:gridCol w:w="4644"/>
      </w:tblGrid>
      <w:tr w:rsidR="00AD025D" w:rsidTr="007C7A85">
        <w:tc>
          <w:tcPr>
            <w:tcW w:w="4643" w:type="dxa"/>
            <w:shd w:val="clear" w:color="auto" w:fill="auto"/>
          </w:tcPr>
          <w:p w:rsidR="00AD025D" w:rsidRDefault="00AD025D" w:rsidP="007C7A85">
            <w:pPr>
              <w:pStyle w:val="Paragrafi"/>
              <w:ind w:firstLine="0"/>
            </w:pPr>
            <w:r>
              <w:t>Të ardhurat</w:t>
            </w:r>
          </w:p>
        </w:tc>
        <w:tc>
          <w:tcPr>
            <w:tcW w:w="4644" w:type="dxa"/>
            <w:shd w:val="clear" w:color="auto" w:fill="auto"/>
          </w:tcPr>
          <w:p w:rsidR="00AD025D" w:rsidRDefault="00AD025D" w:rsidP="007C7A85">
            <w:pPr>
              <w:pStyle w:val="Paragrafi"/>
              <w:ind w:firstLine="0"/>
            </w:pPr>
            <w:r>
              <w:t>29 146 milionë lekë;</w:t>
            </w:r>
          </w:p>
        </w:tc>
      </w:tr>
    </w:tbl>
    <w:p w:rsidR="00E403CE" w:rsidRDefault="00E403CE" w:rsidP="00E403CE">
      <w:pPr>
        <w:pStyle w:val="Paragrafi"/>
      </w:pPr>
    </w:p>
    <w:p w:rsidR="00E403CE" w:rsidRDefault="00E403CE" w:rsidP="00E403CE">
      <w:pPr>
        <w:pStyle w:val="Paragrafi"/>
      </w:pPr>
      <w:r>
        <w:t>Nga të cilat:</w:t>
      </w:r>
    </w:p>
    <w:p w:rsidR="00AD025D" w:rsidRDefault="00AD025D" w:rsidP="00E403CE">
      <w:pPr>
        <w:pStyle w:val="Paragrafi"/>
      </w:pPr>
    </w:p>
    <w:tbl>
      <w:tblPr>
        <w:tblW w:w="0" w:type="auto"/>
        <w:tblLook w:val="01E0" w:firstRow="1" w:lastRow="1" w:firstColumn="1" w:lastColumn="1" w:noHBand="0" w:noVBand="0"/>
      </w:tblPr>
      <w:tblGrid>
        <w:gridCol w:w="4643"/>
        <w:gridCol w:w="4644"/>
      </w:tblGrid>
      <w:tr w:rsidR="00AD025D" w:rsidTr="007C7A85">
        <w:tc>
          <w:tcPr>
            <w:tcW w:w="4643" w:type="dxa"/>
            <w:shd w:val="clear" w:color="auto" w:fill="auto"/>
          </w:tcPr>
          <w:p w:rsidR="00AD025D" w:rsidRDefault="000972B1" w:rsidP="007C7A85">
            <w:pPr>
              <w:pStyle w:val="Paragrafi"/>
              <w:ind w:firstLine="0"/>
            </w:pPr>
            <w:r>
              <w:t xml:space="preserve">- </w:t>
            </w:r>
            <w:r w:rsidR="00AD025D">
              <w:t>Granti i pakushtëzuar nga buxheti qendror</w:t>
            </w:r>
          </w:p>
        </w:tc>
        <w:tc>
          <w:tcPr>
            <w:tcW w:w="4644" w:type="dxa"/>
            <w:shd w:val="clear" w:color="auto" w:fill="auto"/>
          </w:tcPr>
          <w:p w:rsidR="00AD025D" w:rsidRDefault="00AD025D" w:rsidP="007C7A85">
            <w:pPr>
              <w:pStyle w:val="Paragrafi"/>
              <w:ind w:firstLine="0"/>
            </w:pPr>
            <w:r>
              <w:t>16 064 milionë lekë;</w:t>
            </w:r>
          </w:p>
        </w:tc>
      </w:tr>
      <w:tr w:rsidR="00AD025D" w:rsidTr="007C7A85">
        <w:tc>
          <w:tcPr>
            <w:tcW w:w="4643" w:type="dxa"/>
            <w:shd w:val="clear" w:color="auto" w:fill="auto"/>
          </w:tcPr>
          <w:p w:rsidR="00AD025D" w:rsidRDefault="000972B1" w:rsidP="007C7A85">
            <w:pPr>
              <w:pStyle w:val="Paragrafi"/>
              <w:ind w:firstLine="0"/>
            </w:pPr>
            <w:r>
              <w:t xml:space="preserve">- </w:t>
            </w:r>
            <w:r w:rsidR="00AD025D">
              <w:t>Shpenzimet</w:t>
            </w:r>
          </w:p>
        </w:tc>
        <w:tc>
          <w:tcPr>
            <w:tcW w:w="4644" w:type="dxa"/>
            <w:shd w:val="clear" w:color="auto" w:fill="auto"/>
          </w:tcPr>
          <w:p w:rsidR="00AD025D" w:rsidRDefault="000972B1" w:rsidP="007C7A85">
            <w:pPr>
              <w:pStyle w:val="Paragrafi"/>
              <w:ind w:firstLine="0"/>
            </w:pPr>
            <w:r>
              <w:t>29 146 milionë lekë.”.</w:t>
            </w:r>
          </w:p>
        </w:tc>
      </w:tr>
    </w:tbl>
    <w:p w:rsidR="00E403CE" w:rsidRDefault="00E403CE" w:rsidP="00F1512F">
      <w:pPr>
        <w:pStyle w:val="Paragrafi"/>
        <w:ind w:firstLine="0"/>
      </w:pPr>
    </w:p>
    <w:p w:rsidR="00E403CE" w:rsidRDefault="00E403CE" w:rsidP="00E403CE">
      <w:pPr>
        <w:pStyle w:val="NeniNr"/>
      </w:pPr>
      <w:r>
        <w:t>Neni 3</w:t>
      </w:r>
    </w:p>
    <w:p w:rsidR="00E403CE" w:rsidRPr="00F04448" w:rsidRDefault="00E403CE" w:rsidP="00E403CE">
      <w:pPr>
        <w:pStyle w:val="Paragrafi"/>
        <w:rPr>
          <w:sz w:val="10"/>
        </w:rPr>
      </w:pPr>
    </w:p>
    <w:p w:rsidR="00E403CE" w:rsidRDefault="00E403CE" w:rsidP="00E403CE">
      <w:pPr>
        <w:pStyle w:val="Paragrafi"/>
      </w:pPr>
      <w:r>
        <w:t>Neni 3 ndryshohet, si më poshtë vijon:</w:t>
      </w:r>
    </w:p>
    <w:p w:rsidR="00F04448" w:rsidRDefault="00F04448" w:rsidP="00E403CE">
      <w:pPr>
        <w:pStyle w:val="Paragrafi"/>
      </w:pPr>
    </w:p>
    <w:p w:rsidR="00E403CE" w:rsidRDefault="00E403CE" w:rsidP="00E403CE">
      <w:pPr>
        <w:pStyle w:val="NeniNr"/>
      </w:pPr>
      <w:r>
        <w:t xml:space="preserve"> “Neni 3</w:t>
      </w:r>
    </w:p>
    <w:p w:rsidR="00E403CE" w:rsidRPr="00436713" w:rsidRDefault="00E403CE" w:rsidP="00E403CE">
      <w:pPr>
        <w:rPr>
          <w:lang w:val="en-GB"/>
        </w:rPr>
      </w:pPr>
    </w:p>
    <w:p w:rsidR="00E403CE" w:rsidRDefault="00E403CE" w:rsidP="00E403CE">
      <w:pPr>
        <w:pStyle w:val="Paragrafi"/>
      </w:pPr>
      <w:r>
        <w:t>B.</w:t>
      </w:r>
      <w:r w:rsidR="001F72AB">
        <w:t xml:space="preserve"> </w:t>
      </w:r>
      <w:r>
        <w:t>Buxheti i sigurimeve shoqërore, për vitin 2008, është:</w:t>
      </w:r>
    </w:p>
    <w:p w:rsidR="00E403CE" w:rsidRDefault="00E403CE" w:rsidP="00E403CE">
      <w:pPr>
        <w:pStyle w:val="Paragrafi"/>
      </w:pPr>
    </w:p>
    <w:p w:rsidR="00E403CE" w:rsidRDefault="00E403CE" w:rsidP="00E403CE">
      <w:pPr>
        <w:pStyle w:val="Paragrafi"/>
      </w:pPr>
      <w:r>
        <w:t>B.1.</w:t>
      </w:r>
      <w:r w:rsidR="006F57C6">
        <w:t xml:space="preserve"> </w:t>
      </w:r>
      <w:r>
        <w:t>Skema e sigurimit të detyrueshëm shoqëror:</w:t>
      </w:r>
    </w:p>
    <w:p w:rsidR="00AD025D" w:rsidRDefault="00AD025D" w:rsidP="006F57C6">
      <w:pPr>
        <w:pStyle w:val="Paragrafi"/>
        <w:ind w:firstLine="0"/>
      </w:pPr>
    </w:p>
    <w:tbl>
      <w:tblPr>
        <w:tblW w:w="0" w:type="auto"/>
        <w:tblLook w:val="01E0" w:firstRow="1" w:lastRow="1" w:firstColumn="1" w:lastColumn="1" w:noHBand="0" w:noVBand="0"/>
      </w:tblPr>
      <w:tblGrid>
        <w:gridCol w:w="4643"/>
        <w:gridCol w:w="4644"/>
      </w:tblGrid>
      <w:tr w:rsidR="00AD025D" w:rsidTr="007C7A85">
        <w:tc>
          <w:tcPr>
            <w:tcW w:w="4643" w:type="dxa"/>
            <w:shd w:val="clear" w:color="auto" w:fill="auto"/>
          </w:tcPr>
          <w:p w:rsidR="00AD025D" w:rsidRDefault="00AD025D" w:rsidP="007C7A85">
            <w:pPr>
              <w:pStyle w:val="Paragrafi"/>
              <w:ind w:firstLine="0"/>
            </w:pPr>
            <w:r>
              <w:t>Të ardhurat gjithsej</w:t>
            </w:r>
          </w:p>
        </w:tc>
        <w:tc>
          <w:tcPr>
            <w:tcW w:w="4644" w:type="dxa"/>
            <w:shd w:val="clear" w:color="auto" w:fill="auto"/>
          </w:tcPr>
          <w:p w:rsidR="00AD025D" w:rsidRDefault="00AD025D" w:rsidP="007C7A85">
            <w:pPr>
              <w:pStyle w:val="Paragrafi"/>
              <w:ind w:firstLine="0"/>
            </w:pPr>
            <w:r>
              <w:t>63 560  milionë lekë;</w:t>
            </w:r>
          </w:p>
        </w:tc>
      </w:tr>
      <w:tr w:rsidR="00AD025D" w:rsidTr="007C7A85">
        <w:tc>
          <w:tcPr>
            <w:tcW w:w="4643" w:type="dxa"/>
            <w:shd w:val="clear" w:color="auto" w:fill="auto"/>
          </w:tcPr>
          <w:p w:rsidR="00AD025D" w:rsidRDefault="00AD025D" w:rsidP="007C7A85">
            <w:pPr>
              <w:pStyle w:val="Paragrafi"/>
              <w:ind w:firstLine="0"/>
            </w:pPr>
            <w:r>
              <w:t>- Nga kontributet</w:t>
            </w:r>
          </w:p>
        </w:tc>
        <w:tc>
          <w:tcPr>
            <w:tcW w:w="4644" w:type="dxa"/>
            <w:shd w:val="clear" w:color="auto" w:fill="auto"/>
          </w:tcPr>
          <w:p w:rsidR="00AD025D" w:rsidRDefault="00AD025D" w:rsidP="007C7A85">
            <w:pPr>
              <w:pStyle w:val="Paragrafi"/>
              <w:ind w:firstLine="0"/>
            </w:pPr>
            <w:r>
              <w:t>42 750  milionë lekë;</w:t>
            </w:r>
          </w:p>
        </w:tc>
      </w:tr>
      <w:tr w:rsidR="00AD025D" w:rsidTr="007C7A85">
        <w:tc>
          <w:tcPr>
            <w:tcW w:w="4643" w:type="dxa"/>
            <w:shd w:val="clear" w:color="auto" w:fill="auto"/>
          </w:tcPr>
          <w:p w:rsidR="00AD025D" w:rsidRDefault="006F57C6" w:rsidP="007C7A85">
            <w:pPr>
              <w:pStyle w:val="Paragrafi"/>
              <w:ind w:firstLine="0"/>
            </w:pPr>
            <w:r>
              <w:t>- Nga transferimet nga Buxheti i s</w:t>
            </w:r>
            <w:r w:rsidR="00AD025D">
              <w:t>htetit</w:t>
            </w:r>
          </w:p>
        </w:tc>
        <w:tc>
          <w:tcPr>
            <w:tcW w:w="4644" w:type="dxa"/>
            <w:shd w:val="clear" w:color="auto" w:fill="auto"/>
          </w:tcPr>
          <w:p w:rsidR="00AD025D" w:rsidRDefault="00AD025D" w:rsidP="007C7A85">
            <w:pPr>
              <w:pStyle w:val="Paragrafi"/>
              <w:ind w:firstLine="0"/>
            </w:pPr>
            <w:r>
              <w:t>20 810  milionë lekë;</w:t>
            </w:r>
          </w:p>
        </w:tc>
      </w:tr>
      <w:tr w:rsidR="00AD025D" w:rsidTr="007C7A85">
        <w:tc>
          <w:tcPr>
            <w:tcW w:w="4643" w:type="dxa"/>
            <w:shd w:val="clear" w:color="auto" w:fill="auto"/>
          </w:tcPr>
          <w:p w:rsidR="00AD025D" w:rsidRDefault="00AD025D" w:rsidP="007C7A85">
            <w:pPr>
              <w:pStyle w:val="Paragrafi"/>
              <w:ind w:firstLine="0"/>
            </w:pPr>
            <w:r>
              <w:t>Shpenzimet</w:t>
            </w:r>
          </w:p>
        </w:tc>
        <w:tc>
          <w:tcPr>
            <w:tcW w:w="4644" w:type="dxa"/>
            <w:shd w:val="clear" w:color="auto" w:fill="auto"/>
          </w:tcPr>
          <w:p w:rsidR="00AD025D" w:rsidRDefault="00AD025D" w:rsidP="007C7A85">
            <w:pPr>
              <w:pStyle w:val="Paragrafi"/>
              <w:ind w:firstLine="0"/>
            </w:pPr>
            <w:r>
              <w:t>63 560 milionë lekë.</w:t>
            </w:r>
          </w:p>
        </w:tc>
      </w:tr>
    </w:tbl>
    <w:p w:rsidR="00E403CE" w:rsidRDefault="00E403CE" w:rsidP="003C103A">
      <w:pPr>
        <w:pStyle w:val="Paragrafi"/>
        <w:ind w:firstLine="0"/>
      </w:pPr>
    </w:p>
    <w:p w:rsidR="00E403CE" w:rsidRDefault="00E403CE" w:rsidP="00E403CE">
      <w:pPr>
        <w:pStyle w:val="Paragrafi"/>
      </w:pPr>
      <w:r>
        <w:t>Paga minimale, për efekt të pagesës së kontributeve të sigurimeve, shoqërore dhe shëndetësore, përcaktohet nga Këshilli i Ministrave. Këshilli i Ministrave ka të drejtë të përcaktojë një kontribut të veçantë minimal për personat e vetëpunësuar në bujqësi dhe për kategori specifike të personave të vetëpunësuar. Për vitin 2008, teprica e të ardhurave, sipas degëve të sigurimit shoqëror, përdoret për mbulimin e deficitit të degës së pensioneve.</w:t>
      </w:r>
    </w:p>
    <w:p w:rsidR="00E403CE" w:rsidRPr="000B0C82" w:rsidRDefault="00E403CE" w:rsidP="00E403CE">
      <w:pPr>
        <w:pStyle w:val="Paragrafi"/>
        <w:rPr>
          <w:sz w:val="14"/>
        </w:rPr>
      </w:pPr>
    </w:p>
    <w:p w:rsidR="00E403CE" w:rsidRDefault="00EC02C5" w:rsidP="00E403CE">
      <w:pPr>
        <w:pStyle w:val="Paragrafi"/>
      </w:pPr>
      <w:r>
        <w:t>B.2.</w:t>
      </w:r>
      <w:r w:rsidR="00853DFA">
        <w:t xml:space="preserve"> </w:t>
      </w:r>
      <w:r>
        <w:t>S</w:t>
      </w:r>
      <w:r w:rsidR="00E403CE">
        <w:t>kema e sigurimit suplementar:</w:t>
      </w:r>
    </w:p>
    <w:p w:rsidR="003C103A" w:rsidRPr="000B0C82" w:rsidRDefault="003C103A" w:rsidP="00E403CE">
      <w:pPr>
        <w:pStyle w:val="Paragrafi"/>
        <w:rPr>
          <w:sz w:val="16"/>
        </w:rPr>
      </w:pPr>
    </w:p>
    <w:tbl>
      <w:tblPr>
        <w:tblW w:w="0" w:type="auto"/>
        <w:tblLook w:val="01E0" w:firstRow="1" w:lastRow="1" w:firstColumn="1" w:lastColumn="1" w:noHBand="0" w:noVBand="0"/>
      </w:tblPr>
      <w:tblGrid>
        <w:gridCol w:w="4643"/>
        <w:gridCol w:w="2253"/>
      </w:tblGrid>
      <w:tr w:rsidR="003C103A" w:rsidTr="007C7A85">
        <w:tc>
          <w:tcPr>
            <w:tcW w:w="4643" w:type="dxa"/>
            <w:shd w:val="clear" w:color="auto" w:fill="auto"/>
          </w:tcPr>
          <w:p w:rsidR="003C103A" w:rsidRDefault="003C103A" w:rsidP="007C7A85">
            <w:pPr>
              <w:pStyle w:val="Paragrafi"/>
              <w:ind w:firstLine="0"/>
            </w:pPr>
            <w:r>
              <w:t>Të ardhurat, gjithsej</w:t>
            </w:r>
          </w:p>
        </w:tc>
        <w:tc>
          <w:tcPr>
            <w:tcW w:w="2253" w:type="dxa"/>
            <w:shd w:val="clear" w:color="auto" w:fill="auto"/>
          </w:tcPr>
          <w:p w:rsidR="003C103A" w:rsidRDefault="003C103A" w:rsidP="007C7A85">
            <w:pPr>
              <w:pStyle w:val="Paragrafi"/>
              <w:ind w:firstLine="0"/>
              <w:jc w:val="right"/>
            </w:pPr>
            <w:r>
              <w:t>3 153 milionë lekë;</w:t>
            </w:r>
          </w:p>
        </w:tc>
      </w:tr>
      <w:tr w:rsidR="003C103A" w:rsidTr="007C7A85">
        <w:tc>
          <w:tcPr>
            <w:tcW w:w="4643" w:type="dxa"/>
            <w:shd w:val="clear" w:color="auto" w:fill="auto"/>
          </w:tcPr>
          <w:p w:rsidR="003C103A" w:rsidRDefault="003C103A" w:rsidP="007C7A85">
            <w:pPr>
              <w:pStyle w:val="Paragrafi"/>
              <w:ind w:firstLine="0"/>
            </w:pPr>
            <w:r>
              <w:t>- Nga kontributet</w:t>
            </w:r>
          </w:p>
        </w:tc>
        <w:tc>
          <w:tcPr>
            <w:tcW w:w="2253" w:type="dxa"/>
            <w:shd w:val="clear" w:color="auto" w:fill="auto"/>
          </w:tcPr>
          <w:p w:rsidR="003C103A" w:rsidRDefault="003C103A" w:rsidP="007C7A85">
            <w:pPr>
              <w:pStyle w:val="Paragrafi"/>
              <w:ind w:firstLine="0"/>
              <w:jc w:val="right"/>
            </w:pPr>
            <w:r>
              <w:t>186 milionë lekë;</w:t>
            </w:r>
          </w:p>
        </w:tc>
      </w:tr>
      <w:tr w:rsidR="003C103A" w:rsidTr="007C7A85">
        <w:tc>
          <w:tcPr>
            <w:tcW w:w="4643" w:type="dxa"/>
            <w:shd w:val="clear" w:color="auto" w:fill="auto"/>
          </w:tcPr>
          <w:p w:rsidR="003C103A" w:rsidRDefault="00EC02C5" w:rsidP="007C7A85">
            <w:pPr>
              <w:pStyle w:val="Paragrafi"/>
              <w:ind w:firstLine="0"/>
            </w:pPr>
            <w:r>
              <w:t>- Nga transferimet nga Buxheti i S</w:t>
            </w:r>
            <w:r w:rsidR="003C103A">
              <w:t>htetit</w:t>
            </w:r>
          </w:p>
        </w:tc>
        <w:tc>
          <w:tcPr>
            <w:tcW w:w="2253" w:type="dxa"/>
            <w:shd w:val="clear" w:color="auto" w:fill="auto"/>
          </w:tcPr>
          <w:p w:rsidR="003C103A" w:rsidRDefault="003C103A" w:rsidP="007C7A85">
            <w:pPr>
              <w:pStyle w:val="Paragrafi"/>
              <w:ind w:firstLine="0"/>
              <w:jc w:val="right"/>
            </w:pPr>
            <w:r>
              <w:t>2 967  milionë lekë;</w:t>
            </w:r>
          </w:p>
        </w:tc>
      </w:tr>
      <w:tr w:rsidR="003C103A" w:rsidTr="007C7A85">
        <w:tc>
          <w:tcPr>
            <w:tcW w:w="4643" w:type="dxa"/>
            <w:shd w:val="clear" w:color="auto" w:fill="auto"/>
          </w:tcPr>
          <w:p w:rsidR="003C103A" w:rsidRDefault="003C103A" w:rsidP="007C7A85">
            <w:pPr>
              <w:pStyle w:val="Paragrafi"/>
              <w:ind w:firstLine="0"/>
            </w:pPr>
            <w:r>
              <w:t>Shpenzimet</w:t>
            </w:r>
          </w:p>
        </w:tc>
        <w:tc>
          <w:tcPr>
            <w:tcW w:w="2253" w:type="dxa"/>
            <w:shd w:val="clear" w:color="auto" w:fill="auto"/>
          </w:tcPr>
          <w:p w:rsidR="003C103A" w:rsidRDefault="003C103A" w:rsidP="007C7A85">
            <w:pPr>
              <w:pStyle w:val="Paragrafi"/>
              <w:ind w:firstLine="0"/>
              <w:jc w:val="right"/>
            </w:pPr>
            <w:r>
              <w:t>3 153 milionë lekë.</w:t>
            </w:r>
            <w:r w:rsidR="00EC02C5">
              <w:t>”.</w:t>
            </w:r>
          </w:p>
        </w:tc>
      </w:tr>
    </w:tbl>
    <w:p w:rsidR="00E403CE" w:rsidRPr="000B0C82" w:rsidRDefault="00E403CE" w:rsidP="00E403CE">
      <w:pPr>
        <w:pStyle w:val="Paragrafi"/>
        <w:rPr>
          <w:sz w:val="18"/>
        </w:rPr>
      </w:pPr>
    </w:p>
    <w:p w:rsidR="00E403CE" w:rsidRDefault="00E403CE" w:rsidP="00E403CE">
      <w:pPr>
        <w:pStyle w:val="NeniNr"/>
      </w:pPr>
      <w:r>
        <w:t>Neni 4</w:t>
      </w:r>
    </w:p>
    <w:p w:rsidR="00E403CE" w:rsidRPr="000B0C82" w:rsidRDefault="00E403CE" w:rsidP="00E403CE">
      <w:pPr>
        <w:pStyle w:val="Paragrafi"/>
        <w:rPr>
          <w:sz w:val="14"/>
        </w:rPr>
      </w:pPr>
    </w:p>
    <w:p w:rsidR="00E403CE" w:rsidRDefault="00E403CE" w:rsidP="00E403CE">
      <w:pPr>
        <w:pStyle w:val="Paragrafi"/>
      </w:pPr>
      <w:r>
        <w:t>Neni 6 ndryshohet, si më poshtë vijon:</w:t>
      </w:r>
    </w:p>
    <w:p w:rsidR="00E403CE" w:rsidRPr="000B0C82" w:rsidRDefault="00E403CE" w:rsidP="00E403CE">
      <w:pPr>
        <w:pStyle w:val="Paragrafi"/>
        <w:rPr>
          <w:sz w:val="14"/>
        </w:rPr>
      </w:pPr>
    </w:p>
    <w:p w:rsidR="00E403CE" w:rsidRDefault="00E403CE" w:rsidP="00E403CE">
      <w:pPr>
        <w:pStyle w:val="NeniNr"/>
      </w:pPr>
      <w:r>
        <w:t>“Neni 6</w:t>
      </w:r>
    </w:p>
    <w:p w:rsidR="00E403CE" w:rsidRPr="000B0C82" w:rsidRDefault="00E403CE" w:rsidP="00E403CE">
      <w:pPr>
        <w:pStyle w:val="Paragrafi"/>
        <w:rPr>
          <w:sz w:val="12"/>
        </w:rPr>
      </w:pPr>
    </w:p>
    <w:p w:rsidR="00E403CE" w:rsidRDefault="00E403CE" w:rsidP="00E403CE">
      <w:pPr>
        <w:pStyle w:val="Paragrafi"/>
      </w:pPr>
      <w:r>
        <w:t>Të ardhurat e fondit të konsoliduar, sipas grupeve kryesore, janë:</w:t>
      </w:r>
    </w:p>
    <w:p w:rsidR="003C103A" w:rsidRPr="000B0C82" w:rsidRDefault="003C103A" w:rsidP="00E403CE">
      <w:pPr>
        <w:pStyle w:val="Paragrafi"/>
        <w:rPr>
          <w:sz w:val="12"/>
        </w:rPr>
      </w:pPr>
    </w:p>
    <w:tbl>
      <w:tblPr>
        <w:tblW w:w="0" w:type="auto"/>
        <w:tblLook w:val="01E0" w:firstRow="1" w:lastRow="1" w:firstColumn="1" w:lastColumn="1" w:noHBand="0" w:noVBand="0"/>
      </w:tblPr>
      <w:tblGrid>
        <w:gridCol w:w="4643"/>
        <w:gridCol w:w="2362"/>
      </w:tblGrid>
      <w:tr w:rsidR="003C103A" w:rsidTr="007C7A85">
        <w:tc>
          <w:tcPr>
            <w:tcW w:w="4643" w:type="dxa"/>
            <w:shd w:val="clear" w:color="auto" w:fill="auto"/>
          </w:tcPr>
          <w:p w:rsidR="003C103A" w:rsidRDefault="003C103A" w:rsidP="007C7A85">
            <w:pPr>
              <w:pStyle w:val="Paragrafi"/>
              <w:ind w:firstLine="0"/>
            </w:pPr>
            <w:r>
              <w:t>- Grantet</w:t>
            </w:r>
          </w:p>
        </w:tc>
        <w:tc>
          <w:tcPr>
            <w:tcW w:w="2362" w:type="dxa"/>
            <w:shd w:val="clear" w:color="auto" w:fill="auto"/>
          </w:tcPr>
          <w:p w:rsidR="003C103A" w:rsidRDefault="003C103A" w:rsidP="007C7A85">
            <w:pPr>
              <w:pStyle w:val="Paragrafi"/>
              <w:ind w:firstLine="0"/>
              <w:jc w:val="right"/>
            </w:pPr>
            <w:r>
              <w:t>2 507 milionë lekë;</w:t>
            </w:r>
          </w:p>
        </w:tc>
      </w:tr>
      <w:tr w:rsidR="003C103A" w:rsidTr="007C7A85">
        <w:tc>
          <w:tcPr>
            <w:tcW w:w="4643" w:type="dxa"/>
            <w:shd w:val="clear" w:color="auto" w:fill="auto"/>
          </w:tcPr>
          <w:p w:rsidR="003C103A" w:rsidRDefault="003C103A" w:rsidP="007C7A85">
            <w:pPr>
              <w:pStyle w:val="Paragrafi"/>
              <w:ind w:firstLine="0"/>
            </w:pPr>
            <w:r>
              <w:t>- Të ardhurat tatimore</w:t>
            </w:r>
          </w:p>
        </w:tc>
        <w:tc>
          <w:tcPr>
            <w:tcW w:w="2362" w:type="dxa"/>
            <w:shd w:val="clear" w:color="auto" w:fill="auto"/>
          </w:tcPr>
          <w:p w:rsidR="003C103A" w:rsidRDefault="003C103A" w:rsidP="007C7A85">
            <w:pPr>
              <w:pStyle w:val="Paragrafi"/>
              <w:ind w:firstLine="0"/>
              <w:jc w:val="right"/>
            </w:pPr>
            <w:r>
              <w:t>209 711 milionë lekë;</w:t>
            </w:r>
          </w:p>
        </w:tc>
      </w:tr>
      <w:tr w:rsidR="003C103A" w:rsidTr="007C7A85">
        <w:tc>
          <w:tcPr>
            <w:tcW w:w="4643" w:type="dxa"/>
            <w:shd w:val="clear" w:color="auto" w:fill="auto"/>
          </w:tcPr>
          <w:p w:rsidR="003C103A" w:rsidRDefault="003C103A" w:rsidP="007C7A85">
            <w:pPr>
              <w:pStyle w:val="Paragrafi"/>
              <w:ind w:firstLine="0"/>
            </w:pPr>
            <w:r>
              <w:t>- Të ardhurat jotatimore</w:t>
            </w:r>
          </w:p>
        </w:tc>
        <w:tc>
          <w:tcPr>
            <w:tcW w:w="2362" w:type="dxa"/>
            <w:shd w:val="clear" w:color="auto" w:fill="auto"/>
          </w:tcPr>
          <w:p w:rsidR="003C103A" w:rsidRDefault="003C103A" w:rsidP="007C7A85">
            <w:pPr>
              <w:pStyle w:val="Paragrafi"/>
              <w:ind w:firstLine="0"/>
              <w:jc w:val="right"/>
            </w:pPr>
            <w:r>
              <w:t>24 761  milionë lekë;</w:t>
            </w:r>
          </w:p>
        </w:tc>
      </w:tr>
      <w:tr w:rsidR="003C103A" w:rsidTr="007C7A85">
        <w:tc>
          <w:tcPr>
            <w:tcW w:w="4643" w:type="dxa"/>
            <w:shd w:val="clear" w:color="auto" w:fill="auto"/>
          </w:tcPr>
          <w:p w:rsidR="003C103A" w:rsidRDefault="003C103A" w:rsidP="007C7A85">
            <w:pPr>
              <w:pStyle w:val="Paragrafi"/>
              <w:ind w:firstLine="0"/>
            </w:pPr>
            <w:r>
              <w:t>-</w:t>
            </w:r>
            <w:r w:rsidR="00A12409">
              <w:t xml:space="preserve"> </w:t>
            </w:r>
            <w:r>
              <w:t>Të ardhurat e buxhetit vendor</w:t>
            </w:r>
          </w:p>
        </w:tc>
        <w:tc>
          <w:tcPr>
            <w:tcW w:w="2362" w:type="dxa"/>
            <w:shd w:val="clear" w:color="auto" w:fill="auto"/>
          </w:tcPr>
          <w:p w:rsidR="003C103A" w:rsidRDefault="003C103A" w:rsidP="007C7A85">
            <w:pPr>
              <w:pStyle w:val="Paragrafi"/>
              <w:ind w:firstLine="0"/>
              <w:jc w:val="right"/>
            </w:pPr>
            <w:r>
              <w:t>13 082 milionë lekë.</w:t>
            </w:r>
            <w:r w:rsidR="00EC02C5">
              <w:t>”.</w:t>
            </w:r>
          </w:p>
        </w:tc>
      </w:tr>
    </w:tbl>
    <w:p w:rsidR="00E403CE" w:rsidRDefault="00E403CE" w:rsidP="00FB7FA5">
      <w:pPr>
        <w:pStyle w:val="Paragrafi"/>
        <w:ind w:firstLine="0"/>
      </w:pPr>
    </w:p>
    <w:p w:rsidR="00E403CE" w:rsidRDefault="00E403CE" w:rsidP="00E403CE">
      <w:pPr>
        <w:pStyle w:val="NeniNr"/>
      </w:pPr>
      <w:r>
        <w:t>Neni 5</w:t>
      </w:r>
    </w:p>
    <w:p w:rsidR="00E403CE" w:rsidRPr="000B0C82" w:rsidRDefault="00E403CE" w:rsidP="00E403CE">
      <w:pPr>
        <w:pStyle w:val="Paragrafi"/>
        <w:rPr>
          <w:sz w:val="14"/>
        </w:rPr>
      </w:pPr>
    </w:p>
    <w:p w:rsidR="00E403CE" w:rsidRDefault="00E403CE" w:rsidP="00E403CE">
      <w:pPr>
        <w:pStyle w:val="Paragrafi"/>
      </w:pPr>
      <w:r>
        <w:t>Neni 7 ndryshohet, si më poshtë vijon:</w:t>
      </w:r>
    </w:p>
    <w:p w:rsidR="00E403CE" w:rsidRPr="000B0C82" w:rsidRDefault="00E403CE" w:rsidP="00E403CE">
      <w:pPr>
        <w:pStyle w:val="Paragrafi"/>
        <w:rPr>
          <w:sz w:val="12"/>
        </w:rPr>
      </w:pPr>
    </w:p>
    <w:p w:rsidR="00E403CE" w:rsidRDefault="00E403CE" w:rsidP="00E403CE">
      <w:pPr>
        <w:pStyle w:val="NeniNr"/>
      </w:pPr>
      <w:r>
        <w:t>“Neni 7</w:t>
      </w:r>
    </w:p>
    <w:p w:rsidR="00E403CE" w:rsidRPr="000B0C82" w:rsidRDefault="00E403CE" w:rsidP="00E403CE">
      <w:pPr>
        <w:pStyle w:val="Paragrafi"/>
        <w:rPr>
          <w:sz w:val="14"/>
        </w:rPr>
      </w:pPr>
    </w:p>
    <w:p w:rsidR="00E403CE" w:rsidRDefault="00E403CE" w:rsidP="00E403CE">
      <w:pPr>
        <w:pStyle w:val="Paragrafi"/>
      </w:pPr>
      <w:r>
        <w:t>Kufiri i financimit të deficit</w:t>
      </w:r>
      <w:r w:rsidR="00536133">
        <w:t>it të Buxhetit të S</w:t>
      </w:r>
      <w:r>
        <w:t>htetit është 56 542 milionë lekë, i cili parashikohet të financohet deri në masën 2 000 milionë lekë, nga të ardhurat e privatizimit dhe diferenca me huamarrje të brendshme e të jashtme.</w:t>
      </w:r>
    </w:p>
    <w:p w:rsidR="00E403CE" w:rsidRDefault="00A12409" w:rsidP="00E403CE">
      <w:pPr>
        <w:pStyle w:val="Paragrafi"/>
      </w:pPr>
      <w:r>
        <w:t>Në rast mos</w:t>
      </w:r>
      <w:r w:rsidR="00E403CE">
        <w:t>realizimi të të ardhurave të buxhetit dhe të të ardhurave nga privatizimi, huamarrja e brendshme për financimin e deficitit të buxhetit nuk mund të jetë më e madhe se 19 847 milionë lekë. Këshilli i Ministra</w:t>
      </w:r>
      <w:r w:rsidR="00536133">
        <w:t>ve, për kompensimin e diferenca</w:t>
      </w:r>
      <w:r w:rsidR="00E403CE">
        <w:t>ve, siguron burime suplementare ose merr masa për shkurtimin e shpenzimeve.</w:t>
      </w:r>
    </w:p>
    <w:p w:rsidR="00E403CE" w:rsidRDefault="00E403CE" w:rsidP="00E403CE">
      <w:pPr>
        <w:pStyle w:val="Paragrafi"/>
      </w:pPr>
      <w:r>
        <w:t>Të ardhurat nga privatizimet strategjike përdoren në vitin e arkëtimit ose në vitin pasardhës, në ma</w:t>
      </w:r>
      <w:r w:rsidR="00944C16">
        <w:t>sën 50 për qind, për uljen e hu</w:t>
      </w:r>
      <w:r>
        <w:t>amarrjes, dhe 50 për qind, për investime publike, të rëndësishme, që përbëjnë përparësi strategjike dhe b</w:t>
      </w:r>
      <w:r w:rsidR="008731DB">
        <w:t>uxhetore.</w:t>
      </w:r>
      <w:r>
        <w:t xml:space="preserve"> Kufiri i hu</w:t>
      </w:r>
      <w:r w:rsidR="008D38B1">
        <w:t>a</w:t>
      </w:r>
      <w:r>
        <w:t>marrjes së brendshme dhe të jashtme ulet në masën e përdorimit të të ardhurave, të a</w:t>
      </w:r>
      <w:r w:rsidR="005704EC">
        <w:t>rkëtuara nga privatizimi i ARMO</w:t>
      </w:r>
      <w:r>
        <w:t>-sh</w:t>
      </w:r>
      <w:r w:rsidR="00DA5BAA">
        <w:t>.a</w:t>
      </w:r>
      <w:r>
        <w:t>. Në rast se përdoret pjesa e këtyre të ardhurave të realizuara për investime, Këshilli i Ministrave autorizohet të rrisë, në të njëjtën masë, kufirin</w:t>
      </w:r>
      <w:r w:rsidR="007B0DFB">
        <w:t xml:space="preserve"> e shpenzimeve dhe deficitin e Buxhetit të S</w:t>
      </w:r>
      <w:r>
        <w:t>h</w:t>
      </w:r>
      <w:r w:rsidR="007B0DFB">
        <w:t>tetit, të përcaktuar në nenin 1</w:t>
      </w:r>
      <w:r>
        <w:t xml:space="preserve"> të këtij ligji.”.</w:t>
      </w:r>
    </w:p>
    <w:p w:rsidR="00E403CE" w:rsidRPr="000B0C82" w:rsidRDefault="00E403CE" w:rsidP="00E403CE">
      <w:pPr>
        <w:pStyle w:val="Paragrafi"/>
        <w:rPr>
          <w:sz w:val="12"/>
        </w:rPr>
      </w:pPr>
    </w:p>
    <w:p w:rsidR="00E403CE" w:rsidRDefault="00E403CE" w:rsidP="00E403CE">
      <w:pPr>
        <w:pStyle w:val="NeniNr"/>
      </w:pPr>
      <w:r>
        <w:t>Neni 6</w:t>
      </w:r>
    </w:p>
    <w:p w:rsidR="00E403CE" w:rsidRPr="000B0C82" w:rsidRDefault="00E403CE" w:rsidP="00E403CE">
      <w:pPr>
        <w:pStyle w:val="Paragrafi"/>
        <w:rPr>
          <w:sz w:val="10"/>
        </w:rPr>
      </w:pPr>
    </w:p>
    <w:p w:rsidR="00E403CE" w:rsidRDefault="00E403CE" w:rsidP="00E403CE">
      <w:pPr>
        <w:pStyle w:val="Paragrafi"/>
      </w:pPr>
      <w:r>
        <w:t>Neni 8 ndryshohet, si më poshtë vijon:</w:t>
      </w:r>
    </w:p>
    <w:p w:rsidR="00E403CE" w:rsidRPr="000B0C82" w:rsidRDefault="00E403CE" w:rsidP="00E403CE">
      <w:pPr>
        <w:pStyle w:val="Paragrafi"/>
        <w:rPr>
          <w:sz w:val="12"/>
        </w:rPr>
      </w:pPr>
    </w:p>
    <w:p w:rsidR="00E403CE" w:rsidRDefault="00E403CE" w:rsidP="00E403CE">
      <w:pPr>
        <w:pStyle w:val="NeniNr"/>
      </w:pPr>
      <w:r>
        <w:t>“Neni 8</w:t>
      </w:r>
    </w:p>
    <w:p w:rsidR="00E403CE" w:rsidRPr="000B0C82" w:rsidRDefault="00E403CE" w:rsidP="00E403CE">
      <w:pPr>
        <w:pStyle w:val="Paragrafi"/>
        <w:rPr>
          <w:sz w:val="6"/>
        </w:rPr>
      </w:pPr>
    </w:p>
    <w:p w:rsidR="00E403CE" w:rsidRDefault="00E403CE" w:rsidP="00E403CE">
      <w:pPr>
        <w:pStyle w:val="Paragrafi"/>
      </w:pPr>
      <w:r>
        <w:t>Shpenzimet e fondit të konsoliduar, sipas grupeve kryesore, janë:</w:t>
      </w:r>
    </w:p>
    <w:p w:rsidR="003346B7" w:rsidRPr="000B0C82" w:rsidRDefault="003346B7" w:rsidP="00E403CE">
      <w:pPr>
        <w:pStyle w:val="Paragrafi"/>
        <w:rPr>
          <w:sz w:val="14"/>
        </w:rPr>
      </w:pPr>
    </w:p>
    <w:tbl>
      <w:tblPr>
        <w:tblW w:w="0" w:type="auto"/>
        <w:tblLook w:val="01E0" w:firstRow="1" w:lastRow="1" w:firstColumn="1" w:lastColumn="1" w:noHBand="0" w:noVBand="0"/>
      </w:tblPr>
      <w:tblGrid>
        <w:gridCol w:w="4643"/>
        <w:gridCol w:w="2419"/>
      </w:tblGrid>
      <w:tr w:rsidR="003346B7" w:rsidTr="007C7A85">
        <w:tc>
          <w:tcPr>
            <w:tcW w:w="4643" w:type="dxa"/>
            <w:shd w:val="clear" w:color="auto" w:fill="auto"/>
          </w:tcPr>
          <w:p w:rsidR="003346B7" w:rsidRDefault="003346B7" w:rsidP="007C7A85">
            <w:pPr>
              <w:pStyle w:val="Paragrafi"/>
              <w:ind w:firstLine="0"/>
            </w:pPr>
            <w:r>
              <w:t>- Shpenzime korrente</w:t>
            </w:r>
          </w:p>
        </w:tc>
        <w:tc>
          <w:tcPr>
            <w:tcW w:w="2419" w:type="dxa"/>
            <w:shd w:val="clear" w:color="auto" w:fill="auto"/>
          </w:tcPr>
          <w:p w:rsidR="003346B7" w:rsidRDefault="003346B7" w:rsidP="007C7A85">
            <w:pPr>
              <w:pStyle w:val="Paragrafi"/>
              <w:ind w:firstLine="0"/>
              <w:jc w:val="right"/>
            </w:pPr>
            <w:r>
              <w:t xml:space="preserve"> 209 763 </w:t>
            </w:r>
            <w:r w:rsidR="00103BDC">
              <w:t xml:space="preserve"> </w:t>
            </w:r>
            <w:r>
              <w:t>milionë lekë;</w:t>
            </w:r>
          </w:p>
        </w:tc>
      </w:tr>
      <w:tr w:rsidR="003346B7" w:rsidTr="007C7A85">
        <w:tc>
          <w:tcPr>
            <w:tcW w:w="4643" w:type="dxa"/>
            <w:shd w:val="clear" w:color="auto" w:fill="auto"/>
          </w:tcPr>
          <w:p w:rsidR="003346B7" w:rsidRDefault="003346B7" w:rsidP="007C7A85">
            <w:pPr>
              <w:pStyle w:val="Paragrafi"/>
              <w:ind w:firstLine="0"/>
            </w:pPr>
            <w:r>
              <w:t xml:space="preserve">- Shpenzime kapitale </w:t>
            </w:r>
          </w:p>
        </w:tc>
        <w:tc>
          <w:tcPr>
            <w:tcW w:w="2419" w:type="dxa"/>
            <w:shd w:val="clear" w:color="auto" w:fill="auto"/>
          </w:tcPr>
          <w:p w:rsidR="003346B7" w:rsidRDefault="001879B9" w:rsidP="007C7A85">
            <w:pPr>
              <w:pStyle w:val="Paragrafi"/>
              <w:ind w:firstLine="0"/>
              <w:jc w:val="right"/>
            </w:pPr>
            <w:r>
              <w:t xml:space="preserve">   </w:t>
            </w:r>
            <w:r w:rsidR="003346B7">
              <w:t>91 140  milionë lekë;</w:t>
            </w:r>
          </w:p>
        </w:tc>
      </w:tr>
      <w:tr w:rsidR="003346B7" w:rsidTr="007C7A85">
        <w:tc>
          <w:tcPr>
            <w:tcW w:w="4643" w:type="dxa"/>
            <w:shd w:val="clear" w:color="auto" w:fill="auto"/>
          </w:tcPr>
          <w:p w:rsidR="003346B7" w:rsidRDefault="003346B7" w:rsidP="007C7A85">
            <w:pPr>
              <w:pStyle w:val="Paragrafi"/>
              <w:ind w:firstLine="0"/>
            </w:pPr>
            <w:r>
              <w:t>- Rezerva e Këshillit të Ministrave</w:t>
            </w:r>
          </w:p>
        </w:tc>
        <w:tc>
          <w:tcPr>
            <w:tcW w:w="2419" w:type="dxa"/>
            <w:shd w:val="clear" w:color="auto" w:fill="auto"/>
          </w:tcPr>
          <w:p w:rsidR="003346B7" w:rsidRDefault="001879B9" w:rsidP="007C7A85">
            <w:pPr>
              <w:pStyle w:val="Paragrafi"/>
              <w:ind w:firstLine="0"/>
              <w:jc w:val="right"/>
            </w:pPr>
            <w:r>
              <w:t xml:space="preserve">     </w:t>
            </w:r>
            <w:r w:rsidR="003346B7">
              <w:t>2 400  milionë lekë;</w:t>
            </w:r>
          </w:p>
        </w:tc>
      </w:tr>
      <w:tr w:rsidR="003346B7" w:rsidTr="007C7A85">
        <w:tc>
          <w:tcPr>
            <w:tcW w:w="4643" w:type="dxa"/>
            <w:shd w:val="clear" w:color="auto" w:fill="auto"/>
          </w:tcPr>
          <w:p w:rsidR="003346B7" w:rsidRDefault="003346B7" w:rsidP="007C7A85">
            <w:pPr>
              <w:pStyle w:val="Paragrafi"/>
              <w:ind w:firstLine="0"/>
            </w:pPr>
            <w:r>
              <w:t>-</w:t>
            </w:r>
            <w:r w:rsidR="00B21DE2">
              <w:t xml:space="preserve"> </w:t>
            </w:r>
            <w:r>
              <w:t>Fondi i kontigjencës</w:t>
            </w:r>
          </w:p>
        </w:tc>
        <w:tc>
          <w:tcPr>
            <w:tcW w:w="2419" w:type="dxa"/>
            <w:shd w:val="clear" w:color="auto" w:fill="auto"/>
          </w:tcPr>
          <w:p w:rsidR="003346B7" w:rsidRDefault="001879B9" w:rsidP="007C7A85">
            <w:pPr>
              <w:pStyle w:val="Paragrafi"/>
              <w:ind w:firstLine="0"/>
              <w:jc w:val="right"/>
            </w:pPr>
            <w:r>
              <w:t xml:space="preserve">     </w:t>
            </w:r>
            <w:r w:rsidR="003346B7">
              <w:t xml:space="preserve">3 300 </w:t>
            </w:r>
            <w:r w:rsidR="00103BDC">
              <w:t xml:space="preserve"> </w:t>
            </w:r>
            <w:r w:rsidR="003346B7">
              <w:t>milionë lekë.</w:t>
            </w:r>
          </w:p>
        </w:tc>
      </w:tr>
    </w:tbl>
    <w:p w:rsidR="00E403CE" w:rsidRDefault="00E403CE" w:rsidP="00E403CE">
      <w:pPr>
        <w:pStyle w:val="Paragrafi"/>
      </w:pPr>
      <w:r>
        <w:t>Kufiri i shpenzimeve për çdo ministri dhe institucion është përcaktuar në tabelën 1, që i bashkëlidhet këtij akti normativ. Për institucionet e pavarura nga Këshilli i Ministrave, kufiri i shpenzimeve dhe numri i punonjësve do të jenë sipas tabelës 1/1, që i bashkëlidhet këtij akti normativ. Gjendja e mjeteve monetare, që parashikohet të rezultojë në fund të vitit buxhetor, në llogarinë unike të thesarit, si rezultat i mosrealizimit të shpenzimeve ose i tejkalimit të të ardhurave, të transferohet në llogarinë e shpronësimeve për interes publik, por jo më  shumë se 0.3 për qind e PBB-së. KESH, sh</w:t>
      </w:r>
      <w:r w:rsidR="00B21DE2">
        <w:t>.</w:t>
      </w:r>
      <w:r>
        <w:t>a</w:t>
      </w:r>
      <w:r w:rsidR="00B21DE2">
        <w:t>.</w:t>
      </w:r>
      <w:r>
        <w:t>-së, t’i transferohet, në formën e huasë, fondi</w:t>
      </w:r>
      <w:r w:rsidR="00B21DE2">
        <w:t xml:space="preserve"> 2 600 milionë lekë, ndërsa OST</w:t>
      </w:r>
      <w:r>
        <w:t>, sh</w:t>
      </w:r>
      <w:r w:rsidR="00B21DE2">
        <w:t>.</w:t>
      </w:r>
      <w:r>
        <w:t>a</w:t>
      </w:r>
      <w:r w:rsidR="00B21DE2">
        <w:t>.</w:t>
      </w:r>
      <w:r>
        <w:t>-së</w:t>
      </w:r>
      <w:r w:rsidR="00AF5EF4">
        <w:t>,</w:t>
      </w:r>
      <w:r>
        <w:t xml:space="preserve"> t’i transferohet, në formën e huasë, fondi prej 150 milionë lekë për investime.”.</w:t>
      </w:r>
    </w:p>
    <w:p w:rsidR="00E403CE" w:rsidRPr="000B0C82" w:rsidRDefault="00E403CE" w:rsidP="00E403CE">
      <w:pPr>
        <w:pStyle w:val="Paragrafi"/>
        <w:rPr>
          <w:sz w:val="14"/>
        </w:rPr>
      </w:pPr>
    </w:p>
    <w:p w:rsidR="00E403CE" w:rsidRDefault="00E403CE" w:rsidP="00E403CE">
      <w:pPr>
        <w:pStyle w:val="NeniNr"/>
      </w:pPr>
      <w:r>
        <w:t>Neni 7</w:t>
      </w:r>
    </w:p>
    <w:p w:rsidR="00E403CE" w:rsidRPr="000B0C82" w:rsidRDefault="00E403CE" w:rsidP="00E403CE">
      <w:pPr>
        <w:pStyle w:val="Paragrafi"/>
        <w:rPr>
          <w:sz w:val="12"/>
        </w:rPr>
      </w:pPr>
    </w:p>
    <w:p w:rsidR="00E403CE" w:rsidRDefault="00E403CE" w:rsidP="00E403CE">
      <w:pPr>
        <w:pStyle w:val="Paragrafi"/>
      </w:pPr>
      <w:r>
        <w:t>Neni 11 ndryshohet, si më poshtë vijon:</w:t>
      </w:r>
    </w:p>
    <w:p w:rsidR="00E403CE" w:rsidRPr="000B0C82" w:rsidRDefault="00E403CE" w:rsidP="00E403CE">
      <w:pPr>
        <w:pStyle w:val="Paragrafi"/>
        <w:rPr>
          <w:sz w:val="14"/>
        </w:rPr>
      </w:pPr>
    </w:p>
    <w:p w:rsidR="00E403CE" w:rsidRDefault="00E403CE" w:rsidP="00E403CE">
      <w:pPr>
        <w:pStyle w:val="NeniNr"/>
      </w:pPr>
      <w:r>
        <w:t>“Neni 11</w:t>
      </w:r>
    </w:p>
    <w:p w:rsidR="00E403CE" w:rsidRPr="000B0C82" w:rsidRDefault="00E403CE" w:rsidP="00E403CE">
      <w:pPr>
        <w:pStyle w:val="Paragrafi"/>
        <w:rPr>
          <w:sz w:val="14"/>
        </w:rPr>
      </w:pPr>
    </w:p>
    <w:p w:rsidR="00E403CE" w:rsidRDefault="00E403CE" w:rsidP="00E403CE">
      <w:pPr>
        <w:pStyle w:val="Paragrafi"/>
      </w:pPr>
      <w:r>
        <w:t>Një pjesë e fondit të kontigjencës, 2</w:t>
      </w:r>
      <w:r w:rsidR="00423A12">
        <w:t xml:space="preserve"> </w:t>
      </w:r>
      <w:r>
        <w:t xml:space="preserve">000 milionë lekë, të përdoret për rritjen e pagave dhe të pagesës sociale, me miratimin e Këshillit të Ministrave. Fondi rezervë i Këshillit të Ministrave, prej 2 400 milionë lekësh, përdoret për raste të </w:t>
      </w:r>
      <w:r w:rsidR="00423A12">
        <w:t>pa</w:t>
      </w:r>
      <w:r>
        <w:t>parashikuara në buxhet. Pjesa tjetër e fondit të kontigjencës 1 300 milionë lekë, përdoret me vendime të Këshillit të Ministrave.”.</w:t>
      </w:r>
    </w:p>
    <w:p w:rsidR="00E403CE" w:rsidRDefault="00E403CE" w:rsidP="00E403CE">
      <w:pPr>
        <w:pStyle w:val="Paragrafi"/>
      </w:pPr>
    </w:p>
    <w:p w:rsidR="00E403CE" w:rsidRDefault="00E403CE" w:rsidP="00E403CE">
      <w:pPr>
        <w:pStyle w:val="NeniNr"/>
      </w:pPr>
      <w:r>
        <w:t>Neni 8</w:t>
      </w:r>
    </w:p>
    <w:p w:rsidR="00E403CE" w:rsidRDefault="00E403CE" w:rsidP="00E403CE">
      <w:pPr>
        <w:pStyle w:val="Paragrafi"/>
      </w:pPr>
    </w:p>
    <w:p w:rsidR="00E403CE" w:rsidRDefault="00E403CE" w:rsidP="00E403CE">
      <w:pPr>
        <w:pStyle w:val="Paragrafi"/>
      </w:pPr>
      <w:r>
        <w:t>Në neni</w:t>
      </w:r>
      <w:r w:rsidR="00D81C65">
        <w:t>n 12 shifra “1 180 milionë lekë”</w:t>
      </w:r>
      <w:r w:rsidR="00AE4E43">
        <w:t xml:space="preserve"> bëhet “</w:t>
      </w:r>
      <w:r>
        <w:t>1</w:t>
      </w:r>
      <w:r w:rsidR="00BD3DF2">
        <w:t xml:space="preserve"> </w:t>
      </w:r>
      <w:r w:rsidR="00603A91">
        <w:t>020 milionë lekë</w:t>
      </w:r>
      <w:r>
        <w:t>”.</w:t>
      </w:r>
    </w:p>
    <w:p w:rsidR="00E403CE" w:rsidRPr="000B0C82" w:rsidRDefault="00E403CE" w:rsidP="00E403CE">
      <w:pPr>
        <w:pStyle w:val="Paragrafi"/>
        <w:rPr>
          <w:sz w:val="14"/>
        </w:rPr>
      </w:pPr>
    </w:p>
    <w:p w:rsidR="00E403CE" w:rsidRDefault="00E403CE" w:rsidP="00E403CE">
      <w:pPr>
        <w:pStyle w:val="NeniNr"/>
      </w:pPr>
      <w:r w:rsidRPr="00F85C80">
        <w:t>Neni</w:t>
      </w:r>
      <w:r>
        <w:t xml:space="preserve"> </w:t>
      </w:r>
      <w:r w:rsidRPr="00F85C80">
        <w:t>9</w:t>
      </w:r>
    </w:p>
    <w:p w:rsidR="00E403CE" w:rsidRDefault="00E403CE" w:rsidP="00E403CE">
      <w:pPr>
        <w:pStyle w:val="Paragrafi"/>
      </w:pPr>
    </w:p>
    <w:p w:rsidR="00E403CE" w:rsidRDefault="00E403CE" w:rsidP="00E403CE">
      <w:pPr>
        <w:pStyle w:val="Paragrafi"/>
      </w:pPr>
      <w:r>
        <w:t>Neni 16 ndryshohet, si më poshtë vijon:</w:t>
      </w:r>
    </w:p>
    <w:p w:rsidR="00E403CE" w:rsidRPr="000B0C82" w:rsidRDefault="00E403CE" w:rsidP="00E403CE">
      <w:pPr>
        <w:pStyle w:val="Paragrafi"/>
        <w:rPr>
          <w:sz w:val="14"/>
        </w:rPr>
      </w:pPr>
    </w:p>
    <w:p w:rsidR="00E403CE" w:rsidRDefault="00E403CE" w:rsidP="00E403CE">
      <w:pPr>
        <w:pStyle w:val="NeniNr"/>
      </w:pPr>
      <w:r>
        <w:t>“Neni 16</w:t>
      </w:r>
    </w:p>
    <w:p w:rsidR="00E403CE" w:rsidRPr="000B0C82" w:rsidRDefault="00E403CE" w:rsidP="00E403CE">
      <w:pPr>
        <w:pStyle w:val="Paragrafi"/>
        <w:rPr>
          <w:sz w:val="12"/>
        </w:rPr>
      </w:pPr>
    </w:p>
    <w:p w:rsidR="00E403CE" w:rsidRDefault="00603A91" w:rsidP="00E403CE">
      <w:pPr>
        <w:pStyle w:val="Paragrafi"/>
      </w:pPr>
      <w:r>
        <w:t>Kufiri për rritjen vjetore</w:t>
      </w:r>
      <w:r w:rsidR="00E403CE">
        <w:t xml:space="preserve"> të totalit ekzistues të borxhit të shtetit dhe atij të garantuar të shtetit, në dobi të palëve përfituese, për vitin 2008, është  73 660 milionë lekë, i ndarë, si më poshtë vijon:</w:t>
      </w:r>
    </w:p>
    <w:p w:rsidR="00E403CE" w:rsidRDefault="00E403CE" w:rsidP="00E403CE">
      <w:pPr>
        <w:pStyle w:val="Paragrafi"/>
      </w:pPr>
      <w:r>
        <w:t>1.</w:t>
      </w:r>
      <w:r w:rsidR="00BD3DF2">
        <w:t xml:space="preserve"> </w:t>
      </w:r>
      <w:r>
        <w:t>Kufiri i rritjes së borxhit të shtetit nga huamarrja e brendshme dhe e jashtme, për financimin e deficitit buxhetor është 54 542 milionë lekë, ku huamarrja e brendshme nuk mund të jetë më shumë se 19 847 milionë lekë. Kufiri maksimal i huamarrjes së brendshme neto ulet në varësi të disbursimeve nga huatë e jashtme, duke respektuar kufirin e rritjes së borxhit të shtetit, për financimin e deficitit buxhetor.</w:t>
      </w:r>
    </w:p>
    <w:p w:rsidR="00E403CE" w:rsidRDefault="00E403CE" w:rsidP="00E403CE">
      <w:pPr>
        <w:pStyle w:val="Paragrafi"/>
      </w:pPr>
      <w:r>
        <w:t>2.</w:t>
      </w:r>
      <w:r w:rsidR="00BD3DF2">
        <w:t xml:space="preserve"> </w:t>
      </w:r>
      <w:r>
        <w:t>Kufiri për rritjen vjetore të garancive të shtetit, në dobi të palëve të treta përfituese, është 10 618 milionë lekë, përfshirë edhe 200 milionë lekë garanci, për fondin e garantimit të kredive të eksportit.</w:t>
      </w:r>
    </w:p>
    <w:p w:rsidR="00E403CE" w:rsidRDefault="00E403CE" w:rsidP="00E403CE">
      <w:pPr>
        <w:pStyle w:val="Paragrafi"/>
      </w:pPr>
      <w:r>
        <w:t>3.</w:t>
      </w:r>
      <w:r w:rsidR="00BD3DF2">
        <w:t xml:space="preserve"> </w:t>
      </w:r>
      <w:r>
        <w:t>Kufiri për rritjen vjetore të stokut të borxhit, si rezultat i mbulimit të diferencave nga rivlerësimi i valutave, është 8 500 milionë lekë.”.</w:t>
      </w:r>
    </w:p>
    <w:p w:rsidR="00E403CE" w:rsidRDefault="00E403CE" w:rsidP="00E403CE">
      <w:pPr>
        <w:pStyle w:val="Paragrafi"/>
      </w:pPr>
    </w:p>
    <w:p w:rsidR="00E403CE" w:rsidRDefault="00E403CE" w:rsidP="00E403CE">
      <w:pPr>
        <w:pStyle w:val="NeniNr"/>
      </w:pPr>
      <w:r>
        <w:t>Neni 10</w:t>
      </w:r>
    </w:p>
    <w:p w:rsidR="00E403CE" w:rsidRDefault="00E403CE" w:rsidP="00E403CE">
      <w:pPr>
        <w:pStyle w:val="Paragrafi"/>
      </w:pPr>
    </w:p>
    <w:p w:rsidR="00E403CE" w:rsidRDefault="00E403CE" w:rsidP="00E403CE">
      <w:pPr>
        <w:pStyle w:val="Paragrafi"/>
      </w:pPr>
      <w:r>
        <w:t>Ky akt normativ hyn në fuqi menjëherë dhe botohet në Fletoren Zyrtare.</w:t>
      </w:r>
    </w:p>
    <w:p w:rsidR="00E403CE" w:rsidRDefault="00E403CE" w:rsidP="00E403CE">
      <w:pPr>
        <w:pStyle w:val="Paragrafi"/>
      </w:pPr>
    </w:p>
    <w:p w:rsidR="00E403CE" w:rsidRDefault="00E403CE" w:rsidP="00E403CE">
      <w:pPr>
        <w:pStyle w:val="Autoriteti"/>
      </w:pPr>
      <w:r>
        <w:t>Kryeministri</w:t>
      </w:r>
    </w:p>
    <w:p w:rsidR="00E403CE" w:rsidRDefault="00E403CE" w:rsidP="00E403CE">
      <w:pPr>
        <w:pStyle w:val="AutoritetiEmer"/>
        <w:rPr>
          <w:rStyle w:val="AutoritetiEmerCharChar"/>
        </w:rPr>
      </w:pPr>
      <w:r w:rsidRPr="00F85C80">
        <w:rPr>
          <w:rStyle w:val="AutoritetiEmerCharChar"/>
        </w:rPr>
        <w:t>Sali Berisha</w:t>
      </w:r>
    </w:p>
    <w:p w:rsidR="00E403CE" w:rsidRDefault="00E403CE" w:rsidP="00E403CE">
      <w:pPr>
        <w:rPr>
          <w:lang w:val="en-GB"/>
        </w:rPr>
      </w:pPr>
    </w:p>
    <w:p w:rsidR="00E403CE" w:rsidRDefault="00E403CE" w:rsidP="00E403CE">
      <w:pPr>
        <w:rPr>
          <w:lang w:val="en-GB"/>
        </w:rPr>
      </w:pPr>
    </w:p>
    <w:p w:rsidR="00E403CE" w:rsidRDefault="00E403CE" w:rsidP="00E403CE">
      <w:pPr>
        <w:rPr>
          <w:lang w:val="en-GB"/>
        </w:rPr>
      </w:pPr>
    </w:p>
    <w:p w:rsidR="00E403CE" w:rsidRDefault="00E403CE" w:rsidP="00E403CE">
      <w:pPr>
        <w:rPr>
          <w:lang w:val="en-GB"/>
        </w:rPr>
      </w:pPr>
    </w:p>
    <w:p w:rsidR="00E403CE" w:rsidRDefault="00E403CE" w:rsidP="00E403CE">
      <w:pPr>
        <w:rPr>
          <w:lang w:val="en-GB"/>
        </w:rPr>
      </w:pPr>
    </w:p>
    <w:p w:rsidR="00E403CE" w:rsidRDefault="00E403CE" w:rsidP="00E403CE">
      <w:pPr>
        <w:rPr>
          <w:rFonts w:ascii="CG Times" w:hAnsi="CG Times"/>
          <w:sz w:val="22"/>
          <w:szCs w:val="22"/>
        </w:rPr>
      </w:pPr>
      <w:r>
        <w:rPr>
          <w:rFonts w:ascii="CG Times" w:hAnsi="CG Times"/>
          <w:sz w:val="22"/>
          <w:szCs w:val="22"/>
        </w:rPr>
        <w:t>Tab. 1</w:t>
      </w:r>
    </w:p>
    <w:tbl>
      <w:tblPr>
        <w:tblW w:w="5294" w:type="pct"/>
        <w:tblLayout w:type="fixed"/>
        <w:tblLook w:val="0000" w:firstRow="0" w:lastRow="0" w:firstColumn="0" w:lastColumn="0" w:noHBand="0" w:noVBand="0"/>
      </w:tblPr>
      <w:tblGrid>
        <w:gridCol w:w="609"/>
        <w:gridCol w:w="3898"/>
        <w:gridCol w:w="916"/>
        <w:gridCol w:w="916"/>
        <w:gridCol w:w="753"/>
        <w:gridCol w:w="916"/>
        <w:gridCol w:w="920"/>
        <w:gridCol w:w="905"/>
      </w:tblGrid>
      <w:tr w:rsidR="00E403CE" w:rsidRPr="00321DDB">
        <w:trPr>
          <w:trHeight w:val="162"/>
        </w:trPr>
        <w:tc>
          <w:tcPr>
            <w:tcW w:w="309" w:type="pct"/>
            <w:vMerge w:val="restart"/>
            <w:tcBorders>
              <w:top w:val="double" w:sz="6" w:space="0" w:color="auto"/>
              <w:left w:val="double" w:sz="6" w:space="0" w:color="auto"/>
              <w:bottom w:val="single" w:sz="4" w:space="0" w:color="000000"/>
              <w:right w:val="nil"/>
            </w:tcBorders>
            <w:shd w:val="clear" w:color="auto" w:fill="auto"/>
            <w:noWrap/>
            <w:vAlign w:val="center"/>
          </w:tcPr>
          <w:p w:rsidR="00E403CE" w:rsidRPr="00321DDB" w:rsidRDefault="00E403CE" w:rsidP="00E403CE">
            <w:pPr>
              <w:jc w:val="center"/>
              <w:rPr>
                <w:rFonts w:ascii="Arial" w:hAnsi="Arial" w:cs="Arial"/>
                <w:b/>
                <w:bCs/>
                <w:sz w:val="12"/>
                <w:szCs w:val="12"/>
              </w:rPr>
            </w:pPr>
            <w:r w:rsidRPr="00321DDB">
              <w:rPr>
                <w:rFonts w:ascii="Arial" w:hAnsi="Arial" w:cs="Arial"/>
                <w:b/>
                <w:bCs/>
                <w:sz w:val="12"/>
                <w:szCs w:val="12"/>
              </w:rPr>
              <w:t>Kodi</w:t>
            </w:r>
          </w:p>
        </w:tc>
        <w:tc>
          <w:tcPr>
            <w:tcW w:w="1982" w:type="pct"/>
            <w:vMerge w:val="restart"/>
            <w:tcBorders>
              <w:top w:val="double" w:sz="6" w:space="0" w:color="auto"/>
              <w:left w:val="single" w:sz="4" w:space="0" w:color="auto"/>
              <w:bottom w:val="single" w:sz="4" w:space="0" w:color="000000"/>
              <w:right w:val="single" w:sz="4" w:space="0" w:color="auto"/>
            </w:tcBorders>
            <w:shd w:val="clear" w:color="auto" w:fill="auto"/>
            <w:vAlign w:val="center"/>
          </w:tcPr>
          <w:p w:rsidR="00E403CE" w:rsidRPr="00321DDB" w:rsidRDefault="00E403CE" w:rsidP="00E403CE">
            <w:pPr>
              <w:jc w:val="center"/>
              <w:rPr>
                <w:rFonts w:ascii="Arial" w:hAnsi="Arial" w:cs="Arial"/>
                <w:b/>
                <w:bCs/>
                <w:sz w:val="12"/>
                <w:szCs w:val="12"/>
              </w:rPr>
            </w:pPr>
            <w:r w:rsidRPr="00321DDB">
              <w:rPr>
                <w:rFonts w:ascii="Arial" w:hAnsi="Arial" w:cs="Arial"/>
                <w:b/>
                <w:bCs/>
                <w:sz w:val="12"/>
                <w:szCs w:val="12"/>
              </w:rPr>
              <w:t>Emertimi i Institucionit / Programit</w:t>
            </w:r>
          </w:p>
        </w:tc>
        <w:tc>
          <w:tcPr>
            <w:tcW w:w="466" w:type="pct"/>
            <w:vMerge w:val="restart"/>
            <w:tcBorders>
              <w:top w:val="double" w:sz="6" w:space="0" w:color="auto"/>
              <w:left w:val="single" w:sz="4" w:space="0" w:color="auto"/>
              <w:bottom w:val="single" w:sz="4" w:space="0" w:color="000000"/>
              <w:right w:val="single" w:sz="4" w:space="0" w:color="auto"/>
            </w:tcBorders>
            <w:shd w:val="clear" w:color="auto" w:fill="CCFFFF"/>
            <w:vAlign w:val="center"/>
          </w:tcPr>
          <w:p w:rsidR="00E403CE" w:rsidRPr="00321DDB" w:rsidRDefault="00E403CE" w:rsidP="00E403CE">
            <w:pPr>
              <w:jc w:val="center"/>
              <w:rPr>
                <w:rFonts w:ascii="Arial" w:hAnsi="Arial" w:cs="Arial"/>
                <w:b/>
                <w:bCs/>
                <w:sz w:val="12"/>
                <w:szCs w:val="12"/>
              </w:rPr>
            </w:pPr>
            <w:r w:rsidRPr="00321DDB">
              <w:rPr>
                <w:rFonts w:ascii="Arial" w:hAnsi="Arial" w:cs="Arial"/>
                <w:b/>
                <w:bCs/>
                <w:sz w:val="12"/>
                <w:szCs w:val="12"/>
              </w:rPr>
              <w:t xml:space="preserve">Totali i Shp. Korrente </w:t>
            </w:r>
          </w:p>
        </w:tc>
        <w:tc>
          <w:tcPr>
            <w:tcW w:w="1782" w:type="pct"/>
            <w:gridSpan w:val="4"/>
            <w:tcBorders>
              <w:top w:val="double" w:sz="6" w:space="0" w:color="auto"/>
              <w:left w:val="nil"/>
              <w:bottom w:val="nil"/>
              <w:right w:val="single" w:sz="4" w:space="0" w:color="auto"/>
            </w:tcBorders>
            <w:shd w:val="clear" w:color="auto" w:fill="auto"/>
            <w:noWrap/>
            <w:vAlign w:val="center"/>
          </w:tcPr>
          <w:p w:rsidR="00E403CE" w:rsidRPr="00321DDB" w:rsidRDefault="00E403CE" w:rsidP="00E403CE">
            <w:pPr>
              <w:jc w:val="center"/>
              <w:rPr>
                <w:rFonts w:ascii="Arial" w:hAnsi="Arial" w:cs="Arial"/>
                <w:b/>
                <w:bCs/>
                <w:sz w:val="12"/>
                <w:szCs w:val="12"/>
              </w:rPr>
            </w:pPr>
            <w:r w:rsidRPr="00321DDB">
              <w:rPr>
                <w:rFonts w:ascii="Arial" w:hAnsi="Arial" w:cs="Arial"/>
                <w:b/>
                <w:bCs/>
                <w:sz w:val="12"/>
                <w:szCs w:val="12"/>
              </w:rPr>
              <w:t>Shpenzimet Kapitale</w:t>
            </w:r>
          </w:p>
        </w:tc>
        <w:tc>
          <w:tcPr>
            <w:tcW w:w="461" w:type="pct"/>
            <w:vMerge w:val="restart"/>
            <w:tcBorders>
              <w:top w:val="double" w:sz="6" w:space="0" w:color="auto"/>
              <w:left w:val="single" w:sz="4" w:space="0" w:color="auto"/>
              <w:bottom w:val="single" w:sz="4" w:space="0" w:color="000000"/>
              <w:right w:val="double" w:sz="6" w:space="0" w:color="auto"/>
            </w:tcBorders>
            <w:shd w:val="clear" w:color="auto" w:fill="CCFFFF"/>
            <w:vAlign w:val="center"/>
          </w:tcPr>
          <w:p w:rsidR="00E403CE" w:rsidRPr="00321DDB" w:rsidRDefault="00E403CE" w:rsidP="00E403CE">
            <w:pPr>
              <w:jc w:val="center"/>
              <w:rPr>
                <w:rFonts w:ascii="Arial" w:hAnsi="Arial" w:cs="Arial"/>
                <w:b/>
                <w:bCs/>
                <w:sz w:val="12"/>
                <w:szCs w:val="12"/>
              </w:rPr>
            </w:pPr>
            <w:r w:rsidRPr="00321DDB">
              <w:rPr>
                <w:rFonts w:ascii="Arial" w:hAnsi="Arial" w:cs="Arial"/>
                <w:b/>
                <w:bCs/>
                <w:sz w:val="12"/>
                <w:szCs w:val="12"/>
              </w:rPr>
              <w:t>Totali i Shpenzimeve Buxhetore</w:t>
            </w:r>
          </w:p>
        </w:tc>
      </w:tr>
      <w:tr w:rsidR="00E403CE" w:rsidRPr="00321DDB">
        <w:trPr>
          <w:trHeight w:val="162"/>
        </w:trPr>
        <w:tc>
          <w:tcPr>
            <w:tcW w:w="309" w:type="pct"/>
            <w:vMerge/>
            <w:tcBorders>
              <w:top w:val="double" w:sz="6" w:space="0" w:color="auto"/>
              <w:left w:val="double" w:sz="6" w:space="0" w:color="auto"/>
              <w:bottom w:val="single" w:sz="4" w:space="0" w:color="000000"/>
              <w:right w:val="nil"/>
            </w:tcBorders>
            <w:vAlign w:val="center"/>
          </w:tcPr>
          <w:p w:rsidR="00E403CE" w:rsidRPr="00321DDB" w:rsidRDefault="00E403CE" w:rsidP="00E403CE">
            <w:pPr>
              <w:rPr>
                <w:rFonts w:ascii="Arial" w:hAnsi="Arial" w:cs="Arial"/>
                <w:b/>
                <w:bCs/>
                <w:sz w:val="12"/>
                <w:szCs w:val="12"/>
              </w:rPr>
            </w:pPr>
          </w:p>
        </w:tc>
        <w:tc>
          <w:tcPr>
            <w:tcW w:w="1982" w:type="pct"/>
            <w:vMerge/>
            <w:tcBorders>
              <w:top w:val="double" w:sz="6" w:space="0" w:color="auto"/>
              <w:left w:val="single" w:sz="4" w:space="0" w:color="auto"/>
              <w:bottom w:val="single" w:sz="4" w:space="0" w:color="000000"/>
              <w:right w:val="single" w:sz="4" w:space="0" w:color="auto"/>
            </w:tcBorders>
            <w:vAlign w:val="center"/>
          </w:tcPr>
          <w:p w:rsidR="00E403CE" w:rsidRPr="00321DDB" w:rsidRDefault="00E403CE" w:rsidP="00E403CE">
            <w:pPr>
              <w:rPr>
                <w:rFonts w:ascii="Arial" w:hAnsi="Arial" w:cs="Arial"/>
                <w:b/>
                <w:bCs/>
                <w:sz w:val="12"/>
                <w:szCs w:val="12"/>
              </w:rPr>
            </w:pPr>
          </w:p>
        </w:tc>
        <w:tc>
          <w:tcPr>
            <w:tcW w:w="466" w:type="pct"/>
            <w:vMerge/>
            <w:tcBorders>
              <w:top w:val="double" w:sz="6" w:space="0" w:color="auto"/>
              <w:left w:val="single" w:sz="4" w:space="0" w:color="auto"/>
              <w:bottom w:val="single" w:sz="4" w:space="0" w:color="000000"/>
              <w:right w:val="single" w:sz="4" w:space="0" w:color="auto"/>
            </w:tcBorders>
            <w:vAlign w:val="center"/>
          </w:tcPr>
          <w:p w:rsidR="00E403CE" w:rsidRPr="00321DDB" w:rsidRDefault="00E403CE" w:rsidP="00E403CE">
            <w:pPr>
              <w:rPr>
                <w:rFonts w:ascii="Arial" w:hAnsi="Arial" w:cs="Arial"/>
                <w:b/>
                <w:bCs/>
                <w:sz w:val="12"/>
                <w:szCs w:val="12"/>
              </w:rPr>
            </w:pPr>
          </w:p>
        </w:tc>
        <w:tc>
          <w:tcPr>
            <w:tcW w:w="466" w:type="pct"/>
            <w:tcBorders>
              <w:top w:val="dashed" w:sz="4" w:space="0" w:color="auto"/>
              <w:left w:val="nil"/>
              <w:bottom w:val="single" w:sz="4" w:space="0" w:color="auto"/>
              <w:right w:val="dashed" w:sz="4" w:space="0" w:color="auto"/>
            </w:tcBorders>
            <w:shd w:val="clear" w:color="auto" w:fill="auto"/>
            <w:vAlign w:val="center"/>
          </w:tcPr>
          <w:p w:rsidR="00E403CE" w:rsidRPr="00321DDB" w:rsidRDefault="00E403CE" w:rsidP="00E403CE">
            <w:pPr>
              <w:jc w:val="center"/>
              <w:rPr>
                <w:rFonts w:ascii="Arial" w:hAnsi="Arial" w:cs="Arial"/>
                <w:sz w:val="12"/>
                <w:szCs w:val="12"/>
              </w:rPr>
            </w:pPr>
            <w:r w:rsidRPr="00321DDB">
              <w:rPr>
                <w:rFonts w:ascii="Arial" w:hAnsi="Arial" w:cs="Arial"/>
                <w:sz w:val="12"/>
                <w:szCs w:val="12"/>
              </w:rPr>
              <w:t>Nga</w:t>
            </w:r>
            <w:r w:rsidRPr="00321DDB">
              <w:rPr>
                <w:rFonts w:ascii="Arial" w:hAnsi="Arial" w:cs="Arial"/>
                <w:sz w:val="12"/>
                <w:szCs w:val="12"/>
              </w:rPr>
              <w:br/>
              <w:t>Buxheti</w:t>
            </w:r>
          </w:p>
        </w:tc>
        <w:tc>
          <w:tcPr>
            <w:tcW w:w="383" w:type="pct"/>
            <w:tcBorders>
              <w:top w:val="dashed" w:sz="4" w:space="0" w:color="auto"/>
              <w:left w:val="nil"/>
              <w:bottom w:val="single" w:sz="4" w:space="0" w:color="auto"/>
              <w:right w:val="dashed" w:sz="4" w:space="0" w:color="auto"/>
            </w:tcBorders>
            <w:shd w:val="clear" w:color="auto" w:fill="auto"/>
            <w:vAlign w:val="center"/>
          </w:tcPr>
          <w:p w:rsidR="00E403CE" w:rsidRPr="00321DDB" w:rsidRDefault="00E403CE" w:rsidP="00E403CE">
            <w:pPr>
              <w:jc w:val="center"/>
              <w:rPr>
                <w:rFonts w:ascii="Arial" w:hAnsi="Arial" w:cs="Arial"/>
                <w:sz w:val="12"/>
                <w:szCs w:val="12"/>
              </w:rPr>
            </w:pPr>
            <w:r w:rsidRPr="00321DDB">
              <w:rPr>
                <w:rFonts w:ascii="Arial" w:hAnsi="Arial" w:cs="Arial"/>
                <w:sz w:val="12"/>
                <w:szCs w:val="12"/>
              </w:rPr>
              <w:t xml:space="preserve">Nga te </w:t>
            </w:r>
            <w:r w:rsidRPr="00321DDB">
              <w:rPr>
                <w:rFonts w:ascii="Arial" w:hAnsi="Arial" w:cs="Arial"/>
                <w:sz w:val="12"/>
                <w:szCs w:val="12"/>
              </w:rPr>
              <w:br/>
              <w:t>Ardhurat</w:t>
            </w:r>
          </w:p>
        </w:tc>
        <w:tc>
          <w:tcPr>
            <w:tcW w:w="466" w:type="pct"/>
            <w:tcBorders>
              <w:top w:val="dashed" w:sz="4" w:space="0" w:color="auto"/>
              <w:left w:val="nil"/>
              <w:bottom w:val="single" w:sz="4" w:space="0" w:color="auto"/>
              <w:right w:val="dashed" w:sz="4" w:space="0" w:color="auto"/>
            </w:tcBorders>
            <w:shd w:val="clear" w:color="auto" w:fill="auto"/>
            <w:vAlign w:val="center"/>
          </w:tcPr>
          <w:p w:rsidR="00E403CE" w:rsidRPr="00321DDB" w:rsidRDefault="00E403CE" w:rsidP="00E403CE">
            <w:pPr>
              <w:jc w:val="center"/>
              <w:rPr>
                <w:rFonts w:ascii="Arial" w:hAnsi="Arial" w:cs="Arial"/>
                <w:sz w:val="12"/>
                <w:szCs w:val="12"/>
              </w:rPr>
            </w:pPr>
            <w:r w:rsidRPr="00321DDB">
              <w:rPr>
                <w:rFonts w:ascii="Arial" w:hAnsi="Arial" w:cs="Arial"/>
                <w:sz w:val="12"/>
                <w:szCs w:val="12"/>
              </w:rPr>
              <w:t>Financimi i</w:t>
            </w:r>
            <w:r w:rsidRPr="00321DDB">
              <w:rPr>
                <w:rFonts w:ascii="Arial" w:hAnsi="Arial" w:cs="Arial"/>
                <w:sz w:val="12"/>
                <w:szCs w:val="12"/>
              </w:rPr>
              <w:br/>
              <w:t>Huaj</w:t>
            </w:r>
          </w:p>
        </w:tc>
        <w:tc>
          <w:tcPr>
            <w:tcW w:w="468" w:type="pct"/>
            <w:tcBorders>
              <w:top w:val="dashed" w:sz="4" w:space="0" w:color="auto"/>
              <w:left w:val="nil"/>
              <w:bottom w:val="single" w:sz="4" w:space="0" w:color="auto"/>
              <w:right w:val="single" w:sz="4" w:space="0" w:color="auto"/>
            </w:tcBorders>
            <w:shd w:val="clear" w:color="auto" w:fill="CCFFFF"/>
            <w:vAlign w:val="center"/>
          </w:tcPr>
          <w:p w:rsidR="00E403CE" w:rsidRPr="00321DDB" w:rsidRDefault="00E403CE" w:rsidP="00E403CE">
            <w:pPr>
              <w:jc w:val="center"/>
              <w:rPr>
                <w:rFonts w:ascii="Arial" w:hAnsi="Arial" w:cs="Arial"/>
                <w:b/>
                <w:bCs/>
                <w:sz w:val="12"/>
                <w:szCs w:val="12"/>
              </w:rPr>
            </w:pPr>
            <w:r w:rsidRPr="00321DDB">
              <w:rPr>
                <w:rFonts w:ascii="Arial" w:hAnsi="Arial" w:cs="Arial"/>
                <w:b/>
                <w:bCs/>
                <w:sz w:val="12"/>
                <w:szCs w:val="12"/>
              </w:rPr>
              <w:t>Totali i Shp. Kapitale</w:t>
            </w:r>
          </w:p>
        </w:tc>
        <w:tc>
          <w:tcPr>
            <w:tcW w:w="461" w:type="pct"/>
            <w:vMerge/>
            <w:tcBorders>
              <w:top w:val="double" w:sz="6" w:space="0" w:color="auto"/>
              <w:left w:val="single" w:sz="4" w:space="0" w:color="auto"/>
              <w:bottom w:val="single" w:sz="4" w:space="0" w:color="000000"/>
              <w:right w:val="double" w:sz="6" w:space="0" w:color="auto"/>
            </w:tcBorders>
            <w:vAlign w:val="center"/>
          </w:tcPr>
          <w:p w:rsidR="00E403CE" w:rsidRPr="00321DDB" w:rsidRDefault="00E403CE" w:rsidP="00E403CE">
            <w:pPr>
              <w:rPr>
                <w:rFonts w:ascii="Arial" w:hAnsi="Arial" w:cs="Arial"/>
                <w:b/>
                <w:bCs/>
                <w:sz w:val="12"/>
                <w:szCs w:val="12"/>
              </w:rPr>
            </w:pPr>
          </w:p>
        </w:tc>
      </w:tr>
      <w:tr w:rsidR="00E403CE" w:rsidRPr="00321DDB">
        <w:trPr>
          <w:trHeight w:val="162"/>
        </w:trPr>
        <w:tc>
          <w:tcPr>
            <w:tcW w:w="309" w:type="pct"/>
            <w:tcBorders>
              <w:top w:val="nil"/>
              <w:left w:val="double" w:sz="6" w:space="0" w:color="auto"/>
              <w:bottom w:val="nil"/>
              <w:right w:val="nil"/>
            </w:tcBorders>
            <w:shd w:val="clear" w:color="auto" w:fill="auto"/>
            <w:vAlign w:val="bottom"/>
          </w:tcPr>
          <w:p w:rsidR="00E403CE" w:rsidRPr="00321DDB" w:rsidRDefault="00E403CE" w:rsidP="00E403CE">
            <w:pPr>
              <w:jc w:val="right"/>
              <w:rPr>
                <w:rFonts w:ascii="Arial" w:hAnsi="Arial" w:cs="Arial"/>
                <w:b/>
                <w:bCs/>
                <w:color w:val="000000"/>
                <w:sz w:val="12"/>
                <w:szCs w:val="12"/>
              </w:rPr>
            </w:pPr>
            <w:r w:rsidRPr="00321DDB">
              <w:rPr>
                <w:rFonts w:ascii="Arial" w:hAnsi="Arial" w:cs="Arial"/>
                <w:b/>
                <w:bCs/>
                <w:color w:val="000000"/>
                <w:sz w:val="12"/>
                <w:szCs w:val="12"/>
              </w:rPr>
              <w:t>1</w:t>
            </w:r>
          </w:p>
        </w:tc>
        <w:tc>
          <w:tcPr>
            <w:tcW w:w="1982" w:type="pct"/>
            <w:tcBorders>
              <w:top w:val="nil"/>
              <w:left w:val="single" w:sz="4" w:space="0" w:color="auto"/>
              <w:bottom w:val="nil"/>
              <w:right w:val="single" w:sz="4" w:space="0" w:color="auto"/>
            </w:tcBorders>
            <w:shd w:val="clear" w:color="auto" w:fill="auto"/>
            <w:vAlign w:val="bottom"/>
          </w:tcPr>
          <w:p w:rsidR="00E403CE" w:rsidRPr="00321DDB" w:rsidRDefault="00E403CE" w:rsidP="00E403CE">
            <w:pPr>
              <w:rPr>
                <w:rFonts w:ascii="Arial" w:hAnsi="Arial" w:cs="Arial"/>
                <w:b/>
                <w:bCs/>
                <w:color w:val="000000"/>
                <w:sz w:val="12"/>
                <w:szCs w:val="12"/>
              </w:rPr>
            </w:pPr>
            <w:r w:rsidRPr="00321DDB">
              <w:rPr>
                <w:rFonts w:ascii="Arial" w:hAnsi="Arial" w:cs="Arial"/>
                <w:b/>
                <w:bCs/>
                <w:color w:val="000000"/>
                <w:sz w:val="12"/>
                <w:szCs w:val="12"/>
              </w:rPr>
              <w:t>Presidenca</w:t>
            </w:r>
          </w:p>
        </w:tc>
        <w:tc>
          <w:tcPr>
            <w:tcW w:w="466" w:type="pct"/>
            <w:tcBorders>
              <w:top w:val="nil"/>
              <w:left w:val="nil"/>
              <w:bottom w:val="nil"/>
              <w:right w:val="single" w:sz="4" w:space="0" w:color="auto"/>
            </w:tcBorders>
            <w:shd w:val="clear" w:color="auto" w:fill="CCFFFF"/>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155.000</w:t>
            </w:r>
          </w:p>
        </w:tc>
        <w:tc>
          <w:tcPr>
            <w:tcW w:w="466" w:type="pct"/>
            <w:tcBorders>
              <w:top w:val="nil"/>
              <w:left w:val="nil"/>
              <w:bottom w:val="nil"/>
              <w:right w:val="dashed" w:sz="4" w:space="0" w:color="auto"/>
            </w:tcBorders>
            <w:shd w:val="clear" w:color="auto" w:fill="auto"/>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250.000</w:t>
            </w:r>
          </w:p>
        </w:tc>
        <w:tc>
          <w:tcPr>
            <w:tcW w:w="383" w:type="pct"/>
            <w:tcBorders>
              <w:top w:val="nil"/>
              <w:left w:val="nil"/>
              <w:bottom w:val="nil"/>
              <w:right w:val="dashed" w:sz="4" w:space="0" w:color="auto"/>
            </w:tcBorders>
            <w:shd w:val="clear" w:color="auto" w:fill="auto"/>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0</w:t>
            </w:r>
          </w:p>
        </w:tc>
        <w:tc>
          <w:tcPr>
            <w:tcW w:w="466" w:type="pct"/>
            <w:tcBorders>
              <w:top w:val="nil"/>
              <w:left w:val="nil"/>
              <w:bottom w:val="nil"/>
              <w:right w:val="dashed" w:sz="4" w:space="0" w:color="auto"/>
            </w:tcBorders>
            <w:shd w:val="clear" w:color="auto" w:fill="auto"/>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0</w:t>
            </w:r>
          </w:p>
        </w:tc>
        <w:tc>
          <w:tcPr>
            <w:tcW w:w="468" w:type="pct"/>
            <w:tcBorders>
              <w:top w:val="nil"/>
              <w:left w:val="nil"/>
              <w:bottom w:val="nil"/>
              <w:right w:val="single" w:sz="4" w:space="0" w:color="auto"/>
            </w:tcBorders>
            <w:shd w:val="clear" w:color="auto" w:fill="CCFFFF"/>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250.000</w:t>
            </w:r>
          </w:p>
        </w:tc>
        <w:tc>
          <w:tcPr>
            <w:tcW w:w="461" w:type="pct"/>
            <w:tcBorders>
              <w:top w:val="nil"/>
              <w:left w:val="nil"/>
              <w:bottom w:val="nil"/>
              <w:right w:val="double" w:sz="6" w:space="0" w:color="auto"/>
            </w:tcBorders>
            <w:shd w:val="clear" w:color="auto" w:fill="CCFFFF"/>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405.000</w:t>
            </w:r>
          </w:p>
        </w:tc>
      </w:tr>
      <w:tr w:rsidR="00E403CE" w:rsidRPr="00321DDB">
        <w:trPr>
          <w:trHeight w:val="162"/>
        </w:trPr>
        <w:tc>
          <w:tcPr>
            <w:tcW w:w="309" w:type="pct"/>
            <w:tcBorders>
              <w:top w:val="dotted" w:sz="4" w:space="0" w:color="auto"/>
              <w:left w:val="double" w:sz="6" w:space="0" w:color="auto"/>
              <w:bottom w:val="single" w:sz="4" w:space="0" w:color="auto"/>
              <w:right w:val="nil"/>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01110</w:t>
            </w:r>
          </w:p>
        </w:tc>
        <w:tc>
          <w:tcPr>
            <w:tcW w:w="1982" w:type="pct"/>
            <w:tcBorders>
              <w:top w:val="dotted" w:sz="4" w:space="0" w:color="auto"/>
              <w:left w:val="single" w:sz="4" w:space="0" w:color="auto"/>
              <w:bottom w:val="single" w:sz="4" w:space="0" w:color="auto"/>
              <w:right w:val="single" w:sz="4" w:space="0" w:color="auto"/>
            </w:tcBorders>
            <w:shd w:val="clear" w:color="auto" w:fill="auto"/>
            <w:noWrap/>
            <w:vAlign w:val="bottom"/>
          </w:tcPr>
          <w:p w:rsidR="00E403CE" w:rsidRPr="00321DDB" w:rsidRDefault="00E403CE" w:rsidP="00E403CE">
            <w:pPr>
              <w:rPr>
                <w:rFonts w:ascii="Arial" w:hAnsi="Arial" w:cs="Arial"/>
                <w:sz w:val="12"/>
                <w:szCs w:val="12"/>
              </w:rPr>
            </w:pPr>
            <w:r w:rsidRPr="00321DDB">
              <w:rPr>
                <w:rFonts w:ascii="Arial" w:hAnsi="Arial" w:cs="Arial"/>
                <w:sz w:val="12"/>
                <w:szCs w:val="12"/>
              </w:rPr>
              <w:t>Planifikimi, Menaxhimi dhe Administrimi</w:t>
            </w:r>
          </w:p>
        </w:tc>
        <w:tc>
          <w:tcPr>
            <w:tcW w:w="466" w:type="pct"/>
            <w:tcBorders>
              <w:top w:val="dotted" w:sz="4" w:space="0" w:color="auto"/>
              <w:left w:val="nil"/>
              <w:bottom w:val="single"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155.000</w:t>
            </w:r>
          </w:p>
        </w:tc>
        <w:tc>
          <w:tcPr>
            <w:tcW w:w="466" w:type="pct"/>
            <w:tcBorders>
              <w:top w:val="dotted" w:sz="4" w:space="0" w:color="auto"/>
              <w:left w:val="nil"/>
              <w:bottom w:val="single"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250.000</w:t>
            </w:r>
          </w:p>
        </w:tc>
        <w:tc>
          <w:tcPr>
            <w:tcW w:w="383" w:type="pct"/>
            <w:tcBorders>
              <w:top w:val="dotted" w:sz="4" w:space="0" w:color="auto"/>
              <w:left w:val="nil"/>
              <w:bottom w:val="single"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6" w:type="pct"/>
            <w:tcBorders>
              <w:top w:val="dotted" w:sz="4" w:space="0" w:color="auto"/>
              <w:left w:val="nil"/>
              <w:bottom w:val="single"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8" w:type="pct"/>
            <w:tcBorders>
              <w:top w:val="dotted" w:sz="4" w:space="0" w:color="auto"/>
              <w:left w:val="nil"/>
              <w:bottom w:val="single"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250.000</w:t>
            </w:r>
          </w:p>
        </w:tc>
        <w:tc>
          <w:tcPr>
            <w:tcW w:w="461" w:type="pct"/>
            <w:tcBorders>
              <w:top w:val="dotted" w:sz="4" w:space="0" w:color="auto"/>
              <w:left w:val="nil"/>
              <w:bottom w:val="single"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405.000</w:t>
            </w:r>
          </w:p>
        </w:tc>
      </w:tr>
      <w:tr w:rsidR="00E403CE" w:rsidRPr="00321DDB">
        <w:trPr>
          <w:trHeight w:val="162"/>
        </w:trPr>
        <w:tc>
          <w:tcPr>
            <w:tcW w:w="309" w:type="pct"/>
            <w:tcBorders>
              <w:top w:val="nil"/>
              <w:left w:val="double" w:sz="6" w:space="0" w:color="auto"/>
              <w:bottom w:val="nil"/>
              <w:right w:val="nil"/>
            </w:tcBorders>
            <w:shd w:val="clear" w:color="auto" w:fill="auto"/>
            <w:vAlign w:val="bottom"/>
          </w:tcPr>
          <w:p w:rsidR="00E403CE" w:rsidRPr="00321DDB" w:rsidRDefault="00E403CE" w:rsidP="00E403CE">
            <w:pPr>
              <w:jc w:val="right"/>
              <w:rPr>
                <w:rFonts w:ascii="Arial" w:hAnsi="Arial" w:cs="Arial"/>
                <w:b/>
                <w:bCs/>
                <w:color w:val="000000"/>
                <w:sz w:val="12"/>
                <w:szCs w:val="12"/>
              </w:rPr>
            </w:pPr>
            <w:r w:rsidRPr="00321DDB">
              <w:rPr>
                <w:rFonts w:ascii="Arial" w:hAnsi="Arial" w:cs="Arial"/>
                <w:b/>
                <w:bCs/>
                <w:color w:val="000000"/>
                <w:sz w:val="12"/>
                <w:szCs w:val="12"/>
              </w:rPr>
              <w:t>2</w:t>
            </w:r>
          </w:p>
        </w:tc>
        <w:tc>
          <w:tcPr>
            <w:tcW w:w="1982" w:type="pct"/>
            <w:tcBorders>
              <w:top w:val="nil"/>
              <w:left w:val="single" w:sz="4" w:space="0" w:color="auto"/>
              <w:bottom w:val="nil"/>
              <w:right w:val="single" w:sz="4" w:space="0" w:color="auto"/>
            </w:tcBorders>
            <w:shd w:val="clear" w:color="auto" w:fill="auto"/>
            <w:vAlign w:val="bottom"/>
          </w:tcPr>
          <w:p w:rsidR="00E403CE" w:rsidRPr="00321DDB" w:rsidRDefault="00E403CE" w:rsidP="00E403CE">
            <w:pPr>
              <w:rPr>
                <w:rFonts w:ascii="Arial" w:hAnsi="Arial" w:cs="Arial"/>
                <w:b/>
                <w:bCs/>
                <w:color w:val="000000"/>
                <w:sz w:val="12"/>
                <w:szCs w:val="12"/>
              </w:rPr>
            </w:pPr>
            <w:r w:rsidRPr="00321DDB">
              <w:rPr>
                <w:rFonts w:ascii="Arial" w:hAnsi="Arial" w:cs="Arial"/>
                <w:b/>
                <w:bCs/>
                <w:color w:val="000000"/>
                <w:sz w:val="12"/>
                <w:szCs w:val="12"/>
              </w:rPr>
              <w:t>Kuvendi</w:t>
            </w:r>
          </w:p>
        </w:tc>
        <w:tc>
          <w:tcPr>
            <w:tcW w:w="466" w:type="pct"/>
            <w:tcBorders>
              <w:top w:val="nil"/>
              <w:left w:val="nil"/>
              <w:bottom w:val="nil"/>
              <w:right w:val="single" w:sz="4" w:space="0" w:color="auto"/>
            </w:tcBorders>
            <w:shd w:val="clear" w:color="auto" w:fill="CCFFFF"/>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856.000</w:t>
            </w:r>
          </w:p>
        </w:tc>
        <w:tc>
          <w:tcPr>
            <w:tcW w:w="466" w:type="pct"/>
            <w:tcBorders>
              <w:top w:val="nil"/>
              <w:left w:val="nil"/>
              <w:bottom w:val="nil"/>
              <w:right w:val="dashed" w:sz="4" w:space="0" w:color="auto"/>
            </w:tcBorders>
            <w:shd w:val="clear" w:color="auto" w:fill="auto"/>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164.000</w:t>
            </w:r>
          </w:p>
        </w:tc>
        <w:tc>
          <w:tcPr>
            <w:tcW w:w="383" w:type="pct"/>
            <w:tcBorders>
              <w:top w:val="nil"/>
              <w:left w:val="nil"/>
              <w:bottom w:val="nil"/>
              <w:right w:val="dashed" w:sz="4" w:space="0" w:color="auto"/>
            </w:tcBorders>
            <w:shd w:val="clear" w:color="auto" w:fill="auto"/>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0</w:t>
            </w:r>
          </w:p>
        </w:tc>
        <w:tc>
          <w:tcPr>
            <w:tcW w:w="466" w:type="pct"/>
            <w:tcBorders>
              <w:top w:val="nil"/>
              <w:left w:val="nil"/>
              <w:bottom w:val="nil"/>
              <w:right w:val="dashed" w:sz="4" w:space="0" w:color="auto"/>
            </w:tcBorders>
            <w:shd w:val="clear" w:color="auto" w:fill="auto"/>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0</w:t>
            </w:r>
          </w:p>
        </w:tc>
        <w:tc>
          <w:tcPr>
            <w:tcW w:w="468" w:type="pct"/>
            <w:tcBorders>
              <w:top w:val="nil"/>
              <w:left w:val="nil"/>
              <w:bottom w:val="nil"/>
              <w:right w:val="single" w:sz="4" w:space="0" w:color="auto"/>
            </w:tcBorders>
            <w:shd w:val="clear" w:color="auto" w:fill="CCFFFF"/>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164.000</w:t>
            </w:r>
          </w:p>
        </w:tc>
        <w:tc>
          <w:tcPr>
            <w:tcW w:w="461" w:type="pct"/>
            <w:tcBorders>
              <w:top w:val="nil"/>
              <w:left w:val="nil"/>
              <w:bottom w:val="nil"/>
              <w:right w:val="double" w:sz="6" w:space="0" w:color="auto"/>
            </w:tcBorders>
            <w:shd w:val="clear" w:color="auto" w:fill="CCFFFF"/>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1.020.000</w:t>
            </w:r>
          </w:p>
        </w:tc>
      </w:tr>
      <w:tr w:rsidR="00E403CE" w:rsidRPr="00321DDB">
        <w:trPr>
          <w:trHeight w:val="162"/>
        </w:trPr>
        <w:tc>
          <w:tcPr>
            <w:tcW w:w="309" w:type="pct"/>
            <w:tcBorders>
              <w:top w:val="dotted" w:sz="4" w:space="0" w:color="auto"/>
              <w:left w:val="double" w:sz="6" w:space="0" w:color="auto"/>
              <w:bottom w:val="single" w:sz="4" w:space="0" w:color="auto"/>
              <w:right w:val="nil"/>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01110</w:t>
            </w:r>
          </w:p>
        </w:tc>
        <w:tc>
          <w:tcPr>
            <w:tcW w:w="1982" w:type="pct"/>
            <w:tcBorders>
              <w:top w:val="dotted" w:sz="4" w:space="0" w:color="auto"/>
              <w:left w:val="single" w:sz="4" w:space="0" w:color="auto"/>
              <w:bottom w:val="single" w:sz="4" w:space="0" w:color="auto"/>
              <w:right w:val="single" w:sz="4" w:space="0" w:color="auto"/>
            </w:tcBorders>
            <w:shd w:val="clear" w:color="auto" w:fill="auto"/>
            <w:noWrap/>
            <w:vAlign w:val="bottom"/>
          </w:tcPr>
          <w:p w:rsidR="00E403CE" w:rsidRPr="00321DDB" w:rsidRDefault="00E403CE" w:rsidP="00E403CE">
            <w:pPr>
              <w:rPr>
                <w:rFonts w:ascii="Arial" w:hAnsi="Arial" w:cs="Arial"/>
                <w:sz w:val="12"/>
                <w:szCs w:val="12"/>
              </w:rPr>
            </w:pPr>
            <w:r w:rsidRPr="00321DDB">
              <w:rPr>
                <w:rFonts w:ascii="Arial" w:hAnsi="Arial" w:cs="Arial"/>
                <w:sz w:val="12"/>
                <w:szCs w:val="12"/>
              </w:rPr>
              <w:t>Planifikimi, Menaxhimi dhe Administrimi</w:t>
            </w:r>
          </w:p>
        </w:tc>
        <w:tc>
          <w:tcPr>
            <w:tcW w:w="466" w:type="pct"/>
            <w:tcBorders>
              <w:top w:val="dotted" w:sz="4" w:space="0" w:color="auto"/>
              <w:left w:val="nil"/>
              <w:bottom w:val="single"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856.000</w:t>
            </w:r>
          </w:p>
        </w:tc>
        <w:tc>
          <w:tcPr>
            <w:tcW w:w="466" w:type="pct"/>
            <w:tcBorders>
              <w:top w:val="dotted" w:sz="4" w:space="0" w:color="auto"/>
              <w:left w:val="nil"/>
              <w:bottom w:val="single"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164.000</w:t>
            </w:r>
          </w:p>
        </w:tc>
        <w:tc>
          <w:tcPr>
            <w:tcW w:w="383" w:type="pct"/>
            <w:tcBorders>
              <w:top w:val="dotted" w:sz="4" w:space="0" w:color="auto"/>
              <w:left w:val="nil"/>
              <w:bottom w:val="single"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6" w:type="pct"/>
            <w:tcBorders>
              <w:top w:val="dotted" w:sz="4" w:space="0" w:color="auto"/>
              <w:left w:val="nil"/>
              <w:bottom w:val="single"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8" w:type="pct"/>
            <w:tcBorders>
              <w:top w:val="dotted" w:sz="4" w:space="0" w:color="auto"/>
              <w:left w:val="nil"/>
              <w:bottom w:val="single"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164.000</w:t>
            </w:r>
          </w:p>
        </w:tc>
        <w:tc>
          <w:tcPr>
            <w:tcW w:w="461" w:type="pct"/>
            <w:tcBorders>
              <w:top w:val="dotted" w:sz="4" w:space="0" w:color="auto"/>
              <w:left w:val="nil"/>
              <w:bottom w:val="single"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1.020.000</w:t>
            </w:r>
          </w:p>
        </w:tc>
      </w:tr>
      <w:tr w:rsidR="00E403CE" w:rsidRPr="00321DDB">
        <w:trPr>
          <w:trHeight w:val="162"/>
        </w:trPr>
        <w:tc>
          <w:tcPr>
            <w:tcW w:w="309" w:type="pct"/>
            <w:tcBorders>
              <w:top w:val="nil"/>
              <w:left w:val="double" w:sz="6" w:space="0" w:color="auto"/>
              <w:bottom w:val="dotted" w:sz="4" w:space="0" w:color="auto"/>
              <w:right w:val="nil"/>
            </w:tcBorders>
            <w:shd w:val="clear" w:color="auto" w:fill="auto"/>
            <w:vAlign w:val="bottom"/>
          </w:tcPr>
          <w:p w:rsidR="00E403CE" w:rsidRPr="00321DDB" w:rsidRDefault="00E403CE" w:rsidP="00E403CE">
            <w:pPr>
              <w:jc w:val="right"/>
              <w:rPr>
                <w:rFonts w:ascii="Arial" w:hAnsi="Arial" w:cs="Arial"/>
                <w:b/>
                <w:bCs/>
                <w:color w:val="000000"/>
                <w:sz w:val="12"/>
                <w:szCs w:val="12"/>
              </w:rPr>
            </w:pPr>
            <w:r w:rsidRPr="00321DDB">
              <w:rPr>
                <w:rFonts w:ascii="Arial" w:hAnsi="Arial" w:cs="Arial"/>
                <w:b/>
                <w:bCs/>
                <w:color w:val="000000"/>
                <w:sz w:val="12"/>
                <w:szCs w:val="12"/>
              </w:rPr>
              <w:t>3</w:t>
            </w:r>
          </w:p>
        </w:tc>
        <w:tc>
          <w:tcPr>
            <w:tcW w:w="1982" w:type="pct"/>
            <w:tcBorders>
              <w:top w:val="nil"/>
              <w:left w:val="single" w:sz="4" w:space="0" w:color="auto"/>
              <w:bottom w:val="dotted" w:sz="4" w:space="0" w:color="auto"/>
              <w:right w:val="single" w:sz="4" w:space="0" w:color="auto"/>
            </w:tcBorders>
            <w:shd w:val="clear" w:color="auto" w:fill="auto"/>
            <w:vAlign w:val="bottom"/>
          </w:tcPr>
          <w:p w:rsidR="00E403CE" w:rsidRPr="00321DDB" w:rsidRDefault="00E403CE" w:rsidP="00E403CE">
            <w:pPr>
              <w:rPr>
                <w:rFonts w:ascii="Arial" w:hAnsi="Arial" w:cs="Arial"/>
                <w:b/>
                <w:bCs/>
                <w:color w:val="000000"/>
                <w:sz w:val="12"/>
                <w:szCs w:val="12"/>
              </w:rPr>
            </w:pPr>
            <w:r w:rsidRPr="00321DDB">
              <w:rPr>
                <w:rFonts w:ascii="Arial" w:hAnsi="Arial" w:cs="Arial"/>
                <w:b/>
                <w:bCs/>
                <w:color w:val="000000"/>
                <w:sz w:val="12"/>
                <w:szCs w:val="12"/>
              </w:rPr>
              <w:t>Keshilli Ministrave</w:t>
            </w:r>
          </w:p>
        </w:tc>
        <w:tc>
          <w:tcPr>
            <w:tcW w:w="466"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316.970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24.000</w:t>
            </w:r>
          </w:p>
        </w:tc>
        <w:tc>
          <w:tcPr>
            <w:tcW w:w="383"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0</w:t>
            </w:r>
          </w:p>
        </w:tc>
        <w:tc>
          <w:tcPr>
            <w:tcW w:w="468"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24.000</w:t>
            </w:r>
          </w:p>
        </w:tc>
        <w:tc>
          <w:tcPr>
            <w:tcW w:w="461" w:type="pct"/>
            <w:tcBorders>
              <w:top w:val="nil"/>
              <w:left w:val="nil"/>
              <w:bottom w:val="dotted"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340.970</w:t>
            </w:r>
          </w:p>
        </w:tc>
      </w:tr>
      <w:tr w:rsidR="00E403CE" w:rsidRPr="00321DDB">
        <w:trPr>
          <w:trHeight w:val="162"/>
        </w:trPr>
        <w:tc>
          <w:tcPr>
            <w:tcW w:w="309" w:type="pct"/>
            <w:tcBorders>
              <w:top w:val="nil"/>
              <w:left w:val="double" w:sz="6" w:space="0" w:color="auto"/>
              <w:bottom w:val="dotted" w:sz="4" w:space="0" w:color="auto"/>
              <w:right w:val="nil"/>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01110</w:t>
            </w:r>
          </w:p>
        </w:tc>
        <w:tc>
          <w:tcPr>
            <w:tcW w:w="1982" w:type="pct"/>
            <w:tcBorders>
              <w:top w:val="nil"/>
              <w:left w:val="single" w:sz="4" w:space="0" w:color="auto"/>
              <w:bottom w:val="dotted" w:sz="4" w:space="0" w:color="auto"/>
              <w:right w:val="single" w:sz="4" w:space="0" w:color="auto"/>
            </w:tcBorders>
            <w:shd w:val="clear" w:color="auto" w:fill="auto"/>
            <w:noWrap/>
            <w:vAlign w:val="bottom"/>
          </w:tcPr>
          <w:p w:rsidR="00E403CE" w:rsidRPr="00321DDB" w:rsidRDefault="00E403CE" w:rsidP="00E403CE">
            <w:pPr>
              <w:rPr>
                <w:rFonts w:ascii="Arial" w:hAnsi="Arial" w:cs="Arial"/>
                <w:sz w:val="12"/>
                <w:szCs w:val="12"/>
              </w:rPr>
            </w:pPr>
            <w:r w:rsidRPr="00321DDB">
              <w:rPr>
                <w:rFonts w:ascii="Arial" w:hAnsi="Arial" w:cs="Arial"/>
                <w:sz w:val="12"/>
                <w:szCs w:val="12"/>
              </w:rPr>
              <w:t>Planifikimi, Menaxhimi dhe Administrimi</w:t>
            </w:r>
          </w:p>
        </w:tc>
        <w:tc>
          <w:tcPr>
            <w:tcW w:w="466"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316.970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24.000</w:t>
            </w:r>
          </w:p>
        </w:tc>
        <w:tc>
          <w:tcPr>
            <w:tcW w:w="383"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8"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24.000</w:t>
            </w:r>
          </w:p>
        </w:tc>
        <w:tc>
          <w:tcPr>
            <w:tcW w:w="461" w:type="pct"/>
            <w:tcBorders>
              <w:top w:val="nil"/>
              <w:left w:val="nil"/>
              <w:bottom w:val="dotted"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340.970</w:t>
            </w:r>
          </w:p>
        </w:tc>
      </w:tr>
      <w:tr w:rsidR="00E403CE" w:rsidRPr="00321DDB">
        <w:trPr>
          <w:trHeight w:val="162"/>
        </w:trPr>
        <w:tc>
          <w:tcPr>
            <w:tcW w:w="309" w:type="pct"/>
            <w:tcBorders>
              <w:top w:val="single" w:sz="4" w:space="0" w:color="auto"/>
              <w:left w:val="double" w:sz="6" w:space="0" w:color="auto"/>
              <w:bottom w:val="dotted" w:sz="4" w:space="0" w:color="auto"/>
              <w:right w:val="nil"/>
            </w:tcBorders>
            <w:shd w:val="clear" w:color="auto" w:fill="auto"/>
            <w:vAlign w:val="bottom"/>
          </w:tcPr>
          <w:p w:rsidR="00E403CE" w:rsidRPr="00321DDB" w:rsidRDefault="00E403CE" w:rsidP="00E403CE">
            <w:pPr>
              <w:jc w:val="right"/>
              <w:rPr>
                <w:rFonts w:ascii="Arial" w:hAnsi="Arial" w:cs="Arial"/>
                <w:b/>
                <w:bCs/>
                <w:color w:val="000000"/>
                <w:sz w:val="12"/>
                <w:szCs w:val="12"/>
              </w:rPr>
            </w:pPr>
            <w:r w:rsidRPr="00321DDB">
              <w:rPr>
                <w:rFonts w:ascii="Arial" w:hAnsi="Arial" w:cs="Arial"/>
                <w:b/>
                <w:bCs/>
                <w:color w:val="000000"/>
                <w:sz w:val="12"/>
                <w:szCs w:val="12"/>
              </w:rPr>
              <w:t>4</w:t>
            </w:r>
          </w:p>
        </w:tc>
        <w:tc>
          <w:tcPr>
            <w:tcW w:w="1982" w:type="pct"/>
            <w:tcBorders>
              <w:top w:val="single" w:sz="4" w:space="0" w:color="auto"/>
              <w:left w:val="single" w:sz="4" w:space="0" w:color="auto"/>
              <w:bottom w:val="dotted" w:sz="4" w:space="0" w:color="auto"/>
              <w:right w:val="single" w:sz="4" w:space="0" w:color="auto"/>
            </w:tcBorders>
            <w:shd w:val="clear" w:color="auto" w:fill="auto"/>
            <w:noWrap/>
            <w:vAlign w:val="bottom"/>
          </w:tcPr>
          <w:p w:rsidR="00E403CE" w:rsidRPr="00321DDB" w:rsidRDefault="00E403CE" w:rsidP="00E403CE">
            <w:pPr>
              <w:rPr>
                <w:rFonts w:ascii="Arial" w:hAnsi="Arial" w:cs="Arial"/>
                <w:b/>
                <w:bCs/>
                <w:sz w:val="12"/>
                <w:szCs w:val="12"/>
              </w:rPr>
            </w:pPr>
            <w:r w:rsidRPr="00321DDB">
              <w:rPr>
                <w:rFonts w:ascii="Arial" w:hAnsi="Arial" w:cs="Arial"/>
                <w:b/>
                <w:bCs/>
                <w:sz w:val="12"/>
                <w:szCs w:val="12"/>
              </w:rPr>
              <w:t>Ministria e Ekonomise, Tregtise dhe Energjitikes</w:t>
            </w:r>
          </w:p>
        </w:tc>
        <w:tc>
          <w:tcPr>
            <w:tcW w:w="466" w:type="pct"/>
            <w:tcBorders>
              <w:top w:val="single" w:sz="4" w:space="0" w:color="auto"/>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843.000</w:t>
            </w:r>
          </w:p>
        </w:tc>
        <w:tc>
          <w:tcPr>
            <w:tcW w:w="466" w:type="pct"/>
            <w:tcBorders>
              <w:top w:val="single" w:sz="4" w:space="0" w:color="auto"/>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506.882</w:t>
            </w:r>
          </w:p>
        </w:tc>
        <w:tc>
          <w:tcPr>
            <w:tcW w:w="383" w:type="pct"/>
            <w:tcBorders>
              <w:top w:val="single" w:sz="4" w:space="0" w:color="auto"/>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0</w:t>
            </w:r>
          </w:p>
        </w:tc>
        <w:tc>
          <w:tcPr>
            <w:tcW w:w="466" w:type="pct"/>
            <w:tcBorders>
              <w:top w:val="single" w:sz="4" w:space="0" w:color="auto"/>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500.000</w:t>
            </w:r>
          </w:p>
        </w:tc>
        <w:tc>
          <w:tcPr>
            <w:tcW w:w="468" w:type="pct"/>
            <w:tcBorders>
              <w:top w:val="single" w:sz="4" w:space="0" w:color="auto"/>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1.006.882</w:t>
            </w:r>
          </w:p>
        </w:tc>
        <w:tc>
          <w:tcPr>
            <w:tcW w:w="461" w:type="pct"/>
            <w:tcBorders>
              <w:top w:val="single" w:sz="4" w:space="0" w:color="auto"/>
              <w:left w:val="nil"/>
              <w:bottom w:val="dotted"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1.849.882</w:t>
            </w:r>
          </w:p>
        </w:tc>
      </w:tr>
      <w:tr w:rsidR="00E403CE" w:rsidRPr="00321DDB">
        <w:trPr>
          <w:trHeight w:val="162"/>
        </w:trPr>
        <w:tc>
          <w:tcPr>
            <w:tcW w:w="309" w:type="pct"/>
            <w:tcBorders>
              <w:top w:val="nil"/>
              <w:left w:val="double" w:sz="6" w:space="0" w:color="auto"/>
              <w:bottom w:val="dotted" w:sz="4" w:space="0" w:color="auto"/>
              <w:right w:val="nil"/>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01110</w:t>
            </w:r>
          </w:p>
        </w:tc>
        <w:tc>
          <w:tcPr>
            <w:tcW w:w="1982" w:type="pct"/>
            <w:tcBorders>
              <w:top w:val="nil"/>
              <w:left w:val="single" w:sz="4" w:space="0" w:color="auto"/>
              <w:bottom w:val="dotted" w:sz="4" w:space="0" w:color="auto"/>
              <w:right w:val="single" w:sz="4" w:space="0" w:color="auto"/>
            </w:tcBorders>
            <w:shd w:val="clear" w:color="auto" w:fill="auto"/>
            <w:noWrap/>
            <w:vAlign w:val="bottom"/>
          </w:tcPr>
          <w:p w:rsidR="00E403CE" w:rsidRPr="00321DDB" w:rsidRDefault="00E403CE" w:rsidP="00E403CE">
            <w:pPr>
              <w:rPr>
                <w:rFonts w:ascii="Arial" w:hAnsi="Arial" w:cs="Arial"/>
                <w:sz w:val="12"/>
                <w:szCs w:val="12"/>
              </w:rPr>
            </w:pPr>
            <w:r w:rsidRPr="00321DDB">
              <w:rPr>
                <w:rFonts w:ascii="Arial" w:hAnsi="Arial" w:cs="Arial"/>
                <w:sz w:val="12"/>
                <w:szCs w:val="12"/>
              </w:rPr>
              <w:t>Planifikimi, Menaxhimi dhe Administrimi</w:t>
            </w:r>
          </w:p>
        </w:tc>
        <w:tc>
          <w:tcPr>
            <w:tcW w:w="466"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409.500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52.212</w:t>
            </w:r>
          </w:p>
        </w:tc>
        <w:tc>
          <w:tcPr>
            <w:tcW w:w="383"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8"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52.212</w:t>
            </w:r>
          </w:p>
        </w:tc>
        <w:tc>
          <w:tcPr>
            <w:tcW w:w="461" w:type="pct"/>
            <w:tcBorders>
              <w:top w:val="nil"/>
              <w:left w:val="nil"/>
              <w:bottom w:val="dotted"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461.712</w:t>
            </w:r>
          </w:p>
        </w:tc>
      </w:tr>
      <w:tr w:rsidR="00E403CE" w:rsidRPr="00321DDB">
        <w:trPr>
          <w:trHeight w:val="162"/>
        </w:trPr>
        <w:tc>
          <w:tcPr>
            <w:tcW w:w="309" w:type="pct"/>
            <w:tcBorders>
              <w:top w:val="nil"/>
              <w:left w:val="double" w:sz="6" w:space="0" w:color="auto"/>
              <w:bottom w:val="dotted" w:sz="4" w:space="0" w:color="auto"/>
              <w:right w:val="nil"/>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04320</w:t>
            </w:r>
          </w:p>
        </w:tc>
        <w:tc>
          <w:tcPr>
            <w:tcW w:w="1982" w:type="pct"/>
            <w:tcBorders>
              <w:top w:val="nil"/>
              <w:left w:val="single" w:sz="4" w:space="0" w:color="auto"/>
              <w:bottom w:val="dotted" w:sz="4" w:space="0" w:color="auto"/>
              <w:right w:val="single" w:sz="4" w:space="0" w:color="auto"/>
            </w:tcBorders>
            <w:shd w:val="clear" w:color="auto" w:fill="auto"/>
            <w:noWrap/>
            <w:vAlign w:val="bottom"/>
          </w:tcPr>
          <w:p w:rsidR="00E403CE" w:rsidRPr="00321DDB" w:rsidRDefault="00E403CE" w:rsidP="00E403CE">
            <w:pPr>
              <w:rPr>
                <w:rFonts w:ascii="Arial" w:hAnsi="Arial" w:cs="Arial"/>
                <w:sz w:val="12"/>
                <w:szCs w:val="12"/>
              </w:rPr>
            </w:pPr>
            <w:r w:rsidRPr="00321DDB">
              <w:rPr>
                <w:rFonts w:ascii="Arial" w:hAnsi="Arial" w:cs="Arial"/>
                <w:sz w:val="12"/>
                <w:szCs w:val="12"/>
              </w:rPr>
              <w:t>Mbeshtetje per Energjine</w:t>
            </w:r>
          </w:p>
        </w:tc>
        <w:tc>
          <w:tcPr>
            <w:tcW w:w="466"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1.000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9.000</w:t>
            </w:r>
          </w:p>
        </w:tc>
        <w:tc>
          <w:tcPr>
            <w:tcW w:w="383"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8"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9.000</w:t>
            </w:r>
          </w:p>
        </w:tc>
        <w:tc>
          <w:tcPr>
            <w:tcW w:w="461" w:type="pct"/>
            <w:tcBorders>
              <w:top w:val="nil"/>
              <w:left w:val="nil"/>
              <w:bottom w:val="dotted"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10.000</w:t>
            </w:r>
          </w:p>
        </w:tc>
      </w:tr>
      <w:tr w:rsidR="00E403CE" w:rsidRPr="00321DDB">
        <w:trPr>
          <w:trHeight w:val="162"/>
        </w:trPr>
        <w:tc>
          <w:tcPr>
            <w:tcW w:w="309" w:type="pct"/>
            <w:tcBorders>
              <w:top w:val="nil"/>
              <w:left w:val="double" w:sz="6" w:space="0" w:color="auto"/>
              <w:bottom w:val="dotted" w:sz="4" w:space="0" w:color="auto"/>
              <w:right w:val="nil"/>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04430</w:t>
            </w:r>
          </w:p>
        </w:tc>
        <w:tc>
          <w:tcPr>
            <w:tcW w:w="1982" w:type="pct"/>
            <w:tcBorders>
              <w:top w:val="nil"/>
              <w:left w:val="single" w:sz="4" w:space="0" w:color="auto"/>
              <w:bottom w:val="dotted" w:sz="4" w:space="0" w:color="auto"/>
              <w:right w:val="single" w:sz="4" w:space="0" w:color="auto"/>
            </w:tcBorders>
            <w:shd w:val="clear" w:color="auto" w:fill="auto"/>
            <w:noWrap/>
            <w:vAlign w:val="bottom"/>
          </w:tcPr>
          <w:p w:rsidR="00E403CE" w:rsidRPr="00321DDB" w:rsidRDefault="00E403CE" w:rsidP="00E403CE">
            <w:pPr>
              <w:rPr>
                <w:rFonts w:ascii="Arial" w:hAnsi="Arial" w:cs="Arial"/>
                <w:sz w:val="12"/>
                <w:szCs w:val="12"/>
              </w:rPr>
            </w:pPr>
            <w:r w:rsidRPr="00321DDB">
              <w:rPr>
                <w:rFonts w:ascii="Arial" w:hAnsi="Arial" w:cs="Arial"/>
                <w:sz w:val="12"/>
                <w:szCs w:val="12"/>
              </w:rPr>
              <w:t>Mbeshtetje per Burimet Natyrore</w:t>
            </w:r>
          </w:p>
        </w:tc>
        <w:tc>
          <w:tcPr>
            <w:tcW w:w="466"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214.000</w:t>
            </w:r>
          </w:p>
        </w:tc>
        <w:tc>
          <w:tcPr>
            <w:tcW w:w="383"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8"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214.000</w:t>
            </w:r>
          </w:p>
        </w:tc>
        <w:tc>
          <w:tcPr>
            <w:tcW w:w="461" w:type="pct"/>
            <w:tcBorders>
              <w:top w:val="nil"/>
              <w:left w:val="nil"/>
              <w:bottom w:val="dotted"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214.000</w:t>
            </w:r>
          </w:p>
        </w:tc>
      </w:tr>
      <w:tr w:rsidR="00E403CE" w:rsidRPr="00321DDB">
        <w:trPr>
          <w:trHeight w:val="162"/>
        </w:trPr>
        <w:tc>
          <w:tcPr>
            <w:tcW w:w="309" w:type="pct"/>
            <w:tcBorders>
              <w:top w:val="nil"/>
              <w:left w:val="double" w:sz="6" w:space="0" w:color="auto"/>
              <w:bottom w:val="dotted" w:sz="4" w:space="0" w:color="auto"/>
              <w:right w:val="nil"/>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04440</w:t>
            </w:r>
          </w:p>
        </w:tc>
        <w:tc>
          <w:tcPr>
            <w:tcW w:w="1982" w:type="pct"/>
            <w:tcBorders>
              <w:top w:val="nil"/>
              <w:left w:val="single" w:sz="4" w:space="0" w:color="auto"/>
              <w:bottom w:val="dotted" w:sz="4" w:space="0" w:color="auto"/>
              <w:right w:val="single" w:sz="4" w:space="0" w:color="auto"/>
            </w:tcBorders>
            <w:shd w:val="clear" w:color="auto" w:fill="auto"/>
            <w:noWrap/>
            <w:vAlign w:val="bottom"/>
          </w:tcPr>
          <w:p w:rsidR="00E403CE" w:rsidRPr="00321DDB" w:rsidRDefault="00E403CE" w:rsidP="00E403CE">
            <w:pPr>
              <w:rPr>
                <w:rFonts w:ascii="Arial" w:hAnsi="Arial" w:cs="Arial"/>
                <w:sz w:val="12"/>
                <w:szCs w:val="12"/>
              </w:rPr>
            </w:pPr>
            <w:r w:rsidRPr="00321DDB">
              <w:rPr>
                <w:rFonts w:ascii="Arial" w:hAnsi="Arial" w:cs="Arial"/>
                <w:sz w:val="12"/>
                <w:szCs w:val="12"/>
              </w:rPr>
              <w:t>Mbesht. Miniera e Nd/je Publike</w:t>
            </w:r>
          </w:p>
        </w:tc>
        <w:tc>
          <w:tcPr>
            <w:tcW w:w="466"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51.500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35.800</w:t>
            </w:r>
          </w:p>
        </w:tc>
        <w:tc>
          <w:tcPr>
            <w:tcW w:w="383"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8"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35.800</w:t>
            </w:r>
          </w:p>
        </w:tc>
        <w:tc>
          <w:tcPr>
            <w:tcW w:w="461" w:type="pct"/>
            <w:tcBorders>
              <w:top w:val="nil"/>
              <w:left w:val="nil"/>
              <w:bottom w:val="dotted"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87.300</w:t>
            </w:r>
          </w:p>
        </w:tc>
      </w:tr>
      <w:tr w:rsidR="00E403CE" w:rsidRPr="00321DDB">
        <w:trPr>
          <w:trHeight w:val="162"/>
        </w:trPr>
        <w:tc>
          <w:tcPr>
            <w:tcW w:w="309" w:type="pct"/>
            <w:tcBorders>
              <w:top w:val="nil"/>
              <w:left w:val="double" w:sz="6" w:space="0" w:color="auto"/>
              <w:bottom w:val="dotted" w:sz="4" w:space="0" w:color="auto"/>
              <w:right w:val="nil"/>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04130</w:t>
            </w:r>
          </w:p>
        </w:tc>
        <w:tc>
          <w:tcPr>
            <w:tcW w:w="1982" w:type="pct"/>
            <w:tcBorders>
              <w:top w:val="nil"/>
              <w:left w:val="single" w:sz="4" w:space="0" w:color="auto"/>
              <w:bottom w:val="dotted" w:sz="4" w:space="0" w:color="auto"/>
              <w:right w:val="single" w:sz="4" w:space="0" w:color="auto"/>
            </w:tcBorders>
            <w:shd w:val="clear" w:color="auto" w:fill="auto"/>
            <w:noWrap/>
            <w:vAlign w:val="bottom"/>
          </w:tcPr>
          <w:p w:rsidR="00E403CE" w:rsidRPr="00321DDB" w:rsidRDefault="00E403CE" w:rsidP="00E403CE">
            <w:pPr>
              <w:rPr>
                <w:rFonts w:ascii="Arial" w:hAnsi="Arial" w:cs="Arial"/>
                <w:sz w:val="12"/>
                <w:szCs w:val="12"/>
              </w:rPr>
            </w:pPr>
            <w:r w:rsidRPr="00321DDB">
              <w:rPr>
                <w:rFonts w:ascii="Arial" w:hAnsi="Arial" w:cs="Arial"/>
                <w:sz w:val="12"/>
                <w:szCs w:val="12"/>
              </w:rPr>
              <w:t>Mbeshtetje per Zhvillim Ekonomik</w:t>
            </w:r>
          </w:p>
        </w:tc>
        <w:tc>
          <w:tcPr>
            <w:tcW w:w="466"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156.639</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177.400</w:t>
            </w:r>
          </w:p>
        </w:tc>
        <w:tc>
          <w:tcPr>
            <w:tcW w:w="383"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450.000</w:t>
            </w:r>
          </w:p>
        </w:tc>
        <w:tc>
          <w:tcPr>
            <w:tcW w:w="468"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627.400</w:t>
            </w:r>
          </w:p>
        </w:tc>
        <w:tc>
          <w:tcPr>
            <w:tcW w:w="461" w:type="pct"/>
            <w:tcBorders>
              <w:top w:val="nil"/>
              <w:left w:val="nil"/>
              <w:bottom w:val="dotted"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784.039</w:t>
            </w:r>
          </w:p>
        </w:tc>
      </w:tr>
      <w:tr w:rsidR="00E403CE" w:rsidRPr="00321DDB">
        <w:trPr>
          <w:trHeight w:val="162"/>
        </w:trPr>
        <w:tc>
          <w:tcPr>
            <w:tcW w:w="309" w:type="pct"/>
            <w:tcBorders>
              <w:top w:val="nil"/>
              <w:left w:val="double" w:sz="6" w:space="0" w:color="auto"/>
              <w:bottom w:val="single" w:sz="4" w:space="0" w:color="auto"/>
              <w:right w:val="nil"/>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04160</w:t>
            </w:r>
          </w:p>
        </w:tc>
        <w:tc>
          <w:tcPr>
            <w:tcW w:w="1982" w:type="pct"/>
            <w:tcBorders>
              <w:top w:val="nil"/>
              <w:left w:val="single" w:sz="4" w:space="0" w:color="auto"/>
              <w:bottom w:val="single" w:sz="4" w:space="0" w:color="auto"/>
              <w:right w:val="single" w:sz="4" w:space="0" w:color="auto"/>
            </w:tcBorders>
            <w:shd w:val="clear" w:color="auto" w:fill="auto"/>
            <w:noWrap/>
            <w:vAlign w:val="bottom"/>
          </w:tcPr>
          <w:p w:rsidR="00E403CE" w:rsidRPr="00321DDB" w:rsidRDefault="00E403CE" w:rsidP="00E403CE">
            <w:pPr>
              <w:rPr>
                <w:rFonts w:ascii="Arial" w:hAnsi="Arial" w:cs="Arial"/>
                <w:sz w:val="12"/>
                <w:szCs w:val="12"/>
              </w:rPr>
            </w:pPr>
            <w:r w:rsidRPr="00321DDB">
              <w:rPr>
                <w:rFonts w:ascii="Arial" w:hAnsi="Arial" w:cs="Arial"/>
                <w:sz w:val="12"/>
                <w:szCs w:val="12"/>
              </w:rPr>
              <w:t>Mbeshtetje per Mbikq. e Tregut, Infrast. e Ciles. dhe Pron. Industr.</w:t>
            </w:r>
          </w:p>
        </w:tc>
        <w:tc>
          <w:tcPr>
            <w:tcW w:w="466" w:type="pct"/>
            <w:tcBorders>
              <w:top w:val="nil"/>
              <w:left w:val="nil"/>
              <w:bottom w:val="single"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224.361</w:t>
            </w:r>
          </w:p>
        </w:tc>
        <w:tc>
          <w:tcPr>
            <w:tcW w:w="466" w:type="pct"/>
            <w:tcBorders>
              <w:top w:val="nil"/>
              <w:left w:val="nil"/>
              <w:bottom w:val="single"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18.470</w:t>
            </w:r>
          </w:p>
        </w:tc>
        <w:tc>
          <w:tcPr>
            <w:tcW w:w="383" w:type="pct"/>
            <w:tcBorders>
              <w:top w:val="nil"/>
              <w:left w:val="nil"/>
              <w:bottom w:val="single"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6" w:type="pct"/>
            <w:tcBorders>
              <w:top w:val="nil"/>
              <w:left w:val="nil"/>
              <w:bottom w:val="single"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50.000</w:t>
            </w:r>
          </w:p>
        </w:tc>
        <w:tc>
          <w:tcPr>
            <w:tcW w:w="468" w:type="pct"/>
            <w:tcBorders>
              <w:top w:val="nil"/>
              <w:left w:val="nil"/>
              <w:bottom w:val="single"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68.470</w:t>
            </w:r>
          </w:p>
        </w:tc>
        <w:tc>
          <w:tcPr>
            <w:tcW w:w="461" w:type="pct"/>
            <w:tcBorders>
              <w:top w:val="nil"/>
              <w:left w:val="nil"/>
              <w:bottom w:val="single"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292.831</w:t>
            </w:r>
          </w:p>
        </w:tc>
      </w:tr>
      <w:tr w:rsidR="00E403CE" w:rsidRPr="00321DDB">
        <w:trPr>
          <w:trHeight w:val="162"/>
        </w:trPr>
        <w:tc>
          <w:tcPr>
            <w:tcW w:w="309" w:type="pct"/>
            <w:tcBorders>
              <w:top w:val="nil"/>
              <w:left w:val="double" w:sz="6" w:space="0" w:color="auto"/>
              <w:bottom w:val="dotted" w:sz="4" w:space="0" w:color="auto"/>
              <w:right w:val="nil"/>
            </w:tcBorders>
            <w:shd w:val="clear" w:color="auto" w:fill="auto"/>
            <w:vAlign w:val="bottom"/>
          </w:tcPr>
          <w:p w:rsidR="00E403CE" w:rsidRPr="00321DDB" w:rsidRDefault="00E403CE" w:rsidP="00E403CE">
            <w:pPr>
              <w:jc w:val="right"/>
              <w:rPr>
                <w:rFonts w:ascii="Arial" w:hAnsi="Arial" w:cs="Arial"/>
                <w:b/>
                <w:bCs/>
                <w:color w:val="000000"/>
                <w:sz w:val="12"/>
                <w:szCs w:val="12"/>
              </w:rPr>
            </w:pPr>
            <w:r w:rsidRPr="00321DDB">
              <w:rPr>
                <w:rFonts w:ascii="Arial" w:hAnsi="Arial" w:cs="Arial"/>
                <w:b/>
                <w:bCs/>
                <w:color w:val="000000"/>
                <w:sz w:val="12"/>
                <w:szCs w:val="12"/>
              </w:rPr>
              <w:t>5</w:t>
            </w:r>
          </w:p>
        </w:tc>
        <w:tc>
          <w:tcPr>
            <w:tcW w:w="1982" w:type="pct"/>
            <w:tcBorders>
              <w:top w:val="nil"/>
              <w:left w:val="single" w:sz="4" w:space="0" w:color="auto"/>
              <w:bottom w:val="dotted" w:sz="4" w:space="0" w:color="auto"/>
              <w:right w:val="single" w:sz="4" w:space="0" w:color="auto"/>
            </w:tcBorders>
            <w:shd w:val="clear" w:color="auto" w:fill="auto"/>
            <w:noWrap/>
            <w:vAlign w:val="bottom"/>
          </w:tcPr>
          <w:p w:rsidR="00E403CE" w:rsidRPr="00321DDB" w:rsidRDefault="00E403CE" w:rsidP="00E403CE">
            <w:pPr>
              <w:rPr>
                <w:rFonts w:ascii="Arial" w:hAnsi="Arial" w:cs="Arial"/>
                <w:b/>
                <w:bCs/>
                <w:sz w:val="12"/>
                <w:szCs w:val="12"/>
              </w:rPr>
            </w:pPr>
            <w:r w:rsidRPr="00321DDB">
              <w:rPr>
                <w:rFonts w:ascii="Arial" w:hAnsi="Arial" w:cs="Arial"/>
                <w:b/>
                <w:bCs/>
                <w:sz w:val="12"/>
                <w:szCs w:val="12"/>
              </w:rPr>
              <w:t>Ministria e Bujqesise, Ushqimit dhe Mbrojtjes se Konsumatorit</w:t>
            </w:r>
          </w:p>
        </w:tc>
        <w:tc>
          <w:tcPr>
            <w:tcW w:w="466"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3.271.126</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1.107.484</w:t>
            </w:r>
          </w:p>
        </w:tc>
        <w:tc>
          <w:tcPr>
            <w:tcW w:w="383"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1.093.179</w:t>
            </w:r>
          </w:p>
        </w:tc>
        <w:tc>
          <w:tcPr>
            <w:tcW w:w="468"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2.200.663</w:t>
            </w:r>
          </w:p>
        </w:tc>
        <w:tc>
          <w:tcPr>
            <w:tcW w:w="461" w:type="pct"/>
            <w:tcBorders>
              <w:top w:val="nil"/>
              <w:left w:val="nil"/>
              <w:bottom w:val="dotted"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5.471.789</w:t>
            </w:r>
          </w:p>
        </w:tc>
      </w:tr>
      <w:tr w:rsidR="00E403CE" w:rsidRPr="00321DDB">
        <w:trPr>
          <w:trHeight w:val="162"/>
        </w:trPr>
        <w:tc>
          <w:tcPr>
            <w:tcW w:w="309" w:type="pct"/>
            <w:tcBorders>
              <w:top w:val="nil"/>
              <w:left w:val="double" w:sz="6" w:space="0" w:color="auto"/>
              <w:bottom w:val="dotted" w:sz="4" w:space="0" w:color="auto"/>
              <w:right w:val="nil"/>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01110</w:t>
            </w:r>
          </w:p>
        </w:tc>
        <w:tc>
          <w:tcPr>
            <w:tcW w:w="1982" w:type="pct"/>
            <w:tcBorders>
              <w:top w:val="nil"/>
              <w:left w:val="single" w:sz="4" w:space="0" w:color="auto"/>
              <w:bottom w:val="dotted" w:sz="4" w:space="0" w:color="auto"/>
              <w:right w:val="single" w:sz="4" w:space="0" w:color="auto"/>
            </w:tcBorders>
            <w:shd w:val="clear" w:color="auto" w:fill="auto"/>
            <w:noWrap/>
            <w:vAlign w:val="bottom"/>
          </w:tcPr>
          <w:p w:rsidR="00E403CE" w:rsidRPr="00321DDB" w:rsidRDefault="00E403CE" w:rsidP="00E403CE">
            <w:pPr>
              <w:rPr>
                <w:rFonts w:ascii="Arial" w:hAnsi="Arial" w:cs="Arial"/>
                <w:sz w:val="12"/>
                <w:szCs w:val="12"/>
              </w:rPr>
            </w:pPr>
            <w:r w:rsidRPr="00321DDB">
              <w:rPr>
                <w:rFonts w:ascii="Arial" w:hAnsi="Arial" w:cs="Arial"/>
                <w:sz w:val="12"/>
                <w:szCs w:val="12"/>
              </w:rPr>
              <w:t>Planifikimi, Menaxhimi dhe Administrimi</w:t>
            </w:r>
          </w:p>
        </w:tc>
        <w:tc>
          <w:tcPr>
            <w:tcW w:w="466"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212.500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383"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8"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1" w:type="pct"/>
            <w:tcBorders>
              <w:top w:val="nil"/>
              <w:left w:val="nil"/>
              <w:bottom w:val="dotted"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212.500</w:t>
            </w:r>
          </w:p>
        </w:tc>
      </w:tr>
      <w:tr w:rsidR="00E403CE" w:rsidRPr="00321DDB">
        <w:trPr>
          <w:trHeight w:val="162"/>
        </w:trPr>
        <w:tc>
          <w:tcPr>
            <w:tcW w:w="309" w:type="pct"/>
            <w:tcBorders>
              <w:top w:val="nil"/>
              <w:left w:val="double" w:sz="6" w:space="0" w:color="auto"/>
              <w:bottom w:val="dotted" w:sz="4" w:space="0" w:color="auto"/>
              <w:right w:val="nil"/>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04220</w:t>
            </w:r>
          </w:p>
        </w:tc>
        <w:tc>
          <w:tcPr>
            <w:tcW w:w="1982" w:type="pct"/>
            <w:tcBorders>
              <w:top w:val="nil"/>
              <w:left w:val="single" w:sz="4" w:space="0" w:color="auto"/>
              <w:bottom w:val="dotted" w:sz="4" w:space="0" w:color="auto"/>
              <w:right w:val="single" w:sz="4" w:space="0" w:color="auto"/>
            </w:tcBorders>
            <w:shd w:val="clear" w:color="auto" w:fill="auto"/>
            <w:noWrap/>
            <w:vAlign w:val="bottom"/>
          </w:tcPr>
          <w:p w:rsidR="00E403CE" w:rsidRPr="00321DDB" w:rsidRDefault="00E403CE" w:rsidP="00E403CE">
            <w:pPr>
              <w:rPr>
                <w:rFonts w:ascii="Arial" w:hAnsi="Arial" w:cs="Arial"/>
                <w:sz w:val="12"/>
                <w:szCs w:val="12"/>
              </w:rPr>
            </w:pPr>
            <w:r w:rsidRPr="00321DDB">
              <w:rPr>
                <w:rFonts w:ascii="Arial" w:hAnsi="Arial" w:cs="Arial"/>
                <w:sz w:val="12"/>
                <w:szCs w:val="12"/>
              </w:rPr>
              <w:t>Siguria ushqimore dhe mbrojtja e konsumatorit</w:t>
            </w:r>
          </w:p>
        </w:tc>
        <w:tc>
          <w:tcPr>
            <w:tcW w:w="466"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1.178.850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93.967</w:t>
            </w:r>
          </w:p>
        </w:tc>
        <w:tc>
          <w:tcPr>
            <w:tcW w:w="383"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127.500</w:t>
            </w:r>
          </w:p>
        </w:tc>
        <w:tc>
          <w:tcPr>
            <w:tcW w:w="468"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221.467</w:t>
            </w:r>
          </w:p>
        </w:tc>
        <w:tc>
          <w:tcPr>
            <w:tcW w:w="461" w:type="pct"/>
            <w:tcBorders>
              <w:top w:val="nil"/>
              <w:left w:val="nil"/>
              <w:bottom w:val="dotted"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1.400.317</w:t>
            </w:r>
          </w:p>
        </w:tc>
      </w:tr>
      <w:tr w:rsidR="00E403CE" w:rsidRPr="00321DDB">
        <w:trPr>
          <w:trHeight w:val="162"/>
        </w:trPr>
        <w:tc>
          <w:tcPr>
            <w:tcW w:w="309" w:type="pct"/>
            <w:tcBorders>
              <w:top w:val="nil"/>
              <w:left w:val="double" w:sz="6" w:space="0" w:color="auto"/>
              <w:bottom w:val="dotted" w:sz="4" w:space="0" w:color="auto"/>
              <w:right w:val="nil"/>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04240</w:t>
            </w:r>
          </w:p>
        </w:tc>
        <w:tc>
          <w:tcPr>
            <w:tcW w:w="1982" w:type="pct"/>
            <w:tcBorders>
              <w:top w:val="nil"/>
              <w:left w:val="single" w:sz="4" w:space="0" w:color="auto"/>
              <w:bottom w:val="dotted" w:sz="4" w:space="0" w:color="auto"/>
              <w:right w:val="single" w:sz="4" w:space="0" w:color="auto"/>
            </w:tcBorders>
            <w:shd w:val="clear" w:color="auto" w:fill="auto"/>
            <w:noWrap/>
            <w:vAlign w:val="bottom"/>
          </w:tcPr>
          <w:p w:rsidR="00E403CE" w:rsidRPr="00321DDB" w:rsidRDefault="00E403CE" w:rsidP="00E403CE">
            <w:pPr>
              <w:rPr>
                <w:rFonts w:ascii="Arial" w:hAnsi="Arial" w:cs="Arial"/>
                <w:sz w:val="12"/>
                <w:szCs w:val="12"/>
              </w:rPr>
            </w:pPr>
            <w:r w:rsidRPr="00321DDB">
              <w:rPr>
                <w:rFonts w:ascii="Arial" w:hAnsi="Arial" w:cs="Arial"/>
                <w:sz w:val="12"/>
                <w:szCs w:val="12"/>
              </w:rPr>
              <w:t>Menaxhimi i infrastruktures se kullimit dhe ujitjes</w:t>
            </w:r>
          </w:p>
        </w:tc>
        <w:tc>
          <w:tcPr>
            <w:tcW w:w="466"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743.500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739.750</w:t>
            </w:r>
          </w:p>
        </w:tc>
        <w:tc>
          <w:tcPr>
            <w:tcW w:w="383"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765.000</w:t>
            </w:r>
          </w:p>
        </w:tc>
        <w:tc>
          <w:tcPr>
            <w:tcW w:w="468"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1.504.750</w:t>
            </w:r>
          </w:p>
        </w:tc>
        <w:tc>
          <w:tcPr>
            <w:tcW w:w="461" w:type="pct"/>
            <w:tcBorders>
              <w:top w:val="nil"/>
              <w:left w:val="nil"/>
              <w:bottom w:val="dotted"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2.248.250</w:t>
            </w:r>
          </w:p>
        </w:tc>
      </w:tr>
      <w:tr w:rsidR="00E403CE" w:rsidRPr="00321DDB">
        <w:trPr>
          <w:trHeight w:val="162"/>
        </w:trPr>
        <w:tc>
          <w:tcPr>
            <w:tcW w:w="309" w:type="pct"/>
            <w:tcBorders>
              <w:top w:val="nil"/>
              <w:left w:val="double" w:sz="6" w:space="0" w:color="auto"/>
              <w:bottom w:val="dotted" w:sz="4" w:space="0" w:color="auto"/>
              <w:right w:val="nil"/>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04250</w:t>
            </w:r>
          </w:p>
        </w:tc>
        <w:tc>
          <w:tcPr>
            <w:tcW w:w="1982" w:type="pct"/>
            <w:tcBorders>
              <w:top w:val="nil"/>
              <w:left w:val="single" w:sz="4" w:space="0" w:color="auto"/>
              <w:bottom w:val="dotted" w:sz="4" w:space="0" w:color="auto"/>
              <w:right w:val="single" w:sz="4" w:space="0" w:color="auto"/>
            </w:tcBorders>
            <w:shd w:val="clear" w:color="auto" w:fill="auto"/>
            <w:noWrap/>
            <w:vAlign w:val="bottom"/>
          </w:tcPr>
          <w:p w:rsidR="00E403CE" w:rsidRPr="00321DDB" w:rsidRDefault="00E403CE" w:rsidP="00E403CE">
            <w:pPr>
              <w:rPr>
                <w:rFonts w:ascii="Arial" w:hAnsi="Arial" w:cs="Arial"/>
                <w:sz w:val="12"/>
                <w:szCs w:val="12"/>
              </w:rPr>
            </w:pPr>
            <w:r w:rsidRPr="00321DDB">
              <w:rPr>
                <w:rFonts w:ascii="Arial" w:hAnsi="Arial" w:cs="Arial"/>
                <w:sz w:val="12"/>
                <w:szCs w:val="12"/>
              </w:rPr>
              <w:t>Zhvillimi Rural duke mbesht. Prodh. Bujq, Blek, Agroind dhe Market.</w:t>
            </w:r>
          </w:p>
        </w:tc>
        <w:tc>
          <w:tcPr>
            <w:tcW w:w="466"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907.676</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203.305</w:t>
            </w:r>
          </w:p>
        </w:tc>
        <w:tc>
          <w:tcPr>
            <w:tcW w:w="383"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200.679</w:t>
            </w:r>
          </w:p>
        </w:tc>
        <w:tc>
          <w:tcPr>
            <w:tcW w:w="468"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403.984</w:t>
            </w:r>
          </w:p>
        </w:tc>
        <w:tc>
          <w:tcPr>
            <w:tcW w:w="461" w:type="pct"/>
            <w:tcBorders>
              <w:top w:val="nil"/>
              <w:left w:val="nil"/>
              <w:bottom w:val="dotted"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1.311.660</w:t>
            </w:r>
          </w:p>
        </w:tc>
      </w:tr>
      <w:tr w:rsidR="00E403CE" w:rsidRPr="00321DDB">
        <w:trPr>
          <w:trHeight w:val="162"/>
        </w:trPr>
        <w:tc>
          <w:tcPr>
            <w:tcW w:w="309" w:type="pct"/>
            <w:tcBorders>
              <w:top w:val="nil"/>
              <w:left w:val="double" w:sz="6" w:space="0" w:color="auto"/>
              <w:bottom w:val="dotted" w:sz="4" w:space="0" w:color="auto"/>
              <w:right w:val="nil"/>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04860</w:t>
            </w:r>
          </w:p>
        </w:tc>
        <w:tc>
          <w:tcPr>
            <w:tcW w:w="1982" w:type="pct"/>
            <w:tcBorders>
              <w:top w:val="nil"/>
              <w:left w:val="single" w:sz="4" w:space="0" w:color="auto"/>
              <w:bottom w:val="dotted" w:sz="4" w:space="0" w:color="auto"/>
              <w:right w:val="single" w:sz="4" w:space="0" w:color="auto"/>
            </w:tcBorders>
            <w:shd w:val="clear" w:color="auto" w:fill="auto"/>
            <w:noWrap/>
            <w:vAlign w:val="bottom"/>
          </w:tcPr>
          <w:p w:rsidR="00E403CE" w:rsidRPr="00321DDB" w:rsidRDefault="00E403CE" w:rsidP="00E403CE">
            <w:pPr>
              <w:rPr>
                <w:rFonts w:ascii="Arial" w:hAnsi="Arial" w:cs="Arial"/>
                <w:sz w:val="12"/>
                <w:szCs w:val="12"/>
              </w:rPr>
            </w:pPr>
            <w:r w:rsidRPr="00321DDB">
              <w:rPr>
                <w:rFonts w:ascii="Arial" w:hAnsi="Arial" w:cs="Arial"/>
                <w:sz w:val="12"/>
                <w:szCs w:val="12"/>
              </w:rPr>
              <w:t>Keshillimi dhe Informacioni Bujqesor</w:t>
            </w:r>
          </w:p>
        </w:tc>
        <w:tc>
          <w:tcPr>
            <w:tcW w:w="466"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226.000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70.462</w:t>
            </w:r>
          </w:p>
        </w:tc>
        <w:tc>
          <w:tcPr>
            <w:tcW w:w="383"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8"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70.462</w:t>
            </w:r>
          </w:p>
        </w:tc>
        <w:tc>
          <w:tcPr>
            <w:tcW w:w="461" w:type="pct"/>
            <w:tcBorders>
              <w:top w:val="nil"/>
              <w:left w:val="nil"/>
              <w:bottom w:val="dotted"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296.462</w:t>
            </w:r>
          </w:p>
        </w:tc>
      </w:tr>
      <w:tr w:rsidR="00E403CE" w:rsidRPr="00321DDB">
        <w:trPr>
          <w:trHeight w:val="162"/>
        </w:trPr>
        <w:tc>
          <w:tcPr>
            <w:tcW w:w="309" w:type="pct"/>
            <w:tcBorders>
              <w:top w:val="nil"/>
              <w:left w:val="double" w:sz="6" w:space="0" w:color="auto"/>
              <w:bottom w:val="dotted" w:sz="4" w:space="0" w:color="auto"/>
              <w:right w:val="nil"/>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05470</w:t>
            </w:r>
          </w:p>
        </w:tc>
        <w:tc>
          <w:tcPr>
            <w:tcW w:w="1982" w:type="pct"/>
            <w:tcBorders>
              <w:top w:val="nil"/>
              <w:left w:val="single" w:sz="4" w:space="0" w:color="auto"/>
              <w:bottom w:val="dotted" w:sz="4" w:space="0" w:color="auto"/>
              <w:right w:val="single" w:sz="4" w:space="0" w:color="auto"/>
            </w:tcBorders>
            <w:shd w:val="clear" w:color="auto" w:fill="auto"/>
            <w:noWrap/>
            <w:vAlign w:val="bottom"/>
          </w:tcPr>
          <w:p w:rsidR="00E403CE" w:rsidRPr="00321DDB" w:rsidRDefault="00E403CE" w:rsidP="00E403CE">
            <w:pPr>
              <w:rPr>
                <w:rFonts w:ascii="Arial" w:hAnsi="Arial" w:cs="Arial"/>
                <w:sz w:val="12"/>
                <w:szCs w:val="12"/>
              </w:rPr>
            </w:pPr>
            <w:r w:rsidRPr="00321DDB">
              <w:rPr>
                <w:rFonts w:ascii="Arial" w:hAnsi="Arial" w:cs="Arial"/>
                <w:sz w:val="12"/>
                <w:szCs w:val="12"/>
              </w:rPr>
              <w:t>Menaxhimi qendrueshem i tokes bujqesore</w:t>
            </w:r>
          </w:p>
        </w:tc>
        <w:tc>
          <w:tcPr>
            <w:tcW w:w="466"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2.600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383"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8"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1" w:type="pct"/>
            <w:tcBorders>
              <w:top w:val="nil"/>
              <w:left w:val="nil"/>
              <w:bottom w:val="dotted"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2.600</w:t>
            </w:r>
          </w:p>
        </w:tc>
      </w:tr>
      <w:tr w:rsidR="00E403CE" w:rsidRPr="00321DDB">
        <w:trPr>
          <w:trHeight w:val="162"/>
        </w:trPr>
        <w:tc>
          <w:tcPr>
            <w:tcW w:w="309" w:type="pct"/>
            <w:tcBorders>
              <w:top w:val="single" w:sz="4" w:space="0" w:color="auto"/>
              <w:left w:val="double" w:sz="6" w:space="0" w:color="auto"/>
              <w:bottom w:val="dotted" w:sz="4" w:space="0" w:color="auto"/>
              <w:right w:val="nil"/>
            </w:tcBorders>
            <w:shd w:val="clear" w:color="auto" w:fill="auto"/>
            <w:vAlign w:val="bottom"/>
          </w:tcPr>
          <w:p w:rsidR="00E403CE" w:rsidRPr="00321DDB" w:rsidRDefault="00E403CE" w:rsidP="00E403CE">
            <w:pPr>
              <w:jc w:val="right"/>
              <w:rPr>
                <w:rFonts w:ascii="Arial" w:hAnsi="Arial" w:cs="Arial"/>
                <w:b/>
                <w:bCs/>
                <w:color w:val="000000"/>
                <w:sz w:val="12"/>
                <w:szCs w:val="12"/>
              </w:rPr>
            </w:pPr>
            <w:r w:rsidRPr="00321DDB">
              <w:rPr>
                <w:rFonts w:ascii="Arial" w:hAnsi="Arial" w:cs="Arial"/>
                <w:b/>
                <w:bCs/>
                <w:color w:val="000000"/>
                <w:sz w:val="12"/>
                <w:szCs w:val="12"/>
              </w:rPr>
              <w:t>6</w:t>
            </w:r>
          </w:p>
        </w:tc>
        <w:tc>
          <w:tcPr>
            <w:tcW w:w="1982" w:type="pct"/>
            <w:tcBorders>
              <w:top w:val="single" w:sz="4" w:space="0" w:color="auto"/>
              <w:left w:val="single" w:sz="4" w:space="0" w:color="auto"/>
              <w:bottom w:val="dotted" w:sz="4" w:space="0" w:color="auto"/>
              <w:right w:val="single" w:sz="4" w:space="0" w:color="auto"/>
            </w:tcBorders>
            <w:shd w:val="clear" w:color="auto" w:fill="auto"/>
            <w:vAlign w:val="bottom"/>
          </w:tcPr>
          <w:p w:rsidR="00E403CE" w:rsidRPr="00321DDB" w:rsidRDefault="00E403CE" w:rsidP="00E403CE">
            <w:pPr>
              <w:rPr>
                <w:rFonts w:ascii="Arial" w:hAnsi="Arial" w:cs="Arial"/>
                <w:b/>
                <w:bCs/>
                <w:color w:val="000000"/>
                <w:sz w:val="12"/>
                <w:szCs w:val="12"/>
              </w:rPr>
            </w:pPr>
            <w:r w:rsidRPr="00321DDB">
              <w:rPr>
                <w:rFonts w:ascii="Arial" w:hAnsi="Arial" w:cs="Arial"/>
                <w:b/>
                <w:bCs/>
                <w:color w:val="000000"/>
                <w:sz w:val="12"/>
                <w:szCs w:val="12"/>
              </w:rPr>
              <w:t>Ministria e Puneve Publike, Transportit dhe Telekomunikacionit</w:t>
            </w:r>
          </w:p>
        </w:tc>
        <w:tc>
          <w:tcPr>
            <w:tcW w:w="466" w:type="pct"/>
            <w:tcBorders>
              <w:top w:val="single" w:sz="4" w:space="0" w:color="auto"/>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4.351.203</w:t>
            </w:r>
          </w:p>
        </w:tc>
        <w:tc>
          <w:tcPr>
            <w:tcW w:w="466" w:type="pct"/>
            <w:tcBorders>
              <w:top w:val="single" w:sz="4" w:space="0" w:color="auto"/>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30.348.698</w:t>
            </w:r>
          </w:p>
        </w:tc>
        <w:tc>
          <w:tcPr>
            <w:tcW w:w="383" w:type="pct"/>
            <w:tcBorders>
              <w:top w:val="single" w:sz="4" w:space="0" w:color="auto"/>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0</w:t>
            </w:r>
          </w:p>
        </w:tc>
        <w:tc>
          <w:tcPr>
            <w:tcW w:w="466" w:type="pct"/>
            <w:tcBorders>
              <w:top w:val="single" w:sz="4" w:space="0" w:color="auto"/>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37.095.887</w:t>
            </w:r>
          </w:p>
        </w:tc>
        <w:tc>
          <w:tcPr>
            <w:tcW w:w="468" w:type="pct"/>
            <w:tcBorders>
              <w:top w:val="single" w:sz="4" w:space="0" w:color="auto"/>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67.444.585</w:t>
            </w:r>
          </w:p>
        </w:tc>
        <w:tc>
          <w:tcPr>
            <w:tcW w:w="461" w:type="pct"/>
            <w:tcBorders>
              <w:top w:val="single" w:sz="4" w:space="0" w:color="auto"/>
              <w:left w:val="nil"/>
              <w:bottom w:val="dotted"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71.795.788</w:t>
            </w:r>
          </w:p>
        </w:tc>
      </w:tr>
      <w:tr w:rsidR="00E403CE" w:rsidRPr="00321DDB">
        <w:trPr>
          <w:trHeight w:val="162"/>
        </w:trPr>
        <w:tc>
          <w:tcPr>
            <w:tcW w:w="309" w:type="pct"/>
            <w:tcBorders>
              <w:top w:val="nil"/>
              <w:left w:val="double" w:sz="6" w:space="0" w:color="auto"/>
              <w:bottom w:val="dotted" w:sz="4" w:space="0" w:color="auto"/>
              <w:right w:val="nil"/>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01110</w:t>
            </w:r>
          </w:p>
        </w:tc>
        <w:tc>
          <w:tcPr>
            <w:tcW w:w="1982" w:type="pct"/>
            <w:tcBorders>
              <w:top w:val="nil"/>
              <w:left w:val="single" w:sz="4" w:space="0" w:color="auto"/>
              <w:bottom w:val="dotted" w:sz="4" w:space="0" w:color="auto"/>
              <w:right w:val="single" w:sz="4" w:space="0" w:color="auto"/>
            </w:tcBorders>
            <w:shd w:val="clear" w:color="auto" w:fill="auto"/>
            <w:noWrap/>
            <w:vAlign w:val="bottom"/>
          </w:tcPr>
          <w:p w:rsidR="00E403CE" w:rsidRPr="00321DDB" w:rsidRDefault="00E403CE" w:rsidP="00E403CE">
            <w:pPr>
              <w:rPr>
                <w:rFonts w:ascii="Arial" w:hAnsi="Arial" w:cs="Arial"/>
                <w:sz w:val="12"/>
                <w:szCs w:val="12"/>
              </w:rPr>
            </w:pPr>
            <w:r w:rsidRPr="00321DDB">
              <w:rPr>
                <w:rFonts w:ascii="Arial" w:hAnsi="Arial" w:cs="Arial"/>
                <w:sz w:val="12"/>
                <w:szCs w:val="12"/>
              </w:rPr>
              <w:t>Planifikimi, Menaxhimi dhe Administrimi</w:t>
            </w:r>
          </w:p>
        </w:tc>
        <w:tc>
          <w:tcPr>
            <w:tcW w:w="466"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298.206</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18.500</w:t>
            </w:r>
          </w:p>
        </w:tc>
        <w:tc>
          <w:tcPr>
            <w:tcW w:w="383"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8"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18.500</w:t>
            </w:r>
          </w:p>
        </w:tc>
        <w:tc>
          <w:tcPr>
            <w:tcW w:w="461" w:type="pct"/>
            <w:tcBorders>
              <w:top w:val="nil"/>
              <w:left w:val="nil"/>
              <w:bottom w:val="dotted"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316.706</w:t>
            </w:r>
          </w:p>
        </w:tc>
      </w:tr>
      <w:tr w:rsidR="00E403CE" w:rsidRPr="00321DDB">
        <w:trPr>
          <w:trHeight w:val="162"/>
        </w:trPr>
        <w:tc>
          <w:tcPr>
            <w:tcW w:w="309" w:type="pct"/>
            <w:tcBorders>
              <w:top w:val="nil"/>
              <w:left w:val="double" w:sz="6" w:space="0" w:color="auto"/>
              <w:bottom w:val="dotted" w:sz="4" w:space="0" w:color="auto"/>
              <w:right w:val="nil"/>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04520</w:t>
            </w:r>
          </w:p>
        </w:tc>
        <w:tc>
          <w:tcPr>
            <w:tcW w:w="1982" w:type="pct"/>
            <w:tcBorders>
              <w:top w:val="nil"/>
              <w:left w:val="single" w:sz="4" w:space="0" w:color="auto"/>
              <w:bottom w:val="dotted" w:sz="4" w:space="0" w:color="auto"/>
              <w:right w:val="single" w:sz="4" w:space="0" w:color="auto"/>
            </w:tcBorders>
            <w:shd w:val="clear" w:color="auto" w:fill="auto"/>
            <w:noWrap/>
            <w:vAlign w:val="bottom"/>
          </w:tcPr>
          <w:p w:rsidR="00E403CE" w:rsidRPr="00321DDB" w:rsidRDefault="00E403CE" w:rsidP="00E403CE">
            <w:pPr>
              <w:rPr>
                <w:rFonts w:ascii="Arial" w:hAnsi="Arial" w:cs="Arial"/>
                <w:sz w:val="12"/>
                <w:szCs w:val="12"/>
              </w:rPr>
            </w:pPr>
            <w:r w:rsidRPr="00321DDB">
              <w:rPr>
                <w:rFonts w:ascii="Arial" w:hAnsi="Arial" w:cs="Arial"/>
                <w:sz w:val="12"/>
                <w:szCs w:val="12"/>
              </w:rPr>
              <w:t>Rrjeti i rrugeve nacionale</w:t>
            </w:r>
          </w:p>
        </w:tc>
        <w:tc>
          <w:tcPr>
            <w:tcW w:w="466"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1.398.025</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25.743.198</w:t>
            </w:r>
          </w:p>
        </w:tc>
        <w:tc>
          <w:tcPr>
            <w:tcW w:w="383"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34.037.896</w:t>
            </w:r>
          </w:p>
        </w:tc>
        <w:tc>
          <w:tcPr>
            <w:tcW w:w="468"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59.781.094</w:t>
            </w:r>
          </w:p>
        </w:tc>
        <w:tc>
          <w:tcPr>
            <w:tcW w:w="461" w:type="pct"/>
            <w:tcBorders>
              <w:top w:val="nil"/>
              <w:left w:val="nil"/>
              <w:bottom w:val="dotted"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61.179.119</w:t>
            </w:r>
          </w:p>
        </w:tc>
      </w:tr>
      <w:tr w:rsidR="00E403CE" w:rsidRPr="00321DDB">
        <w:trPr>
          <w:trHeight w:val="162"/>
        </w:trPr>
        <w:tc>
          <w:tcPr>
            <w:tcW w:w="309" w:type="pct"/>
            <w:tcBorders>
              <w:top w:val="nil"/>
              <w:left w:val="double" w:sz="6" w:space="0" w:color="auto"/>
              <w:bottom w:val="dotted" w:sz="4" w:space="0" w:color="auto"/>
              <w:right w:val="nil"/>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04530</w:t>
            </w:r>
          </w:p>
        </w:tc>
        <w:tc>
          <w:tcPr>
            <w:tcW w:w="1982" w:type="pct"/>
            <w:tcBorders>
              <w:top w:val="nil"/>
              <w:left w:val="single" w:sz="4" w:space="0" w:color="auto"/>
              <w:bottom w:val="dotted" w:sz="4" w:space="0" w:color="auto"/>
              <w:right w:val="single" w:sz="4" w:space="0" w:color="auto"/>
            </w:tcBorders>
            <w:shd w:val="clear" w:color="auto" w:fill="auto"/>
            <w:noWrap/>
            <w:vAlign w:val="bottom"/>
          </w:tcPr>
          <w:p w:rsidR="00E403CE" w:rsidRPr="00321DDB" w:rsidRDefault="00E403CE" w:rsidP="00E403CE">
            <w:pPr>
              <w:rPr>
                <w:rFonts w:ascii="Arial" w:hAnsi="Arial" w:cs="Arial"/>
                <w:sz w:val="12"/>
                <w:szCs w:val="12"/>
              </w:rPr>
            </w:pPr>
            <w:r w:rsidRPr="00321DDB">
              <w:rPr>
                <w:rFonts w:ascii="Arial" w:hAnsi="Arial" w:cs="Arial"/>
                <w:sz w:val="12"/>
                <w:szCs w:val="12"/>
              </w:rPr>
              <w:t xml:space="preserve">Menaxhimi i Transportit </w:t>
            </w:r>
          </w:p>
        </w:tc>
        <w:tc>
          <w:tcPr>
            <w:tcW w:w="466"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19.650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11.000</w:t>
            </w:r>
          </w:p>
        </w:tc>
        <w:tc>
          <w:tcPr>
            <w:tcW w:w="383"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8"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11.000</w:t>
            </w:r>
          </w:p>
        </w:tc>
        <w:tc>
          <w:tcPr>
            <w:tcW w:w="461" w:type="pct"/>
            <w:tcBorders>
              <w:top w:val="nil"/>
              <w:left w:val="nil"/>
              <w:bottom w:val="dotted"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30.650</w:t>
            </w:r>
          </w:p>
        </w:tc>
      </w:tr>
      <w:tr w:rsidR="00E403CE" w:rsidRPr="00321DDB">
        <w:trPr>
          <w:trHeight w:val="162"/>
        </w:trPr>
        <w:tc>
          <w:tcPr>
            <w:tcW w:w="309" w:type="pct"/>
            <w:tcBorders>
              <w:top w:val="nil"/>
              <w:left w:val="double" w:sz="6" w:space="0" w:color="auto"/>
              <w:bottom w:val="dotted" w:sz="4" w:space="0" w:color="auto"/>
              <w:right w:val="nil"/>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04540</w:t>
            </w:r>
          </w:p>
        </w:tc>
        <w:tc>
          <w:tcPr>
            <w:tcW w:w="1982" w:type="pct"/>
            <w:tcBorders>
              <w:top w:val="nil"/>
              <w:left w:val="single" w:sz="4" w:space="0" w:color="auto"/>
              <w:bottom w:val="dotted" w:sz="4" w:space="0" w:color="auto"/>
              <w:right w:val="single" w:sz="4" w:space="0" w:color="auto"/>
            </w:tcBorders>
            <w:shd w:val="clear" w:color="auto" w:fill="auto"/>
            <w:noWrap/>
            <w:vAlign w:val="bottom"/>
          </w:tcPr>
          <w:p w:rsidR="00E403CE" w:rsidRPr="00321DDB" w:rsidRDefault="00E403CE" w:rsidP="00E403CE">
            <w:pPr>
              <w:rPr>
                <w:rFonts w:ascii="Arial" w:hAnsi="Arial" w:cs="Arial"/>
                <w:sz w:val="12"/>
                <w:szCs w:val="12"/>
              </w:rPr>
            </w:pPr>
            <w:r w:rsidRPr="00321DDB">
              <w:rPr>
                <w:rFonts w:ascii="Arial" w:hAnsi="Arial" w:cs="Arial"/>
                <w:sz w:val="12"/>
                <w:szCs w:val="12"/>
              </w:rPr>
              <w:t>Portet</w:t>
            </w:r>
          </w:p>
        </w:tc>
        <w:tc>
          <w:tcPr>
            <w:tcW w:w="466"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57.906</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196.113</w:t>
            </w:r>
          </w:p>
        </w:tc>
        <w:tc>
          <w:tcPr>
            <w:tcW w:w="383"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370.000</w:t>
            </w:r>
          </w:p>
        </w:tc>
        <w:tc>
          <w:tcPr>
            <w:tcW w:w="468"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566.113</w:t>
            </w:r>
          </w:p>
        </w:tc>
        <w:tc>
          <w:tcPr>
            <w:tcW w:w="461" w:type="pct"/>
            <w:tcBorders>
              <w:top w:val="nil"/>
              <w:left w:val="nil"/>
              <w:bottom w:val="dotted"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624.019</w:t>
            </w:r>
          </w:p>
        </w:tc>
      </w:tr>
      <w:tr w:rsidR="00E403CE" w:rsidRPr="00321DDB">
        <w:trPr>
          <w:trHeight w:val="162"/>
        </w:trPr>
        <w:tc>
          <w:tcPr>
            <w:tcW w:w="309" w:type="pct"/>
            <w:tcBorders>
              <w:top w:val="nil"/>
              <w:left w:val="double" w:sz="6" w:space="0" w:color="auto"/>
              <w:bottom w:val="dotted" w:sz="4" w:space="0" w:color="auto"/>
              <w:right w:val="nil"/>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04550</w:t>
            </w:r>
          </w:p>
        </w:tc>
        <w:tc>
          <w:tcPr>
            <w:tcW w:w="1982" w:type="pct"/>
            <w:tcBorders>
              <w:top w:val="nil"/>
              <w:left w:val="single" w:sz="4" w:space="0" w:color="auto"/>
              <w:bottom w:val="dotted" w:sz="4" w:space="0" w:color="auto"/>
              <w:right w:val="single" w:sz="4" w:space="0" w:color="auto"/>
            </w:tcBorders>
            <w:shd w:val="clear" w:color="auto" w:fill="auto"/>
            <w:noWrap/>
            <w:vAlign w:val="bottom"/>
          </w:tcPr>
          <w:p w:rsidR="00E403CE" w:rsidRPr="00321DDB" w:rsidRDefault="00E403CE" w:rsidP="00E403CE">
            <w:pPr>
              <w:rPr>
                <w:rFonts w:ascii="Arial" w:hAnsi="Arial" w:cs="Arial"/>
                <w:sz w:val="12"/>
                <w:szCs w:val="12"/>
              </w:rPr>
            </w:pPr>
            <w:r w:rsidRPr="00321DDB">
              <w:rPr>
                <w:rFonts w:ascii="Arial" w:hAnsi="Arial" w:cs="Arial"/>
                <w:sz w:val="12"/>
                <w:szCs w:val="12"/>
              </w:rPr>
              <w:t>Hekurudhat</w:t>
            </w:r>
          </w:p>
        </w:tc>
        <w:tc>
          <w:tcPr>
            <w:tcW w:w="466"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464.497</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210.767</w:t>
            </w:r>
          </w:p>
        </w:tc>
        <w:tc>
          <w:tcPr>
            <w:tcW w:w="383"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8"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210.767</w:t>
            </w:r>
          </w:p>
        </w:tc>
        <w:tc>
          <w:tcPr>
            <w:tcW w:w="461" w:type="pct"/>
            <w:tcBorders>
              <w:top w:val="nil"/>
              <w:left w:val="nil"/>
              <w:bottom w:val="dotted"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675.264</w:t>
            </w:r>
          </w:p>
        </w:tc>
      </w:tr>
      <w:tr w:rsidR="00E403CE" w:rsidRPr="00321DDB">
        <w:trPr>
          <w:trHeight w:val="162"/>
        </w:trPr>
        <w:tc>
          <w:tcPr>
            <w:tcW w:w="309" w:type="pct"/>
            <w:tcBorders>
              <w:top w:val="nil"/>
              <w:left w:val="double" w:sz="6" w:space="0" w:color="auto"/>
              <w:bottom w:val="dotted" w:sz="4" w:space="0" w:color="auto"/>
              <w:right w:val="nil"/>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04560</w:t>
            </w:r>
          </w:p>
        </w:tc>
        <w:tc>
          <w:tcPr>
            <w:tcW w:w="1982" w:type="pct"/>
            <w:tcBorders>
              <w:top w:val="nil"/>
              <w:left w:val="single" w:sz="4" w:space="0" w:color="auto"/>
              <w:bottom w:val="dotted" w:sz="4" w:space="0" w:color="auto"/>
              <w:right w:val="single" w:sz="4" w:space="0" w:color="auto"/>
            </w:tcBorders>
            <w:shd w:val="clear" w:color="auto" w:fill="auto"/>
            <w:noWrap/>
            <w:vAlign w:val="bottom"/>
          </w:tcPr>
          <w:p w:rsidR="00E403CE" w:rsidRPr="00321DDB" w:rsidRDefault="00E403CE" w:rsidP="00E403CE">
            <w:pPr>
              <w:rPr>
                <w:rFonts w:ascii="Arial" w:hAnsi="Arial" w:cs="Arial"/>
                <w:sz w:val="12"/>
                <w:szCs w:val="12"/>
              </w:rPr>
            </w:pPr>
            <w:r w:rsidRPr="00321DDB">
              <w:rPr>
                <w:rFonts w:ascii="Arial" w:hAnsi="Arial" w:cs="Arial"/>
                <w:sz w:val="12"/>
                <w:szCs w:val="12"/>
              </w:rPr>
              <w:t>Aviacioni Civil</w:t>
            </w:r>
          </w:p>
        </w:tc>
        <w:tc>
          <w:tcPr>
            <w:tcW w:w="466"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57.431</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16.625</w:t>
            </w:r>
          </w:p>
        </w:tc>
        <w:tc>
          <w:tcPr>
            <w:tcW w:w="383"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8"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16.625</w:t>
            </w:r>
          </w:p>
        </w:tc>
        <w:tc>
          <w:tcPr>
            <w:tcW w:w="461" w:type="pct"/>
            <w:tcBorders>
              <w:top w:val="nil"/>
              <w:left w:val="nil"/>
              <w:bottom w:val="dotted"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74.056</w:t>
            </w:r>
          </w:p>
        </w:tc>
      </w:tr>
      <w:tr w:rsidR="00E403CE" w:rsidRPr="00321DDB">
        <w:trPr>
          <w:trHeight w:val="162"/>
        </w:trPr>
        <w:tc>
          <w:tcPr>
            <w:tcW w:w="309" w:type="pct"/>
            <w:tcBorders>
              <w:top w:val="nil"/>
              <w:left w:val="double" w:sz="6" w:space="0" w:color="auto"/>
              <w:bottom w:val="dotted" w:sz="4" w:space="0" w:color="auto"/>
              <w:right w:val="nil"/>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06370</w:t>
            </w:r>
          </w:p>
        </w:tc>
        <w:tc>
          <w:tcPr>
            <w:tcW w:w="1982" w:type="pct"/>
            <w:tcBorders>
              <w:top w:val="nil"/>
              <w:left w:val="single" w:sz="4" w:space="0" w:color="auto"/>
              <w:bottom w:val="dotted" w:sz="4" w:space="0" w:color="auto"/>
              <w:right w:val="single" w:sz="4" w:space="0" w:color="auto"/>
            </w:tcBorders>
            <w:shd w:val="clear" w:color="auto" w:fill="auto"/>
            <w:noWrap/>
            <w:vAlign w:val="bottom"/>
          </w:tcPr>
          <w:p w:rsidR="00E403CE" w:rsidRPr="00321DDB" w:rsidRDefault="00E403CE" w:rsidP="00E403CE">
            <w:pPr>
              <w:rPr>
                <w:rFonts w:ascii="Arial" w:hAnsi="Arial" w:cs="Arial"/>
                <w:sz w:val="12"/>
                <w:szCs w:val="12"/>
              </w:rPr>
            </w:pPr>
            <w:r w:rsidRPr="00321DDB">
              <w:rPr>
                <w:rFonts w:ascii="Arial" w:hAnsi="Arial" w:cs="Arial"/>
                <w:sz w:val="12"/>
                <w:szCs w:val="12"/>
              </w:rPr>
              <w:t>Ujesjelles Kanalizime</w:t>
            </w:r>
          </w:p>
        </w:tc>
        <w:tc>
          <w:tcPr>
            <w:tcW w:w="466"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1.519.182</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3.652.895</w:t>
            </w:r>
          </w:p>
        </w:tc>
        <w:tc>
          <w:tcPr>
            <w:tcW w:w="383"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2.404.991</w:t>
            </w:r>
          </w:p>
        </w:tc>
        <w:tc>
          <w:tcPr>
            <w:tcW w:w="468"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6.057.886</w:t>
            </w:r>
          </w:p>
        </w:tc>
        <w:tc>
          <w:tcPr>
            <w:tcW w:w="461" w:type="pct"/>
            <w:tcBorders>
              <w:top w:val="nil"/>
              <w:left w:val="nil"/>
              <w:bottom w:val="dotted"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7.577.068</w:t>
            </w:r>
          </w:p>
        </w:tc>
      </w:tr>
      <w:tr w:rsidR="00E403CE" w:rsidRPr="00321DDB">
        <w:trPr>
          <w:trHeight w:val="162"/>
        </w:trPr>
        <w:tc>
          <w:tcPr>
            <w:tcW w:w="309" w:type="pct"/>
            <w:tcBorders>
              <w:top w:val="nil"/>
              <w:left w:val="double" w:sz="6" w:space="0" w:color="auto"/>
              <w:bottom w:val="dotted" w:sz="4" w:space="0" w:color="auto"/>
              <w:right w:val="nil"/>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06180</w:t>
            </w:r>
          </w:p>
        </w:tc>
        <w:tc>
          <w:tcPr>
            <w:tcW w:w="1982" w:type="pct"/>
            <w:tcBorders>
              <w:top w:val="nil"/>
              <w:left w:val="single" w:sz="4" w:space="0" w:color="auto"/>
              <w:bottom w:val="dotted" w:sz="4" w:space="0" w:color="auto"/>
              <w:right w:val="single" w:sz="4" w:space="0" w:color="auto"/>
            </w:tcBorders>
            <w:shd w:val="clear" w:color="auto" w:fill="auto"/>
            <w:noWrap/>
            <w:vAlign w:val="bottom"/>
          </w:tcPr>
          <w:p w:rsidR="00E403CE" w:rsidRPr="00321DDB" w:rsidRDefault="00E403CE" w:rsidP="00E403CE">
            <w:pPr>
              <w:rPr>
                <w:rFonts w:ascii="Arial" w:hAnsi="Arial" w:cs="Arial"/>
                <w:sz w:val="12"/>
                <w:szCs w:val="12"/>
              </w:rPr>
            </w:pPr>
            <w:r w:rsidRPr="00321DDB">
              <w:rPr>
                <w:rFonts w:ascii="Arial" w:hAnsi="Arial" w:cs="Arial"/>
                <w:sz w:val="12"/>
                <w:szCs w:val="12"/>
              </w:rPr>
              <w:t>Strehimi dhe Urbanistika</w:t>
            </w:r>
          </w:p>
        </w:tc>
        <w:tc>
          <w:tcPr>
            <w:tcW w:w="466"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401.514</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323.000</w:t>
            </w:r>
          </w:p>
        </w:tc>
        <w:tc>
          <w:tcPr>
            <w:tcW w:w="383"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283.000</w:t>
            </w:r>
          </w:p>
        </w:tc>
        <w:tc>
          <w:tcPr>
            <w:tcW w:w="468"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606.000</w:t>
            </w:r>
          </w:p>
        </w:tc>
        <w:tc>
          <w:tcPr>
            <w:tcW w:w="461" w:type="pct"/>
            <w:tcBorders>
              <w:top w:val="nil"/>
              <w:left w:val="nil"/>
              <w:bottom w:val="dotted"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1.007.514</w:t>
            </w:r>
          </w:p>
        </w:tc>
      </w:tr>
      <w:tr w:rsidR="00E403CE" w:rsidRPr="00321DDB">
        <w:trPr>
          <w:trHeight w:val="162"/>
        </w:trPr>
        <w:tc>
          <w:tcPr>
            <w:tcW w:w="309" w:type="pct"/>
            <w:tcBorders>
              <w:top w:val="nil"/>
              <w:left w:val="double" w:sz="6" w:space="0" w:color="auto"/>
              <w:bottom w:val="single" w:sz="4" w:space="0" w:color="auto"/>
              <w:right w:val="nil"/>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06220</w:t>
            </w:r>
          </w:p>
        </w:tc>
        <w:tc>
          <w:tcPr>
            <w:tcW w:w="1982" w:type="pct"/>
            <w:tcBorders>
              <w:top w:val="nil"/>
              <w:left w:val="single" w:sz="4" w:space="0" w:color="auto"/>
              <w:bottom w:val="single" w:sz="4" w:space="0" w:color="auto"/>
              <w:right w:val="single" w:sz="4" w:space="0" w:color="auto"/>
            </w:tcBorders>
            <w:shd w:val="clear" w:color="auto" w:fill="auto"/>
            <w:noWrap/>
            <w:vAlign w:val="bottom"/>
          </w:tcPr>
          <w:p w:rsidR="00E403CE" w:rsidRPr="00321DDB" w:rsidRDefault="00E403CE" w:rsidP="00E403CE">
            <w:pPr>
              <w:rPr>
                <w:rFonts w:ascii="Arial" w:hAnsi="Arial" w:cs="Arial"/>
                <w:sz w:val="12"/>
                <w:szCs w:val="12"/>
              </w:rPr>
            </w:pPr>
            <w:r w:rsidRPr="00321DDB">
              <w:rPr>
                <w:rFonts w:ascii="Arial" w:hAnsi="Arial" w:cs="Arial"/>
                <w:sz w:val="12"/>
                <w:szCs w:val="12"/>
              </w:rPr>
              <w:t>Sherbimet publike</w:t>
            </w:r>
          </w:p>
        </w:tc>
        <w:tc>
          <w:tcPr>
            <w:tcW w:w="466" w:type="pct"/>
            <w:tcBorders>
              <w:top w:val="nil"/>
              <w:left w:val="nil"/>
              <w:bottom w:val="single"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134.792</w:t>
            </w:r>
          </w:p>
        </w:tc>
        <w:tc>
          <w:tcPr>
            <w:tcW w:w="466" w:type="pct"/>
            <w:tcBorders>
              <w:top w:val="nil"/>
              <w:left w:val="nil"/>
              <w:bottom w:val="single"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176.600</w:t>
            </w:r>
          </w:p>
        </w:tc>
        <w:tc>
          <w:tcPr>
            <w:tcW w:w="383" w:type="pct"/>
            <w:tcBorders>
              <w:top w:val="nil"/>
              <w:left w:val="nil"/>
              <w:bottom w:val="single"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6" w:type="pct"/>
            <w:tcBorders>
              <w:top w:val="nil"/>
              <w:left w:val="nil"/>
              <w:bottom w:val="single"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8" w:type="pct"/>
            <w:tcBorders>
              <w:top w:val="nil"/>
              <w:left w:val="nil"/>
              <w:bottom w:val="single"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176.600</w:t>
            </w:r>
          </w:p>
        </w:tc>
        <w:tc>
          <w:tcPr>
            <w:tcW w:w="461" w:type="pct"/>
            <w:tcBorders>
              <w:top w:val="nil"/>
              <w:left w:val="nil"/>
              <w:bottom w:val="single"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311.392</w:t>
            </w:r>
          </w:p>
        </w:tc>
      </w:tr>
      <w:tr w:rsidR="00E403CE" w:rsidRPr="00321DDB">
        <w:trPr>
          <w:trHeight w:val="162"/>
        </w:trPr>
        <w:tc>
          <w:tcPr>
            <w:tcW w:w="309" w:type="pct"/>
            <w:tcBorders>
              <w:top w:val="nil"/>
              <w:left w:val="double" w:sz="6" w:space="0" w:color="auto"/>
              <w:bottom w:val="dotted" w:sz="4" w:space="0" w:color="auto"/>
              <w:right w:val="nil"/>
            </w:tcBorders>
            <w:shd w:val="clear" w:color="auto" w:fill="auto"/>
            <w:vAlign w:val="bottom"/>
          </w:tcPr>
          <w:p w:rsidR="00E403CE" w:rsidRPr="00321DDB" w:rsidRDefault="00E403CE" w:rsidP="00E403CE">
            <w:pPr>
              <w:jc w:val="right"/>
              <w:rPr>
                <w:rFonts w:ascii="Arial" w:hAnsi="Arial" w:cs="Arial"/>
                <w:b/>
                <w:bCs/>
                <w:color w:val="000000"/>
                <w:sz w:val="12"/>
                <w:szCs w:val="12"/>
              </w:rPr>
            </w:pPr>
            <w:r w:rsidRPr="00321DDB">
              <w:rPr>
                <w:rFonts w:ascii="Arial" w:hAnsi="Arial" w:cs="Arial"/>
                <w:b/>
                <w:bCs/>
                <w:color w:val="000000"/>
                <w:sz w:val="12"/>
                <w:szCs w:val="12"/>
              </w:rPr>
              <w:t>10</w:t>
            </w:r>
          </w:p>
        </w:tc>
        <w:tc>
          <w:tcPr>
            <w:tcW w:w="1982" w:type="pct"/>
            <w:tcBorders>
              <w:top w:val="nil"/>
              <w:left w:val="single" w:sz="4" w:space="0" w:color="auto"/>
              <w:bottom w:val="dotted" w:sz="4" w:space="0" w:color="auto"/>
              <w:right w:val="single" w:sz="4" w:space="0" w:color="auto"/>
            </w:tcBorders>
            <w:shd w:val="clear" w:color="auto" w:fill="auto"/>
            <w:vAlign w:val="bottom"/>
          </w:tcPr>
          <w:p w:rsidR="00E403CE" w:rsidRPr="00321DDB" w:rsidRDefault="00E403CE" w:rsidP="00E403CE">
            <w:pPr>
              <w:rPr>
                <w:rFonts w:ascii="Arial" w:hAnsi="Arial" w:cs="Arial"/>
                <w:b/>
                <w:bCs/>
                <w:color w:val="000000"/>
                <w:sz w:val="12"/>
                <w:szCs w:val="12"/>
              </w:rPr>
            </w:pPr>
            <w:r w:rsidRPr="00321DDB">
              <w:rPr>
                <w:rFonts w:ascii="Arial" w:hAnsi="Arial" w:cs="Arial"/>
                <w:b/>
                <w:bCs/>
                <w:color w:val="000000"/>
                <w:sz w:val="12"/>
                <w:szCs w:val="12"/>
              </w:rPr>
              <w:t xml:space="preserve">Ministria e Financave </w:t>
            </w:r>
          </w:p>
        </w:tc>
        <w:tc>
          <w:tcPr>
            <w:tcW w:w="466"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5.250.000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556.062</w:t>
            </w:r>
          </w:p>
        </w:tc>
        <w:tc>
          <w:tcPr>
            <w:tcW w:w="383"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0</w:t>
            </w:r>
          </w:p>
        </w:tc>
        <w:tc>
          <w:tcPr>
            <w:tcW w:w="468"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556.062</w:t>
            </w:r>
          </w:p>
        </w:tc>
        <w:tc>
          <w:tcPr>
            <w:tcW w:w="461" w:type="pct"/>
            <w:tcBorders>
              <w:top w:val="nil"/>
              <w:left w:val="nil"/>
              <w:bottom w:val="dotted"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5.806.062</w:t>
            </w:r>
          </w:p>
        </w:tc>
      </w:tr>
      <w:tr w:rsidR="00E403CE" w:rsidRPr="00321DDB">
        <w:trPr>
          <w:trHeight w:val="162"/>
        </w:trPr>
        <w:tc>
          <w:tcPr>
            <w:tcW w:w="309" w:type="pct"/>
            <w:tcBorders>
              <w:top w:val="nil"/>
              <w:left w:val="double" w:sz="6" w:space="0" w:color="auto"/>
              <w:bottom w:val="dotted" w:sz="4" w:space="0" w:color="auto"/>
              <w:right w:val="nil"/>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01110</w:t>
            </w:r>
          </w:p>
        </w:tc>
        <w:tc>
          <w:tcPr>
            <w:tcW w:w="1982" w:type="pct"/>
            <w:tcBorders>
              <w:top w:val="nil"/>
              <w:left w:val="single" w:sz="4" w:space="0" w:color="auto"/>
              <w:bottom w:val="dotted" w:sz="4" w:space="0" w:color="auto"/>
              <w:right w:val="single" w:sz="4" w:space="0" w:color="auto"/>
            </w:tcBorders>
            <w:shd w:val="clear" w:color="auto" w:fill="auto"/>
            <w:noWrap/>
            <w:vAlign w:val="bottom"/>
          </w:tcPr>
          <w:p w:rsidR="00E403CE" w:rsidRPr="00321DDB" w:rsidRDefault="00E403CE" w:rsidP="00E403CE">
            <w:pPr>
              <w:rPr>
                <w:rFonts w:ascii="Arial" w:hAnsi="Arial" w:cs="Arial"/>
                <w:sz w:val="12"/>
                <w:szCs w:val="12"/>
              </w:rPr>
            </w:pPr>
            <w:r w:rsidRPr="00321DDB">
              <w:rPr>
                <w:rFonts w:ascii="Arial" w:hAnsi="Arial" w:cs="Arial"/>
                <w:sz w:val="12"/>
                <w:szCs w:val="12"/>
              </w:rPr>
              <w:t>Planifikimi, Menaxhimi dhe Administrimi</w:t>
            </w:r>
          </w:p>
        </w:tc>
        <w:tc>
          <w:tcPr>
            <w:tcW w:w="466"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157.800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32.593</w:t>
            </w:r>
          </w:p>
        </w:tc>
        <w:tc>
          <w:tcPr>
            <w:tcW w:w="383"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8"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32.593</w:t>
            </w:r>
          </w:p>
        </w:tc>
        <w:tc>
          <w:tcPr>
            <w:tcW w:w="461" w:type="pct"/>
            <w:tcBorders>
              <w:top w:val="nil"/>
              <w:left w:val="nil"/>
              <w:bottom w:val="dotted"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190.393</w:t>
            </w:r>
          </w:p>
        </w:tc>
      </w:tr>
      <w:tr w:rsidR="00E403CE" w:rsidRPr="00321DDB">
        <w:trPr>
          <w:trHeight w:val="162"/>
        </w:trPr>
        <w:tc>
          <w:tcPr>
            <w:tcW w:w="309" w:type="pct"/>
            <w:tcBorders>
              <w:top w:val="nil"/>
              <w:left w:val="double" w:sz="6" w:space="0" w:color="auto"/>
              <w:bottom w:val="dotted" w:sz="4" w:space="0" w:color="auto"/>
              <w:right w:val="nil"/>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01120</w:t>
            </w:r>
          </w:p>
        </w:tc>
        <w:tc>
          <w:tcPr>
            <w:tcW w:w="1982" w:type="pct"/>
            <w:tcBorders>
              <w:top w:val="nil"/>
              <w:left w:val="single" w:sz="4" w:space="0" w:color="auto"/>
              <w:bottom w:val="dotted" w:sz="4" w:space="0" w:color="auto"/>
              <w:right w:val="single" w:sz="4" w:space="0" w:color="auto"/>
            </w:tcBorders>
            <w:shd w:val="clear" w:color="auto" w:fill="auto"/>
            <w:noWrap/>
            <w:vAlign w:val="bottom"/>
          </w:tcPr>
          <w:p w:rsidR="00E403CE" w:rsidRPr="00321DDB" w:rsidRDefault="00E403CE" w:rsidP="00E403CE">
            <w:pPr>
              <w:rPr>
                <w:rFonts w:ascii="Arial" w:hAnsi="Arial" w:cs="Arial"/>
                <w:sz w:val="12"/>
                <w:szCs w:val="12"/>
              </w:rPr>
            </w:pPr>
            <w:r w:rsidRPr="00321DDB">
              <w:rPr>
                <w:rFonts w:ascii="Arial" w:hAnsi="Arial" w:cs="Arial"/>
                <w:sz w:val="12"/>
                <w:szCs w:val="12"/>
              </w:rPr>
              <w:t>Menaxhimi i Shpenzimeve Publike</w:t>
            </w:r>
          </w:p>
        </w:tc>
        <w:tc>
          <w:tcPr>
            <w:tcW w:w="466"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374.500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28.000</w:t>
            </w:r>
          </w:p>
        </w:tc>
        <w:tc>
          <w:tcPr>
            <w:tcW w:w="383"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8"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28.000</w:t>
            </w:r>
          </w:p>
        </w:tc>
        <w:tc>
          <w:tcPr>
            <w:tcW w:w="461" w:type="pct"/>
            <w:tcBorders>
              <w:top w:val="nil"/>
              <w:left w:val="nil"/>
              <w:bottom w:val="dotted"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402.500</w:t>
            </w:r>
          </w:p>
        </w:tc>
      </w:tr>
      <w:tr w:rsidR="00E403CE" w:rsidRPr="00321DDB">
        <w:trPr>
          <w:trHeight w:val="162"/>
        </w:trPr>
        <w:tc>
          <w:tcPr>
            <w:tcW w:w="309" w:type="pct"/>
            <w:tcBorders>
              <w:top w:val="nil"/>
              <w:left w:val="double" w:sz="6" w:space="0" w:color="auto"/>
              <w:bottom w:val="dotted" w:sz="4" w:space="0" w:color="auto"/>
              <w:right w:val="nil"/>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01130</w:t>
            </w:r>
          </w:p>
        </w:tc>
        <w:tc>
          <w:tcPr>
            <w:tcW w:w="1982" w:type="pct"/>
            <w:tcBorders>
              <w:top w:val="nil"/>
              <w:left w:val="single" w:sz="4" w:space="0" w:color="auto"/>
              <w:bottom w:val="dotted" w:sz="4" w:space="0" w:color="auto"/>
              <w:right w:val="single" w:sz="4" w:space="0" w:color="auto"/>
            </w:tcBorders>
            <w:shd w:val="clear" w:color="auto" w:fill="auto"/>
            <w:noWrap/>
            <w:vAlign w:val="bottom"/>
          </w:tcPr>
          <w:p w:rsidR="00E403CE" w:rsidRPr="00321DDB" w:rsidRDefault="00E403CE" w:rsidP="00E403CE">
            <w:pPr>
              <w:rPr>
                <w:rFonts w:ascii="Arial" w:hAnsi="Arial" w:cs="Arial"/>
                <w:sz w:val="12"/>
                <w:szCs w:val="12"/>
              </w:rPr>
            </w:pPr>
            <w:r w:rsidRPr="00321DDB">
              <w:rPr>
                <w:rFonts w:ascii="Arial" w:hAnsi="Arial" w:cs="Arial"/>
                <w:sz w:val="12"/>
                <w:szCs w:val="12"/>
              </w:rPr>
              <w:t>Ekzekutimi i Pagesave te Ndryshme</w:t>
            </w:r>
          </w:p>
        </w:tc>
        <w:tc>
          <w:tcPr>
            <w:tcW w:w="466"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119.000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383"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8"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1" w:type="pct"/>
            <w:tcBorders>
              <w:top w:val="nil"/>
              <w:left w:val="nil"/>
              <w:bottom w:val="dotted"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119.000</w:t>
            </w:r>
          </w:p>
        </w:tc>
      </w:tr>
      <w:tr w:rsidR="00E403CE" w:rsidRPr="00321DDB">
        <w:trPr>
          <w:trHeight w:val="162"/>
        </w:trPr>
        <w:tc>
          <w:tcPr>
            <w:tcW w:w="309" w:type="pct"/>
            <w:tcBorders>
              <w:top w:val="nil"/>
              <w:left w:val="double" w:sz="6" w:space="0" w:color="auto"/>
              <w:bottom w:val="dotted" w:sz="4" w:space="0" w:color="auto"/>
              <w:right w:val="nil"/>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01140</w:t>
            </w:r>
          </w:p>
        </w:tc>
        <w:tc>
          <w:tcPr>
            <w:tcW w:w="1982" w:type="pct"/>
            <w:tcBorders>
              <w:top w:val="nil"/>
              <w:left w:val="single" w:sz="4" w:space="0" w:color="auto"/>
              <w:bottom w:val="dotted" w:sz="4" w:space="0" w:color="auto"/>
              <w:right w:val="single" w:sz="4" w:space="0" w:color="auto"/>
            </w:tcBorders>
            <w:shd w:val="clear" w:color="auto" w:fill="auto"/>
            <w:noWrap/>
            <w:vAlign w:val="bottom"/>
          </w:tcPr>
          <w:p w:rsidR="00E403CE" w:rsidRPr="00321DDB" w:rsidRDefault="00E403CE" w:rsidP="00E403CE">
            <w:pPr>
              <w:rPr>
                <w:rFonts w:ascii="Arial" w:hAnsi="Arial" w:cs="Arial"/>
                <w:sz w:val="12"/>
                <w:szCs w:val="12"/>
              </w:rPr>
            </w:pPr>
            <w:r w:rsidRPr="00321DDB">
              <w:rPr>
                <w:rFonts w:ascii="Arial" w:hAnsi="Arial" w:cs="Arial"/>
                <w:sz w:val="12"/>
                <w:szCs w:val="12"/>
              </w:rPr>
              <w:t>Menaxhimi i te Ardhurave Tatimore</w:t>
            </w:r>
          </w:p>
        </w:tc>
        <w:tc>
          <w:tcPr>
            <w:tcW w:w="466"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1.680.000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130.560</w:t>
            </w:r>
          </w:p>
        </w:tc>
        <w:tc>
          <w:tcPr>
            <w:tcW w:w="383"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8"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130.560</w:t>
            </w:r>
          </w:p>
        </w:tc>
        <w:tc>
          <w:tcPr>
            <w:tcW w:w="461" w:type="pct"/>
            <w:tcBorders>
              <w:top w:val="nil"/>
              <w:left w:val="nil"/>
              <w:bottom w:val="dotted"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1.810.560</w:t>
            </w:r>
          </w:p>
        </w:tc>
      </w:tr>
      <w:tr w:rsidR="00E403CE" w:rsidRPr="00321DDB">
        <w:trPr>
          <w:trHeight w:val="162"/>
        </w:trPr>
        <w:tc>
          <w:tcPr>
            <w:tcW w:w="309" w:type="pct"/>
            <w:tcBorders>
              <w:top w:val="nil"/>
              <w:left w:val="double" w:sz="6" w:space="0" w:color="auto"/>
              <w:bottom w:val="dotted" w:sz="4" w:space="0" w:color="auto"/>
              <w:right w:val="nil"/>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01150</w:t>
            </w:r>
          </w:p>
        </w:tc>
        <w:tc>
          <w:tcPr>
            <w:tcW w:w="1982" w:type="pct"/>
            <w:tcBorders>
              <w:top w:val="nil"/>
              <w:left w:val="single" w:sz="4" w:space="0" w:color="auto"/>
              <w:bottom w:val="dotted" w:sz="4" w:space="0" w:color="auto"/>
              <w:right w:val="single" w:sz="4" w:space="0" w:color="auto"/>
            </w:tcBorders>
            <w:shd w:val="clear" w:color="auto" w:fill="auto"/>
            <w:noWrap/>
            <w:vAlign w:val="bottom"/>
          </w:tcPr>
          <w:p w:rsidR="00E403CE" w:rsidRPr="00321DDB" w:rsidRDefault="00E403CE" w:rsidP="00E403CE">
            <w:pPr>
              <w:rPr>
                <w:rFonts w:ascii="Arial" w:hAnsi="Arial" w:cs="Arial"/>
                <w:sz w:val="12"/>
                <w:szCs w:val="12"/>
              </w:rPr>
            </w:pPr>
            <w:r w:rsidRPr="00321DDB">
              <w:rPr>
                <w:rFonts w:ascii="Arial" w:hAnsi="Arial" w:cs="Arial"/>
                <w:sz w:val="12"/>
                <w:szCs w:val="12"/>
              </w:rPr>
              <w:t>Menaxhimi i te Ardhurave Doganore</w:t>
            </w:r>
          </w:p>
        </w:tc>
        <w:tc>
          <w:tcPr>
            <w:tcW w:w="466"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1.393.750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354.473</w:t>
            </w:r>
          </w:p>
        </w:tc>
        <w:tc>
          <w:tcPr>
            <w:tcW w:w="383"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8"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354.473</w:t>
            </w:r>
          </w:p>
        </w:tc>
        <w:tc>
          <w:tcPr>
            <w:tcW w:w="461" w:type="pct"/>
            <w:tcBorders>
              <w:top w:val="nil"/>
              <w:left w:val="nil"/>
              <w:bottom w:val="dotted"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1.748.223</w:t>
            </w:r>
          </w:p>
        </w:tc>
      </w:tr>
      <w:tr w:rsidR="00E403CE" w:rsidRPr="00321DDB">
        <w:trPr>
          <w:trHeight w:val="162"/>
        </w:trPr>
        <w:tc>
          <w:tcPr>
            <w:tcW w:w="309" w:type="pct"/>
            <w:tcBorders>
              <w:top w:val="nil"/>
              <w:left w:val="double" w:sz="6" w:space="0" w:color="auto"/>
              <w:bottom w:val="dotted" w:sz="4" w:space="0" w:color="auto"/>
              <w:right w:val="nil"/>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01160</w:t>
            </w:r>
          </w:p>
        </w:tc>
        <w:tc>
          <w:tcPr>
            <w:tcW w:w="1982" w:type="pct"/>
            <w:tcBorders>
              <w:top w:val="nil"/>
              <w:left w:val="single" w:sz="4" w:space="0" w:color="auto"/>
              <w:bottom w:val="dotted" w:sz="4" w:space="0" w:color="auto"/>
              <w:right w:val="single" w:sz="4" w:space="0" w:color="auto"/>
            </w:tcBorders>
            <w:shd w:val="clear" w:color="auto" w:fill="auto"/>
            <w:noWrap/>
            <w:vAlign w:val="bottom"/>
          </w:tcPr>
          <w:p w:rsidR="00E403CE" w:rsidRPr="00321DDB" w:rsidRDefault="00E403CE" w:rsidP="00E403CE">
            <w:pPr>
              <w:rPr>
                <w:rFonts w:ascii="Arial" w:hAnsi="Arial" w:cs="Arial"/>
                <w:sz w:val="12"/>
                <w:szCs w:val="12"/>
              </w:rPr>
            </w:pPr>
            <w:r w:rsidRPr="00321DDB">
              <w:rPr>
                <w:rFonts w:ascii="Arial" w:hAnsi="Arial" w:cs="Arial"/>
                <w:sz w:val="12"/>
                <w:szCs w:val="12"/>
              </w:rPr>
              <w:t>Lufta kunder Transaksioneve Financiare Jo-Ligjore</w:t>
            </w:r>
          </w:p>
        </w:tc>
        <w:tc>
          <w:tcPr>
            <w:tcW w:w="466"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42.250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10.436</w:t>
            </w:r>
          </w:p>
        </w:tc>
        <w:tc>
          <w:tcPr>
            <w:tcW w:w="383"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8"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10.436</w:t>
            </w:r>
          </w:p>
        </w:tc>
        <w:tc>
          <w:tcPr>
            <w:tcW w:w="461" w:type="pct"/>
            <w:tcBorders>
              <w:top w:val="nil"/>
              <w:left w:val="nil"/>
              <w:bottom w:val="dotted"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52.686</w:t>
            </w:r>
          </w:p>
        </w:tc>
      </w:tr>
      <w:tr w:rsidR="00E403CE" w:rsidRPr="00321DDB">
        <w:trPr>
          <w:trHeight w:val="162"/>
        </w:trPr>
        <w:tc>
          <w:tcPr>
            <w:tcW w:w="309" w:type="pct"/>
            <w:tcBorders>
              <w:top w:val="nil"/>
              <w:left w:val="double" w:sz="6" w:space="0" w:color="auto"/>
              <w:bottom w:val="dotted" w:sz="4" w:space="0" w:color="auto"/>
              <w:right w:val="nil"/>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10270</w:t>
            </w:r>
          </w:p>
        </w:tc>
        <w:tc>
          <w:tcPr>
            <w:tcW w:w="1982" w:type="pct"/>
            <w:tcBorders>
              <w:top w:val="nil"/>
              <w:left w:val="single" w:sz="4" w:space="0" w:color="auto"/>
              <w:bottom w:val="dotted" w:sz="4" w:space="0" w:color="auto"/>
              <w:right w:val="single" w:sz="4" w:space="0" w:color="auto"/>
            </w:tcBorders>
            <w:shd w:val="clear" w:color="auto" w:fill="auto"/>
            <w:noWrap/>
            <w:vAlign w:val="bottom"/>
          </w:tcPr>
          <w:p w:rsidR="00E403CE" w:rsidRPr="00321DDB" w:rsidRDefault="00E403CE" w:rsidP="00E403CE">
            <w:pPr>
              <w:rPr>
                <w:rFonts w:ascii="Arial" w:hAnsi="Arial" w:cs="Arial"/>
                <w:sz w:val="12"/>
                <w:szCs w:val="12"/>
              </w:rPr>
            </w:pPr>
            <w:r w:rsidRPr="00321DDB">
              <w:rPr>
                <w:rFonts w:ascii="Arial" w:hAnsi="Arial" w:cs="Arial"/>
                <w:sz w:val="12"/>
                <w:szCs w:val="12"/>
              </w:rPr>
              <w:t>Menaxhimi i Sigurimeve Shoqerore</w:t>
            </w:r>
          </w:p>
        </w:tc>
        <w:tc>
          <w:tcPr>
            <w:tcW w:w="466"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1.429.000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383"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8"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1" w:type="pct"/>
            <w:tcBorders>
              <w:top w:val="nil"/>
              <w:left w:val="nil"/>
              <w:bottom w:val="dotted"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1.429.000</w:t>
            </w:r>
          </w:p>
        </w:tc>
      </w:tr>
      <w:tr w:rsidR="00E403CE" w:rsidRPr="00321DDB">
        <w:trPr>
          <w:trHeight w:val="162"/>
        </w:trPr>
        <w:tc>
          <w:tcPr>
            <w:tcW w:w="309" w:type="pct"/>
            <w:tcBorders>
              <w:top w:val="nil"/>
              <w:left w:val="double" w:sz="6" w:space="0" w:color="auto"/>
              <w:bottom w:val="single" w:sz="4" w:space="0" w:color="auto"/>
              <w:right w:val="nil"/>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01180</w:t>
            </w:r>
          </w:p>
        </w:tc>
        <w:tc>
          <w:tcPr>
            <w:tcW w:w="1982" w:type="pct"/>
            <w:tcBorders>
              <w:top w:val="nil"/>
              <w:left w:val="single" w:sz="4" w:space="0" w:color="auto"/>
              <w:bottom w:val="single" w:sz="4" w:space="0" w:color="auto"/>
              <w:right w:val="single" w:sz="4" w:space="0" w:color="auto"/>
            </w:tcBorders>
            <w:shd w:val="clear" w:color="auto" w:fill="auto"/>
            <w:noWrap/>
            <w:vAlign w:val="bottom"/>
          </w:tcPr>
          <w:p w:rsidR="00E403CE" w:rsidRPr="00321DDB" w:rsidRDefault="00E403CE" w:rsidP="00E403CE">
            <w:pPr>
              <w:rPr>
                <w:rFonts w:ascii="Arial" w:hAnsi="Arial" w:cs="Arial"/>
                <w:sz w:val="12"/>
                <w:szCs w:val="12"/>
              </w:rPr>
            </w:pPr>
            <w:r w:rsidRPr="00321DDB">
              <w:rPr>
                <w:rFonts w:ascii="Arial" w:hAnsi="Arial" w:cs="Arial"/>
                <w:sz w:val="12"/>
                <w:szCs w:val="12"/>
              </w:rPr>
              <w:t>Auditimi i Brendshem dhe Kontrolli i Financave Publike</w:t>
            </w:r>
          </w:p>
        </w:tc>
        <w:tc>
          <w:tcPr>
            <w:tcW w:w="466" w:type="pct"/>
            <w:tcBorders>
              <w:top w:val="nil"/>
              <w:left w:val="nil"/>
              <w:bottom w:val="single"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53.700</w:t>
            </w:r>
          </w:p>
        </w:tc>
        <w:tc>
          <w:tcPr>
            <w:tcW w:w="466" w:type="pct"/>
            <w:tcBorders>
              <w:top w:val="nil"/>
              <w:left w:val="nil"/>
              <w:bottom w:val="single"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383" w:type="pct"/>
            <w:tcBorders>
              <w:top w:val="nil"/>
              <w:left w:val="nil"/>
              <w:bottom w:val="single"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6" w:type="pct"/>
            <w:tcBorders>
              <w:top w:val="nil"/>
              <w:left w:val="nil"/>
              <w:bottom w:val="single"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8" w:type="pct"/>
            <w:tcBorders>
              <w:top w:val="nil"/>
              <w:left w:val="nil"/>
              <w:bottom w:val="single"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1" w:type="pct"/>
            <w:tcBorders>
              <w:top w:val="nil"/>
              <w:left w:val="nil"/>
              <w:bottom w:val="single"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53.700</w:t>
            </w:r>
          </w:p>
        </w:tc>
      </w:tr>
      <w:tr w:rsidR="00E403CE" w:rsidRPr="00321DDB">
        <w:trPr>
          <w:trHeight w:val="162"/>
        </w:trPr>
        <w:tc>
          <w:tcPr>
            <w:tcW w:w="309" w:type="pct"/>
            <w:tcBorders>
              <w:top w:val="nil"/>
              <w:left w:val="double" w:sz="6" w:space="0" w:color="auto"/>
              <w:bottom w:val="dotted" w:sz="4" w:space="0" w:color="auto"/>
              <w:right w:val="nil"/>
            </w:tcBorders>
            <w:shd w:val="clear" w:color="auto" w:fill="auto"/>
            <w:vAlign w:val="bottom"/>
          </w:tcPr>
          <w:p w:rsidR="00E403CE" w:rsidRPr="00321DDB" w:rsidRDefault="00E403CE" w:rsidP="00E403CE">
            <w:pPr>
              <w:jc w:val="right"/>
              <w:rPr>
                <w:rFonts w:ascii="Arial" w:hAnsi="Arial" w:cs="Arial"/>
                <w:b/>
                <w:bCs/>
                <w:color w:val="000000"/>
                <w:sz w:val="12"/>
                <w:szCs w:val="12"/>
              </w:rPr>
            </w:pPr>
            <w:r w:rsidRPr="00321DDB">
              <w:rPr>
                <w:rFonts w:ascii="Arial" w:hAnsi="Arial" w:cs="Arial"/>
                <w:b/>
                <w:bCs/>
                <w:color w:val="000000"/>
                <w:sz w:val="12"/>
                <w:szCs w:val="12"/>
              </w:rPr>
              <w:t>11</w:t>
            </w:r>
          </w:p>
        </w:tc>
        <w:tc>
          <w:tcPr>
            <w:tcW w:w="1982" w:type="pct"/>
            <w:tcBorders>
              <w:top w:val="nil"/>
              <w:left w:val="single" w:sz="4" w:space="0" w:color="auto"/>
              <w:bottom w:val="dotted" w:sz="4" w:space="0" w:color="auto"/>
              <w:right w:val="single" w:sz="4" w:space="0" w:color="auto"/>
            </w:tcBorders>
            <w:shd w:val="clear" w:color="auto" w:fill="auto"/>
            <w:vAlign w:val="bottom"/>
          </w:tcPr>
          <w:p w:rsidR="00E403CE" w:rsidRPr="00321DDB" w:rsidRDefault="00E403CE" w:rsidP="00E403CE">
            <w:pPr>
              <w:rPr>
                <w:rFonts w:ascii="Arial" w:hAnsi="Arial" w:cs="Arial"/>
                <w:b/>
                <w:bCs/>
                <w:color w:val="000000"/>
                <w:sz w:val="12"/>
                <w:szCs w:val="12"/>
              </w:rPr>
            </w:pPr>
            <w:r w:rsidRPr="00321DDB">
              <w:rPr>
                <w:rFonts w:ascii="Arial" w:hAnsi="Arial" w:cs="Arial"/>
                <w:b/>
                <w:bCs/>
                <w:color w:val="000000"/>
                <w:sz w:val="12"/>
                <w:szCs w:val="12"/>
              </w:rPr>
              <w:t>Ministria e Arsimit dhe Shkences</w:t>
            </w:r>
          </w:p>
        </w:tc>
        <w:tc>
          <w:tcPr>
            <w:tcW w:w="466"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29.983.150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4.490.089</w:t>
            </w:r>
          </w:p>
        </w:tc>
        <w:tc>
          <w:tcPr>
            <w:tcW w:w="383"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771.200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789.285</w:t>
            </w:r>
          </w:p>
        </w:tc>
        <w:tc>
          <w:tcPr>
            <w:tcW w:w="468"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6.050.574</w:t>
            </w:r>
          </w:p>
        </w:tc>
        <w:tc>
          <w:tcPr>
            <w:tcW w:w="461" w:type="pct"/>
            <w:tcBorders>
              <w:top w:val="nil"/>
              <w:left w:val="nil"/>
              <w:bottom w:val="dotted"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36.033.724</w:t>
            </w:r>
          </w:p>
        </w:tc>
      </w:tr>
      <w:tr w:rsidR="00E403CE" w:rsidRPr="00321DDB">
        <w:trPr>
          <w:trHeight w:val="162"/>
        </w:trPr>
        <w:tc>
          <w:tcPr>
            <w:tcW w:w="309" w:type="pct"/>
            <w:tcBorders>
              <w:top w:val="nil"/>
              <w:left w:val="double" w:sz="6" w:space="0" w:color="auto"/>
              <w:bottom w:val="dotted" w:sz="4" w:space="0" w:color="auto"/>
              <w:right w:val="nil"/>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01110</w:t>
            </w:r>
          </w:p>
        </w:tc>
        <w:tc>
          <w:tcPr>
            <w:tcW w:w="1982" w:type="pct"/>
            <w:tcBorders>
              <w:top w:val="nil"/>
              <w:left w:val="single" w:sz="4" w:space="0" w:color="auto"/>
              <w:bottom w:val="dotted" w:sz="4" w:space="0" w:color="auto"/>
              <w:right w:val="single" w:sz="4" w:space="0" w:color="auto"/>
            </w:tcBorders>
            <w:shd w:val="clear" w:color="auto" w:fill="auto"/>
            <w:noWrap/>
            <w:vAlign w:val="bottom"/>
          </w:tcPr>
          <w:p w:rsidR="00E403CE" w:rsidRPr="00321DDB" w:rsidRDefault="00E403CE" w:rsidP="00E403CE">
            <w:pPr>
              <w:rPr>
                <w:rFonts w:ascii="Arial" w:hAnsi="Arial" w:cs="Arial"/>
                <w:sz w:val="12"/>
                <w:szCs w:val="12"/>
              </w:rPr>
            </w:pPr>
            <w:r w:rsidRPr="00321DDB">
              <w:rPr>
                <w:rFonts w:ascii="Arial" w:hAnsi="Arial" w:cs="Arial"/>
                <w:sz w:val="12"/>
                <w:szCs w:val="12"/>
              </w:rPr>
              <w:t>Planifikimi, Menaxhimi dhe Administrimi</w:t>
            </w:r>
          </w:p>
        </w:tc>
        <w:tc>
          <w:tcPr>
            <w:tcW w:w="466"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842.527</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103.850</w:t>
            </w:r>
          </w:p>
        </w:tc>
        <w:tc>
          <w:tcPr>
            <w:tcW w:w="383"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8"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103.850</w:t>
            </w:r>
          </w:p>
        </w:tc>
        <w:tc>
          <w:tcPr>
            <w:tcW w:w="461" w:type="pct"/>
            <w:tcBorders>
              <w:top w:val="nil"/>
              <w:left w:val="nil"/>
              <w:bottom w:val="dotted"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946.377</w:t>
            </w:r>
          </w:p>
        </w:tc>
      </w:tr>
      <w:tr w:rsidR="00E403CE" w:rsidRPr="00321DDB">
        <w:trPr>
          <w:trHeight w:val="162"/>
        </w:trPr>
        <w:tc>
          <w:tcPr>
            <w:tcW w:w="309" w:type="pct"/>
            <w:tcBorders>
              <w:top w:val="nil"/>
              <w:left w:val="double" w:sz="6" w:space="0" w:color="auto"/>
              <w:bottom w:val="dotted" w:sz="4" w:space="0" w:color="auto"/>
              <w:right w:val="nil"/>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09120</w:t>
            </w:r>
          </w:p>
        </w:tc>
        <w:tc>
          <w:tcPr>
            <w:tcW w:w="1982" w:type="pct"/>
            <w:tcBorders>
              <w:top w:val="nil"/>
              <w:left w:val="single" w:sz="4" w:space="0" w:color="auto"/>
              <w:bottom w:val="dotted" w:sz="4" w:space="0" w:color="auto"/>
              <w:right w:val="single" w:sz="4" w:space="0" w:color="auto"/>
            </w:tcBorders>
            <w:shd w:val="clear" w:color="auto" w:fill="auto"/>
            <w:noWrap/>
            <w:vAlign w:val="bottom"/>
          </w:tcPr>
          <w:p w:rsidR="00E403CE" w:rsidRPr="00321DDB" w:rsidRDefault="00E403CE" w:rsidP="00E403CE">
            <w:pPr>
              <w:rPr>
                <w:rFonts w:ascii="Arial" w:hAnsi="Arial" w:cs="Arial"/>
                <w:sz w:val="12"/>
                <w:szCs w:val="12"/>
              </w:rPr>
            </w:pPr>
            <w:r w:rsidRPr="00321DDB">
              <w:rPr>
                <w:rFonts w:ascii="Arial" w:hAnsi="Arial" w:cs="Arial"/>
                <w:sz w:val="12"/>
                <w:szCs w:val="12"/>
              </w:rPr>
              <w:t>Arsimi Baze (perfshire parashkollorin)</w:t>
            </w:r>
          </w:p>
        </w:tc>
        <w:tc>
          <w:tcPr>
            <w:tcW w:w="466"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17.499.703</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2.605.100</w:t>
            </w:r>
          </w:p>
        </w:tc>
        <w:tc>
          <w:tcPr>
            <w:tcW w:w="383"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760.085</w:t>
            </w:r>
          </w:p>
        </w:tc>
        <w:tc>
          <w:tcPr>
            <w:tcW w:w="468"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3.365.185</w:t>
            </w:r>
          </w:p>
        </w:tc>
        <w:tc>
          <w:tcPr>
            <w:tcW w:w="461" w:type="pct"/>
            <w:tcBorders>
              <w:top w:val="nil"/>
              <w:left w:val="nil"/>
              <w:bottom w:val="dotted"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20.864.888</w:t>
            </w:r>
          </w:p>
        </w:tc>
      </w:tr>
      <w:tr w:rsidR="00E403CE" w:rsidRPr="00321DDB">
        <w:trPr>
          <w:trHeight w:val="162"/>
        </w:trPr>
        <w:tc>
          <w:tcPr>
            <w:tcW w:w="309" w:type="pct"/>
            <w:tcBorders>
              <w:top w:val="nil"/>
              <w:left w:val="double" w:sz="6" w:space="0" w:color="auto"/>
              <w:bottom w:val="dotted" w:sz="4" w:space="0" w:color="auto"/>
              <w:right w:val="nil"/>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09230</w:t>
            </w:r>
          </w:p>
        </w:tc>
        <w:tc>
          <w:tcPr>
            <w:tcW w:w="1982" w:type="pct"/>
            <w:tcBorders>
              <w:top w:val="nil"/>
              <w:left w:val="single" w:sz="4" w:space="0" w:color="auto"/>
              <w:bottom w:val="dotted" w:sz="4" w:space="0" w:color="auto"/>
              <w:right w:val="single" w:sz="4" w:space="0" w:color="auto"/>
            </w:tcBorders>
            <w:shd w:val="clear" w:color="auto" w:fill="auto"/>
            <w:noWrap/>
            <w:vAlign w:val="bottom"/>
          </w:tcPr>
          <w:p w:rsidR="00E403CE" w:rsidRPr="00321DDB" w:rsidRDefault="00E403CE" w:rsidP="00E403CE">
            <w:pPr>
              <w:rPr>
                <w:rFonts w:ascii="Arial" w:hAnsi="Arial" w:cs="Arial"/>
                <w:sz w:val="12"/>
                <w:szCs w:val="12"/>
              </w:rPr>
            </w:pPr>
            <w:r w:rsidRPr="00321DDB">
              <w:rPr>
                <w:rFonts w:ascii="Arial" w:hAnsi="Arial" w:cs="Arial"/>
                <w:sz w:val="12"/>
                <w:szCs w:val="12"/>
              </w:rPr>
              <w:t>Arsimi i Mesem (i pergjithshem)</w:t>
            </w:r>
          </w:p>
        </w:tc>
        <w:tc>
          <w:tcPr>
            <w:tcW w:w="466"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3.722.446</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761.000</w:t>
            </w:r>
          </w:p>
        </w:tc>
        <w:tc>
          <w:tcPr>
            <w:tcW w:w="383"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20.600</w:t>
            </w:r>
          </w:p>
        </w:tc>
        <w:tc>
          <w:tcPr>
            <w:tcW w:w="468"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781.600</w:t>
            </w:r>
          </w:p>
        </w:tc>
        <w:tc>
          <w:tcPr>
            <w:tcW w:w="461" w:type="pct"/>
            <w:tcBorders>
              <w:top w:val="nil"/>
              <w:left w:val="nil"/>
              <w:bottom w:val="dotted"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4.504.046</w:t>
            </w:r>
          </w:p>
        </w:tc>
      </w:tr>
      <w:tr w:rsidR="00E403CE" w:rsidRPr="00321DDB">
        <w:trPr>
          <w:trHeight w:val="162"/>
        </w:trPr>
        <w:tc>
          <w:tcPr>
            <w:tcW w:w="309" w:type="pct"/>
            <w:tcBorders>
              <w:top w:val="nil"/>
              <w:left w:val="double" w:sz="6" w:space="0" w:color="auto"/>
              <w:bottom w:val="dotted" w:sz="4" w:space="0" w:color="auto"/>
              <w:right w:val="nil"/>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09240</w:t>
            </w:r>
          </w:p>
        </w:tc>
        <w:tc>
          <w:tcPr>
            <w:tcW w:w="1982" w:type="pct"/>
            <w:tcBorders>
              <w:top w:val="nil"/>
              <w:left w:val="single" w:sz="4" w:space="0" w:color="auto"/>
              <w:bottom w:val="dotted" w:sz="4" w:space="0" w:color="auto"/>
              <w:right w:val="single" w:sz="4" w:space="0" w:color="auto"/>
            </w:tcBorders>
            <w:shd w:val="clear" w:color="auto" w:fill="auto"/>
            <w:noWrap/>
            <w:vAlign w:val="bottom"/>
          </w:tcPr>
          <w:p w:rsidR="00E403CE" w:rsidRPr="00321DDB" w:rsidRDefault="00E403CE" w:rsidP="00E403CE">
            <w:pPr>
              <w:rPr>
                <w:rFonts w:ascii="Arial" w:hAnsi="Arial" w:cs="Arial"/>
                <w:sz w:val="12"/>
                <w:szCs w:val="12"/>
              </w:rPr>
            </w:pPr>
            <w:r w:rsidRPr="00321DDB">
              <w:rPr>
                <w:rFonts w:ascii="Arial" w:hAnsi="Arial" w:cs="Arial"/>
                <w:sz w:val="12"/>
                <w:szCs w:val="12"/>
              </w:rPr>
              <w:t>Arsimi i  Mesem (profesional)</w:t>
            </w:r>
          </w:p>
        </w:tc>
        <w:tc>
          <w:tcPr>
            <w:tcW w:w="466"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1.963.919</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399.969</w:t>
            </w:r>
          </w:p>
        </w:tc>
        <w:tc>
          <w:tcPr>
            <w:tcW w:w="383"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5.600</w:t>
            </w:r>
          </w:p>
        </w:tc>
        <w:tc>
          <w:tcPr>
            <w:tcW w:w="468"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405.569</w:t>
            </w:r>
          </w:p>
        </w:tc>
        <w:tc>
          <w:tcPr>
            <w:tcW w:w="461" w:type="pct"/>
            <w:tcBorders>
              <w:top w:val="nil"/>
              <w:left w:val="nil"/>
              <w:bottom w:val="dotted"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2.369.488</w:t>
            </w:r>
          </w:p>
        </w:tc>
      </w:tr>
      <w:tr w:rsidR="00E403CE" w:rsidRPr="00321DDB">
        <w:trPr>
          <w:trHeight w:val="162"/>
        </w:trPr>
        <w:tc>
          <w:tcPr>
            <w:tcW w:w="309" w:type="pct"/>
            <w:tcBorders>
              <w:top w:val="nil"/>
              <w:left w:val="double" w:sz="6" w:space="0" w:color="auto"/>
              <w:bottom w:val="dotted" w:sz="4" w:space="0" w:color="auto"/>
              <w:right w:val="nil"/>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09450</w:t>
            </w:r>
          </w:p>
        </w:tc>
        <w:tc>
          <w:tcPr>
            <w:tcW w:w="1982" w:type="pct"/>
            <w:tcBorders>
              <w:top w:val="nil"/>
              <w:left w:val="single" w:sz="4" w:space="0" w:color="auto"/>
              <w:bottom w:val="dotted" w:sz="4" w:space="0" w:color="auto"/>
              <w:right w:val="single" w:sz="4" w:space="0" w:color="auto"/>
            </w:tcBorders>
            <w:shd w:val="clear" w:color="auto" w:fill="auto"/>
            <w:noWrap/>
            <w:vAlign w:val="bottom"/>
          </w:tcPr>
          <w:p w:rsidR="00E403CE" w:rsidRPr="00321DDB" w:rsidRDefault="00E403CE" w:rsidP="00E403CE">
            <w:pPr>
              <w:rPr>
                <w:rFonts w:ascii="Arial" w:hAnsi="Arial" w:cs="Arial"/>
                <w:sz w:val="12"/>
                <w:szCs w:val="12"/>
              </w:rPr>
            </w:pPr>
            <w:r w:rsidRPr="00321DDB">
              <w:rPr>
                <w:rFonts w:ascii="Arial" w:hAnsi="Arial" w:cs="Arial"/>
                <w:sz w:val="12"/>
                <w:szCs w:val="12"/>
              </w:rPr>
              <w:t>Arsimi Universitar</w:t>
            </w:r>
          </w:p>
        </w:tc>
        <w:tc>
          <w:tcPr>
            <w:tcW w:w="466"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5.784.555</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423.170</w:t>
            </w:r>
          </w:p>
        </w:tc>
        <w:tc>
          <w:tcPr>
            <w:tcW w:w="383"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771.200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3.000</w:t>
            </w:r>
          </w:p>
        </w:tc>
        <w:tc>
          <w:tcPr>
            <w:tcW w:w="468"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1.197.370</w:t>
            </w:r>
          </w:p>
        </w:tc>
        <w:tc>
          <w:tcPr>
            <w:tcW w:w="461" w:type="pct"/>
            <w:tcBorders>
              <w:top w:val="nil"/>
              <w:left w:val="nil"/>
              <w:bottom w:val="dotted"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6.981.925</w:t>
            </w:r>
          </w:p>
        </w:tc>
      </w:tr>
      <w:tr w:rsidR="00E403CE" w:rsidRPr="00321DDB">
        <w:trPr>
          <w:trHeight w:val="162"/>
        </w:trPr>
        <w:tc>
          <w:tcPr>
            <w:tcW w:w="309" w:type="pct"/>
            <w:tcBorders>
              <w:top w:val="nil"/>
              <w:left w:val="double" w:sz="6" w:space="0" w:color="auto"/>
              <w:bottom w:val="single" w:sz="4" w:space="0" w:color="auto"/>
              <w:right w:val="nil"/>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09770</w:t>
            </w:r>
          </w:p>
        </w:tc>
        <w:tc>
          <w:tcPr>
            <w:tcW w:w="1982" w:type="pct"/>
            <w:tcBorders>
              <w:top w:val="nil"/>
              <w:left w:val="single" w:sz="4" w:space="0" w:color="auto"/>
              <w:bottom w:val="single" w:sz="4" w:space="0" w:color="auto"/>
              <w:right w:val="single" w:sz="4" w:space="0" w:color="auto"/>
            </w:tcBorders>
            <w:shd w:val="clear" w:color="auto" w:fill="auto"/>
            <w:noWrap/>
            <w:vAlign w:val="bottom"/>
          </w:tcPr>
          <w:p w:rsidR="00E403CE" w:rsidRPr="00321DDB" w:rsidRDefault="00E403CE" w:rsidP="00E403CE">
            <w:pPr>
              <w:rPr>
                <w:rFonts w:ascii="Arial" w:hAnsi="Arial" w:cs="Arial"/>
                <w:sz w:val="12"/>
                <w:szCs w:val="12"/>
              </w:rPr>
            </w:pPr>
            <w:r w:rsidRPr="00321DDB">
              <w:rPr>
                <w:rFonts w:ascii="Arial" w:hAnsi="Arial" w:cs="Arial"/>
                <w:sz w:val="12"/>
                <w:szCs w:val="12"/>
              </w:rPr>
              <w:t>Fonde per Shkencen</w:t>
            </w:r>
          </w:p>
        </w:tc>
        <w:tc>
          <w:tcPr>
            <w:tcW w:w="466" w:type="pct"/>
            <w:tcBorders>
              <w:top w:val="nil"/>
              <w:left w:val="nil"/>
              <w:bottom w:val="single"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170.000</w:t>
            </w:r>
          </w:p>
        </w:tc>
        <w:tc>
          <w:tcPr>
            <w:tcW w:w="466" w:type="pct"/>
            <w:tcBorders>
              <w:top w:val="nil"/>
              <w:left w:val="nil"/>
              <w:bottom w:val="single"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197.000</w:t>
            </w:r>
          </w:p>
        </w:tc>
        <w:tc>
          <w:tcPr>
            <w:tcW w:w="383" w:type="pct"/>
            <w:tcBorders>
              <w:top w:val="nil"/>
              <w:left w:val="nil"/>
              <w:bottom w:val="single"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6" w:type="pct"/>
            <w:tcBorders>
              <w:top w:val="nil"/>
              <w:left w:val="nil"/>
              <w:bottom w:val="single"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8" w:type="pct"/>
            <w:tcBorders>
              <w:top w:val="nil"/>
              <w:left w:val="nil"/>
              <w:bottom w:val="single"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197.000</w:t>
            </w:r>
          </w:p>
        </w:tc>
        <w:tc>
          <w:tcPr>
            <w:tcW w:w="461" w:type="pct"/>
            <w:tcBorders>
              <w:top w:val="nil"/>
              <w:left w:val="nil"/>
              <w:bottom w:val="single"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367.000</w:t>
            </w:r>
          </w:p>
        </w:tc>
      </w:tr>
      <w:tr w:rsidR="00E403CE" w:rsidRPr="00321DDB">
        <w:trPr>
          <w:trHeight w:val="162"/>
        </w:trPr>
        <w:tc>
          <w:tcPr>
            <w:tcW w:w="309" w:type="pct"/>
            <w:tcBorders>
              <w:top w:val="nil"/>
              <w:left w:val="double" w:sz="6" w:space="0" w:color="auto"/>
              <w:bottom w:val="dotted" w:sz="4" w:space="0" w:color="auto"/>
              <w:right w:val="nil"/>
            </w:tcBorders>
            <w:shd w:val="clear" w:color="auto" w:fill="auto"/>
            <w:vAlign w:val="bottom"/>
          </w:tcPr>
          <w:p w:rsidR="00E403CE" w:rsidRPr="00321DDB" w:rsidRDefault="00E403CE" w:rsidP="00E403CE">
            <w:pPr>
              <w:jc w:val="right"/>
              <w:rPr>
                <w:rFonts w:ascii="Arial" w:hAnsi="Arial" w:cs="Arial"/>
                <w:b/>
                <w:bCs/>
                <w:color w:val="000000"/>
                <w:sz w:val="12"/>
                <w:szCs w:val="12"/>
              </w:rPr>
            </w:pPr>
            <w:r w:rsidRPr="00321DDB">
              <w:rPr>
                <w:rFonts w:ascii="Arial" w:hAnsi="Arial" w:cs="Arial"/>
                <w:b/>
                <w:bCs/>
                <w:color w:val="000000"/>
                <w:sz w:val="12"/>
                <w:szCs w:val="12"/>
              </w:rPr>
              <w:t>12</w:t>
            </w:r>
          </w:p>
        </w:tc>
        <w:tc>
          <w:tcPr>
            <w:tcW w:w="1982" w:type="pct"/>
            <w:tcBorders>
              <w:top w:val="nil"/>
              <w:left w:val="single" w:sz="4" w:space="0" w:color="auto"/>
              <w:bottom w:val="dotted" w:sz="4" w:space="0" w:color="auto"/>
              <w:right w:val="single" w:sz="4" w:space="0" w:color="auto"/>
            </w:tcBorders>
            <w:shd w:val="clear" w:color="auto" w:fill="auto"/>
            <w:vAlign w:val="bottom"/>
          </w:tcPr>
          <w:p w:rsidR="00E403CE" w:rsidRPr="00321DDB" w:rsidRDefault="00E403CE" w:rsidP="00E403CE">
            <w:pPr>
              <w:rPr>
                <w:rFonts w:ascii="Arial" w:hAnsi="Arial" w:cs="Arial"/>
                <w:b/>
                <w:bCs/>
                <w:color w:val="000000"/>
                <w:sz w:val="12"/>
                <w:szCs w:val="12"/>
              </w:rPr>
            </w:pPr>
            <w:r w:rsidRPr="00321DDB">
              <w:rPr>
                <w:rFonts w:ascii="Arial" w:hAnsi="Arial" w:cs="Arial"/>
                <w:b/>
                <w:bCs/>
                <w:color w:val="000000"/>
                <w:sz w:val="12"/>
                <w:szCs w:val="12"/>
              </w:rPr>
              <w:t>Ministria e Turizmit, Kultures, Rinise dhe Sporteve</w:t>
            </w:r>
          </w:p>
        </w:tc>
        <w:tc>
          <w:tcPr>
            <w:tcW w:w="466"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1.410.122</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642.165</w:t>
            </w:r>
          </w:p>
        </w:tc>
        <w:tc>
          <w:tcPr>
            <w:tcW w:w="383"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0</w:t>
            </w:r>
          </w:p>
        </w:tc>
        <w:tc>
          <w:tcPr>
            <w:tcW w:w="468"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642.165</w:t>
            </w:r>
          </w:p>
        </w:tc>
        <w:tc>
          <w:tcPr>
            <w:tcW w:w="461" w:type="pct"/>
            <w:tcBorders>
              <w:top w:val="nil"/>
              <w:left w:val="nil"/>
              <w:bottom w:val="dotted"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2.052.287</w:t>
            </w:r>
          </w:p>
        </w:tc>
      </w:tr>
      <w:tr w:rsidR="00E403CE" w:rsidRPr="00321DDB">
        <w:trPr>
          <w:trHeight w:val="162"/>
        </w:trPr>
        <w:tc>
          <w:tcPr>
            <w:tcW w:w="309" w:type="pct"/>
            <w:tcBorders>
              <w:top w:val="nil"/>
              <w:left w:val="double" w:sz="6" w:space="0" w:color="auto"/>
              <w:bottom w:val="dotted" w:sz="4" w:space="0" w:color="auto"/>
              <w:right w:val="nil"/>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01110</w:t>
            </w:r>
          </w:p>
        </w:tc>
        <w:tc>
          <w:tcPr>
            <w:tcW w:w="1982" w:type="pct"/>
            <w:tcBorders>
              <w:top w:val="nil"/>
              <w:left w:val="single" w:sz="4" w:space="0" w:color="auto"/>
              <w:bottom w:val="dotted" w:sz="4" w:space="0" w:color="auto"/>
              <w:right w:val="single" w:sz="4" w:space="0" w:color="auto"/>
            </w:tcBorders>
            <w:shd w:val="clear" w:color="auto" w:fill="auto"/>
            <w:noWrap/>
            <w:vAlign w:val="bottom"/>
          </w:tcPr>
          <w:p w:rsidR="00E403CE" w:rsidRPr="00321DDB" w:rsidRDefault="00E403CE" w:rsidP="00E403CE">
            <w:pPr>
              <w:rPr>
                <w:rFonts w:ascii="Arial" w:hAnsi="Arial" w:cs="Arial"/>
                <w:sz w:val="12"/>
                <w:szCs w:val="12"/>
              </w:rPr>
            </w:pPr>
            <w:r w:rsidRPr="00321DDB">
              <w:rPr>
                <w:rFonts w:ascii="Arial" w:hAnsi="Arial" w:cs="Arial"/>
                <w:sz w:val="12"/>
                <w:szCs w:val="12"/>
              </w:rPr>
              <w:t>Planifikimi, Menaxhimi dhe Administrimi</w:t>
            </w:r>
          </w:p>
        </w:tc>
        <w:tc>
          <w:tcPr>
            <w:tcW w:w="466"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146.930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6.000</w:t>
            </w:r>
          </w:p>
        </w:tc>
        <w:tc>
          <w:tcPr>
            <w:tcW w:w="383"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8"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6.000</w:t>
            </w:r>
          </w:p>
        </w:tc>
        <w:tc>
          <w:tcPr>
            <w:tcW w:w="461" w:type="pct"/>
            <w:tcBorders>
              <w:top w:val="nil"/>
              <w:left w:val="nil"/>
              <w:bottom w:val="dotted"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152.930</w:t>
            </w:r>
          </w:p>
        </w:tc>
      </w:tr>
      <w:tr w:rsidR="00E403CE" w:rsidRPr="00321DDB">
        <w:trPr>
          <w:trHeight w:val="162"/>
        </w:trPr>
        <w:tc>
          <w:tcPr>
            <w:tcW w:w="309" w:type="pct"/>
            <w:tcBorders>
              <w:top w:val="nil"/>
              <w:left w:val="double" w:sz="6" w:space="0" w:color="auto"/>
              <w:bottom w:val="dotted" w:sz="4" w:space="0" w:color="auto"/>
              <w:right w:val="nil"/>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08220</w:t>
            </w:r>
          </w:p>
        </w:tc>
        <w:tc>
          <w:tcPr>
            <w:tcW w:w="1982" w:type="pct"/>
            <w:tcBorders>
              <w:top w:val="nil"/>
              <w:left w:val="single" w:sz="4" w:space="0" w:color="auto"/>
              <w:bottom w:val="dotted" w:sz="4" w:space="0" w:color="auto"/>
              <w:right w:val="single" w:sz="4" w:space="0" w:color="auto"/>
            </w:tcBorders>
            <w:shd w:val="clear" w:color="auto" w:fill="auto"/>
            <w:noWrap/>
            <w:vAlign w:val="bottom"/>
          </w:tcPr>
          <w:p w:rsidR="00E403CE" w:rsidRPr="00321DDB" w:rsidRDefault="00E403CE" w:rsidP="00E403CE">
            <w:pPr>
              <w:rPr>
                <w:rFonts w:ascii="Arial" w:hAnsi="Arial" w:cs="Arial"/>
                <w:sz w:val="12"/>
                <w:szCs w:val="12"/>
              </w:rPr>
            </w:pPr>
            <w:r w:rsidRPr="00321DDB">
              <w:rPr>
                <w:rFonts w:ascii="Arial" w:hAnsi="Arial" w:cs="Arial"/>
                <w:sz w:val="12"/>
                <w:szCs w:val="12"/>
              </w:rPr>
              <w:t>Trashegimia Kulturore, Muzete dhe Kultet</w:t>
            </w:r>
          </w:p>
        </w:tc>
        <w:tc>
          <w:tcPr>
            <w:tcW w:w="466"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306.327</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306.965</w:t>
            </w:r>
          </w:p>
        </w:tc>
        <w:tc>
          <w:tcPr>
            <w:tcW w:w="383"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8"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306.965</w:t>
            </w:r>
          </w:p>
        </w:tc>
        <w:tc>
          <w:tcPr>
            <w:tcW w:w="461" w:type="pct"/>
            <w:tcBorders>
              <w:top w:val="nil"/>
              <w:left w:val="nil"/>
              <w:bottom w:val="dotted"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613.292</w:t>
            </w:r>
          </w:p>
        </w:tc>
      </w:tr>
      <w:tr w:rsidR="00E403CE" w:rsidRPr="00321DDB">
        <w:trPr>
          <w:trHeight w:val="162"/>
        </w:trPr>
        <w:tc>
          <w:tcPr>
            <w:tcW w:w="309" w:type="pct"/>
            <w:tcBorders>
              <w:top w:val="nil"/>
              <w:left w:val="double" w:sz="6" w:space="0" w:color="auto"/>
              <w:bottom w:val="dotted" w:sz="4" w:space="0" w:color="auto"/>
              <w:right w:val="nil"/>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08230</w:t>
            </w:r>
          </w:p>
        </w:tc>
        <w:tc>
          <w:tcPr>
            <w:tcW w:w="1982" w:type="pct"/>
            <w:tcBorders>
              <w:top w:val="nil"/>
              <w:left w:val="single" w:sz="4" w:space="0" w:color="auto"/>
              <w:bottom w:val="dotted" w:sz="4" w:space="0" w:color="auto"/>
              <w:right w:val="single" w:sz="4" w:space="0" w:color="auto"/>
            </w:tcBorders>
            <w:shd w:val="clear" w:color="auto" w:fill="auto"/>
            <w:noWrap/>
            <w:vAlign w:val="bottom"/>
          </w:tcPr>
          <w:p w:rsidR="00E403CE" w:rsidRPr="00321DDB" w:rsidRDefault="00E403CE" w:rsidP="00E403CE">
            <w:pPr>
              <w:rPr>
                <w:rFonts w:ascii="Arial" w:hAnsi="Arial" w:cs="Arial"/>
                <w:sz w:val="12"/>
                <w:szCs w:val="12"/>
              </w:rPr>
            </w:pPr>
            <w:r w:rsidRPr="00321DDB">
              <w:rPr>
                <w:rFonts w:ascii="Arial" w:hAnsi="Arial" w:cs="Arial"/>
                <w:sz w:val="12"/>
                <w:szCs w:val="12"/>
              </w:rPr>
              <w:t xml:space="preserve">Arti dhe Kultura </w:t>
            </w:r>
          </w:p>
        </w:tc>
        <w:tc>
          <w:tcPr>
            <w:tcW w:w="466"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512.180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252.800</w:t>
            </w:r>
          </w:p>
        </w:tc>
        <w:tc>
          <w:tcPr>
            <w:tcW w:w="383"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8"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252.800</w:t>
            </w:r>
          </w:p>
        </w:tc>
        <w:tc>
          <w:tcPr>
            <w:tcW w:w="461" w:type="pct"/>
            <w:tcBorders>
              <w:top w:val="nil"/>
              <w:left w:val="nil"/>
              <w:bottom w:val="dotted"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764.980</w:t>
            </w:r>
          </w:p>
        </w:tc>
      </w:tr>
      <w:tr w:rsidR="00E403CE" w:rsidRPr="00321DDB">
        <w:trPr>
          <w:trHeight w:val="162"/>
        </w:trPr>
        <w:tc>
          <w:tcPr>
            <w:tcW w:w="309" w:type="pct"/>
            <w:tcBorders>
              <w:top w:val="nil"/>
              <w:left w:val="double" w:sz="6" w:space="0" w:color="auto"/>
              <w:bottom w:val="dotted" w:sz="4" w:space="0" w:color="auto"/>
              <w:right w:val="nil"/>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08140</w:t>
            </w:r>
          </w:p>
        </w:tc>
        <w:tc>
          <w:tcPr>
            <w:tcW w:w="1982" w:type="pct"/>
            <w:tcBorders>
              <w:top w:val="nil"/>
              <w:left w:val="single" w:sz="4" w:space="0" w:color="auto"/>
              <w:bottom w:val="dotted" w:sz="4" w:space="0" w:color="auto"/>
              <w:right w:val="single" w:sz="4" w:space="0" w:color="auto"/>
            </w:tcBorders>
            <w:shd w:val="clear" w:color="auto" w:fill="auto"/>
            <w:noWrap/>
            <w:vAlign w:val="bottom"/>
          </w:tcPr>
          <w:p w:rsidR="00E403CE" w:rsidRPr="00321DDB" w:rsidRDefault="00E403CE" w:rsidP="00E403CE">
            <w:pPr>
              <w:rPr>
                <w:rFonts w:ascii="Arial" w:hAnsi="Arial" w:cs="Arial"/>
                <w:sz w:val="12"/>
                <w:szCs w:val="12"/>
              </w:rPr>
            </w:pPr>
            <w:r w:rsidRPr="00321DDB">
              <w:rPr>
                <w:rFonts w:ascii="Arial" w:hAnsi="Arial" w:cs="Arial"/>
                <w:sz w:val="12"/>
                <w:szCs w:val="12"/>
              </w:rPr>
              <w:t>Zhvillimi i Sportit</w:t>
            </w:r>
          </w:p>
        </w:tc>
        <w:tc>
          <w:tcPr>
            <w:tcW w:w="466"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208.443</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60.000</w:t>
            </w:r>
          </w:p>
        </w:tc>
        <w:tc>
          <w:tcPr>
            <w:tcW w:w="383"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8"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60.000</w:t>
            </w:r>
          </w:p>
        </w:tc>
        <w:tc>
          <w:tcPr>
            <w:tcW w:w="461" w:type="pct"/>
            <w:tcBorders>
              <w:top w:val="nil"/>
              <w:left w:val="nil"/>
              <w:bottom w:val="dotted"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268.443</w:t>
            </w:r>
          </w:p>
        </w:tc>
      </w:tr>
      <w:tr w:rsidR="00E403CE" w:rsidRPr="00321DDB">
        <w:trPr>
          <w:trHeight w:val="162"/>
        </w:trPr>
        <w:tc>
          <w:tcPr>
            <w:tcW w:w="309" w:type="pct"/>
            <w:tcBorders>
              <w:top w:val="nil"/>
              <w:left w:val="double" w:sz="6" w:space="0" w:color="auto"/>
              <w:bottom w:val="dotted" w:sz="4" w:space="0" w:color="auto"/>
              <w:right w:val="nil"/>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08250</w:t>
            </w:r>
          </w:p>
        </w:tc>
        <w:tc>
          <w:tcPr>
            <w:tcW w:w="1982" w:type="pct"/>
            <w:tcBorders>
              <w:top w:val="nil"/>
              <w:left w:val="single" w:sz="4" w:space="0" w:color="auto"/>
              <w:bottom w:val="dotted" w:sz="4" w:space="0" w:color="auto"/>
              <w:right w:val="single" w:sz="4" w:space="0" w:color="auto"/>
            </w:tcBorders>
            <w:shd w:val="clear" w:color="auto" w:fill="auto"/>
            <w:noWrap/>
            <w:vAlign w:val="bottom"/>
          </w:tcPr>
          <w:p w:rsidR="00E403CE" w:rsidRPr="00321DDB" w:rsidRDefault="00E403CE" w:rsidP="00E403CE">
            <w:pPr>
              <w:rPr>
                <w:rFonts w:ascii="Arial" w:hAnsi="Arial" w:cs="Arial"/>
                <w:sz w:val="12"/>
                <w:szCs w:val="12"/>
              </w:rPr>
            </w:pPr>
            <w:r w:rsidRPr="00321DDB">
              <w:rPr>
                <w:rFonts w:ascii="Arial" w:hAnsi="Arial" w:cs="Arial"/>
                <w:sz w:val="12"/>
                <w:szCs w:val="12"/>
              </w:rPr>
              <w:t>Programe specifike kulturore</w:t>
            </w:r>
          </w:p>
        </w:tc>
        <w:tc>
          <w:tcPr>
            <w:tcW w:w="466"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142.700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383"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8"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1" w:type="pct"/>
            <w:tcBorders>
              <w:top w:val="nil"/>
              <w:left w:val="nil"/>
              <w:bottom w:val="dotted"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142.700</w:t>
            </w:r>
          </w:p>
        </w:tc>
      </w:tr>
      <w:tr w:rsidR="00E403CE" w:rsidRPr="00321DDB">
        <w:trPr>
          <w:trHeight w:val="162"/>
        </w:trPr>
        <w:tc>
          <w:tcPr>
            <w:tcW w:w="309" w:type="pct"/>
            <w:tcBorders>
              <w:top w:val="nil"/>
              <w:left w:val="double" w:sz="6" w:space="0" w:color="auto"/>
              <w:bottom w:val="single" w:sz="4" w:space="0" w:color="auto"/>
              <w:right w:val="nil"/>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04760</w:t>
            </w:r>
          </w:p>
        </w:tc>
        <w:tc>
          <w:tcPr>
            <w:tcW w:w="1982" w:type="pct"/>
            <w:tcBorders>
              <w:top w:val="nil"/>
              <w:left w:val="single" w:sz="4" w:space="0" w:color="auto"/>
              <w:bottom w:val="single" w:sz="4" w:space="0" w:color="auto"/>
              <w:right w:val="single" w:sz="4" w:space="0" w:color="auto"/>
            </w:tcBorders>
            <w:shd w:val="clear" w:color="auto" w:fill="auto"/>
            <w:noWrap/>
            <w:vAlign w:val="bottom"/>
          </w:tcPr>
          <w:p w:rsidR="00E403CE" w:rsidRPr="00321DDB" w:rsidRDefault="00E403CE" w:rsidP="00E403CE">
            <w:pPr>
              <w:rPr>
                <w:rFonts w:ascii="Arial" w:hAnsi="Arial" w:cs="Arial"/>
                <w:sz w:val="12"/>
                <w:szCs w:val="12"/>
              </w:rPr>
            </w:pPr>
            <w:r w:rsidRPr="00321DDB">
              <w:rPr>
                <w:rFonts w:ascii="Arial" w:hAnsi="Arial" w:cs="Arial"/>
                <w:sz w:val="12"/>
                <w:szCs w:val="12"/>
              </w:rPr>
              <w:t>Zhvillimi i Turizmit</w:t>
            </w:r>
          </w:p>
        </w:tc>
        <w:tc>
          <w:tcPr>
            <w:tcW w:w="466" w:type="pct"/>
            <w:tcBorders>
              <w:top w:val="nil"/>
              <w:left w:val="nil"/>
              <w:bottom w:val="single"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93.542</w:t>
            </w:r>
          </w:p>
        </w:tc>
        <w:tc>
          <w:tcPr>
            <w:tcW w:w="466" w:type="pct"/>
            <w:tcBorders>
              <w:top w:val="nil"/>
              <w:left w:val="nil"/>
              <w:bottom w:val="single"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16.400</w:t>
            </w:r>
          </w:p>
        </w:tc>
        <w:tc>
          <w:tcPr>
            <w:tcW w:w="383" w:type="pct"/>
            <w:tcBorders>
              <w:top w:val="nil"/>
              <w:left w:val="nil"/>
              <w:bottom w:val="single"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6" w:type="pct"/>
            <w:tcBorders>
              <w:top w:val="nil"/>
              <w:left w:val="nil"/>
              <w:bottom w:val="single"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8" w:type="pct"/>
            <w:tcBorders>
              <w:top w:val="nil"/>
              <w:left w:val="nil"/>
              <w:bottom w:val="single"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16.400</w:t>
            </w:r>
          </w:p>
        </w:tc>
        <w:tc>
          <w:tcPr>
            <w:tcW w:w="461" w:type="pct"/>
            <w:tcBorders>
              <w:top w:val="nil"/>
              <w:left w:val="nil"/>
              <w:bottom w:val="single"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109.942</w:t>
            </w:r>
          </w:p>
        </w:tc>
      </w:tr>
      <w:tr w:rsidR="00E403CE" w:rsidRPr="00321DDB">
        <w:trPr>
          <w:trHeight w:val="162"/>
        </w:trPr>
        <w:tc>
          <w:tcPr>
            <w:tcW w:w="309" w:type="pct"/>
            <w:tcBorders>
              <w:top w:val="nil"/>
              <w:left w:val="double" w:sz="6" w:space="0" w:color="auto"/>
              <w:bottom w:val="dotted" w:sz="4" w:space="0" w:color="auto"/>
              <w:right w:val="nil"/>
            </w:tcBorders>
            <w:shd w:val="clear" w:color="auto" w:fill="auto"/>
            <w:vAlign w:val="bottom"/>
          </w:tcPr>
          <w:p w:rsidR="00E403CE" w:rsidRPr="00321DDB" w:rsidRDefault="00E403CE" w:rsidP="00E403CE">
            <w:pPr>
              <w:jc w:val="right"/>
              <w:rPr>
                <w:rFonts w:ascii="Arial" w:hAnsi="Arial" w:cs="Arial"/>
                <w:b/>
                <w:bCs/>
                <w:color w:val="000000"/>
                <w:sz w:val="12"/>
                <w:szCs w:val="12"/>
              </w:rPr>
            </w:pPr>
            <w:r w:rsidRPr="00321DDB">
              <w:rPr>
                <w:rFonts w:ascii="Arial" w:hAnsi="Arial" w:cs="Arial"/>
                <w:b/>
                <w:bCs/>
                <w:color w:val="000000"/>
                <w:sz w:val="12"/>
                <w:szCs w:val="12"/>
              </w:rPr>
              <w:t>13</w:t>
            </w:r>
          </w:p>
        </w:tc>
        <w:tc>
          <w:tcPr>
            <w:tcW w:w="1982" w:type="pct"/>
            <w:tcBorders>
              <w:top w:val="nil"/>
              <w:left w:val="single" w:sz="4" w:space="0" w:color="auto"/>
              <w:bottom w:val="dotted" w:sz="4" w:space="0" w:color="auto"/>
              <w:right w:val="single" w:sz="4" w:space="0" w:color="auto"/>
            </w:tcBorders>
            <w:shd w:val="clear" w:color="auto" w:fill="auto"/>
            <w:vAlign w:val="bottom"/>
          </w:tcPr>
          <w:p w:rsidR="00E403CE" w:rsidRPr="00321DDB" w:rsidRDefault="00E403CE" w:rsidP="00E403CE">
            <w:pPr>
              <w:rPr>
                <w:rFonts w:ascii="Arial" w:hAnsi="Arial" w:cs="Arial"/>
                <w:b/>
                <w:bCs/>
                <w:color w:val="000000"/>
                <w:sz w:val="12"/>
                <w:szCs w:val="12"/>
              </w:rPr>
            </w:pPr>
            <w:r w:rsidRPr="00321DDB">
              <w:rPr>
                <w:rFonts w:ascii="Arial" w:hAnsi="Arial" w:cs="Arial"/>
                <w:b/>
                <w:bCs/>
                <w:color w:val="000000"/>
                <w:sz w:val="12"/>
                <w:szCs w:val="12"/>
              </w:rPr>
              <w:t>Ministria e Shendetesise</w:t>
            </w:r>
          </w:p>
        </w:tc>
        <w:tc>
          <w:tcPr>
            <w:tcW w:w="466"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19.638.000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2.285.840</w:t>
            </w:r>
          </w:p>
        </w:tc>
        <w:tc>
          <w:tcPr>
            <w:tcW w:w="383"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46.000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645.000</w:t>
            </w:r>
          </w:p>
        </w:tc>
        <w:tc>
          <w:tcPr>
            <w:tcW w:w="468"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2.976.840</w:t>
            </w:r>
          </w:p>
        </w:tc>
        <w:tc>
          <w:tcPr>
            <w:tcW w:w="461" w:type="pct"/>
            <w:tcBorders>
              <w:top w:val="nil"/>
              <w:left w:val="nil"/>
              <w:bottom w:val="dotted"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b/>
                <w:bCs/>
                <w:sz w:val="12"/>
                <w:szCs w:val="12"/>
              </w:rPr>
            </w:pPr>
            <w:r w:rsidRPr="00321DDB">
              <w:rPr>
                <w:rFonts w:ascii="Arial" w:hAnsi="Arial" w:cs="Arial"/>
                <w:b/>
                <w:bCs/>
                <w:sz w:val="12"/>
                <w:szCs w:val="12"/>
              </w:rPr>
              <w:t>22.614.840</w:t>
            </w:r>
          </w:p>
        </w:tc>
      </w:tr>
      <w:tr w:rsidR="00E403CE" w:rsidRPr="00321DDB">
        <w:trPr>
          <w:trHeight w:val="162"/>
        </w:trPr>
        <w:tc>
          <w:tcPr>
            <w:tcW w:w="309" w:type="pct"/>
            <w:tcBorders>
              <w:top w:val="nil"/>
              <w:left w:val="double" w:sz="6" w:space="0" w:color="auto"/>
              <w:bottom w:val="dotted" w:sz="4" w:space="0" w:color="auto"/>
              <w:right w:val="nil"/>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01110</w:t>
            </w:r>
          </w:p>
        </w:tc>
        <w:tc>
          <w:tcPr>
            <w:tcW w:w="1982" w:type="pct"/>
            <w:tcBorders>
              <w:top w:val="nil"/>
              <w:left w:val="single" w:sz="4" w:space="0" w:color="auto"/>
              <w:bottom w:val="dotted" w:sz="4" w:space="0" w:color="auto"/>
              <w:right w:val="single" w:sz="4" w:space="0" w:color="auto"/>
            </w:tcBorders>
            <w:shd w:val="clear" w:color="auto" w:fill="auto"/>
            <w:noWrap/>
            <w:vAlign w:val="bottom"/>
          </w:tcPr>
          <w:p w:rsidR="00E403CE" w:rsidRPr="00321DDB" w:rsidRDefault="00E403CE" w:rsidP="00E403CE">
            <w:pPr>
              <w:rPr>
                <w:rFonts w:ascii="Arial" w:hAnsi="Arial" w:cs="Arial"/>
                <w:sz w:val="12"/>
                <w:szCs w:val="12"/>
              </w:rPr>
            </w:pPr>
            <w:r w:rsidRPr="00321DDB">
              <w:rPr>
                <w:rFonts w:ascii="Arial" w:hAnsi="Arial" w:cs="Arial"/>
                <w:sz w:val="12"/>
                <w:szCs w:val="12"/>
              </w:rPr>
              <w:t>Planifikimi, Menaxhimi dhe Administrimi</w:t>
            </w:r>
          </w:p>
        </w:tc>
        <w:tc>
          <w:tcPr>
            <w:tcW w:w="466"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210.000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278.993</w:t>
            </w:r>
          </w:p>
        </w:tc>
        <w:tc>
          <w:tcPr>
            <w:tcW w:w="383"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8"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278.993</w:t>
            </w:r>
          </w:p>
        </w:tc>
        <w:tc>
          <w:tcPr>
            <w:tcW w:w="461" w:type="pct"/>
            <w:tcBorders>
              <w:top w:val="nil"/>
              <w:left w:val="nil"/>
              <w:bottom w:val="dotted"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488.993</w:t>
            </w:r>
          </w:p>
        </w:tc>
      </w:tr>
      <w:tr w:rsidR="00E403CE" w:rsidRPr="00321DDB">
        <w:trPr>
          <w:trHeight w:val="162"/>
        </w:trPr>
        <w:tc>
          <w:tcPr>
            <w:tcW w:w="309" w:type="pct"/>
            <w:tcBorders>
              <w:top w:val="nil"/>
              <w:left w:val="double" w:sz="6" w:space="0" w:color="auto"/>
              <w:bottom w:val="dotted" w:sz="4" w:space="0" w:color="auto"/>
              <w:right w:val="nil"/>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07220</w:t>
            </w:r>
          </w:p>
        </w:tc>
        <w:tc>
          <w:tcPr>
            <w:tcW w:w="1982" w:type="pct"/>
            <w:tcBorders>
              <w:top w:val="nil"/>
              <w:left w:val="single" w:sz="4" w:space="0" w:color="auto"/>
              <w:bottom w:val="dotted" w:sz="4" w:space="0" w:color="auto"/>
              <w:right w:val="single" w:sz="4" w:space="0" w:color="auto"/>
            </w:tcBorders>
            <w:shd w:val="clear" w:color="auto" w:fill="auto"/>
            <w:noWrap/>
            <w:vAlign w:val="bottom"/>
          </w:tcPr>
          <w:p w:rsidR="00E403CE" w:rsidRPr="00321DDB" w:rsidRDefault="00E403CE" w:rsidP="00E403CE">
            <w:pPr>
              <w:rPr>
                <w:rFonts w:ascii="Arial" w:hAnsi="Arial" w:cs="Arial"/>
                <w:sz w:val="12"/>
                <w:szCs w:val="12"/>
              </w:rPr>
            </w:pPr>
            <w:r w:rsidRPr="00321DDB">
              <w:rPr>
                <w:rFonts w:ascii="Arial" w:hAnsi="Arial" w:cs="Arial"/>
                <w:sz w:val="12"/>
                <w:szCs w:val="12"/>
              </w:rPr>
              <w:t>Sherbimet e Kujdesit Paresor</w:t>
            </w:r>
          </w:p>
        </w:tc>
        <w:tc>
          <w:tcPr>
            <w:tcW w:w="466"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7.228.000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428.694</w:t>
            </w:r>
          </w:p>
        </w:tc>
        <w:tc>
          <w:tcPr>
            <w:tcW w:w="383"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20.000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355.000</w:t>
            </w:r>
          </w:p>
        </w:tc>
        <w:tc>
          <w:tcPr>
            <w:tcW w:w="468"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803.694</w:t>
            </w:r>
          </w:p>
        </w:tc>
        <w:tc>
          <w:tcPr>
            <w:tcW w:w="461" w:type="pct"/>
            <w:tcBorders>
              <w:top w:val="nil"/>
              <w:left w:val="nil"/>
              <w:bottom w:val="dotted"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8.031.694</w:t>
            </w:r>
          </w:p>
        </w:tc>
      </w:tr>
      <w:tr w:rsidR="00E403CE" w:rsidRPr="00321DDB">
        <w:trPr>
          <w:trHeight w:val="162"/>
        </w:trPr>
        <w:tc>
          <w:tcPr>
            <w:tcW w:w="309" w:type="pct"/>
            <w:tcBorders>
              <w:top w:val="nil"/>
              <w:left w:val="double" w:sz="6" w:space="0" w:color="auto"/>
              <w:bottom w:val="dotted" w:sz="4" w:space="0" w:color="auto"/>
              <w:right w:val="nil"/>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07330</w:t>
            </w:r>
          </w:p>
        </w:tc>
        <w:tc>
          <w:tcPr>
            <w:tcW w:w="1982" w:type="pct"/>
            <w:tcBorders>
              <w:top w:val="nil"/>
              <w:left w:val="single" w:sz="4" w:space="0" w:color="auto"/>
              <w:bottom w:val="dotted" w:sz="4" w:space="0" w:color="auto"/>
              <w:right w:val="single" w:sz="4" w:space="0" w:color="auto"/>
            </w:tcBorders>
            <w:shd w:val="clear" w:color="auto" w:fill="auto"/>
            <w:noWrap/>
            <w:vAlign w:val="bottom"/>
          </w:tcPr>
          <w:p w:rsidR="00E403CE" w:rsidRPr="00321DDB" w:rsidRDefault="00E403CE" w:rsidP="00E403CE">
            <w:pPr>
              <w:rPr>
                <w:rFonts w:ascii="Arial" w:hAnsi="Arial" w:cs="Arial"/>
                <w:sz w:val="12"/>
                <w:szCs w:val="12"/>
              </w:rPr>
            </w:pPr>
            <w:r w:rsidRPr="00321DDB">
              <w:rPr>
                <w:rFonts w:ascii="Arial" w:hAnsi="Arial" w:cs="Arial"/>
                <w:sz w:val="12"/>
                <w:szCs w:val="12"/>
              </w:rPr>
              <w:t>Sherbimet e Kujdesit Dytesor</w:t>
            </w:r>
          </w:p>
        </w:tc>
        <w:tc>
          <w:tcPr>
            <w:tcW w:w="466"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11.414.000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1.549.282</w:t>
            </w:r>
          </w:p>
        </w:tc>
        <w:tc>
          <w:tcPr>
            <w:tcW w:w="383"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20.000</w:t>
            </w:r>
          </w:p>
        </w:tc>
        <w:tc>
          <w:tcPr>
            <w:tcW w:w="466" w:type="pct"/>
            <w:tcBorders>
              <w:top w:val="nil"/>
              <w:left w:val="nil"/>
              <w:bottom w:val="dotted"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290.000</w:t>
            </w:r>
          </w:p>
        </w:tc>
        <w:tc>
          <w:tcPr>
            <w:tcW w:w="468" w:type="pct"/>
            <w:tcBorders>
              <w:top w:val="nil"/>
              <w:left w:val="nil"/>
              <w:bottom w:val="dotted"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1.859.282</w:t>
            </w:r>
          </w:p>
        </w:tc>
        <w:tc>
          <w:tcPr>
            <w:tcW w:w="461" w:type="pct"/>
            <w:tcBorders>
              <w:top w:val="nil"/>
              <w:left w:val="nil"/>
              <w:bottom w:val="dotted"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13.273.282</w:t>
            </w:r>
          </w:p>
        </w:tc>
      </w:tr>
      <w:tr w:rsidR="00E403CE" w:rsidRPr="00321DDB">
        <w:trPr>
          <w:trHeight w:val="162"/>
        </w:trPr>
        <w:tc>
          <w:tcPr>
            <w:tcW w:w="309" w:type="pct"/>
            <w:tcBorders>
              <w:top w:val="nil"/>
              <w:left w:val="double" w:sz="6" w:space="0" w:color="auto"/>
              <w:bottom w:val="single" w:sz="4" w:space="0" w:color="auto"/>
              <w:right w:val="nil"/>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07450</w:t>
            </w:r>
          </w:p>
        </w:tc>
        <w:tc>
          <w:tcPr>
            <w:tcW w:w="1982" w:type="pct"/>
            <w:tcBorders>
              <w:top w:val="nil"/>
              <w:left w:val="single" w:sz="4" w:space="0" w:color="auto"/>
              <w:bottom w:val="single" w:sz="4" w:space="0" w:color="auto"/>
              <w:right w:val="single" w:sz="4" w:space="0" w:color="auto"/>
            </w:tcBorders>
            <w:shd w:val="clear" w:color="auto" w:fill="auto"/>
            <w:noWrap/>
            <w:vAlign w:val="bottom"/>
          </w:tcPr>
          <w:p w:rsidR="00E403CE" w:rsidRPr="00321DDB" w:rsidRDefault="00E403CE" w:rsidP="00E403CE">
            <w:pPr>
              <w:rPr>
                <w:rFonts w:ascii="Arial" w:hAnsi="Arial" w:cs="Arial"/>
                <w:sz w:val="12"/>
                <w:szCs w:val="12"/>
              </w:rPr>
            </w:pPr>
            <w:r w:rsidRPr="00321DDB">
              <w:rPr>
                <w:rFonts w:ascii="Arial" w:hAnsi="Arial" w:cs="Arial"/>
                <w:sz w:val="12"/>
                <w:szCs w:val="12"/>
              </w:rPr>
              <w:t>Sherbimet e Shendetit Publik</w:t>
            </w:r>
          </w:p>
        </w:tc>
        <w:tc>
          <w:tcPr>
            <w:tcW w:w="466" w:type="pct"/>
            <w:tcBorders>
              <w:top w:val="nil"/>
              <w:left w:val="nil"/>
              <w:bottom w:val="single"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786.000</w:t>
            </w:r>
          </w:p>
        </w:tc>
        <w:tc>
          <w:tcPr>
            <w:tcW w:w="466" w:type="pct"/>
            <w:tcBorders>
              <w:top w:val="nil"/>
              <w:left w:val="nil"/>
              <w:bottom w:val="single"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28.871</w:t>
            </w:r>
          </w:p>
        </w:tc>
        <w:tc>
          <w:tcPr>
            <w:tcW w:w="383" w:type="pct"/>
            <w:tcBorders>
              <w:top w:val="nil"/>
              <w:left w:val="nil"/>
              <w:bottom w:val="single"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6.000</w:t>
            </w:r>
          </w:p>
        </w:tc>
        <w:tc>
          <w:tcPr>
            <w:tcW w:w="466" w:type="pct"/>
            <w:tcBorders>
              <w:top w:val="nil"/>
              <w:left w:val="nil"/>
              <w:bottom w:val="single" w:sz="4" w:space="0" w:color="auto"/>
              <w:right w:val="dashed" w:sz="4" w:space="0" w:color="auto"/>
            </w:tcBorders>
            <w:shd w:val="clear" w:color="auto" w:fill="auto"/>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0</w:t>
            </w:r>
          </w:p>
        </w:tc>
        <w:tc>
          <w:tcPr>
            <w:tcW w:w="468" w:type="pct"/>
            <w:tcBorders>
              <w:top w:val="nil"/>
              <w:left w:val="nil"/>
              <w:bottom w:val="single" w:sz="4" w:space="0" w:color="auto"/>
              <w:right w:val="single" w:sz="4"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34.871</w:t>
            </w:r>
          </w:p>
        </w:tc>
        <w:tc>
          <w:tcPr>
            <w:tcW w:w="461" w:type="pct"/>
            <w:tcBorders>
              <w:top w:val="nil"/>
              <w:left w:val="nil"/>
              <w:bottom w:val="single" w:sz="4" w:space="0" w:color="auto"/>
              <w:right w:val="double" w:sz="6" w:space="0" w:color="auto"/>
            </w:tcBorders>
            <w:shd w:val="clear" w:color="auto" w:fill="CCFFFF"/>
            <w:noWrap/>
            <w:vAlign w:val="bottom"/>
          </w:tcPr>
          <w:p w:rsidR="00E403CE" w:rsidRPr="00321DDB" w:rsidRDefault="00E403CE" w:rsidP="00E403CE">
            <w:pPr>
              <w:jc w:val="right"/>
              <w:rPr>
                <w:rFonts w:ascii="Arial" w:hAnsi="Arial" w:cs="Arial"/>
                <w:sz w:val="12"/>
                <w:szCs w:val="12"/>
              </w:rPr>
            </w:pPr>
            <w:r w:rsidRPr="00321DDB">
              <w:rPr>
                <w:rFonts w:ascii="Arial" w:hAnsi="Arial" w:cs="Arial"/>
                <w:sz w:val="12"/>
                <w:szCs w:val="12"/>
              </w:rPr>
              <w:t>820.871</w:t>
            </w:r>
          </w:p>
        </w:tc>
      </w:tr>
    </w:tbl>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r>
        <w:rPr>
          <w:rFonts w:ascii="CG Times" w:hAnsi="CG Times"/>
          <w:sz w:val="22"/>
          <w:szCs w:val="22"/>
        </w:rPr>
        <w:t>Tab. 1</w:t>
      </w:r>
    </w:p>
    <w:tbl>
      <w:tblPr>
        <w:tblW w:w="5000" w:type="pct"/>
        <w:tblLook w:val="0000" w:firstRow="0" w:lastRow="0" w:firstColumn="0" w:lastColumn="0" w:noHBand="0" w:noVBand="0"/>
      </w:tblPr>
      <w:tblGrid>
        <w:gridCol w:w="550"/>
        <w:gridCol w:w="4809"/>
        <w:gridCol w:w="817"/>
        <w:gridCol w:w="750"/>
        <w:gridCol w:w="677"/>
        <w:gridCol w:w="730"/>
        <w:gridCol w:w="750"/>
        <w:gridCol w:w="983"/>
      </w:tblGrid>
      <w:tr w:rsidR="00E403CE" w:rsidRPr="004E2A7F">
        <w:trPr>
          <w:trHeight w:val="162"/>
        </w:trPr>
        <w:tc>
          <w:tcPr>
            <w:tcW w:w="5000" w:type="pct"/>
            <w:gridSpan w:val="8"/>
            <w:tcBorders>
              <w:top w:val="nil"/>
              <w:left w:val="nil"/>
              <w:bottom w:val="nil"/>
              <w:right w:val="nil"/>
            </w:tcBorders>
            <w:shd w:val="clear" w:color="auto" w:fill="auto"/>
            <w:noWrap/>
            <w:vAlign w:val="bottom"/>
          </w:tcPr>
          <w:p w:rsidR="00E403CE" w:rsidRPr="004E2A7F" w:rsidRDefault="00E403CE" w:rsidP="00E403CE">
            <w:pPr>
              <w:jc w:val="center"/>
              <w:rPr>
                <w:rFonts w:ascii="Arial" w:hAnsi="Arial" w:cs="Arial"/>
                <w:b/>
                <w:bCs/>
                <w:color w:val="000000"/>
                <w:sz w:val="12"/>
                <w:szCs w:val="12"/>
                <w:u w:val="single"/>
              </w:rPr>
            </w:pPr>
            <w:r w:rsidRPr="004E2A7F">
              <w:rPr>
                <w:rFonts w:ascii="Arial" w:hAnsi="Arial" w:cs="Arial"/>
                <w:b/>
                <w:bCs/>
                <w:color w:val="000000"/>
                <w:sz w:val="12"/>
                <w:szCs w:val="12"/>
                <w:u w:val="single"/>
              </w:rPr>
              <w:t>BUXHETI I VITIT 2008 SIPAS MINISTRIVE TE LINJES DHE INSTITUCIONEVE BUXHETORE</w:t>
            </w:r>
          </w:p>
        </w:tc>
      </w:tr>
      <w:tr w:rsidR="00E403CE" w:rsidRPr="004E2A7F">
        <w:trPr>
          <w:trHeight w:val="115"/>
        </w:trPr>
        <w:tc>
          <w:tcPr>
            <w:tcW w:w="322" w:type="pct"/>
            <w:tcBorders>
              <w:top w:val="nil"/>
              <w:left w:val="nil"/>
              <w:bottom w:val="nil"/>
              <w:right w:val="nil"/>
            </w:tcBorders>
            <w:shd w:val="clear" w:color="auto" w:fill="auto"/>
            <w:noWrap/>
            <w:vAlign w:val="bottom"/>
          </w:tcPr>
          <w:p w:rsidR="00E403CE" w:rsidRPr="004E2A7F" w:rsidRDefault="00E403CE" w:rsidP="00E403CE">
            <w:pPr>
              <w:rPr>
                <w:rFonts w:ascii="Arial" w:hAnsi="Arial" w:cs="Arial"/>
                <w:sz w:val="12"/>
                <w:szCs w:val="12"/>
              </w:rPr>
            </w:pPr>
          </w:p>
        </w:tc>
        <w:tc>
          <w:tcPr>
            <w:tcW w:w="1679" w:type="pct"/>
            <w:tcBorders>
              <w:top w:val="nil"/>
              <w:left w:val="nil"/>
              <w:bottom w:val="nil"/>
              <w:right w:val="nil"/>
            </w:tcBorders>
            <w:shd w:val="clear" w:color="auto" w:fill="auto"/>
            <w:noWrap/>
            <w:vAlign w:val="bottom"/>
          </w:tcPr>
          <w:p w:rsidR="00E403CE" w:rsidRPr="004E2A7F" w:rsidRDefault="00E403CE" w:rsidP="00E403CE">
            <w:pPr>
              <w:rPr>
                <w:rFonts w:ascii="Arial" w:hAnsi="Arial" w:cs="Arial"/>
                <w:sz w:val="12"/>
                <w:szCs w:val="12"/>
              </w:rPr>
            </w:pPr>
          </w:p>
        </w:tc>
        <w:tc>
          <w:tcPr>
            <w:tcW w:w="965" w:type="pct"/>
            <w:tcBorders>
              <w:top w:val="nil"/>
              <w:left w:val="nil"/>
              <w:bottom w:val="nil"/>
              <w:right w:val="nil"/>
            </w:tcBorders>
            <w:shd w:val="clear" w:color="auto" w:fill="auto"/>
            <w:noWrap/>
            <w:vAlign w:val="bottom"/>
          </w:tcPr>
          <w:p w:rsidR="00E403CE" w:rsidRPr="004E2A7F" w:rsidRDefault="00E403CE" w:rsidP="00E403CE">
            <w:pPr>
              <w:rPr>
                <w:rFonts w:ascii="Arial" w:hAnsi="Arial" w:cs="Arial"/>
                <w:sz w:val="12"/>
                <w:szCs w:val="12"/>
              </w:rPr>
            </w:pPr>
          </w:p>
        </w:tc>
        <w:tc>
          <w:tcPr>
            <w:tcW w:w="432" w:type="pct"/>
            <w:tcBorders>
              <w:top w:val="nil"/>
              <w:left w:val="nil"/>
              <w:bottom w:val="nil"/>
              <w:right w:val="nil"/>
            </w:tcBorders>
            <w:shd w:val="clear" w:color="auto" w:fill="auto"/>
            <w:noWrap/>
            <w:vAlign w:val="bottom"/>
          </w:tcPr>
          <w:p w:rsidR="00E403CE" w:rsidRPr="004E2A7F" w:rsidRDefault="00E403CE" w:rsidP="00E403CE">
            <w:pPr>
              <w:rPr>
                <w:rFonts w:ascii="Arial" w:hAnsi="Arial" w:cs="Arial"/>
                <w:sz w:val="12"/>
                <w:szCs w:val="12"/>
              </w:rPr>
            </w:pPr>
          </w:p>
        </w:tc>
        <w:tc>
          <w:tcPr>
            <w:tcW w:w="298" w:type="pct"/>
            <w:tcBorders>
              <w:top w:val="nil"/>
              <w:left w:val="nil"/>
              <w:bottom w:val="nil"/>
              <w:right w:val="nil"/>
            </w:tcBorders>
            <w:shd w:val="clear" w:color="auto" w:fill="auto"/>
            <w:noWrap/>
            <w:vAlign w:val="bottom"/>
          </w:tcPr>
          <w:p w:rsidR="00E403CE" w:rsidRPr="004E2A7F" w:rsidRDefault="00E403CE" w:rsidP="00E403CE">
            <w:pPr>
              <w:rPr>
                <w:rFonts w:ascii="Arial" w:hAnsi="Arial" w:cs="Arial"/>
                <w:sz w:val="12"/>
                <w:szCs w:val="12"/>
              </w:rPr>
            </w:pPr>
          </w:p>
        </w:tc>
        <w:tc>
          <w:tcPr>
            <w:tcW w:w="321" w:type="pct"/>
            <w:tcBorders>
              <w:top w:val="nil"/>
              <w:left w:val="nil"/>
              <w:bottom w:val="nil"/>
              <w:right w:val="nil"/>
            </w:tcBorders>
            <w:shd w:val="clear" w:color="auto" w:fill="auto"/>
            <w:noWrap/>
            <w:vAlign w:val="bottom"/>
          </w:tcPr>
          <w:p w:rsidR="00E403CE" w:rsidRPr="004E2A7F" w:rsidRDefault="00E403CE" w:rsidP="00E403CE">
            <w:pPr>
              <w:rPr>
                <w:rFonts w:ascii="Arial" w:hAnsi="Arial" w:cs="Arial"/>
                <w:sz w:val="12"/>
                <w:szCs w:val="12"/>
              </w:rPr>
            </w:pPr>
          </w:p>
        </w:tc>
        <w:tc>
          <w:tcPr>
            <w:tcW w:w="441" w:type="pct"/>
            <w:tcBorders>
              <w:top w:val="nil"/>
              <w:left w:val="nil"/>
              <w:bottom w:val="nil"/>
              <w:right w:val="nil"/>
            </w:tcBorders>
            <w:shd w:val="clear" w:color="auto" w:fill="auto"/>
            <w:noWrap/>
            <w:vAlign w:val="bottom"/>
          </w:tcPr>
          <w:p w:rsidR="00E403CE" w:rsidRPr="004E2A7F" w:rsidRDefault="00E403CE" w:rsidP="00E403CE">
            <w:pPr>
              <w:rPr>
                <w:rFonts w:ascii="Arial" w:hAnsi="Arial" w:cs="Arial"/>
                <w:sz w:val="12"/>
                <w:szCs w:val="12"/>
              </w:rPr>
            </w:pPr>
          </w:p>
        </w:tc>
        <w:tc>
          <w:tcPr>
            <w:tcW w:w="540" w:type="pct"/>
            <w:tcBorders>
              <w:top w:val="nil"/>
              <w:left w:val="nil"/>
              <w:bottom w:val="nil"/>
              <w:right w:val="nil"/>
            </w:tcBorders>
            <w:shd w:val="clear" w:color="auto" w:fill="auto"/>
            <w:noWrap/>
            <w:vAlign w:val="bottom"/>
          </w:tcPr>
          <w:p w:rsidR="00E403CE" w:rsidRPr="004E2A7F" w:rsidRDefault="00E403CE" w:rsidP="00E403CE">
            <w:pPr>
              <w:rPr>
                <w:rFonts w:ascii="Arial" w:hAnsi="Arial" w:cs="Arial"/>
                <w:b/>
                <w:bCs/>
                <w:i/>
                <w:iCs/>
                <w:color w:val="000000"/>
                <w:sz w:val="12"/>
                <w:szCs w:val="12"/>
              </w:rPr>
            </w:pPr>
            <w:r w:rsidRPr="004E2A7F">
              <w:rPr>
                <w:rFonts w:ascii="Arial" w:hAnsi="Arial" w:cs="Arial"/>
                <w:b/>
                <w:bCs/>
                <w:i/>
                <w:iCs/>
                <w:color w:val="000000"/>
                <w:sz w:val="12"/>
                <w:szCs w:val="12"/>
              </w:rPr>
              <w:t>ne 000/leke</w:t>
            </w:r>
          </w:p>
        </w:tc>
      </w:tr>
      <w:tr w:rsidR="00E403CE" w:rsidRPr="004E2A7F">
        <w:trPr>
          <w:trHeight w:val="162"/>
        </w:trPr>
        <w:tc>
          <w:tcPr>
            <w:tcW w:w="322" w:type="pct"/>
            <w:vMerge w:val="restart"/>
            <w:tcBorders>
              <w:top w:val="double" w:sz="6" w:space="0" w:color="auto"/>
              <w:left w:val="double" w:sz="6" w:space="0" w:color="auto"/>
              <w:bottom w:val="single" w:sz="4" w:space="0" w:color="000000"/>
              <w:right w:val="nil"/>
            </w:tcBorders>
            <w:shd w:val="clear" w:color="auto" w:fill="auto"/>
            <w:noWrap/>
            <w:vAlign w:val="center"/>
          </w:tcPr>
          <w:p w:rsidR="00E403CE" w:rsidRPr="004E2A7F" w:rsidRDefault="00E403CE" w:rsidP="00E403CE">
            <w:pPr>
              <w:jc w:val="center"/>
              <w:rPr>
                <w:rFonts w:ascii="Arial" w:hAnsi="Arial" w:cs="Arial"/>
                <w:b/>
                <w:bCs/>
                <w:sz w:val="12"/>
                <w:szCs w:val="12"/>
              </w:rPr>
            </w:pPr>
            <w:r w:rsidRPr="004E2A7F">
              <w:rPr>
                <w:rFonts w:ascii="Arial" w:hAnsi="Arial" w:cs="Arial"/>
                <w:b/>
                <w:bCs/>
                <w:sz w:val="12"/>
                <w:szCs w:val="12"/>
              </w:rPr>
              <w:t>Kodi</w:t>
            </w:r>
          </w:p>
        </w:tc>
        <w:tc>
          <w:tcPr>
            <w:tcW w:w="1679" w:type="pct"/>
            <w:vMerge w:val="restart"/>
            <w:tcBorders>
              <w:top w:val="double" w:sz="6" w:space="0" w:color="auto"/>
              <w:left w:val="single" w:sz="4" w:space="0" w:color="auto"/>
              <w:bottom w:val="single" w:sz="4" w:space="0" w:color="000000"/>
              <w:right w:val="single" w:sz="4" w:space="0" w:color="auto"/>
            </w:tcBorders>
            <w:shd w:val="clear" w:color="auto" w:fill="auto"/>
            <w:vAlign w:val="center"/>
          </w:tcPr>
          <w:p w:rsidR="00E403CE" w:rsidRPr="004E2A7F" w:rsidRDefault="00E403CE" w:rsidP="00E403CE">
            <w:pPr>
              <w:jc w:val="center"/>
              <w:rPr>
                <w:rFonts w:ascii="Arial" w:hAnsi="Arial" w:cs="Arial"/>
                <w:b/>
                <w:bCs/>
                <w:sz w:val="12"/>
                <w:szCs w:val="12"/>
              </w:rPr>
            </w:pPr>
            <w:r w:rsidRPr="004E2A7F">
              <w:rPr>
                <w:rFonts w:ascii="Arial" w:hAnsi="Arial" w:cs="Arial"/>
                <w:b/>
                <w:bCs/>
                <w:sz w:val="12"/>
                <w:szCs w:val="12"/>
              </w:rPr>
              <w:t>Emertimi i Institucionit / Programit</w:t>
            </w:r>
          </w:p>
        </w:tc>
        <w:tc>
          <w:tcPr>
            <w:tcW w:w="965" w:type="pct"/>
            <w:vMerge w:val="restart"/>
            <w:tcBorders>
              <w:top w:val="double" w:sz="6" w:space="0" w:color="auto"/>
              <w:left w:val="single" w:sz="4" w:space="0" w:color="auto"/>
              <w:bottom w:val="single" w:sz="4" w:space="0" w:color="000000"/>
              <w:right w:val="single" w:sz="4" w:space="0" w:color="auto"/>
            </w:tcBorders>
            <w:shd w:val="clear" w:color="auto" w:fill="CCFFFF"/>
            <w:vAlign w:val="center"/>
          </w:tcPr>
          <w:p w:rsidR="00E403CE" w:rsidRPr="004E2A7F" w:rsidRDefault="00E403CE" w:rsidP="00E403CE">
            <w:pPr>
              <w:jc w:val="center"/>
              <w:rPr>
                <w:rFonts w:ascii="Arial" w:hAnsi="Arial" w:cs="Arial"/>
                <w:b/>
                <w:bCs/>
                <w:sz w:val="12"/>
                <w:szCs w:val="12"/>
              </w:rPr>
            </w:pPr>
            <w:r w:rsidRPr="004E2A7F">
              <w:rPr>
                <w:rFonts w:ascii="Arial" w:hAnsi="Arial" w:cs="Arial"/>
                <w:b/>
                <w:bCs/>
                <w:sz w:val="12"/>
                <w:szCs w:val="12"/>
              </w:rPr>
              <w:t xml:space="preserve">Totali i Shp. Korrente </w:t>
            </w:r>
          </w:p>
        </w:tc>
        <w:tc>
          <w:tcPr>
            <w:tcW w:w="1493" w:type="pct"/>
            <w:gridSpan w:val="4"/>
            <w:tcBorders>
              <w:top w:val="double" w:sz="6" w:space="0" w:color="auto"/>
              <w:left w:val="nil"/>
              <w:bottom w:val="nil"/>
              <w:right w:val="single" w:sz="4" w:space="0" w:color="auto"/>
            </w:tcBorders>
            <w:shd w:val="clear" w:color="auto" w:fill="auto"/>
            <w:noWrap/>
            <w:vAlign w:val="center"/>
          </w:tcPr>
          <w:p w:rsidR="00E403CE" w:rsidRPr="004E2A7F" w:rsidRDefault="00E403CE" w:rsidP="00E403CE">
            <w:pPr>
              <w:jc w:val="center"/>
              <w:rPr>
                <w:rFonts w:ascii="Arial" w:hAnsi="Arial" w:cs="Arial"/>
                <w:b/>
                <w:bCs/>
                <w:sz w:val="12"/>
                <w:szCs w:val="12"/>
              </w:rPr>
            </w:pPr>
            <w:r w:rsidRPr="004E2A7F">
              <w:rPr>
                <w:rFonts w:ascii="Arial" w:hAnsi="Arial" w:cs="Arial"/>
                <w:b/>
                <w:bCs/>
                <w:sz w:val="12"/>
                <w:szCs w:val="12"/>
              </w:rPr>
              <w:t>Shpenzimet Kapitale</w:t>
            </w:r>
          </w:p>
        </w:tc>
        <w:tc>
          <w:tcPr>
            <w:tcW w:w="540" w:type="pct"/>
            <w:vMerge w:val="restart"/>
            <w:tcBorders>
              <w:top w:val="double" w:sz="6" w:space="0" w:color="auto"/>
              <w:left w:val="single" w:sz="4" w:space="0" w:color="auto"/>
              <w:bottom w:val="single" w:sz="4" w:space="0" w:color="000000"/>
              <w:right w:val="double" w:sz="6" w:space="0" w:color="auto"/>
            </w:tcBorders>
            <w:shd w:val="clear" w:color="auto" w:fill="CCFFFF"/>
            <w:vAlign w:val="center"/>
          </w:tcPr>
          <w:p w:rsidR="00E403CE" w:rsidRPr="004E2A7F" w:rsidRDefault="00E403CE" w:rsidP="00E403CE">
            <w:pPr>
              <w:jc w:val="center"/>
              <w:rPr>
                <w:rFonts w:ascii="Arial" w:hAnsi="Arial" w:cs="Arial"/>
                <w:b/>
                <w:bCs/>
                <w:sz w:val="12"/>
                <w:szCs w:val="12"/>
              </w:rPr>
            </w:pPr>
            <w:r w:rsidRPr="004E2A7F">
              <w:rPr>
                <w:rFonts w:ascii="Arial" w:hAnsi="Arial" w:cs="Arial"/>
                <w:b/>
                <w:bCs/>
                <w:sz w:val="12"/>
                <w:szCs w:val="12"/>
              </w:rPr>
              <w:t>Totali i Shpenzimeve Buxhetore</w:t>
            </w:r>
          </w:p>
        </w:tc>
      </w:tr>
      <w:tr w:rsidR="00E403CE" w:rsidRPr="004E2A7F">
        <w:trPr>
          <w:trHeight w:val="65"/>
        </w:trPr>
        <w:tc>
          <w:tcPr>
            <w:tcW w:w="322" w:type="pct"/>
            <w:vMerge/>
            <w:tcBorders>
              <w:top w:val="double" w:sz="6" w:space="0" w:color="auto"/>
              <w:left w:val="double" w:sz="6" w:space="0" w:color="auto"/>
              <w:bottom w:val="single" w:sz="4" w:space="0" w:color="000000"/>
              <w:right w:val="nil"/>
            </w:tcBorders>
            <w:vAlign w:val="center"/>
          </w:tcPr>
          <w:p w:rsidR="00E403CE" w:rsidRPr="004E2A7F" w:rsidRDefault="00E403CE" w:rsidP="00E403CE">
            <w:pPr>
              <w:rPr>
                <w:rFonts w:ascii="Arial" w:hAnsi="Arial" w:cs="Arial"/>
                <w:b/>
                <w:bCs/>
                <w:sz w:val="12"/>
                <w:szCs w:val="12"/>
              </w:rPr>
            </w:pPr>
          </w:p>
        </w:tc>
        <w:tc>
          <w:tcPr>
            <w:tcW w:w="1679" w:type="pct"/>
            <w:vMerge/>
            <w:tcBorders>
              <w:top w:val="double" w:sz="6" w:space="0" w:color="auto"/>
              <w:left w:val="single" w:sz="4" w:space="0" w:color="auto"/>
              <w:bottom w:val="single" w:sz="4" w:space="0" w:color="000000"/>
              <w:right w:val="single" w:sz="4" w:space="0" w:color="auto"/>
            </w:tcBorders>
            <w:vAlign w:val="center"/>
          </w:tcPr>
          <w:p w:rsidR="00E403CE" w:rsidRPr="004E2A7F" w:rsidRDefault="00E403CE" w:rsidP="00E403CE">
            <w:pPr>
              <w:rPr>
                <w:rFonts w:ascii="Arial" w:hAnsi="Arial" w:cs="Arial"/>
                <w:b/>
                <w:bCs/>
                <w:sz w:val="12"/>
                <w:szCs w:val="12"/>
              </w:rPr>
            </w:pPr>
          </w:p>
        </w:tc>
        <w:tc>
          <w:tcPr>
            <w:tcW w:w="965" w:type="pct"/>
            <w:vMerge/>
            <w:tcBorders>
              <w:top w:val="double" w:sz="6" w:space="0" w:color="auto"/>
              <w:left w:val="single" w:sz="4" w:space="0" w:color="auto"/>
              <w:bottom w:val="single" w:sz="4" w:space="0" w:color="000000"/>
              <w:right w:val="single" w:sz="4" w:space="0" w:color="auto"/>
            </w:tcBorders>
            <w:vAlign w:val="center"/>
          </w:tcPr>
          <w:p w:rsidR="00E403CE" w:rsidRPr="004E2A7F" w:rsidRDefault="00E403CE" w:rsidP="00E403CE">
            <w:pPr>
              <w:rPr>
                <w:rFonts w:ascii="Arial" w:hAnsi="Arial" w:cs="Arial"/>
                <w:b/>
                <w:bCs/>
                <w:sz w:val="12"/>
                <w:szCs w:val="12"/>
              </w:rPr>
            </w:pPr>
          </w:p>
        </w:tc>
        <w:tc>
          <w:tcPr>
            <w:tcW w:w="432" w:type="pct"/>
            <w:tcBorders>
              <w:top w:val="dashed" w:sz="4" w:space="0" w:color="auto"/>
              <w:left w:val="nil"/>
              <w:bottom w:val="single" w:sz="4" w:space="0" w:color="auto"/>
              <w:right w:val="dashed" w:sz="4" w:space="0" w:color="auto"/>
            </w:tcBorders>
            <w:shd w:val="clear" w:color="auto" w:fill="auto"/>
            <w:vAlign w:val="center"/>
          </w:tcPr>
          <w:p w:rsidR="00E403CE" w:rsidRPr="004E2A7F" w:rsidRDefault="00E403CE" w:rsidP="00E403CE">
            <w:pPr>
              <w:jc w:val="center"/>
              <w:rPr>
                <w:rFonts w:ascii="Arial" w:hAnsi="Arial" w:cs="Arial"/>
                <w:sz w:val="12"/>
                <w:szCs w:val="12"/>
              </w:rPr>
            </w:pPr>
            <w:r w:rsidRPr="004E2A7F">
              <w:rPr>
                <w:rFonts w:ascii="Arial" w:hAnsi="Arial" w:cs="Arial"/>
                <w:sz w:val="12"/>
                <w:szCs w:val="12"/>
              </w:rPr>
              <w:t>Nga</w:t>
            </w:r>
            <w:r w:rsidRPr="004E2A7F">
              <w:rPr>
                <w:rFonts w:ascii="Arial" w:hAnsi="Arial" w:cs="Arial"/>
                <w:sz w:val="12"/>
                <w:szCs w:val="12"/>
              </w:rPr>
              <w:br/>
              <w:t>Buxheti</w:t>
            </w:r>
          </w:p>
        </w:tc>
        <w:tc>
          <w:tcPr>
            <w:tcW w:w="298" w:type="pct"/>
            <w:tcBorders>
              <w:top w:val="dashed" w:sz="4" w:space="0" w:color="auto"/>
              <w:left w:val="nil"/>
              <w:bottom w:val="single" w:sz="4" w:space="0" w:color="auto"/>
              <w:right w:val="dashed" w:sz="4" w:space="0" w:color="auto"/>
            </w:tcBorders>
            <w:shd w:val="clear" w:color="auto" w:fill="auto"/>
            <w:vAlign w:val="center"/>
          </w:tcPr>
          <w:p w:rsidR="00E403CE" w:rsidRPr="004E2A7F" w:rsidRDefault="00E403CE" w:rsidP="00E403CE">
            <w:pPr>
              <w:jc w:val="center"/>
              <w:rPr>
                <w:rFonts w:ascii="Arial" w:hAnsi="Arial" w:cs="Arial"/>
                <w:sz w:val="12"/>
                <w:szCs w:val="12"/>
              </w:rPr>
            </w:pPr>
            <w:r w:rsidRPr="004E2A7F">
              <w:rPr>
                <w:rFonts w:ascii="Arial" w:hAnsi="Arial" w:cs="Arial"/>
                <w:sz w:val="12"/>
                <w:szCs w:val="12"/>
              </w:rPr>
              <w:t xml:space="preserve">Nga te </w:t>
            </w:r>
            <w:r w:rsidRPr="004E2A7F">
              <w:rPr>
                <w:rFonts w:ascii="Arial" w:hAnsi="Arial" w:cs="Arial"/>
                <w:sz w:val="12"/>
                <w:szCs w:val="12"/>
              </w:rPr>
              <w:br/>
              <w:t>Ardhurat</w:t>
            </w:r>
          </w:p>
        </w:tc>
        <w:tc>
          <w:tcPr>
            <w:tcW w:w="321" w:type="pct"/>
            <w:tcBorders>
              <w:top w:val="dashed" w:sz="4" w:space="0" w:color="auto"/>
              <w:left w:val="nil"/>
              <w:bottom w:val="single" w:sz="4" w:space="0" w:color="auto"/>
              <w:right w:val="dashed" w:sz="4" w:space="0" w:color="auto"/>
            </w:tcBorders>
            <w:shd w:val="clear" w:color="auto" w:fill="auto"/>
            <w:vAlign w:val="center"/>
          </w:tcPr>
          <w:p w:rsidR="00E403CE" w:rsidRPr="004E2A7F" w:rsidRDefault="00E403CE" w:rsidP="00E403CE">
            <w:pPr>
              <w:jc w:val="center"/>
              <w:rPr>
                <w:rFonts w:ascii="Arial" w:hAnsi="Arial" w:cs="Arial"/>
                <w:sz w:val="12"/>
                <w:szCs w:val="12"/>
              </w:rPr>
            </w:pPr>
            <w:r w:rsidRPr="004E2A7F">
              <w:rPr>
                <w:rFonts w:ascii="Arial" w:hAnsi="Arial" w:cs="Arial"/>
                <w:sz w:val="12"/>
                <w:szCs w:val="12"/>
              </w:rPr>
              <w:t>Financimi i</w:t>
            </w:r>
            <w:r w:rsidRPr="004E2A7F">
              <w:rPr>
                <w:rFonts w:ascii="Arial" w:hAnsi="Arial" w:cs="Arial"/>
                <w:sz w:val="12"/>
                <w:szCs w:val="12"/>
              </w:rPr>
              <w:br/>
              <w:t>Huaj</w:t>
            </w:r>
          </w:p>
        </w:tc>
        <w:tc>
          <w:tcPr>
            <w:tcW w:w="441" w:type="pct"/>
            <w:tcBorders>
              <w:top w:val="dashed" w:sz="4" w:space="0" w:color="auto"/>
              <w:left w:val="nil"/>
              <w:bottom w:val="single" w:sz="4" w:space="0" w:color="auto"/>
              <w:right w:val="single" w:sz="4" w:space="0" w:color="auto"/>
            </w:tcBorders>
            <w:shd w:val="clear" w:color="auto" w:fill="CCFFFF"/>
            <w:vAlign w:val="center"/>
          </w:tcPr>
          <w:p w:rsidR="00E403CE" w:rsidRPr="004E2A7F" w:rsidRDefault="00E403CE" w:rsidP="00E403CE">
            <w:pPr>
              <w:jc w:val="center"/>
              <w:rPr>
                <w:rFonts w:ascii="Arial" w:hAnsi="Arial" w:cs="Arial"/>
                <w:b/>
                <w:bCs/>
                <w:sz w:val="12"/>
                <w:szCs w:val="12"/>
              </w:rPr>
            </w:pPr>
            <w:r w:rsidRPr="004E2A7F">
              <w:rPr>
                <w:rFonts w:ascii="Arial" w:hAnsi="Arial" w:cs="Arial"/>
                <w:b/>
                <w:bCs/>
                <w:sz w:val="12"/>
                <w:szCs w:val="12"/>
              </w:rPr>
              <w:t>Totali i Shp. Kapitale</w:t>
            </w:r>
          </w:p>
        </w:tc>
        <w:tc>
          <w:tcPr>
            <w:tcW w:w="540" w:type="pct"/>
            <w:vMerge/>
            <w:tcBorders>
              <w:top w:val="double" w:sz="6" w:space="0" w:color="auto"/>
              <w:left w:val="single" w:sz="4" w:space="0" w:color="auto"/>
              <w:bottom w:val="single" w:sz="4" w:space="0" w:color="000000"/>
              <w:right w:val="double" w:sz="6" w:space="0" w:color="auto"/>
            </w:tcBorders>
            <w:vAlign w:val="center"/>
          </w:tcPr>
          <w:p w:rsidR="00E403CE" w:rsidRPr="004E2A7F" w:rsidRDefault="00E403CE" w:rsidP="00E403CE">
            <w:pPr>
              <w:rPr>
                <w:rFonts w:ascii="Arial" w:hAnsi="Arial" w:cs="Arial"/>
                <w:b/>
                <w:bCs/>
                <w:sz w:val="12"/>
                <w:szCs w:val="12"/>
              </w:rPr>
            </w:pPr>
          </w:p>
        </w:tc>
      </w:tr>
      <w:tr w:rsidR="00E403CE" w:rsidRPr="004E2A7F">
        <w:trPr>
          <w:trHeight w:val="162"/>
        </w:trPr>
        <w:tc>
          <w:tcPr>
            <w:tcW w:w="322" w:type="pct"/>
            <w:tcBorders>
              <w:top w:val="nil"/>
              <w:left w:val="double" w:sz="6" w:space="0" w:color="auto"/>
              <w:bottom w:val="dotted" w:sz="4" w:space="0" w:color="auto"/>
              <w:right w:val="nil"/>
            </w:tcBorders>
            <w:shd w:val="clear" w:color="auto" w:fill="auto"/>
            <w:vAlign w:val="bottom"/>
          </w:tcPr>
          <w:p w:rsidR="00E403CE" w:rsidRPr="004E2A7F" w:rsidRDefault="00E403CE" w:rsidP="00E403CE">
            <w:pPr>
              <w:jc w:val="right"/>
              <w:rPr>
                <w:rFonts w:ascii="Arial" w:hAnsi="Arial" w:cs="Arial"/>
                <w:b/>
                <w:bCs/>
                <w:color w:val="000000"/>
                <w:sz w:val="12"/>
                <w:szCs w:val="12"/>
              </w:rPr>
            </w:pPr>
            <w:r w:rsidRPr="004E2A7F">
              <w:rPr>
                <w:rFonts w:ascii="Arial" w:hAnsi="Arial" w:cs="Arial"/>
                <w:b/>
                <w:bCs/>
                <w:color w:val="000000"/>
                <w:sz w:val="12"/>
                <w:szCs w:val="12"/>
              </w:rPr>
              <w:t>14</w:t>
            </w:r>
          </w:p>
        </w:tc>
        <w:tc>
          <w:tcPr>
            <w:tcW w:w="1679" w:type="pct"/>
            <w:tcBorders>
              <w:top w:val="nil"/>
              <w:left w:val="single" w:sz="4" w:space="0" w:color="auto"/>
              <w:bottom w:val="dotted" w:sz="4" w:space="0" w:color="auto"/>
              <w:right w:val="single" w:sz="4" w:space="0" w:color="auto"/>
            </w:tcBorders>
            <w:shd w:val="clear" w:color="auto" w:fill="auto"/>
            <w:vAlign w:val="bottom"/>
          </w:tcPr>
          <w:p w:rsidR="00E403CE" w:rsidRPr="004E2A7F" w:rsidRDefault="00E403CE" w:rsidP="00E403CE">
            <w:pPr>
              <w:rPr>
                <w:rFonts w:ascii="Arial" w:hAnsi="Arial" w:cs="Arial"/>
                <w:b/>
                <w:bCs/>
                <w:color w:val="000000"/>
                <w:sz w:val="12"/>
                <w:szCs w:val="12"/>
              </w:rPr>
            </w:pPr>
            <w:r w:rsidRPr="004E2A7F">
              <w:rPr>
                <w:rFonts w:ascii="Arial" w:hAnsi="Arial" w:cs="Arial"/>
                <w:b/>
                <w:bCs/>
                <w:color w:val="000000"/>
                <w:sz w:val="12"/>
                <w:szCs w:val="12"/>
              </w:rPr>
              <w:t>Ministria e Drejtesise</w:t>
            </w:r>
          </w:p>
        </w:tc>
        <w:tc>
          <w:tcPr>
            <w:tcW w:w="965"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4.396.800</w:t>
            </w:r>
          </w:p>
        </w:tc>
        <w:tc>
          <w:tcPr>
            <w:tcW w:w="432"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460.776</w:t>
            </w:r>
          </w:p>
        </w:tc>
        <w:tc>
          <w:tcPr>
            <w:tcW w:w="298"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0</w:t>
            </w:r>
          </w:p>
        </w:tc>
        <w:tc>
          <w:tcPr>
            <w:tcW w:w="321"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291.556</w:t>
            </w:r>
          </w:p>
        </w:tc>
        <w:tc>
          <w:tcPr>
            <w:tcW w:w="441"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752.332</w:t>
            </w:r>
          </w:p>
        </w:tc>
        <w:tc>
          <w:tcPr>
            <w:tcW w:w="540" w:type="pct"/>
            <w:tcBorders>
              <w:top w:val="nil"/>
              <w:left w:val="nil"/>
              <w:bottom w:val="dotted" w:sz="4" w:space="0" w:color="auto"/>
              <w:right w:val="double" w:sz="6" w:space="0" w:color="auto"/>
            </w:tcBorders>
            <w:shd w:val="clear" w:color="auto" w:fill="CCFFFF"/>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5.149.132</w:t>
            </w:r>
          </w:p>
        </w:tc>
      </w:tr>
      <w:tr w:rsidR="00E403CE" w:rsidRPr="004E2A7F">
        <w:trPr>
          <w:trHeight w:val="162"/>
        </w:trPr>
        <w:tc>
          <w:tcPr>
            <w:tcW w:w="322" w:type="pct"/>
            <w:tcBorders>
              <w:top w:val="nil"/>
              <w:left w:val="double" w:sz="6" w:space="0" w:color="auto"/>
              <w:bottom w:val="dotted" w:sz="4" w:space="0" w:color="auto"/>
              <w:right w:val="nil"/>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01110</w:t>
            </w:r>
          </w:p>
        </w:tc>
        <w:tc>
          <w:tcPr>
            <w:tcW w:w="1679" w:type="pct"/>
            <w:tcBorders>
              <w:top w:val="nil"/>
              <w:left w:val="single" w:sz="4" w:space="0" w:color="auto"/>
              <w:bottom w:val="dotted" w:sz="4" w:space="0" w:color="auto"/>
              <w:right w:val="single" w:sz="4" w:space="0" w:color="auto"/>
            </w:tcBorders>
            <w:shd w:val="clear" w:color="auto" w:fill="auto"/>
            <w:noWrap/>
            <w:vAlign w:val="bottom"/>
          </w:tcPr>
          <w:p w:rsidR="00E403CE" w:rsidRPr="004E2A7F" w:rsidRDefault="00E403CE" w:rsidP="00E403CE">
            <w:pPr>
              <w:rPr>
                <w:rFonts w:ascii="Arial" w:hAnsi="Arial" w:cs="Arial"/>
                <w:sz w:val="12"/>
                <w:szCs w:val="12"/>
              </w:rPr>
            </w:pPr>
            <w:r w:rsidRPr="004E2A7F">
              <w:rPr>
                <w:rFonts w:ascii="Arial" w:hAnsi="Arial" w:cs="Arial"/>
                <w:sz w:val="12"/>
                <w:szCs w:val="12"/>
              </w:rPr>
              <w:t>Planifikimi, Menaxhimi dhe Administrimi</w:t>
            </w:r>
          </w:p>
        </w:tc>
        <w:tc>
          <w:tcPr>
            <w:tcW w:w="965"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236.700</w:t>
            </w:r>
          </w:p>
        </w:tc>
        <w:tc>
          <w:tcPr>
            <w:tcW w:w="432"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159.900</w:t>
            </w:r>
          </w:p>
        </w:tc>
        <w:tc>
          <w:tcPr>
            <w:tcW w:w="298"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321"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89.873</w:t>
            </w:r>
          </w:p>
        </w:tc>
        <w:tc>
          <w:tcPr>
            <w:tcW w:w="441"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249.773</w:t>
            </w:r>
          </w:p>
        </w:tc>
        <w:tc>
          <w:tcPr>
            <w:tcW w:w="540" w:type="pct"/>
            <w:tcBorders>
              <w:top w:val="nil"/>
              <w:left w:val="nil"/>
              <w:bottom w:val="dotted" w:sz="4" w:space="0" w:color="auto"/>
              <w:right w:val="double" w:sz="6"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486.473</w:t>
            </w:r>
          </w:p>
        </w:tc>
      </w:tr>
      <w:tr w:rsidR="00E403CE" w:rsidRPr="004E2A7F">
        <w:trPr>
          <w:trHeight w:val="162"/>
        </w:trPr>
        <w:tc>
          <w:tcPr>
            <w:tcW w:w="322" w:type="pct"/>
            <w:tcBorders>
              <w:top w:val="nil"/>
              <w:left w:val="double" w:sz="6" w:space="0" w:color="auto"/>
              <w:bottom w:val="dotted" w:sz="4" w:space="0" w:color="auto"/>
              <w:right w:val="nil"/>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01120</w:t>
            </w:r>
          </w:p>
        </w:tc>
        <w:tc>
          <w:tcPr>
            <w:tcW w:w="1679" w:type="pct"/>
            <w:tcBorders>
              <w:top w:val="nil"/>
              <w:left w:val="single" w:sz="4" w:space="0" w:color="auto"/>
              <w:bottom w:val="dotted" w:sz="4" w:space="0" w:color="auto"/>
              <w:right w:val="single" w:sz="4" w:space="0" w:color="auto"/>
            </w:tcBorders>
            <w:shd w:val="clear" w:color="auto" w:fill="auto"/>
            <w:noWrap/>
            <w:vAlign w:val="bottom"/>
          </w:tcPr>
          <w:p w:rsidR="00E403CE" w:rsidRPr="004E2A7F" w:rsidRDefault="00E403CE" w:rsidP="00E403CE">
            <w:pPr>
              <w:rPr>
                <w:rFonts w:ascii="Arial" w:hAnsi="Arial" w:cs="Arial"/>
                <w:sz w:val="12"/>
                <w:szCs w:val="12"/>
              </w:rPr>
            </w:pPr>
            <w:r w:rsidRPr="004E2A7F">
              <w:rPr>
                <w:rFonts w:ascii="Arial" w:hAnsi="Arial" w:cs="Arial"/>
                <w:sz w:val="12"/>
                <w:szCs w:val="12"/>
              </w:rPr>
              <w:t>Publikimet Zyrtare</w:t>
            </w:r>
          </w:p>
        </w:tc>
        <w:tc>
          <w:tcPr>
            <w:tcW w:w="965"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36.200</w:t>
            </w:r>
          </w:p>
        </w:tc>
        <w:tc>
          <w:tcPr>
            <w:tcW w:w="432"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9.800</w:t>
            </w:r>
          </w:p>
        </w:tc>
        <w:tc>
          <w:tcPr>
            <w:tcW w:w="298"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321"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15.683</w:t>
            </w:r>
          </w:p>
        </w:tc>
        <w:tc>
          <w:tcPr>
            <w:tcW w:w="441"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25.483</w:t>
            </w:r>
          </w:p>
        </w:tc>
        <w:tc>
          <w:tcPr>
            <w:tcW w:w="540" w:type="pct"/>
            <w:tcBorders>
              <w:top w:val="nil"/>
              <w:left w:val="nil"/>
              <w:bottom w:val="dotted" w:sz="4" w:space="0" w:color="auto"/>
              <w:right w:val="double" w:sz="6"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61.683</w:t>
            </w:r>
          </w:p>
        </w:tc>
      </w:tr>
      <w:tr w:rsidR="00E403CE" w:rsidRPr="004E2A7F">
        <w:trPr>
          <w:trHeight w:val="162"/>
        </w:trPr>
        <w:tc>
          <w:tcPr>
            <w:tcW w:w="322" w:type="pct"/>
            <w:tcBorders>
              <w:top w:val="nil"/>
              <w:left w:val="double" w:sz="6" w:space="0" w:color="auto"/>
              <w:bottom w:val="dotted" w:sz="4" w:space="0" w:color="auto"/>
              <w:right w:val="nil"/>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01130</w:t>
            </w:r>
          </w:p>
        </w:tc>
        <w:tc>
          <w:tcPr>
            <w:tcW w:w="1679" w:type="pct"/>
            <w:tcBorders>
              <w:top w:val="nil"/>
              <w:left w:val="single" w:sz="4" w:space="0" w:color="auto"/>
              <w:bottom w:val="dotted" w:sz="4" w:space="0" w:color="auto"/>
              <w:right w:val="single" w:sz="4" w:space="0" w:color="auto"/>
            </w:tcBorders>
            <w:shd w:val="clear" w:color="auto" w:fill="auto"/>
            <w:noWrap/>
            <w:vAlign w:val="bottom"/>
          </w:tcPr>
          <w:p w:rsidR="00E403CE" w:rsidRPr="004E2A7F" w:rsidRDefault="00E403CE" w:rsidP="00E403CE">
            <w:pPr>
              <w:rPr>
                <w:rFonts w:ascii="Arial" w:hAnsi="Arial" w:cs="Arial"/>
                <w:sz w:val="12"/>
                <w:szCs w:val="12"/>
              </w:rPr>
            </w:pPr>
            <w:r w:rsidRPr="004E2A7F">
              <w:rPr>
                <w:rFonts w:ascii="Arial" w:hAnsi="Arial" w:cs="Arial"/>
                <w:sz w:val="12"/>
                <w:szCs w:val="12"/>
              </w:rPr>
              <w:t>Mjekesia Ligjore</w:t>
            </w:r>
          </w:p>
        </w:tc>
        <w:tc>
          <w:tcPr>
            <w:tcW w:w="965"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44.600</w:t>
            </w:r>
          </w:p>
        </w:tc>
        <w:tc>
          <w:tcPr>
            <w:tcW w:w="432"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6.350</w:t>
            </w:r>
          </w:p>
        </w:tc>
        <w:tc>
          <w:tcPr>
            <w:tcW w:w="298"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321"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441"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6.350</w:t>
            </w:r>
          </w:p>
        </w:tc>
        <w:tc>
          <w:tcPr>
            <w:tcW w:w="540" w:type="pct"/>
            <w:tcBorders>
              <w:top w:val="nil"/>
              <w:left w:val="nil"/>
              <w:bottom w:val="dotted" w:sz="4" w:space="0" w:color="auto"/>
              <w:right w:val="double" w:sz="6"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50.950</w:t>
            </w:r>
          </w:p>
        </w:tc>
      </w:tr>
      <w:tr w:rsidR="00E403CE" w:rsidRPr="004E2A7F">
        <w:trPr>
          <w:trHeight w:val="162"/>
        </w:trPr>
        <w:tc>
          <w:tcPr>
            <w:tcW w:w="322" w:type="pct"/>
            <w:tcBorders>
              <w:top w:val="nil"/>
              <w:left w:val="double" w:sz="6" w:space="0" w:color="auto"/>
              <w:bottom w:val="dotted" w:sz="4" w:space="0" w:color="auto"/>
              <w:right w:val="nil"/>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03440</w:t>
            </w:r>
          </w:p>
        </w:tc>
        <w:tc>
          <w:tcPr>
            <w:tcW w:w="1679" w:type="pct"/>
            <w:tcBorders>
              <w:top w:val="nil"/>
              <w:left w:val="single" w:sz="4" w:space="0" w:color="auto"/>
              <w:bottom w:val="dotted" w:sz="4" w:space="0" w:color="auto"/>
              <w:right w:val="single" w:sz="4" w:space="0" w:color="auto"/>
            </w:tcBorders>
            <w:shd w:val="clear" w:color="auto" w:fill="auto"/>
            <w:noWrap/>
            <w:vAlign w:val="bottom"/>
          </w:tcPr>
          <w:p w:rsidR="00E403CE" w:rsidRPr="004E2A7F" w:rsidRDefault="00E403CE" w:rsidP="00E403CE">
            <w:pPr>
              <w:rPr>
                <w:rFonts w:ascii="Arial" w:hAnsi="Arial" w:cs="Arial"/>
                <w:sz w:val="12"/>
                <w:szCs w:val="12"/>
              </w:rPr>
            </w:pPr>
            <w:r w:rsidRPr="004E2A7F">
              <w:rPr>
                <w:rFonts w:ascii="Arial" w:hAnsi="Arial" w:cs="Arial"/>
                <w:sz w:val="12"/>
                <w:szCs w:val="12"/>
              </w:rPr>
              <w:t>Sistemi i Burgjeve</w:t>
            </w:r>
          </w:p>
        </w:tc>
        <w:tc>
          <w:tcPr>
            <w:tcW w:w="965"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2.772.000</w:t>
            </w:r>
          </w:p>
        </w:tc>
        <w:tc>
          <w:tcPr>
            <w:tcW w:w="432"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265.526</w:t>
            </w:r>
          </w:p>
        </w:tc>
        <w:tc>
          <w:tcPr>
            <w:tcW w:w="298"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321"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36.000</w:t>
            </w:r>
          </w:p>
        </w:tc>
        <w:tc>
          <w:tcPr>
            <w:tcW w:w="441"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301.526</w:t>
            </w:r>
          </w:p>
        </w:tc>
        <w:tc>
          <w:tcPr>
            <w:tcW w:w="540" w:type="pct"/>
            <w:tcBorders>
              <w:top w:val="nil"/>
              <w:left w:val="nil"/>
              <w:bottom w:val="dotted" w:sz="4" w:space="0" w:color="auto"/>
              <w:right w:val="double" w:sz="6"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3.073.526</w:t>
            </w:r>
          </w:p>
        </w:tc>
      </w:tr>
      <w:tr w:rsidR="00E403CE" w:rsidRPr="004E2A7F">
        <w:trPr>
          <w:trHeight w:val="162"/>
        </w:trPr>
        <w:tc>
          <w:tcPr>
            <w:tcW w:w="322" w:type="pct"/>
            <w:tcBorders>
              <w:top w:val="nil"/>
              <w:left w:val="double" w:sz="6" w:space="0" w:color="auto"/>
              <w:bottom w:val="dotted" w:sz="4" w:space="0" w:color="auto"/>
              <w:right w:val="nil"/>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03350</w:t>
            </w:r>
          </w:p>
        </w:tc>
        <w:tc>
          <w:tcPr>
            <w:tcW w:w="1679" w:type="pct"/>
            <w:tcBorders>
              <w:top w:val="nil"/>
              <w:left w:val="single" w:sz="4" w:space="0" w:color="auto"/>
              <w:bottom w:val="dotted" w:sz="4" w:space="0" w:color="auto"/>
              <w:right w:val="single" w:sz="4" w:space="0" w:color="auto"/>
            </w:tcBorders>
            <w:shd w:val="clear" w:color="auto" w:fill="auto"/>
            <w:noWrap/>
            <w:vAlign w:val="bottom"/>
          </w:tcPr>
          <w:p w:rsidR="00E403CE" w:rsidRPr="004E2A7F" w:rsidRDefault="00E403CE" w:rsidP="00E403CE">
            <w:pPr>
              <w:rPr>
                <w:rFonts w:ascii="Arial" w:hAnsi="Arial" w:cs="Arial"/>
                <w:sz w:val="12"/>
                <w:szCs w:val="12"/>
              </w:rPr>
            </w:pPr>
            <w:r w:rsidRPr="004E2A7F">
              <w:rPr>
                <w:rFonts w:ascii="Arial" w:hAnsi="Arial" w:cs="Arial"/>
                <w:sz w:val="12"/>
                <w:szCs w:val="12"/>
              </w:rPr>
              <w:t>Sherbimi i Permbarimit Gjyqesor</w:t>
            </w:r>
          </w:p>
        </w:tc>
        <w:tc>
          <w:tcPr>
            <w:tcW w:w="965"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162.100</w:t>
            </w:r>
          </w:p>
        </w:tc>
        <w:tc>
          <w:tcPr>
            <w:tcW w:w="432"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2.500</w:t>
            </w:r>
          </w:p>
        </w:tc>
        <w:tc>
          <w:tcPr>
            <w:tcW w:w="298"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321"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441"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2.500</w:t>
            </w:r>
          </w:p>
        </w:tc>
        <w:tc>
          <w:tcPr>
            <w:tcW w:w="540" w:type="pct"/>
            <w:tcBorders>
              <w:top w:val="nil"/>
              <w:left w:val="nil"/>
              <w:bottom w:val="dotted" w:sz="4" w:space="0" w:color="auto"/>
              <w:right w:val="double" w:sz="6"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164.600</w:t>
            </w:r>
          </w:p>
        </w:tc>
      </w:tr>
      <w:tr w:rsidR="00E403CE" w:rsidRPr="004E2A7F">
        <w:trPr>
          <w:trHeight w:val="162"/>
        </w:trPr>
        <w:tc>
          <w:tcPr>
            <w:tcW w:w="322" w:type="pct"/>
            <w:tcBorders>
              <w:top w:val="nil"/>
              <w:left w:val="double" w:sz="6" w:space="0" w:color="auto"/>
              <w:bottom w:val="nil"/>
              <w:right w:val="nil"/>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01160</w:t>
            </w:r>
          </w:p>
        </w:tc>
        <w:tc>
          <w:tcPr>
            <w:tcW w:w="1679" w:type="pct"/>
            <w:tcBorders>
              <w:top w:val="nil"/>
              <w:left w:val="single" w:sz="4" w:space="0" w:color="auto"/>
              <w:bottom w:val="nil"/>
              <w:right w:val="single" w:sz="4" w:space="0" w:color="auto"/>
            </w:tcBorders>
            <w:shd w:val="clear" w:color="auto" w:fill="auto"/>
            <w:noWrap/>
            <w:vAlign w:val="bottom"/>
          </w:tcPr>
          <w:p w:rsidR="00E403CE" w:rsidRPr="004E2A7F" w:rsidRDefault="00E403CE" w:rsidP="00E403CE">
            <w:pPr>
              <w:rPr>
                <w:rFonts w:ascii="Arial" w:hAnsi="Arial" w:cs="Arial"/>
                <w:sz w:val="12"/>
                <w:szCs w:val="12"/>
              </w:rPr>
            </w:pPr>
            <w:r w:rsidRPr="004E2A7F">
              <w:rPr>
                <w:rFonts w:ascii="Arial" w:hAnsi="Arial" w:cs="Arial"/>
                <w:sz w:val="12"/>
                <w:szCs w:val="12"/>
              </w:rPr>
              <w:t>Sherbimet per çeshtjet e biresimeve</w:t>
            </w:r>
          </w:p>
        </w:tc>
        <w:tc>
          <w:tcPr>
            <w:tcW w:w="965" w:type="pct"/>
            <w:tcBorders>
              <w:top w:val="nil"/>
              <w:left w:val="nil"/>
              <w:bottom w:val="nil"/>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11.300</w:t>
            </w:r>
          </w:p>
        </w:tc>
        <w:tc>
          <w:tcPr>
            <w:tcW w:w="432" w:type="pct"/>
            <w:tcBorders>
              <w:top w:val="nil"/>
              <w:left w:val="nil"/>
              <w:bottom w:val="nil"/>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500</w:t>
            </w:r>
          </w:p>
        </w:tc>
        <w:tc>
          <w:tcPr>
            <w:tcW w:w="298" w:type="pct"/>
            <w:tcBorders>
              <w:top w:val="nil"/>
              <w:left w:val="nil"/>
              <w:bottom w:val="nil"/>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321" w:type="pct"/>
            <w:tcBorders>
              <w:top w:val="nil"/>
              <w:left w:val="nil"/>
              <w:bottom w:val="nil"/>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441" w:type="pct"/>
            <w:tcBorders>
              <w:top w:val="nil"/>
              <w:left w:val="nil"/>
              <w:bottom w:val="nil"/>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500</w:t>
            </w:r>
          </w:p>
        </w:tc>
        <w:tc>
          <w:tcPr>
            <w:tcW w:w="540" w:type="pct"/>
            <w:tcBorders>
              <w:top w:val="nil"/>
              <w:left w:val="nil"/>
              <w:bottom w:val="nil"/>
              <w:right w:val="double" w:sz="6"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11.800</w:t>
            </w:r>
          </w:p>
        </w:tc>
      </w:tr>
      <w:tr w:rsidR="00E403CE" w:rsidRPr="004E2A7F">
        <w:trPr>
          <w:trHeight w:val="162"/>
        </w:trPr>
        <w:tc>
          <w:tcPr>
            <w:tcW w:w="322" w:type="pct"/>
            <w:tcBorders>
              <w:top w:val="dotted" w:sz="4" w:space="0" w:color="auto"/>
              <w:left w:val="double" w:sz="6" w:space="0" w:color="auto"/>
              <w:bottom w:val="dotted" w:sz="4" w:space="0" w:color="auto"/>
              <w:right w:val="nil"/>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01170</w:t>
            </w:r>
          </w:p>
        </w:tc>
        <w:tc>
          <w:tcPr>
            <w:tcW w:w="1679" w:type="pct"/>
            <w:tcBorders>
              <w:top w:val="dotted" w:sz="4" w:space="0" w:color="auto"/>
              <w:left w:val="single" w:sz="4" w:space="0" w:color="auto"/>
              <w:bottom w:val="dotted" w:sz="4" w:space="0" w:color="auto"/>
              <w:right w:val="single" w:sz="4" w:space="0" w:color="auto"/>
            </w:tcBorders>
            <w:shd w:val="clear" w:color="auto" w:fill="auto"/>
            <w:noWrap/>
            <w:vAlign w:val="bottom"/>
          </w:tcPr>
          <w:p w:rsidR="00E403CE" w:rsidRPr="004E2A7F" w:rsidRDefault="00E403CE" w:rsidP="00E403CE">
            <w:pPr>
              <w:rPr>
                <w:rFonts w:ascii="Arial" w:hAnsi="Arial" w:cs="Arial"/>
                <w:sz w:val="12"/>
                <w:szCs w:val="12"/>
              </w:rPr>
            </w:pPr>
            <w:r w:rsidRPr="004E2A7F">
              <w:rPr>
                <w:rFonts w:ascii="Arial" w:hAnsi="Arial" w:cs="Arial"/>
                <w:sz w:val="12"/>
                <w:szCs w:val="12"/>
              </w:rPr>
              <w:t xml:space="preserve">Sherbimi i Regjistrimit te Pasurive te Paluajtshme </w:t>
            </w:r>
          </w:p>
        </w:tc>
        <w:tc>
          <w:tcPr>
            <w:tcW w:w="965" w:type="pct"/>
            <w:tcBorders>
              <w:top w:val="dotted" w:sz="4" w:space="0" w:color="auto"/>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455.900</w:t>
            </w:r>
          </w:p>
        </w:tc>
        <w:tc>
          <w:tcPr>
            <w:tcW w:w="432" w:type="pct"/>
            <w:tcBorders>
              <w:top w:val="dotted" w:sz="4" w:space="0" w:color="auto"/>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12.700</w:t>
            </w:r>
          </w:p>
        </w:tc>
        <w:tc>
          <w:tcPr>
            <w:tcW w:w="298" w:type="pct"/>
            <w:tcBorders>
              <w:top w:val="dotted" w:sz="4" w:space="0" w:color="auto"/>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321" w:type="pct"/>
            <w:tcBorders>
              <w:top w:val="dotted" w:sz="4" w:space="0" w:color="auto"/>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150.000</w:t>
            </w:r>
          </w:p>
        </w:tc>
        <w:tc>
          <w:tcPr>
            <w:tcW w:w="441" w:type="pct"/>
            <w:tcBorders>
              <w:top w:val="dotted" w:sz="4" w:space="0" w:color="auto"/>
              <w:left w:val="nil"/>
              <w:bottom w:val="nil"/>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162.700</w:t>
            </w:r>
          </w:p>
        </w:tc>
        <w:tc>
          <w:tcPr>
            <w:tcW w:w="540" w:type="pct"/>
            <w:tcBorders>
              <w:top w:val="dotted" w:sz="4" w:space="0" w:color="auto"/>
              <w:left w:val="nil"/>
              <w:bottom w:val="nil"/>
              <w:right w:val="double" w:sz="6"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618.600</w:t>
            </w:r>
          </w:p>
        </w:tc>
      </w:tr>
      <w:tr w:rsidR="00E403CE" w:rsidRPr="004E2A7F">
        <w:trPr>
          <w:trHeight w:val="162"/>
        </w:trPr>
        <w:tc>
          <w:tcPr>
            <w:tcW w:w="322" w:type="pct"/>
            <w:tcBorders>
              <w:top w:val="nil"/>
              <w:left w:val="double" w:sz="6" w:space="0" w:color="auto"/>
              <w:bottom w:val="dotted" w:sz="4" w:space="0" w:color="auto"/>
              <w:right w:val="nil"/>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01180</w:t>
            </w:r>
          </w:p>
        </w:tc>
        <w:tc>
          <w:tcPr>
            <w:tcW w:w="1679" w:type="pct"/>
            <w:tcBorders>
              <w:top w:val="nil"/>
              <w:left w:val="single" w:sz="4" w:space="0" w:color="auto"/>
              <w:bottom w:val="single" w:sz="4" w:space="0" w:color="auto"/>
              <w:right w:val="single" w:sz="4" w:space="0" w:color="auto"/>
            </w:tcBorders>
            <w:shd w:val="clear" w:color="auto" w:fill="auto"/>
            <w:noWrap/>
            <w:vAlign w:val="bottom"/>
          </w:tcPr>
          <w:p w:rsidR="00E403CE" w:rsidRPr="004E2A7F" w:rsidRDefault="00E403CE" w:rsidP="00E403CE">
            <w:pPr>
              <w:rPr>
                <w:rFonts w:ascii="Arial" w:hAnsi="Arial" w:cs="Arial"/>
                <w:sz w:val="12"/>
                <w:szCs w:val="12"/>
              </w:rPr>
            </w:pPr>
            <w:r w:rsidRPr="004E2A7F">
              <w:rPr>
                <w:rFonts w:ascii="Arial" w:hAnsi="Arial" w:cs="Arial"/>
                <w:sz w:val="12"/>
                <w:szCs w:val="12"/>
              </w:rPr>
              <w:t>Sherbimi i Kthimit dhe Kompensimit te Pronave</w:t>
            </w:r>
          </w:p>
        </w:tc>
        <w:tc>
          <w:tcPr>
            <w:tcW w:w="965"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678.000</w:t>
            </w:r>
          </w:p>
        </w:tc>
        <w:tc>
          <w:tcPr>
            <w:tcW w:w="432"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3.500</w:t>
            </w:r>
          </w:p>
        </w:tc>
        <w:tc>
          <w:tcPr>
            <w:tcW w:w="298"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321"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441" w:type="pct"/>
            <w:tcBorders>
              <w:top w:val="dotted" w:sz="4" w:space="0" w:color="auto"/>
              <w:left w:val="nil"/>
              <w:bottom w:val="nil"/>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3.500</w:t>
            </w:r>
          </w:p>
        </w:tc>
        <w:tc>
          <w:tcPr>
            <w:tcW w:w="540" w:type="pct"/>
            <w:tcBorders>
              <w:top w:val="dotted" w:sz="4" w:space="0" w:color="auto"/>
              <w:left w:val="nil"/>
              <w:bottom w:val="nil"/>
              <w:right w:val="double" w:sz="6"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681.500</w:t>
            </w:r>
          </w:p>
        </w:tc>
      </w:tr>
      <w:tr w:rsidR="00E403CE" w:rsidRPr="004E2A7F">
        <w:trPr>
          <w:trHeight w:val="162"/>
        </w:trPr>
        <w:tc>
          <w:tcPr>
            <w:tcW w:w="322" w:type="pct"/>
            <w:tcBorders>
              <w:top w:val="single" w:sz="4" w:space="0" w:color="auto"/>
              <w:left w:val="double" w:sz="6" w:space="0" w:color="auto"/>
              <w:bottom w:val="dotted" w:sz="4" w:space="0" w:color="auto"/>
              <w:right w:val="nil"/>
            </w:tcBorders>
            <w:shd w:val="clear" w:color="auto" w:fill="auto"/>
            <w:vAlign w:val="bottom"/>
          </w:tcPr>
          <w:p w:rsidR="00E403CE" w:rsidRPr="004E2A7F" w:rsidRDefault="00E403CE" w:rsidP="00E403CE">
            <w:pPr>
              <w:jc w:val="right"/>
              <w:rPr>
                <w:rFonts w:ascii="Arial" w:hAnsi="Arial" w:cs="Arial"/>
                <w:b/>
                <w:bCs/>
                <w:color w:val="000000"/>
                <w:sz w:val="12"/>
                <w:szCs w:val="12"/>
              </w:rPr>
            </w:pPr>
            <w:r w:rsidRPr="004E2A7F">
              <w:rPr>
                <w:rFonts w:ascii="Arial" w:hAnsi="Arial" w:cs="Arial"/>
                <w:b/>
                <w:bCs/>
                <w:color w:val="000000"/>
                <w:sz w:val="12"/>
                <w:szCs w:val="12"/>
              </w:rPr>
              <w:t>15</w:t>
            </w:r>
          </w:p>
        </w:tc>
        <w:tc>
          <w:tcPr>
            <w:tcW w:w="1679" w:type="pct"/>
            <w:tcBorders>
              <w:top w:val="nil"/>
              <w:left w:val="single" w:sz="4" w:space="0" w:color="auto"/>
              <w:bottom w:val="dotted" w:sz="4" w:space="0" w:color="auto"/>
              <w:right w:val="single" w:sz="4" w:space="0" w:color="auto"/>
            </w:tcBorders>
            <w:shd w:val="clear" w:color="auto" w:fill="auto"/>
            <w:vAlign w:val="bottom"/>
          </w:tcPr>
          <w:p w:rsidR="00E403CE" w:rsidRPr="004E2A7F" w:rsidRDefault="00E403CE" w:rsidP="00E403CE">
            <w:pPr>
              <w:rPr>
                <w:rFonts w:ascii="Arial" w:hAnsi="Arial" w:cs="Arial"/>
                <w:b/>
                <w:bCs/>
                <w:color w:val="000000"/>
                <w:sz w:val="12"/>
                <w:szCs w:val="12"/>
              </w:rPr>
            </w:pPr>
            <w:r w:rsidRPr="004E2A7F">
              <w:rPr>
                <w:rFonts w:ascii="Arial" w:hAnsi="Arial" w:cs="Arial"/>
                <w:b/>
                <w:bCs/>
                <w:color w:val="000000"/>
                <w:sz w:val="12"/>
                <w:szCs w:val="12"/>
              </w:rPr>
              <w:t>Ministria e Puneve te Jashtme</w:t>
            </w:r>
          </w:p>
        </w:tc>
        <w:tc>
          <w:tcPr>
            <w:tcW w:w="965" w:type="pct"/>
            <w:tcBorders>
              <w:top w:val="single" w:sz="4" w:space="0" w:color="auto"/>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1.640.000</w:t>
            </w:r>
          </w:p>
        </w:tc>
        <w:tc>
          <w:tcPr>
            <w:tcW w:w="432" w:type="pct"/>
            <w:tcBorders>
              <w:top w:val="single" w:sz="4" w:space="0" w:color="auto"/>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262.780</w:t>
            </w:r>
          </w:p>
        </w:tc>
        <w:tc>
          <w:tcPr>
            <w:tcW w:w="298" w:type="pct"/>
            <w:tcBorders>
              <w:top w:val="single" w:sz="4" w:space="0" w:color="auto"/>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0</w:t>
            </w:r>
          </w:p>
        </w:tc>
        <w:tc>
          <w:tcPr>
            <w:tcW w:w="321" w:type="pct"/>
            <w:tcBorders>
              <w:top w:val="single" w:sz="4" w:space="0" w:color="auto"/>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0</w:t>
            </w:r>
          </w:p>
        </w:tc>
        <w:tc>
          <w:tcPr>
            <w:tcW w:w="441" w:type="pct"/>
            <w:tcBorders>
              <w:top w:val="single" w:sz="4" w:space="0" w:color="auto"/>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262.780</w:t>
            </w:r>
          </w:p>
        </w:tc>
        <w:tc>
          <w:tcPr>
            <w:tcW w:w="540" w:type="pct"/>
            <w:tcBorders>
              <w:top w:val="single" w:sz="4" w:space="0" w:color="auto"/>
              <w:left w:val="nil"/>
              <w:bottom w:val="dotted" w:sz="4" w:space="0" w:color="auto"/>
              <w:right w:val="double" w:sz="6" w:space="0" w:color="auto"/>
            </w:tcBorders>
            <w:shd w:val="clear" w:color="auto" w:fill="CCFFFF"/>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1.902.780</w:t>
            </w:r>
          </w:p>
        </w:tc>
      </w:tr>
      <w:tr w:rsidR="00E403CE" w:rsidRPr="004E2A7F">
        <w:trPr>
          <w:trHeight w:val="162"/>
        </w:trPr>
        <w:tc>
          <w:tcPr>
            <w:tcW w:w="322" w:type="pct"/>
            <w:tcBorders>
              <w:top w:val="nil"/>
              <w:left w:val="double" w:sz="6" w:space="0" w:color="auto"/>
              <w:bottom w:val="dotted" w:sz="4" w:space="0" w:color="auto"/>
              <w:right w:val="nil"/>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01110</w:t>
            </w:r>
          </w:p>
        </w:tc>
        <w:tc>
          <w:tcPr>
            <w:tcW w:w="1679" w:type="pct"/>
            <w:tcBorders>
              <w:top w:val="nil"/>
              <w:left w:val="single" w:sz="4" w:space="0" w:color="auto"/>
              <w:bottom w:val="dotted" w:sz="4" w:space="0" w:color="auto"/>
              <w:right w:val="single" w:sz="4" w:space="0" w:color="auto"/>
            </w:tcBorders>
            <w:shd w:val="clear" w:color="auto" w:fill="auto"/>
            <w:noWrap/>
            <w:vAlign w:val="bottom"/>
          </w:tcPr>
          <w:p w:rsidR="00E403CE" w:rsidRPr="004E2A7F" w:rsidRDefault="00E403CE" w:rsidP="00E403CE">
            <w:pPr>
              <w:rPr>
                <w:rFonts w:ascii="Arial" w:hAnsi="Arial" w:cs="Arial"/>
                <w:sz w:val="12"/>
                <w:szCs w:val="12"/>
              </w:rPr>
            </w:pPr>
            <w:r w:rsidRPr="004E2A7F">
              <w:rPr>
                <w:rFonts w:ascii="Arial" w:hAnsi="Arial" w:cs="Arial"/>
                <w:sz w:val="12"/>
                <w:szCs w:val="12"/>
              </w:rPr>
              <w:t>Planifikimi, Menaxhimi dhe Administrimi</w:t>
            </w:r>
          </w:p>
        </w:tc>
        <w:tc>
          <w:tcPr>
            <w:tcW w:w="965"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44.350</w:t>
            </w:r>
          </w:p>
        </w:tc>
        <w:tc>
          <w:tcPr>
            <w:tcW w:w="432"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5.800</w:t>
            </w:r>
          </w:p>
        </w:tc>
        <w:tc>
          <w:tcPr>
            <w:tcW w:w="298"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321"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441"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5.800</w:t>
            </w:r>
          </w:p>
        </w:tc>
        <w:tc>
          <w:tcPr>
            <w:tcW w:w="540" w:type="pct"/>
            <w:tcBorders>
              <w:top w:val="nil"/>
              <w:left w:val="nil"/>
              <w:bottom w:val="dotted" w:sz="4" w:space="0" w:color="auto"/>
              <w:right w:val="double" w:sz="6"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50.150</w:t>
            </w:r>
          </w:p>
        </w:tc>
      </w:tr>
      <w:tr w:rsidR="00E403CE" w:rsidRPr="004E2A7F">
        <w:trPr>
          <w:trHeight w:val="162"/>
        </w:trPr>
        <w:tc>
          <w:tcPr>
            <w:tcW w:w="322" w:type="pct"/>
            <w:tcBorders>
              <w:top w:val="nil"/>
              <w:left w:val="double" w:sz="6" w:space="0" w:color="auto"/>
              <w:bottom w:val="nil"/>
              <w:right w:val="nil"/>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01120</w:t>
            </w:r>
          </w:p>
        </w:tc>
        <w:tc>
          <w:tcPr>
            <w:tcW w:w="1679" w:type="pct"/>
            <w:tcBorders>
              <w:top w:val="nil"/>
              <w:left w:val="single" w:sz="4" w:space="0" w:color="auto"/>
              <w:bottom w:val="nil"/>
              <w:right w:val="single" w:sz="4" w:space="0" w:color="auto"/>
            </w:tcBorders>
            <w:shd w:val="clear" w:color="auto" w:fill="auto"/>
            <w:noWrap/>
            <w:vAlign w:val="bottom"/>
          </w:tcPr>
          <w:p w:rsidR="00E403CE" w:rsidRPr="004E2A7F" w:rsidRDefault="00E403CE" w:rsidP="00E403CE">
            <w:pPr>
              <w:rPr>
                <w:rFonts w:ascii="Arial" w:hAnsi="Arial" w:cs="Arial"/>
                <w:sz w:val="12"/>
                <w:szCs w:val="12"/>
              </w:rPr>
            </w:pPr>
            <w:r w:rsidRPr="004E2A7F">
              <w:rPr>
                <w:rFonts w:ascii="Arial" w:hAnsi="Arial" w:cs="Arial"/>
                <w:sz w:val="12"/>
                <w:szCs w:val="12"/>
              </w:rPr>
              <w:t>Perfaqesite Diplomatike</w:t>
            </w:r>
          </w:p>
        </w:tc>
        <w:tc>
          <w:tcPr>
            <w:tcW w:w="965" w:type="pct"/>
            <w:tcBorders>
              <w:top w:val="nil"/>
              <w:left w:val="nil"/>
              <w:bottom w:val="nil"/>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1.355.650</w:t>
            </w:r>
          </w:p>
        </w:tc>
        <w:tc>
          <w:tcPr>
            <w:tcW w:w="432" w:type="pct"/>
            <w:tcBorders>
              <w:top w:val="nil"/>
              <w:left w:val="nil"/>
              <w:bottom w:val="nil"/>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245.800</w:t>
            </w:r>
          </w:p>
        </w:tc>
        <w:tc>
          <w:tcPr>
            <w:tcW w:w="298" w:type="pct"/>
            <w:tcBorders>
              <w:top w:val="nil"/>
              <w:left w:val="nil"/>
              <w:bottom w:val="nil"/>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321" w:type="pct"/>
            <w:tcBorders>
              <w:top w:val="nil"/>
              <w:left w:val="nil"/>
              <w:bottom w:val="nil"/>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441" w:type="pct"/>
            <w:tcBorders>
              <w:top w:val="nil"/>
              <w:left w:val="nil"/>
              <w:bottom w:val="nil"/>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245.800</w:t>
            </w:r>
          </w:p>
        </w:tc>
        <w:tc>
          <w:tcPr>
            <w:tcW w:w="540" w:type="pct"/>
            <w:tcBorders>
              <w:top w:val="nil"/>
              <w:left w:val="nil"/>
              <w:bottom w:val="nil"/>
              <w:right w:val="double" w:sz="6"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1.601.450</w:t>
            </w:r>
          </w:p>
        </w:tc>
      </w:tr>
      <w:tr w:rsidR="00E403CE" w:rsidRPr="004E2A7F">
        <w:trPr>
          <w:trHeight w:val="162"/>
        </w:trPr>
        <w:tc>
          <w:tcPr>
            <w:tcW w:w="322" w:type="pct"/>
            <w:tcBorders>
              <w:top w:val="dotted" w:sz="4" w:space="0" w:color="auto"/>
              <w:left w:val="double" w:sz="6" w:space="0" w:color="auto"/>
              <w:bottom w:val="nil"/>
              <w:right w:val="nil"/>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01130</w:t>
            </w:r>
          </w:p>
        </w:tc>
        <w:tc>
          <w:tcPr>
            <w:tcW w:w="1679" w:type="pct"/>
            <w:tcBorders>
              <w:top w:val="dotted" w:sz="4" w:space="0" w:color="auto"/>
              <w:left w:val="single" w:sz="4" w:space="0" w:color="auto"/>
              <w:bottom w:val="nil"/>
              <w:right w:val="single" w:sz="4" w:space="0" w:color="auto"/>
            </w:tcBorders>
            <w:shd w:val="clear" w:color="auto" w:fill="auto"/>
            <w:noWrap/>
            <w:vAlign w:val="bottom"/>
          </w:tcPr>
          <w:p w:rsidR="00E403CE" w:rsidRPr="004E2A7F" w:rsidRDefault="00E403CE" w:rsidP="00E403CE">
            <w:pPr>
              <w:rPr>
                <w:rFonts w:ascii="Arial" w:hAnsi="Arial" w:cs="Arial"/>
                <w:sz w:val="12"/>
                <w:szCs w:val="12"/>
              </w:rPr>
            </w:pPr>
            <w:r w:rsidRPr="004E2A7F">
              <w:rPr>
                <w:rFonts w:ascii="Arial" w:hAnsi="Arial" w:cs="Arial"/>
                <w:sz w:val="12"/>
                <w:szCs w:val="12"/>
              </w:rPr>
              <w:t>Promovimi i imazhit te vlerave te vendit</w:t>
            </w:r>
          </w:p>
        </w:tc>
        <w:tc>
          <w:tcPr>
            <w:tcW w:w="965" w:type="pct"/>
            <w:tcBorders>
              <w:top w:val="dotted" w:sz="4" w:space="0" w:color="auto"/>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88.000</w:t>
            </w:r>
          </w:p>
        </w:tc>
        <w:tc>
          <w:tcPr>
            <w:tcW w:w="432" w:type="pct"/>
            <w:tcBorders>
              <w:top w:val="dotted" w:sz="4" w:space="0" w:color="auto"/>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7.180</w:t>
            </w:r>
          </w:p>
        </w:tc>
        <w:tc>
          <w:tcPr>
            <w:tcW w:w="298" w:type="pct"/>
            <w:tcBorders>
              <w:top w:val="dotted" w:sz="4" w:space="0" w:color="auto"/>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321" w:type="pct"/>
            <w:tcBorders>
              <w:top w:val="dotted" w:sz="4" w:space="0" w:color="auto"/>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441" w:type="pct"/>
            <w:tcBorders>
              <w:top w:val="dotted" w:sz="4" w:space="0" w:color="auto"/>
              <w:left w:val="nil"/>
              <w:bottom w:val="nil"/>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7.180</w:t>
            </w:r>
          </w:p>
        </w:tc>
        <w:tc>
          <w:tcPr>
            <w:tcW w:w="540" w:type="pct"/>
            <w:tcBorders>
              <w:top w:val="dotted" w:sz="4" w:space="0" w:color="auto"/>
              <w:left w:val="nil"/>
              <w:bottom w:val="nil"/>
              <w:right w:val="double" w:sz="6"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95.180</w:t>
            </w:r>
          </w:p>
        </w:tc>
      </w:tr>
      <w:tr w:rsidR="00E403CE" w:rsidRPr="004E2A7F">
        <w:trPr>
          <w:trHeight w:val="162"/>
        </w:trPr>
        <w:tc>
          <w:tcPr>
            <w:tcW w:w="322" w:type="pct"/>
            <w:tcBorders>
              <w:top w:val="dotted" w:sz="4" w:space="0" w:color="auto"/>
              <w:left w:val="double" w:sz="6" w:space="0" w:color="auto"/>
              <w:bottom w:val="nil"/>
              <w:right w:val="nil"/>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01140</w:t>
            </w:r>
          </w:p>
        </w:tc>
        <w:tc>
          <w:tcPr>
            <w:tcW w:w="1679" w:type="pct"/>
            <w:tcBorders>
              <w:top w:val="dotted" w:sz="4" w:space="0" w:color="auto"/>
              <w:left w:val="single" w:sz="4" w:space="0" w:color="auto"/>
              <w:bottom w:val="nil"/>
              <w:right w:val="single" w:sz="4" w:space="0" w:color="auto"/>
            </w:tcBorders>
            <w:shd w:val="clear" w:color="auto" w:fill="auto"/>
            <w:noWrap/>
            <w:vAlign w:val="bottom"/>
          </w:tcPr>
          <w:p w:rsidR="00E403CE" w:rsidRPr="004E2A7F" w:rsidRDefault="00E403CE" w:rsidP="00E403CE">
            <w:pPr>
              <w:rPr>
                <w:rFonts w:ascii="Arial" w:hAnsi="Arial" w:cs="Arial"/>
                <w:sz w:val="12"/>
                <w:szCs w:val="12"/>
              </w:rPr>
            </w:pPr>
            <w:r w:rsidRPr="004E2A7F">
              <w:rPr>
                <w:rFonts w:ascii="Arial" w:hAnsi="Arial" w:cs="Arial"/>
                <w:sz w:val="12"/>
                <w:szCs w:val="12"/>
              </w:rPr>
              <w:t>Integrimi europian dhe euro-atlantik</w:t>
            </w:r>
          </w:p>
        </w:tc>
        <w:tc>
          <w:tcPr>
            <w:tcW w:w="965"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152.000</w:t>
            </w:r>
          </w:p>
        </w:tc>
        <w:tc>
          <w:tcPr>
            <w:tcW w:w="432"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4.000</w:t>
            </w:r>
          </w:p>
        </w:tc>
        <w:tc>
          <w:tcPr>
            <w:tcW w:w="298"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321"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441" w:type="pct"/>
            <w:tcBorders>
              <w:top w:val="dotted" w:sz="4" w:space="0" w:color="auto"/>
              <w:left w:val="nil"/>
              <w:bottom w:val="nil"/>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4.000</w:t>
            </w:r>
          </w:p>
        </w:tc>
        <w:tc>
          <w:tcPr>
            <w:tcW w:w="540" w:type="pct"/>
            <w:tcBorders>
              <w:top w:val="dotted" w:sz="4" w:space="0" w:color="auto"/>
              <w:left w:val="nil"/>
              <w:bottom w:val="nil"/>
              <w:right w:val="double" w:sz="6"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156.000</w:t>
            </w:r>
          </w:p>
        </w:tc>
      </w:tr>
      <w:tr w:rsidR="00E403CE" w:rsidRPr="004E2A7F">
        <w:trPr>
          <w:trHeight w:val="162"/>
        </w:trPr>
        <w:tc>
          <w:tcPr>
            <w:tcW w:w="322" w:type="pct"/>
            <w:tcBorders>
              <w:top w:val="single" w:sz="4" w:space="0" w:color="auto"/>
              <w:left w:val="double" w:sz="6" w:space="0" w:color="auto"/>
              <w:bottom w:val="dotted" w:sz="4" w:space="0" w:color="auto"/>
              <w:right w:val="nil"/>
            </w:tcBorders>
            <w:shd w:val="clear" w:color="auto" w:fill="auto"/>
            <w:vAlign w:val="bottom"/>
          </w:tcPr>
          <w:p w:rsidR="00E403CE" w:rsidRPr="004E2A7F" w:rsidRDefault="00E403CE" w:rsidP="00E403CE">
            <w:pPr>
              <w:jc w:val="right"/>
              <w:rPr>
                <w:rFonts w:ascii="Arial" w:hAnsi="Arial" w:cs="Arial"/>
                <w:b/>
                <w:bCs/>
                <w:color w:val="000000"/>
                <w:sz w:val="12"/>
                <w:szCs w:val="12"/>
              </w:rPr>
            </w:pPr>
            <w:r w:rsidRPr="004E2A7F">
              <w:rPr>
                <w:rFonts w:ascii="Arial" w:hAnsi="Arial" w:cs="Arial"/>
                <w:b/>
                <w:bCs/>
                <w:color w:val="000000"/>
                <w:sz w:val="12"/>
                <w:szCs w:val="12"/>
              </w:rPr>
              <w:t>16</w:t>
            </w:r>
          </w:p>
        </w:tc>
        <w:tc>
          <w:tcPr>
            <w:tcW w:w="1679" w:type="pct"/>
            <w:tcBorders>
              <w:top w:val="single" w:sz="4" w:space="0" w:color="auto"/>
              <w:left w:val="single" w:sz="4" w:space="0" w:color="auto"/>
              <w:bottom w:val="dotted" w:sz="4" w:space="0" w:color="auto"/>
              <w:right w:val="single" w:sz="4" w:space="0" w:color="auto"/>
            </w:tcBorders>
            <w:shd w:val="clear" w:color="auto" w:fill="auto"/>
            <w:vAlign w:val="bottom"/>
          </w:tcPr>
          <w:p w:rsidR="00E403CE" w:rsidRPr="004E2A7F" w:rsidRDefault="00E403CE" w:rsidP="00E403CE">
            <w:pPr>
              <w:rPr>
                <w:rFonts w:ascii="Arial" w:hAnsi="Arial" w:cs="Arial"/>
                <w:b/>
                <w:bCs/>
                <w:color w:val="000000"/>
                <w:sz w:val="12"/>
                <w:szCs w:val="12"/>
              </w:rPr>
            </w:pPr>
            <w:r w:rsidRPr="004E2A7F">
              <w:rPr>
                <w:rFonts w:ascii="Arial" w:hAnsi="Arial" w:cs="Arial"/>
                <w:b/>
                <w:bCs/>
                <w:color w:val="000000"/>
                <w:sz w:val="12"/>
                <w:szCs w:val="12"/>
              </w:rPr>
              <w:t>Ministria e Brendshme</w:t>
            </w:r>
          </w:p>
        </w:tc>
        <w:tc>
          <w:tcPr>
            <w:tcW w:w="965" w:type="pct"/>
            <w:tcBorders>
              <w:top w:val="single" w:sz="4" w:space="0" w:color="auto"/>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13.072.000</w:t>
            </w:r>
          </w:p>
        </w:tc>
        <w:tc>
          <w:tcPr>
            <w:tcW w:w="432" w:type="pct"/>
            <w:tcBorders>
              <w:top w:val="single" w:sz="4" w:space="0" w:color="auto"/>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1.205.851</w:t>
            </w:r>
          </w:p>
        </w:tc>
        <w:tc>
          <w:tcPr>
            <w:tcW w:w="298" w:type="pct"/>
            <w:tcBorders>
              <w:top w:val="single" w:sz="4" w:space="0" w:color="auto"/>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59.649</w:t>
            </w:r>
          </w:p>
        </w:tc>
        <w:tc>
          <w:tcPr>
            <w:tcW w:w="321" w:type="pct"/>
            <w:tcBorders>
              <w:top w:val="single" w:sz="4" w:space="0" w:color="auto"/>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650.000</w:t>
            </w:r>
          </w:p>
        </w:tc>
        <w:tc>
          <w:tcPr>
            <w:tcW w:w="441" w:type="pct"/>
            <w:tcBorders>
              <w:top w:val="single" w:sz="4" w:space="0" w:color="auto"/>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1.915.500</w:t>
            </w:r>
          </w:p>
        </w:tc>
        <w:tc>
          <w:tcPr>
            <w:tcW w:w="540" w:type="pct"/>
            <w:tcBorders>
              <w:top w:val="single" w:sz="4" w:space="0" w:color="auto"/>
              <w:left w:val="nil"/>
              <w:bottom w:val="dotted" w:sz="4" w:space="0" w:color="auto"/>
              <w:right w:val="double" w:sz="6" w:space="0" w:color="auto"/>
            </w:tcBorders>
            <w:shd w:val="clear" w:color="auto" w:fill="CCFFFF"/>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14.987.500</w:t>
            </w:r>
          </w:p>
        </w:tc>
      </w:tr>
      <w:tr w:rsidR="00E403CE" w:rsidRPr="004E2A7F">
        <w:trPr>
          <w:trHeight w:val="162"/>
        </w:trPr>
        <w:tc>
          <w:tcPr>
            <w:tcW w:w="322" w:type="pct"/>
            <w:tcBorders>
              <w:top w:val="nil"/>
              <w:left w:val="double" w:sz="6" w:space="0" w:color="auto"/>
              <w:bottom w:val="dotted" w:sz="4" w:space="0" w:color="auto"/>
              <w:right w:val="nil"/>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01110</w:t>
            </w:r>
          </w:p>
        </w:tc>
        <w:tc>
          <w:tcPr>
            <w:tcW w:w="1679" w:type="pct"/>
            <w:tcBorders>
              <w:top w:val="nil"/>
              <w:left w:val="single" w:sz="4" w:space="0" w:color="auto"/>
              <w:bottom w:val="dotted" w:sz="4" w:space="0" w:color="auto"/>
              <w:right w:val="single" w:sz="4" w:space="0" w:color="auto"/>
            </w:tcBorders>
            <w:shd w:val="clear" w:color="auto" w:fill="auto"/>
            <w:noWrap/>
            <w:vAlign w:val="bottom"/>
          </w:tcPr>
          <w:p w:rsidR="00E403CE" w:rsidRPr="004E2A7F" w:rsidRDefault="00E403CE" w:rsidP="00E403CE">
            <w:pPr>
              <w:rPr>
                <w:rFonts w:ascii="Arial" w:hAnsi="Arial" w:cs="Arial"/>
                <w:sz w:val="12"/>
                <w:szCs w:val="12"/>
              </w:rPr>
            </w:pPr>
            <w:r w:rsidRPr="004E2A7F">
              <w:rPr>
                <w:rFonts w:ascii="Arial" w:hAnsi="Arial" w:cs="Arial"/>
                <w:sz w:val="12"/>
                <w:szCs w:val="12"/>
              </w:rPr>
              <w:t>Planifikimi, Menaxhimi dhe Administrimi</w:t>
            </w:r>
          </w:p>
        </w:tc>
        <w:tc>
          <w:tcPr>
            <w:tcW w:w="965"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558.970</w:t>
            </w:r>
          </w:p>
        </w:tc>
        <w:tc>
          <w:tcPr>
            <w:tcW w:w="432"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271.895</w:t>
            </w:r>
          </w:p>
        </w:tc>
        <w:tc>
          <w:tcPr>
            <w:tcW w:w="298"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19.649</w:t>
            </w:r>
          </w:p>
        </w:tc>
        <w:tc>
          <w:tcPr>
            <w:tcW w:w="321"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250.000</w:t>
            </w:r>
          </w:p>
        </w:tc>
        <w:tc>
          <w:tcPr>
            <w:tcW w:w="441"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541.544</w:t>
            </w:r>
          </w:p>
        </w:tc>
        <w:tc>
          <w:tcPr>
            <w:tcW w:w="540" w:type="pct"/>
            <w:tcBorders>
              <w:top w:val="nil"/>
              <w:left w:val="nil"/>
              <w:bottom w:val="dotted" w:sz="4" w:space="0" w:color="auto"/>
              <w:right w:val="double" w:sz="6"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1.100.514</w:t>
            </w:r>
          </w:p>
        </w:tc>
      </w:tr>
      <w:tr w:rsidR="00E403CE" w:rsidRPr="004E2A7F">
        <w:trPr>
          <w:trHeight w:val="162"/>
        </w:trPr>
        <w:tc>
          <w:tcPr>
            <w:tcW w:w="322" w:type="pct"/>
            <w:tcBorders>
              <w:top w:val="nil"/>
              <w:left w:val="double" w:sz="6" w:space="0" w:color="auto"/>
              <w:bottom w:val="dotted" w:sz="4" w:space="0" w:color="auto"/>
              <w:right w:val="nil"/>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09420</w:t>
            </w:r>
          </w:p>
        </w:tc>
        <w:tc>
          <w:tcPr>
            <w:tcW w:w="1679" w:type="pct"/>
            <w:tcBorders>
              <w:top w:val="nil"/>
              <w:left w:val="single" w:sz="4" w:space="0" w:color="auto"/>
              <w:bottom w:val="dotted" w:sz="4" w:space="0" w:color="auto"/>
              <w:right w:val="single" w:sz="4" w:space="0" w:color="auto"/>
            </w:tcBorders>
            <w:shd w:val="clear" w:color="auto" w:fill="auto"/>
            <w:noWrap/>
            <w:vAlign w:val="bottom"/>
          </w:tcPr>
          <w:p w:rsidR="00E403CE" w:rsidRPr="004E2A7F" w:rsidRDefault="00E403CE" w:rsidP="00E403CE">
            <w:pPr>
              <w:rPr>
                <w:rFonts w:ascii="Arial" w:hAnsi="Arial" w:cs="Arial"/>
                <w:sz w:val="12"/>
                <w:szCs w:val="12"/>
              </w:rPr>
            </w:pPr>
            <w:r w:rsidRPr="004E2A7F">
              <w:rPr>
                <w:rFonts w:ascii="Arial" w:hAnsi="Arial" w:cs="Arial"/>
                <w:sz w:val="12"/>
                <w:szCs w:val="12"/>
              </w:rPr>
              <w:t>Arsimi dhe Shkenca (Akademia)</w:t>
            </w:r>
          </w:p>
        </w:tc>
        <w:tc>
          <w:tcPr>
            <w:tcW w:w="965"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181.522</w:t>
            </w:r>
          </w:p>
        </w:tc>
        <w:tc>
          <w:tcPr>
            <w:tcW w:w="432"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4.800</w:t>
            </w:r>
          </w:p>
        </w:tc>
        <w:tc>
          <w:tcPr>
            <w:tcW w:w="298"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321"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441"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4.800</w:t>
            </w:r>
          </w:p>
        </w:tc>
        <w:tc>
          <w:tcPr>
            <w:tcW w:w="540" w:type="pct"/>
            <w:tcBorders>
              <w:top w:val="nil"/>
              <w:left w:val="nil"/>
              <w:bottom w:val="dotted" w:sz="4" w:space="0" w:color="auto"/>
              <w:right w:val="double" w:sz="6"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186.322</w:t>
            </w:r>
          </w:p>
        </w:tc>
      </w:tr>
      <w:tr w:rsidR="00E403CE" w:rsidRPr="004E2A7F">
        <w:trPr>
          <w:trHeight w:val="162"/>
        </w:trPr>
        <w:tc>
          <w:tcPr>
            <w:tcW w:w="322" w:type="pct"/>
            <w:tcBorders>
              <w:top w:val="nil"/>
              <w:left w:val="double" w:sz="6" w:space="0" w:color="auto"/>
              <w:bottom w:val="dotted" w:sz="4" w:space="0" w:color="auto"/>
              <w:right w:val="nil"/>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03140</w:t>
            </w:r>
          </w:p>
        </w:tc>
        <w:tc>
          <w:tcPr>
            <w:tcW w:w="1679" w:type="pct"/>
            <w:tcBorders>
              <w:top w:val="nil"/>
              <w:left w:val="single" w:sz="4" w:space="0" w:color="auto"/>
              <w:bottom w:val="dotted" w:sz="4" w:space="0" w:color="auto"/>
              <w:right w:val="single" w:sz="4" w:space="0" w:color="auto"/>
            </w:tcBorders>
            <w:shd w:val="clear" w:color="auto" w:fill="auto"/>
            <w:noWrap/>
            <w:vAlign w:val="bottom"/>
          </w:tcPr>
          <w:p w:rsidR="00E403CE" w:rsidRPr="004E2A7F" w:rsidRDefault="00E403CE" w:rsidP="00E403CE">
            <w:pPr>
              <w:rPr>
                <w:rFonts w:ascii="Arial" w:hAnsi="Arial" w:cs="Arial"/>
                <w:sz w:val="12"/>
                <w:szCs w:val="12"/>
              </w:rPr>
            </w:pPr>
            <w:r w:rsidRPr="004E2A7F">
              <w:rPr>
                <w:rFonts w:ascii="Arial" w:hAnsi="Arial" w:cs="Arial"/>
                <w:sz w:val="12"/>
                <w:szCs w:val="12"/>
              </w:rPr>
              <w:t>Policia e Shtetit</w:t>
            </w:r>
          </w:p>
        </w:tc>
        <w:tc>
          <w:tcPr>
            <w:tcW w:w="965"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9.709.324</w:t>
            </w:r>
          </w:p>
        </w:tc>
        <w:tc>
          <w:tcPr>
            <w:tcW w:w="432"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337.400</w:t>
            </w:r>
          </w:p>
        </w:tc>
        <w:tc>
          <w:tcPr>
            <w:tcW w:w="298"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40.000</w:t>
            </w:r>
          </w:p>
        </w:tc>
        <w:tc>
          <w:tcPr>
            <w:tcW w:w="321"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350.000</w:t>
            </w:r>
          </w:p>
        </w:tc>
        <w:tc>
          <w:tcPr>
            <w:tcW w:w="441"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727.400</w:t>
            </w:r>
          </w:p>
        </w:tc>
        <w:tc>
          <w:tcPr>
            <w:tcW w:w="540" w:type="pct"/>
            <w:tcBorders>
              <w:top w:val="nil"/>
              <w:left w:val="nil"/>
              <w:bottom w:val="dotted" w:sz="4" w:space="0" w:color="auto"/>
              <w:right w:val="double" w:sz="6"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10.436.724</w:t>
            </w:r>
          </w:p>
        </w:tc>
      </w:tr>
      <w:tr w:rsidR="00E403CE" w:rsidRPr="004E2A7F">
        <w:trPr>
          <w:trHeight w:val="162"/>
        </w:trPr>
        <w:tc>
          <w:tcPr>
            <w:tcW w:w="322" w:type="pct"/>
            <w:tcBorders>
              <w:top w:val="nil"/>
              <w:left w:val="double" w:sz="6" w:space="0" w:color="auto"/>
              <w:bottom w:val="dotted" w:sz="4" w:space="0" w:color="auto"/>
              <w:right w:val="nil"/>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03150</w:t>
            </w:r>
          </w:p>
        </w:tc>
        <w:tc>
          <w:tcPr>
            <w:tcW w:w="1679" w:type="pct"/>
            <w:tcBorders>
              <w:top w:val="nil"/>
              <w:left w:val="single" w:sz="4" w:space="0" w:color="auto"/>
              <w:bottom w:val="dotted" w:sz="4" w:space="0" w:color="auto"/>
              <w:right w:val="single" w:sz="4" w:space="0" w:color="auto"/>
            </w:tcBorders>
            <w:shd w:val="clear" w:color="auto" w:fill="auto"/>
            <w:noWrap/>
            <w:vAlign w:val="bottom"/>
          </w:tcPr>
          <w:p w:rsidR="00E403CE" w:rsidRPr="004E2A7F" w:rsidRDefault="00E403CE" w:rsidP="00E403CE">
            <w:pPr>
              <w:rPr>
                <w:rFonts w:ascii="Arial" w:hAnsi="Arial" w:cs="Arial"/>
                <w:sz w:val="12"/>
                <w:szCs w:val="12"/>
              </w:rPr>
            </w:pPr>
            <w:r w:rsidRPr="004E2A7F">
              <w:rPr>
                <w:rFonts w:ascii="Arial" w:hAnsi="Arial" w:cs="Arial"/>
                <w:sz w:val="12"/>
                <w:szCs w:val="12"/>
              </w:rPr>
              <w:t>Garda e Republikes</w:t>
            </w:r>
          </w:p>
        </w:tc>
        <w:tc>
          <w:tcPr>
            <w:tcW w:w="965"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1.073.944</w:t>
            </w:r>
          </w:p>
        </w:tc>
        <w:tc>
          <w:tcPr>
            <w:tcW w:w="432"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33.340</w:t>
            </w:r>
          </w:p>
        </w:tc>
        <w:tc>
          <w:tcPr>
            <w:tcW w:w="298"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321"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441"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33.340</w:t>
            </w:r>
          </w:p>
        </w:tc>
        <w:tc>
          <w:tcPr>
            <w:tcW w:w="540" w:type="pct"/>
            <w:tcBorders>
              <w:top w:val="nil"/>
              <w:left w:val="nil"/>
              <w:bottom w:val="dotted" w:sz="4" w:space="0" w:color="auto"/>
              <w:right w:val="double" w:sz="6"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1.107.284</w:t>
            </w:r>
          </w:p>
        </w:tc>
      </w:tr>
      <w:tr w:rsidR="00E403CE" w:rsidRPr="004E2A7F">
        <w:trPr>
          <w:trHeight w:val="162"/>
        </w:trPr>
        <w:tc>
          <w:tcPr>
            <w:tcW w:w="322" w:type="pct"/>
            <w:tcBorders>
              <w:top w:val="nil"/>
              <w:left w:val="double" w:sz="6" w:space="0" w:color="auto"/>
              <w:bottom w:val="dotted" w:sz="4" w:space="0" w:color="auto"/>
              <w:right w:val="nil"/>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01160</w:t>
            </w:r>
          </w:p>
        </w:tc>
        <w:tc>
          <w:tcPr>
            <w:tcW w:w="1679" w:type="pct"/>
            <w:tcBorders>
              <w:top w:val="nil"/>
              <w:left w:val="single" w:sz="4" w:space="0" w:color="auto"/>
              <w:bottom w:val="dotted" w:sz="4" w:space="0" w:color="auto"/>
              <w:right w:val="single" w:sz="4" w:space="0" w:color="auto"/>
            </w:tcBorders>
            <w:shd w:val="clear" w:color="auto" w:fill="auto"/>
            <w:noWrap/>
            <w:vAlign w:val="bottom"/>
          </w:tcPr>
          <w:p w:rsidR="00E403CE" w:rsidRPr="004E2A7F" w:rsidRDefault="00E403CE" w:rsidP="00E403CE">
            <w:pPr>
              <w:rPr>
                <w:rFonts w:ascii="Arial" w:hAnsi="Arial" w:cs="Arial"/>
                <w:sz w:val="12"/>
                <w:szCs w:val="12"/>
              </w:rPr>
            </w:pPr>
            <w:r w:rsidRPr="004E2A7F">
              <w:rPr>
                <w:rFonts w:ascii="Arial" w:hAnsi="Arial" w:cs="Arial"/>
                <w:sz w:val="12"/>
                <w:szCs w:val="12"/>
              </w:rPr>
              <w:t>Prefekturat dhe Funksionet e Deleguara te P. Vendor</w:t>
            </w:r>
          </w:p>
        </w:tc>
        <w:tc>
          <w:tcPr>
            <w:tcW w:w="965"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498.538</w:t>
            </w:r>
          </w:p>
        </w:tc>
        <w:tc>
          <w:tcPr>
            <w:tcW w:w="432"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2.500</w:t>
            </w:r>
          </w:p>
        </w:tc>
        <w:tc>
          <w:tcPr>
            <w:tcW w:w="298"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321"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441"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2.500</w:t>
            </w:r>
          </w:p>
        </w:tc>
        <w:tc>
          <w:tcPr>
            <w:tcW w:w="540" w:type="pct"/>
            <w:tcBorders>
              <w:top w:val="nil"/>
              <w:left w:val="nil"/>
              <w:bottom w:val="dotted" w:sz="4" w:space="0" w:color="auto"/>
              <w:right w:val="double" w:sz="6"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501.038</w:t>
            </w:r>
          </w:p>
        </w:tc>
      </w:tr>
      <w:tr w:rsidR="00E403CE" w:rsidRPr="004E2A7F">
        <w:trPr>
          <w:trHeight w:val="162"/>
        </w:trPr>
        <w:tc>
          <w:tcPr>
            <w:tcW w:w="322" w:type="pct"/>
            <w:tcBorders>
              <w:top w:val="nil"/>
              <w:left w:val="double" w:sz="6" w:space="0" w:color="auto"/>
              <w:bottom w:val="dotted" w:sz="4" w:space="0" w:color="auto"/>
              <w:right w:val="nil"/>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01170</w:t>
            </w:r>
          </w:p>
        </w:tc>
        <w:tc>
          <w:tcPr>
            <w:tcW w:w="1679" w:type="pct"/>
            <w:tcBorders>
              <w:top w:val="nil"/>
              <w:left w:val="single" w:sz="4" w:space="0" w:color="auto"/>
              <w:bottom w:val="dotted" w:sz="4" w:space="0" w:color="auto"/>
              <w:right w:val="single" w:sz="4" w:space="0" w:color="auto"/>
            </w:tcBorders>
            <w:shd w:val="clear" w:color="auto" w:fill="auto"/>
            <w:noWrap/>
            <w:vAlign w:val="bottom"/>
          </w:tcPr>
          <w:p w:rsidR="00E403CE" w:rsidRPr="004E2A7F" w:rsidRDefault="00E403CE" w:rsidP="00E403CE">
            <w:pPr>
              <w:rPr>
                <w:rFonts w:ascii="Arial" w:hAnsi="Arial" w:cs="Arial"/>
                <w:sz w:val="12"/>
                <w:szCs w:val="12"/>
              </w:rPr>
            </w:pPr>
            <w:r w:rsidRPr="004E2A7F">
              <w:rPr>
                <w:rFonts w:ascii="Arial" w:hAnsi="Arial" w:cs="Arial"/>
                <w:sz w:val="12"/>
                <w:szCs w:val="12"/>
              </w:rPr>
              <w:t>Sherbimi i Gjendjes Civile</w:t>
            </w:r>
          </w:p>
        </w:tc>
        <w:tc>
          <w:tcPr>
            <w:tcW w:w="965"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356.081</w:t>
            </w:r>
          </w:p>
        </w:tc>
        <w:tc>
          <w:tcPr>
            <w:tcW w:w="432"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537.116</w:t>
            </w:r>
          </w:p>
        </w:tc>
        <w:tc>
          <w:tcPr>
            <w:tcW w:w="298"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321"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441"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537.116</w:t>
            </w:r>
          </w:p>
        </w:tc>
        <w:tc>
          <w:tcPr>
            <w:tcW w:w="540" w:type="pct"/>
            <w:tcBorders>
              <w:top w:val="nil"/>
              <w:left w:val="nil"/>
              <w:bottom w:val="dotted" w:sz="4" w:space="0" w:color="auto"/>
              <w:right w:val="double" w:sz="6"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893.197</w:t>
            </w:r>
          </w:p>
        </w:tc>
      </w:tr>
      <w:tr w:rsidR="00E403CE" w:rsidRPr="004E2A7F">
        <w:trPr>
          <w:trHeight w:val="162"/>
        </w:trPr>
        <w:tc>
          <w:tcPr>
            <w:tcW w:w="322" w:type="pct"/>
            <w:tcBorders>
              <w:top w:val="nil"/>
              <w:left w:val="double" w:sz="6" w:space="0" w:color="auto"/>
              <w:bottom w:val="single" w:sz="4" w:space="0" w:color="auto"/>
              <w:right w:val="nil"/>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10910</w:t>
            </w:r>
          </w:p>
        </w:tc>
        <w:tc>
          <w:tcPr>
            <w:tcW w:w="1679" w:type="pct"/>
            <w:tcBorders>
              <w:top w:val="nil"/>
              <w:left w:val="single" w:sz="4" w:space="0" w:color="auto"/>
              <w:bottom w:val="single" w:sz="4" w:space="0" w:color="auto"/>
              <w:right w:val="single" w:sz="4" w:space="0" w:color="auto"/>
            </w:tcBorders>
            <w:shd w:val="clear" w:color="auto" w:fill="auto"/>
            <w:noWrap/>
            <w:vAlign w:val="bottom"/>
          </w:tcPr>
          <w:p w:rsidR="00E403CE" w:rsidRPr="004E2A7F" w:rsidRDefault="00E403CE" w:rsidP="00E403CE">
            <w:pPr>
              <w:rPr>
                <w:rFonts w:ascii="Arial" w:hAnsi="Arial" w:cs="Arial"/>
                <w:sz w:val="12"/>
                <w:szCs w:val="12"/>
              </w:rPr>
            </w:pPr>
            <w:r w:rsidRPr="004E2A7F">
              <w:rPr>
                <w:rFonts w:ascii="Arial" w:hAnsi="Arial" w:cs="Arial"/>
                <w:sz w:val="12"/>
                <w:szCs w:val="12"/>
              </w:rPr>
              <w:t>Emergjencat Civile</w:t>
            </w:r>
          </w:p>
        </w:tc>
        <w:tc>
          <w:tcPr>
            <w:tcW w:w="965" w:type="pct"/>
            <w:tcBorders>
              <w:top w:val="nil"/>
              <w:left w:val="nil"/>
              <w:bottom w:val="single"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693.621</w:t>
            </w:r>
          </w:p>
        </w:tc>
        <w:tc>
          <w:tcPr>
            <w:tcW w:w="432" w:type="pct"/>
            <w:tcBorders>
              <w:top w:val="nil"/>
              <w:left w:val="nil"/>
              <w:bottom w:val="single"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18.800</w:t>
            </w:r>
          </w:p>
        </w:tc>
        <w:tc>
          <w:tcPr>
            <w:tcW w:w="298" w:type="pct"/>
            <w:tcBorders>
              <w:top w:val="nil"/>
              <w:left w:val="nil"/>
              <w:bottom w:val="single"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321" w:type="pct"/>
            <w:tcBorders>
              <w:top w:val="nil"/>
              <w:left w:val="nil"/>
              <w:bottom w:val="single"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50.000</w:t>
            </w:r>
          </w:p>
        </w:tc>
        <w:tc>
          <w:tcPr>
            <w:tcW w:w="441" w:type="pct"/>
            <w:tcBorders>
              <w:top w:val="nil"/>
              <w:left w:val="nil"/>
              <w:bottom w:val="single"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68.800</w:t>
            </w:r>
          </w:p>
        </w:tc>
        <w:tc>
          <w:tcPr>
            <w:tcW w:w="540" w:type="pct"/>
            <w:tcBorders>
              <w:top w:val="nil"/>
              <w:left w:val="nil"/>
              <w:bottom w:val="single" w:sz="4" w:space="0" w:color="auto"/>
              <w:right w:val="double" w:sz="6"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762.421</w:t>
            </w:r>
          </w:p>
        </w:tc>
      </w:tr>
      <w:tr w:rsidR="00E403CE" w:rsidRPr="004E2A7F">
        <w:trPr>
          <w:trHeight w:val="162"/>
        </w:trPr>
        <w:tc>
          <w:tcPr>
            <w:tcW w:w="322" w:type="pct"/>
            <w:tcBorders>
              <w:top w:val="nil"/>
              <w:left w:val="double" w:sz="6" w:space="0" w:color="auto"/>
              <w:bottom w:val="dotted" w:sz="4" w:space="0" w:color="auto"/>
              <w:right w:val="nil"/>
            </w:tcBorders>
            <w:shd w:val="clear" w:color="auto" w:fill="auto"/>
            <w:vAlign w:val="bottom"/>
          </w:tcPr>
          <w:p w:rsidR="00E403CE" w:rsidRPr="004E2A7F" w:rsidRDefault="00E403CE" w:rsidP="00E403CE">
            <w:pPr>
              <w:jc w:val="right"/>
              <w:rPr>
                <w:rFonts w:ascii="Arial" w:hAnsi="Arial" w:cs="Arial"/>
                <w:b/>
                <w:bCs/>
                <w:color w:val="000000"/>
                <w:sz w:val="12"/>
                <w:szCs w:val="12"/>
              </w:rPr>
            </w:pPr>
            <w:r w:rsidRPr="004E2A7F">
              <w:rPr>
                <w:rFonts w:ascii="Arial" w:hAnsi="Arial" w:cs="Arial"/>
                <w:b/>
                <w:bCs/>
                <w:color w:val="000000"/>
                <w:sz w:val="12"/>
                <w:szCs w:val="12"/>
              </w:rPr>
              <w:t>17</w:t>
            </w:r>
          </w:p>
        </w:tc>
        <w:tc>
          <w:tcPr>
            <w:tcW w:w="1679" w:type="pct"/>
            <w:tcBorders>
              <w:top w:val="nil"/>
              <w:left w:val="single" w:sz="4" w:space="0" w:color="auto"/>
              <w:bottom w:val="dotted" w:sz="4" w:space="0" w:color="auto"/>
              <w:right w:val="single" w:sz="4" w:space="0" w:color="auto"/>
            </w:tcBorders>
            <w:shd w:val="clear" w:color="auto" w:fill="auto"/>
            <w:vAlign w:val="bottom"/>
          </w:tcPr>
          <w:p w:rsidR="00E403CE" w:rsidRPr="004E2A7F" w:rsidRDefault="00E403CE" w:rsidP="00E403CE">
            <w:pPr>
              <w:rPr>
                <w:rFonts w:ascii="Arial" w:hAnsi="Arial" w:cs="Arial"/>
                <w:b/>
                <w:bCs/>
                <w:color w:val="000000"/>
                <w:sz w:val="12"/>
                <w:szCs w:val="12"/>
              </w:rPr>
            </w:pPr>
            <w:r w:rsidRPr="004E2A7F">
              <w:rPr>
                <w:rFonts w:ascii="Arial" w:hAnsi="Arial" w:cs="Arial"/>
                <w:b/>
                <w:bCs/>
                <w:color w:val="000000"/>
                <w:sz w:val="12"/>
                <w:szCs w:val="12"/>
              </w:rPr>
              <w:t>Ministria e Mbrojtjes</w:t>
            </w:r>
          </w:p>
        </w:tc>
        <w:tc>
          <w:tcPr>
            <w:tcW w:w="965"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13.777.200</w:t>
            </w:r>
          </w:p>
        </w:tc>
        <w:tc>
          <w:tcPr>
            <w:tcW w:w="432"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4.236.000</w:t>
            </w:r>
          </w:p>
        </w:tc>
        <w:tc>
          <w:tcPr>
            <w:tcW w:w="298"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100.000</w:t>
            </w:r>
          </w:p>
        </w:tc>
        <w:tc>
          <w:tcPr>
            <w:tcW w:w="321"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0</w:t>
            </w:r>
          </w:p>
        </w:tc>
        <w:tc>
          <w:tcPr>
            <w:tcW w:w="441"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4.336.000</w:t>
            </w:r>
          </w:p>
        </w:tc>
        <w:tc>
          <w:tcPr>
            <w:tcW w:w="540" w:type="pct"/>
            <w:tcBorders>
              <w:top w:val="nil"/>
              <w:left w:val="nil"/>
              <w:bottom w:val="dotted" w:sz="4" w:space="0" w:color="auto"/>
              <w:right w:val="double" w:sz="6" w:space="0" w:color="auto"/>
            </w:tcBorders>
            <w:shd w:val="clear" w:color="auto" w:fill="CCFFFF"/>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18.113.200</w:t>
            </w:r>
          </w:p>
        </w:tc>
      </w:tr>
      <w:tr w:rsidR="00E403CE" w:rsidRPr="004E2A7F">
        <w:trPr>
          <w:trHeight w:val="162"/>
        </w:trPr>
        <w:tc>
          <w:tcPr>
            <w:tcW w:w="322" w:type="pct"/>
            <w:tcBorders>
              <w:top w:val="nil"/>
              <w:left w:val="double" w:sz="6" w:space="0" w:color="auto"/>
              <w:bottom w:val="dotted" w:sz="4" w:space="0" w:color="auto"/>
              <w:right w:val="nil"/>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01110</w:t>
            </w:r>
          </w:p>
        </w:tc>
        <w:tc>
          <w:tcPr>
            <w:tcW w:w="1679" w:type="pct"/>
            <w:tcBorders>
              <w:top w:val="nil"/>
              <w:left w:val="single" w:sz="4" w:space="0" w:color="auto"/>
              <w:bottom w:val="dotted" w:sz="4" w:space="0" w:color="auto"/>
              <w:right w:val="single" w:sz="4" w:space="0" w:color="auto"/>
            </w:tcBorders>
            <w:shd w:val="clear" w:color="auto" w:fill="auto"/>
            <w:noWrap/>
            <w:vAlign w:val="bottom"/>
          </w:tcPr>
          <w:p w:rsidR="00E403CE" w:rsidRPr="004E2A7F" w:rsidRDefault="00E403CE" w:rsidP="00E403CE">
            <w:pPr>
              <w:rPr>
                <w:rFonts w:ascii="Arial" w:hAnsi="Arial" w:cs="Arial"/>
                <w:sz w:val="12"/>
                <w:szCs w:val="12"/>
              </w:rPr>
            </w:pPr>
            <w:r w:rsidRPr="004E2A7F">
              <w:rPr>
                <w:rFonts w:ascii="Arial" w:hAnsi="Arial" w:cs="Arial"/>
                <w:sz w:val="12"/>
                <w:szCs w:val="12"/>
              </w:rPr>
              <w:t>Planifikimi, Menaxhimi dhe Administrimi</w:t>
            </w:r>
          </w:p>
        </w:tc>
        <w:tc>
          <w:tcPr>
            <w:tcW w:w="965"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1.256.300</w:t>
            </w:r>
          </w:p>
        </w:tc>
        <w:tc>
          <w:tcPr>
            <w:tcW w:w="432"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246.400</w:t>
            </w:r>
          </w:p>
        </w:tc>
        <w:tc>
          <w:tcPr>
            <w:tcW w:w="298"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321"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441"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246.400</w:t>
            </w:r>
          </w:p>
        </w:tc>
        <w:tc>
          <w:tcPr>
            <w:tcW w:w="540" w:type="pct"/>
            <w:tcBorders>
              <w:top w:val="nil"/>
              <w:left w:val="nil"/>
              <w:bottom w:val="dotted" w:sz="4" w:space="0" w:color="auto"/>
              <w:right w:val="double" w:sz="6"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1.502.700</w:t>
            </w:r>
          </w:p>
        </w:tc>
      </w:tr>
      <w:tr w:rsidR="00E403CE" w:rsidRPr="004E2A7F">
        <w:trPr>
          <w:trHeight w:val="162"/>
        </w:trPr>
        <w:tc>
          <w:tcPr>
            <w:tcW w:w="322" w:type="pct"/>
            <w:tcBorders>
              <w:top w:val="nil"/>
              <w:left w:val="double" w:sz="6" w:space="0" w:color="auto"/>
              <w:bottom w:val="dotted" w:sz="4" w:space="0" w:color="auto"/>
              <w:right w:val="nil"/>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02120</w:t>
            </w:r>
          </w:p>
        </w:tc>
        <w:tc>
          <w:tcPr>
            <w:tcW w:w="1679" w:type="pct"/>
            <w:tcBorders>
              <w:top w:val="nil"/>
              <w:left w:val="single" w:sz="4" w:space="0" w:color="auto"/>
              <w:bottom w:val="dotted" w:sz="4" w:space="0" w:color="auto"/>
              <w:right w:val="single" w:sz="4" w:space="0" w:color="auto"/>
            </w:tcBorders>
            <w:shd w:val="clear" w:color="auto" w:fill="auto"/>
            <w:noWrap/>
            <w:vAlign w:val="bottom"/>
          </w:tcPr>
          <w:p w:rsidR="00E403CE" w:rsidRPr="004E2A7F" w:rsidRDefault="00E403CE" w:rsidP="00E403CE">
            <w:pPr>
              <w:rPr>
                <w:rFonts w:ascii="Arial" w:hAnsi="Arial" w:cs="Arial"/>
                <w:sz w:val="12"/>
                <w:szCs w:val="12"/>
              </w:rPr>
            </w:pPr>
            <w:r w:rsidRPr="004E2A7F">
              <w:rPr>
                <w:rFonts w:ascii="Arial" w:hAnsi="Arial" w:cs="Arial"/>
                <w:sz w:val="12"/>
                <w:szCs w:val="12"/>
              </w:rPr>
              <w:t>Forcat e Luftimit</w:t>
            </w:r>
          </w:p>
        </w:tc>
        <w:tc>
          <w:tcPr>
            <w:tcW w:w="965"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3.564.400</w:t>
            </w:r>
          </w:p>
        </w:tc>
        <w:tc>
          <w:tcPr>
            <w:tcW w:w="432"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1.600.000</w:t>
            </w:r>
          </w:p>
        </w:tc>
        <w:tc>
          <w:tcPr>
            <w:tcW w:w="298"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321"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441"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1.600.000</w:t>
            </w:r>
          </w:p>
        </w:tc>
        <w:tc>
          <w:tcPr>
            <w:tcW w:w="540" w:type="pct"/>
            <w:tcBorders>
              <w:top w:val="nil"/>
              <w:left w:val="nil"/>
              <w:bottom w:val="dotted" w:sz="4" w:space="0" w:color="auto"/>
              <w:right w:val="double" w:sz="6"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5.164.400</w:t>
            </w:r>
          </w:p>
        </w:tc>
      </w:tr>
      <w:tr w:rsidR="00E403CE" w:rsidRPr="004E2A7F">
        <w:trPr>
          <w:trHeight w:val="162"/>
        </w:trPr>
        <w:tc>
          <w:tcPr>
            <w:tcW w:w="322" w:type="pct"/>
            <w:tcBorders>
              <w:top w:val="nil"/>
              <w:left w:val="double" w:sz="6" w:space="0" w:color="auto"/>
              <w:bottom w:val="dotted" w:sz="4" w:space="0" w:color="auto"/>
              <w:right w:val="nil"/>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09430</w:t>
            </w:r>
          </w:p>
        </w:tc>
        <w:tc>
          <w:tcPr>
            <w:tcW w:w="1679" w:type="pct"/>
            <w:tcBorders>
              <w:top w:val="nil"/>
              <w:left w:val="single" w:sz="4" w:space="0" w:color="auto"/>
              <w:bottom w:val="dotted" w:sz="4" w:space="0" w:color="auto"/>
              <w:right w:val="single" w:sz="4" w:space="0" w:color="auto"/>
            </w:tcBorders>
            <w:shd w:val="clear" w:color="auto" w:fill="auto"/>
            <w:noWrap/>
            <w:vAlign w:val="bottom"/>
          </w:tcPr>
          <w:p w:rsidR="00E403CE" w:rsidRPr="004E2A7F" w:rsidRDefault="00E403CE" w:rsidP="00E403CE">
            <w:pPr>
              <w:rPr>
                <w:rFonts w:ascii="Arial" w:hAnsi="Arial" w:cs="Arial"/>
                <w:sz w:val="12"/>
                <w:szCs w:val="12"/>
              </w:rPr>
            </w:pPr>
            <w:r w:rsidRPr="004E2A7F">
              <w:rPr>
                <w:rFonts w:ascii="Arial" w:hAnsi="Arial" w:cs="Arial"/>
                <w:sz w:val="12"/>
                <w:szCs w:val="12"/>
              </w:rPr>
              <w:t>Arsimi Ushtarak</w:t>
            </w:r>
          </w:p>
        </w:tc>
        <w:tc>
          <w:tcPr>
            <w:tcW w:w="965"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1.130.500</w:t>
            </w:r>
          </w:p>
        </w:tc>
        <w:tc>
          <w:tcPr>
            <w:tcW w:w="432"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111.800</w:t>
            </w:r>
          </w:p>
        </w:tc>
        <w:tc>
          <w:tcPr>
            <w:tcW w:w="298"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321"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441"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111.800</w:t>
            </w:r>
          </w:p>
        </w:tc>
        <w:tc>
          <w:tcPr>
            <w:tcW w:w="540" w:type="pct"/>
            <w:tcBorders>
              <w:top w:val="nil"/>
              <w:left w:val="nil"/>
              <w:bottom w:val="dotted" w:sz="4" w:space="0" w:color="auto"/>
              <w:right w:val="double" w:sz="6"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1.242.300</w:t>
            </w:r>
          </w:p>
        </w:tc>
      </w:tr>
      <w:tr w:rsidR="00E403CE" w:rsidRPr="004E2A7F">
        <w:trPr>
          <w:trHeight w:val="162"/>
        </w:trPr>
        <w:tc>
          <w:tcPr>
            <w:tcW w:w="322" w:type="pct"/>
            <w:tcBorders>
              <w:top w:val="nil"/>
              <w:left w:val="double" w:sz="6" w:space="0" w:color="auto"/>
              <w:bottom w:val="dotted" w:sz="4" w:space="0" w:color="auto"/>
              <w:right w:val="nil"/>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07340</w:t>
            </w:r>
          </w:p>
        </w:tc>
        <w:tc>
          <w:tcPr>
            <w:tcW w:w="1679" w:type="pct"/>
            <w:tcBorders>
              <w:top w:val="nil"/>
              <w:left w:val="single" w:sz="4" w:space="0" w:color="auto"/>
              <w:bottom w:val="dotted" w:sz="4" w:space="0" w:color="auto"/>
              <w:right w:val="single" w:sz="4" w:space="0" w:color="auto"/>
            </w:tcBorders>
            <w:shd w:val="clear" w:color="auto" w:fill="auto"/>
            <w:noWrap/>
            <w:vAlign w:val="bottom"/>
          </w:tcPr>
          <w:p w:rsidR="00E403CE" w:rsidRPr="004E2A7F" w:rsidRDefault="00E403CE" w:rsidP="00E403CE">
            <w:pPr>
              <w:rPr>
                <w:rFonts w:ascii="Arial" w:hAnsi="Arial" w:cs="Arial"/>
                <w:sz w:val="12"/>
                <w:szCs w:val="12"/>
              </w:rPr>
            </w:pPr>
            <w:r w:rsidRPr="004E2A7F">
              <w:rPr>
                <w:rFonts w:ascii="Arial" w:hAnsi="Arial" w:cs="Arial"/>
                <w:sz w:val="12"/>
                <w:szCs w:val="12"/>
              </w:rPr>
              <w:t>Mbeshtetje Shendetesore</w:t>
            </w:r>
          </w:p>
        </w:tc>
        <w:tc>
          <w:tcPr>
            <w:tcW w:w="965"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523.400</w:t>
            </w:r>
          </w:p>
        </w:tc>
        <w:tc>
          <w:tcPr>
            <w:tcW w:w="432"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16.700</w:t>
            </w:r>
          </w:p>
        </w:tc>
        <w:tc>
          <w:tcPr>
            <w:tcW w:w="298"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321"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441"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16.700</w:t>
            </w:r>
          </w:p>
        </w:tc>
        <w:tc>
          <w:tcPr>
            <w:tcW w:w="540" w:type="pct"/>
            <w:tcBorders>
              <w:top w:val="nil"/>
              <w:left w:val="nil"/>
              <w:bottom w:val="dotted" w:sz="4" w:space="0" w:color="auto"/>
              <w:right w:val="double" w:sz="6"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540.100</w:t>
            </w:r>
          </w:p>
        </w:tc>
      </w:tr>
      <w:tr w:rsidR="00E403CE" w:rsidRPr="004E2A7F">
        <w:trPr>
          <w:trHeight w:val="162"/>
        </w:trPr>
        <w:tc>
          <w:tcPr>
            <w:tcW w:w="322" w:type="pct"/>
            <w:tcBorders>
              <w:top w:val="nil"/>
              <w:left w:val="double" w:sz="6" w:space="0" w:color="auto"/>
              <w:bottom w:val="dotted" w:sz="4" w:space="0" w:color="auto"/>
              <w:right w:val="nil"/>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02150</w:t>
            </w:r>
          </w:p>
        </w:tc>
        <w:tc>
          <w:tcPr>
            <w:tcW w:w="1679" w:type="pct"/>
            <w:tcBorders>
              <w:top w:val="nil"/>
              <w:left w:val="single" w:sz="4" w:space="0" w:color="auto"/>
              <w:bottom w:val="dotted" w:sz="4" w:space="0" w:color="auto"/>
              <w:right w:val="single" w:sz="4" w:space="0" w:color="auto"/>
            </w:tcBorders>
            <w:shd w:val="clear" w:color="auto" w:fill="auto"/>
            <w:noWrap/>
            <w:vAlign w:val="bottom"/>
          </w:tcPr>
          <w:p w:rsidR="00E403CE" w:rsidRPr="004E2A7F" w:rsidRDefault="00E403CE" w:rsidP="00E403CE">
            <w:pPr>
              <w:rPr>
                <w:rFonts w:ascii="Arial" w:hAnsi="Arial" w:cs="Arial"/>
                <w:sz w:val="12"/>
                <w:szCs w:val="12"/>
              </w:rPr>
            </w:pPr>
            <w:r w:rsidRPr="004E2A7F">
              <w:rPr>
                <w:rFonts w:ascii="Arial" w:hAnsi="Arial" w:cs="Arial"/>
                <w:sz w:val="12"/>
                <w:szCs w:val="12"/>
              </w:rPr>
              <w:t>Mbeshtetja e Luftimit</w:t>
            </w:r>
          </w:p>
        </w:tc>
        <w:tc>
          <w:tcPr>
            <w:tcW w:w="965"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1.558.300</w:t>
            </w:r>
          </w:p>
        </w:tc>
        <w:tc>
          <w:tcPr>
            <w:tcW w:w="432"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390.450</w:t>
            </w:r>
          </w:p>
        </w:tc>
        <w:tc>
          <w:tcPr>
            <w:tcW w:w="298"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321"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441"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390.450</w:t>
            </w:r>
          </w:p>
        </w:tc>
        <w:tc>
          <w:tcPr>
            <w:tcW w:w="540" w:type="pct"/>
            <w:tcBorders>
              <w:top w:val="nil"/>
              <w:left w:val="nil"/>
              <w:bottom w:val="dotted" w:sz="4" w:space="0" w:color="auto"/>
              <w:right w:val="double" w:sz="6"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1.948.750</w:t>
            </w:r>
          </w:p>
        </w:tc>
      </w:tr>
      <w:tr w:rsidR="00E403CE" w:rsidRPr="004E2A7F">
        <w:trPr>
          <w:trHeight w:val="162"/>
        </w:trPr>
        <w:tc>
          <w:tcPr>
            <w:tcW w:w="322" w:type="pct"/>
            <w:tcBorders>
              <w:top w:val="nil"/>
              <w:left w:val="double" w:sz="6" w:space="0" w:color="auto"/>
              <w:bottom w:val="dotted" w:sz="4" w:space="0" w:color="auto"/>
              <w:right w:val="nil"/>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02160</w:t>
            </w:r>
          </w:p>
        </w:tc>
        <w:tc>
          <w:tcPr>
            <w:tcW w:w="1679" w:type="pct"/>
            <w:tcBorders>
              <w:top w:val="nil"/>
              <w:left w:val="single" w:sz="4" w:space="0" w:color="auto"/>
              <w:bottom w:val="dotted" w:sz="4" w:space="0" w:color="auto"/>
              <w:right w:val="single" w:sz="4" w:space="0" w:color="auto"/>
            </w:tcBorders>
            <w:shd w:val="clear" w:color="auto" w:fill="auto"/>
            <w:noWrap/>
            <w:vAlign w:val="bottom"/>
          </w:tcPr>
          <w:p w:rsidR="00E403CE" w:rsidRPr="004E2A7F" w:rsidRDefault="00E403CE" w:rsidP="00E403CE">
            <w:pPr>
              <w:rPr>
                <w:rFonts w:ascii="Arial" w:hAnsi="Arial" w:cs="Arial"/>
                <w:sz w:val="12"/>
                <w:szCs w:val="12"/>
              </w:rPr>
            </w:pPr>
            <w:r w:rsidRPr="004E2A7F">
              <w:rPr>
                <w:rFonts w:ascii="Arial" w:hAnsi="Arial" w:cs="Arial"/>
                <w:sz w:val="12"/>
                <w:szCs w:val="12"/>
              </w:rPr>
              <w:t>Mbeshtetja e Perqendruar</w:t>
            </w:r>
          </w:p>
        </w:tc>
        <w:tc>
          <w:tcPr>
            <w:tcW w:w="965"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3.196.700</w:t>
            </w:r>
          </w:p>
        </w:tc>
        <w:tc>
          <w:tcPr>
            <w:tcW w:w="432"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1.821.650</w:t>
            </w:r>
          </w:p>
        </w:tc>
        <w:tc>
          <w:tcPr>
            <w:tcW w:w="298"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100.000</w:t>
            </w:r>
          </w:p>
        </w:tc>
        <w:tc>
          <w:tcPr>
            <w:tcW w:w="321"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441"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1.921.650</w:t>
            </w:r>
          </w:p>
        </w:tc>
        <w:tc>
          <w:tcPr>
            <w:tcW w:w="540" w:type="pct"/>
            <w:tcBorders>
              <w:top w:val="nil"/>
              <w:left w:val="nil"/>
              <w:bottom w:val="dotted" w:sz="4" w:space="0" w:color="auto"/>
              <w:right w:val="double" w:sz="6"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5.118.350</w:t>
            </w:r>
          </w:p>
        </w:tc>
      </w:tr>
      <w:tr w:rsidR="00E403CE" w:rsidRPr="004E2A7F">
        <w:trPr>
          <w:trHeight w:val="162"/>
        </w:trPr>
        <w:tc>
          <w:tcPr>
            <w:tcW w:w="322" w:type="pct"/>
            <w:tcBorders>
              <w:top w:val="nil"/>
              <w:left w:val="double" w:sz="6" w:space="0" w:color="auto"/>
              <w:bottom w:val="dotted" w:sz="4" w:space="0" w:color="auto"/>
              <w:right w:val="nil"/>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10270</w:t>
            </w:r>
          </w:p>
        </w:tc>
        <w:tc>
          <w:tcPr>
            <w:tcW w:w="1679" w:type="pct"/>
            <w:tcBorders>
              <w:top w:val="nil"/>
              <w:left w:val="single" w:sz="4" w:space="0" w:color="auto"/>
              <w:bottom w:val="dotted" w:sz="4" w:space="0" w:color="auto"/>
              <w:right w:val="single" w:sz="4" w:space="0" w:color="auto"/>
            </w:tcBorders>
            <w:shd w:val="clear" w:color="auto" w:fill="auto"/>
            <w:noWrap/>
            <w:vAlign w:val="bottom"/>
          </w:tcPr>
          <w:p w:rsidR="00E403CE" w:rsidRPr="004E2A7F" w:rsidRDefault="00E403CE" w:rsidP="00E403CE">
            <w:pPr>
              <w:rPr>
                <w:rFonts w:ascii="Arial" w:hAnsi="Arial" w:cs="Arial"/>
                <w:sz w:val="12"/>
                <w:szCs w:val="12"/>
              </w:rPr>
            </w:pPr>
            <w:r w:rsidRPr="004E2A7F">
              <w:rPr>
                <w:rFonts w:ascii="Arial" w:hAnsi="Arial" w:cs="Arial"/>
                <w:sz w:val="12"/>
                <w:szCs w:val="12"/>
              </w:rPr>
              <w:t>Mbeshtetje Sociale per Ushtaraket</w:t>
            </w:r>
          </w:p>
        </w:tc>
        <w:tc>
          <w:tcPr>
            <w:tcW w:w="965"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1.923.000</w:t>
            </w:r>
          </w:p>
        </w:tc>
        <w:tc>
          <w:tcPr>
            <w:tcW w:w="432"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298"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321"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441"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540" w:type="pct"/>
            <w:tcBorders>
              <w:top w:val="nil"/>
              <w:left w:val="nil"/>
              <w:bottom w:val="dotted" w:sz="4" w:space="0" w:color="auto"/>
              <w:right w:val="double" w:sz="6"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1.923.000</w:t>
            </w:r>
          </w:p>
        </w:tc>
      </w:tr>
      <w:tr w:rsidR="00E403CE" w:rsidRPr="004E2A7F">
        <w:trPr>
          <w:trHeight w:val="162"/>
        </w:trPr>
        <w:tc>
          <w:tcPr>
            <w:tcW w:w="322" w:type="pct"/>
            <w:tcBorders>
              <w:top w:val="nil"/>
              <w:left w:val="double" w:sz="6" w:space="0" w:color="auto"/>
              <w:bottom w:val="single" w:sz="4" w:space="0" w:color="auto"/>
              <w:right w:val="nil"/>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02280</w:t>
            </w:r>
          </w:p>
        </w:tc>
        <w:tc>
          <w:tcPr>
            <w:tcW w:w="1679" w:type="pct"/>
            <w:tcBorders>
              <w:top w:val="nil"/>
              <w:left w:val="single" w:sz="4" w:space="0" w:color="auto"/>
              <w:bottom w:val="single" w:sz="4" w:space="0" w:color="auto"/>
              <w:right w:val="single" w:sz="4" w:space="0" w:color="auto"/>
            </w:tcBorders>
            <w:shd w:val="clear" w:color="auto" w:fill="auto"/>
            <w:noWrap/>
            <w:vAlign w:val="bottom"/>
          </w:tcPr>
          <w:p w:rsidR="00E403CE" w:rsidRPr="004E2A7F" w:rsidRDefault="00E403CE" w:rsidP="00E403CE">
            <w:pPr>
              <w:rPr>
                <w:rFonts w:ascii="Arial" w:hAnsi="Arial" w:cs="Arial"/>
                <w:sz w:val="12"/>
                <w:szCs w:val="12"/>
              </w:rPr>
            </w:pPr>
            <w:r w:rsidRPr="004E2A7F">
              <w:rPr>
                <w:rFonts w:ascii="Arial" w:hAnsi="Arial" w:cs="Arial"/>
                <w:sz w:val="12"/>
                <w:szCs w:val="12"/>
              </w:rPr>
              <w:t>Bashkepuni Civilo - Ushtarak (AL-CIMIC)</w:t>
            </w:r>
          </w:p>
        </w:tc>
        <w:tc>
          <w:tcPr>
            <w:tcW w:w="965" w:type="pct"/>
            <w:tcBorders>
              <w:top w:val="nil"/>
              <w:left w:val="nil"/>
              <w:bottom w:val="single"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624.600</w:t>
            </w:r>
          </w:p>
        </w:tc>
        <w:tc>
          <w:tcPr>
            <w:tcW w:w="432" w:type="pct"/>
            <w:tcBorders>
              <w:top w:val="nil"/>
              <w:left w:val="nil"/>
              <w:bottom w:val="single"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49.000</w:t>
            </w:r>
          </w:p>
        </w:tc>
        <w:tc>
          <w:tcPr>
            <w:tcW w:w="298" w:type="pct"/>
            <w:tcBorders>
              <w:top w:val="nil"/>
              <w:left w:val="nil"/>
              <w:bottom w:val="single"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321" w:type="pct"/>
            <w:tcBorders>
              <w:top w:val="nil"/>
              <w:left w:val="nil"/>
              <w:bottom w:val="single"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441" w:type="pct"/>
            <w:tcBorders>
              <w:top w:val="nil"/>
              <w:left w:val="nil"/>
              <w:bottom w:val="single"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49.000</w:t>
            </w:r>
          </w:p>
        </w:tc>
        <w:tc>
          <w:tcPr>
            <w:tcW w:w="540" w:type="pct"/>
            <w:tcBorders>
              <w:top w:val="nil"/>
              <w:left w:val="nil"/>
              <w:bottom w:val="single" w:sz="4" w:space="0" w:color="auto"/>
              <w:right w:val="double" w:sz="6"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673.600</w:t>
            </w:r>
          </w:p>
        </w:tc>
      </w:tr>
      <w:tr w:rsidR="00E403CE" w:rsidRPr="004E2A7F">
        <w:trPr>
          <w:trHeight w:val="162"/>
        </w:trPr>
        <w:tc>
          <w:tcPr>
            <w:tcW w:w="322" w:type="pct"/>
            <w:tcBorders>
              <w:top w:val="nil"/>
              <w:left w:val="double" w:sz="6" w:space="0" w:color="auto"/>
              <w:bottom w:val="dotted" w:sz="4" w:space="0" w:color="auto"/>
              <w:right w:val="nil"/>
            </w:tcBorders>
            <w:shd w:val="clear" w:color="auto" w:fill="auto"/>
            <w:vAlign w:val="bottom"/>
          </w:tcPr>
          <w:p w:rsidR="00E403CE" w:rsidRPr="004E2A7F" w:rsidRDefault="00E403CE" w:rsidP="00E403CE">
            <w:pPr>
              <w:jc w:val="right"/>
              <w:rPr>
                <w:rFonts w:ascii="Arial" w:hAnsi="Arial" w:cs="Arial"/>
                <w:b/>
                <w:bCs/>
                <w:color w:val="000000"/>
                <w:sz w:val="12"/>
                <w:szCs w:val="12"/>
              </w:rPr>
            </w:pPr>
            <w:r w:rsidRPr="004E2A7F">
              <w:rPr>
                <w:rFonts w:ascii="Arial" w:hAnsi="Arial" w:cs="Arial"/>
                <w:b/>
                <w:bCs/>
                <w:color w:val="000000"/>
                <w:sz w:val="12"/>
                <w:szCs w:val="12"/>
              </w:rPr>
              <w:t>18</w:t>
            </w:r>
          </w:p>
        </w:tc>
        <w:tc>
          <w:tcPr>
            <w:tcW w:w="1679" w:type="pct"/>
            <w:tcBorders>
              <w:top w:val="nil"/>
              <w:left w:val="single" w:sz="4" w:space="0" w:color="auto"/>
              <w:bottom w:val="dotted" w:sz="4" w:space="0" w:color="auto"/>
              <w:right w:val="single" w:sz="4" w:space="0" w:color="auto"/>
            </w:tcBorders>
            <w:shd w:val="clear" w:color="auto" w:fill="auto"/>
            <w:vAlign w:val="bottom"/>
          </w:tcPr>
          <w:p w:rsidR="00E403CE" w:rsidRPr="004E2A7F" w:rsidRDefault="00E403CE" w:rsidP="00E403CE">
            <w:pPr>
              <w:rPr>
                <w:rFonts w:ascii="Arial" w:hAnsi="Arial" w:cs="Arial"/>
                <w:b/>
                <w:bCs/>
                <w:color w:val="000000"/>
                <w:sz w:val="12"/>
                <w:szCs w:val="12"/>
              </w:rPr>
            </w:pPr>
            <w:r w:rsidRPr="004E2A7F">
              <w:rPr>
                <w:rFonts w:ascii="Arial" w:hAnsi="Arial" w:cs="Arial"/>
                <w:b/>
                <w:bCs/>
                <w:color w:val="000000"/>
                <w:sz w:val="12"/>
                <w:szCs w:val="12"/>
              </w:rPr>
              <w:t>Sherbimi Informativ Shteteror</w:t>
            </w:r>
          </w:p>
        </w:tc>
        <w:tc>
          <w:tcPr>
            <w:tcW w:w="965"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1.086.080</w:t>
            </w:r>
          </w:p>
        </w:tc>
        <w:tc>
          <w:tcPr>
            <w:tcW w:w="432"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17.721</w:t>
            </w:r>
          </w:p>
        </w:tc>
        <w:tc>
          <w:tcPr>
            <w:tcW w:w="298"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0</w:t>
            </w:r>
          </w:p>
        </w:tc>
        <w:tc>
          <w:tcPr>
            <w:tcW w:w="321"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0</w:t>
            </w:r>
          </w:p>
        </w:tc>
        <w:tc>
          <w:tcPr>
            <w:tcW w:w="441"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17.721</w:t>
            </w:r>
          </w:p>
        </w:tc>
        <w:tc>
          <w:tcPr>
            <w:tcW w:w="540" w:type="pct"/>
            <w:tcBorders>
              <w:top w:val="nil"/>
              <w:left w:val="nil"/>
              <w:bottom w:val="dotted" w:sz="4" w:space="0" w:color="auto"/>
              <w:right w:val="double" w:sz="6" w:space="0" w:color="auto"/>
            </w:tcBorders>
            <w:shd w:val="clear" w:color="auto" w:fill="CCFFFF"/>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1.103.801</w:t>
            </w:r>
          </w:p>
        </w:tc>
      </w:tr>
      <w:tr w:rsidR="00E403CE" w:rsidRPr="004E2A7F">
        <w:trPr>
          <w:trHeight w:val="162"/>
        </w:trPr>
        <w:tc>
          <w:tcPr>
            <w:tcW w:w="322" w:type="pct"/>
            <w:tcBorders>
              <w:top w:val="nil"/>
              <w:left w:val="double" w:sz="6" w:space="0" w:color="auto"/>
              <w:bottom w:val="dotted" w:sz="4" w:space="0" w:color="auto"/>
              <w:right w:val="nil"/>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01110</w:t>
            </w:r>
          </w:p>
        </w:tc>
        <w:tc>
          <w:tcPr>
            <w:tcW w:w="1679" w:type="pct"/>
            <w:tcBorders>
              <w:top w:val="nil"/>
              <w:left w:val="single" w:sz="4" w:space="0" w:color="auto"/>
              <w:bottom w:val="dotted" w:sz="4" w:space="0" w:color="auto"/>
              <w:right w:val="single" w:sz="4" w:space="0" w:color="auto"/>
            </w:tcBorders>
            <w:shd w:val="clear" w:color="auto" w:fill="auto"/>
            <w:noWrap/>
            <w:vAlign w:val="bottom"/>
          </w:tcPr>
          <w:p w:rsidR="00E403CE" w:rsidRPr="004E2A7F" w:rsidRDefault="00E403CE" w:rsidP="00E403CE">
            <w:pPr>
              <w:rPr>
                <w:rFonts w:ascii="Arial" w:hAnsi="Arial" w:cs="Arial"/>
                <w:sz w:val="12"/>
                <w:szCs w:val="12"/>
              </w:rPr>
            </w:pPr>
            <w:r w:rsidRPr="004E2A7F">
              <w:rPr>
                <w:rFonts w:ascii="Arial" w:hAnsi="Arial" w:cs="Arial"/>
                <w:sz w:val="12"/>
                <w:szCs w:val="12"/>
              </w:rPr>
              <w:t>Planifikimi, Menaxhimi dhe Administrimi</w:t>
            </w:r>
          </w:p>
        </w:tc>
        <w:tc>
          <w:tcPr>
            <w:tcW w:w="965"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1.086.080</w:t>
            </w:r>
          </w:p>
        </w:tc>
        <w:tc>
          <w:tcPr>
            <w:tcW w:w="432"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17.721</w:t>
            </w:r>
          </w:p>
        </w:tc>
        <w:tc>
          <w:tcPr>
            <w:tcW w:w="298"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321"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441"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17.721</w:t>
            </w:r>
          </w:p>
        </w:tc>
        <w:tc>
          <w:tcPr>
            <w:tcW w:w="540" w:type="pct"/>
            <w:tcBorders>
              <w:top w:val="nil"/>
              <w:left w:val="nil"/>
              <w:bottom w:val="dotted" w:sz="4" w:space="0" w:color="auto"/>
              <w:right w:val="double" w:sz="6"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1.103.801</w:t>
            </w:r>
          </w:p>
        </w:tc>
      </w:tr>
      <w:tr w:rsidR="00E403CE" w:rsidRPr="004E2A7F">
        <w:trPr>
          <w:trHeight w:val="162"/>
        </w:trPr>
        <w:tc>
          <w:tcPr>
            <w:tcW w:w="322" w:type="pct"/>
            <w:tcBorders>
              <w:top w:val="single" w:sz="4" w:space="0" w:color="auto"/>
              <w:left w:val="double" w:sz="6" w:space="0" w:color="auto"/>
              <w:bottom w:val="dotted" w:sz="4" w:space="0" w:color="auto"/>
              <w:right w:val="nil"/>
            </w:tcBorders>
            <w:shd w:val="clear" w:color="auto" w:fill="auto"/>
            <w:vAlign w:val="bottom"/>
          </w:tcPr>
          <w:p w:rsidR="00E403CE" w:rsidRPr="004E2A7F" w:rsidRDefault="00E403CE" w:rsidP="00E403CE">
            <w:pPr>
              <w:jc w:val="right"/>
              <w:rPr>
                <w:rFonts w:ascii="Arial" w:hAnsi="Arial" w:cs="Arial"/>
                <w:b/>
                <w:bCs/>
                <w:color w:val="000000"/>
                <w:sz w:val="12"/>
                <w:szCs w:val="12"/>
              </w:rPr>
            </w:pPr>
            <w:r w:rsidRPr="004E2A7F">
              <w:rPr>
                <w:rFonts w:ascii="Arial" w:hAnsi="Arial" w:cs="Arial"/>
                <w:b/>
                <w:bCs/>
                <w:color w:val="000000"/>
                <w:sz w:val="12"/>
                <w:szCs w:val="12"/>
              </w:rPr>
              <w:t>19</w:t>
            </w:r>
          </w:p>
        </w:tc>
        <w:tc>
          <w:tcPr>
            <w:tcW w:w="1679" w:type="pct"/>
            <w:tcBorders>
              <w:top w:val="single" w:sz="4" w:space="0" w:color="auto"/>
              <w:left w:val="single" w:sz="4" w:space="0" w:color="auto"/>
              <w:bottom w:val="dotted" w:sz="4" w:space="0" w:color="auto"/>
              <w:right w:val="single" w:sz="4" w:space="0" w:color="auto"/>
            </w:tcBorders>
            <w:shd w:val="clear" w:color="auto" w:fill="auto"/>
            <w:vAlign w:val="bottom"/>
          </w:tcPr>
          <w:p w:rsidR="00E403CE" w:rsidRPr="004E2A7F" w:rsidRDefault="00E403CE" w:rsidP="00E403CE">
            <w:pPr>
              <w:rPr>
                <w:rFonts w:ascii="Arial" w:hAnsi="Arial" w:cs="Arial"/>
                <w:b/>
                <w:bCs/>
                <w:color w:val="000000"/>
                <w:sz w:val="12"/>
                <w:szCs w:val="12"/>
              </w:rPr>
            </w:pPr>
            <w:r w:rsidRPr="004E2A7F">
              <w:rPr>
                <w:rFonts w:ascii="Arial" w:hAnsi="Arial" w:cs="Arial"/>
                <w:b/>
                <w:bCs/>
                <w:color w:val="000000"/>
                <w:sz w:val="12"/>
                <w:szCs w:val="12"/>
              </w:rPr>
              <w:t>Drejtoria e Radio Televizionit</w:t>
            </w:r>
          </w:p>
        </w:tc>
        <w:tc>
          <w:tcPr>
            <w:tcW w:w="965" w:type="pct"/>
            <w:tcBorders>
              <w:top w:val="single" w:sz="4" w:space="0" w:color="auto"/>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478.000</w:t>
            </w:r>
          </w:p>
        </w:tc>
        <w:tc>
          <w:tcPr>
            <w:tcW w:w="432" w:type="pct"/>
            <w:tcBorders>
              <w:top w:val="single" w:sz="4" w:space="0" w:color="auto"/>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20.000</w:t>
            </w:r>
          </w:p>
        </w:tc>
        <w:tc>
          <w:tcPr>
            <w:tcW w:w="298" w:type="pct"/>
            <w:tcBorders>
              <w:top w:val="single" w:sz="4" w:space="0" w:color="auto"/>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0</w:t>
            </w:r>
          </w:p>
        </w:tc>
        <w:tc>
          <w:tcPr>
            <w:tcW w:w="321" w:type="pct"/>
            <w:tcBorders>
              <w:top w:val="single" w:sz="4" w:space="0" w:color="auto"/>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0</w:t>
            </w:r>
          </w:p>
        </w:tc>
        <w:tc>
          <w:tcPr>
            <w:tcW w:w="441" w:type="pct"/>
            <w:tcBorders>
              <w:top w:val="single" w:sz="4" w:space="0" w:color="auto"/>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20.000</w:t>
            </w:r>
          </w:p>
        </w:tc>
        <w:tc>
          <w:tcPr>
            <w:tcW w:w="540" w:type="pct"/>
            <w:tcBorders>
              <w:top w:val="single" w:sz="4" w:space="0" w:color="auto"/>
              <w:left w:val="nil"/>
              <w:bottom w:val="dotted" w:sz="4" w:space="0" w:color="auto"/>
              <w:right w:val="double" w:sz="6" w:space="0" w:color="auto"/>
            </w:tcBorders>
            <w:shd w:val="clear" w:color="auto" w:fill="CCFFFF"/>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498.000</w:t>
            </w:r>
          </w:p>
        </w:tc>
      </w:tr>
      <w:tr w:rsidR="00E403CE" w:rsidRPr="004E2A7F">
        <w:trPr>
          <w:trHeight w:val="162"/>
        </w:trPr>
        <w:tc>
          <w:tcPr>
            <w:tcW w:w="322" w:type="pct"/>
            <w:tcBorders>
              <w:top w:val="nil"/>
              <w:left w:val="double" w:sz="6" w:space="0" w:color="auto"/>
              <w:bottom w:val="dotted" w:sz="4" w:space="0" w:color="auto"/>
              <w:right w:val="nil"/>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08310</w:t>
            </w:r>
          </w:p>
        </w:tc>
        <w:tc>
          <w:tcPr>
            <w:tcW w:w="1679" w:type="pct"/>
            <w:tcBorders>
              <w:top w:val="nil"/>
              <w:left w:val="single" w:sz="4" w:space="0" w:color="auto"/>
              <w:bottom w:val="dotted" w:sz="4" w:space="0" w:color="auto"/>
              <w:right w:val="single" w:sz="4" w:space="0" w:color="auto"/>
            </w:tcBorders>
            <w:shd w:val="clear" w:color="auto" w:fill="auto"/>
            <w:noWrap/>
            <w:vAlign w:val="bottom"/>
          </w:tcPr>
          <w:p w:rsidR="00E403CE" w:rsidRPr="004E2A7F" w:rsidRDefault="00E403CE" w:rsidP="00E403CE">
            <w:pPr>
              <w:rPr>
                <w:rFonts w:ascii="Arial" w:hAnsi="Arial" w:cs="Arial"/>
                <w:sz w:val="12"/>
                <w:szCs w:val="12"/>
              </w:rPr>
            </w:pPr>
            <w:r w:rsidRPr="004E2A7F">
              <w:rPr>
                <w:rFonts w:ascii="Arial" w:hAnsi="Arial" w:cs="Arial"/>
                <w:sz w:val="12"/>
                <w:szCs w:val="12"/>
              </w:rPr>
              <w:t>Sherbimet per shqiptaret jashte kufirit dhe sherbimi per te huajt ne gjuhe huaj + Sateliti</w:t>
            </w:r>
          </w:p>
        </w:tc>
        <w:tc>
          <w:tcPr>
            <w:tcW w:w="965"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314.000</w:t>
            </w:r>
          </w:p>
        </w:tc>
        <w:tc>
          <w:tcPr>
            <w:tcW w:w="432"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298"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321"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441"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540" w:type="pct"/>
            <w:tcBorders>
              <w:top w:val="nil"/>
              <w:left w:val="nil"/>
              <w:bottom w:val="dotted" w:sz="4" w:space="0" w:color="auto"/>
              <w:right w:val="double" w:sz="6"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314.000</w:t>
            </w:r>
          </w:p>
        </w:tc>
      </w:tr>
      <w:tr w:rsidR="00E403CE" w:rsidRPr="004E2A7F">
        <w:trPr>
          <w:trHeight w:val="162"/>
        </w:trPr>
        <w:tc>
          <w:tcPr>
            <w:tcW w:w="322" w:type="pct"/>
            <w:tcBorders>
              <w:top w:val="nil"/>
              <w:left w:val="double" w:sz="6" w:space="0" w:color="auto"/>
              <w:bottom w:val="dotted" w:sz="4" w:space="0" w:color="auto"/>
              <w:right w:val="nil"/>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08520</w:t>
            </w:r>
          </w:p>
        </w:tc>
        <w:tc>
          <w:tcPr>
            <w:tcW w:w="1679" w:type="pct"/>
            <w:tcBorders>
              <w:top w:val="nil"/>
              <w:left w:val="single" w:sz="4" w:space="0" w:color="auto"/>
              <w:bottom w:val="dotted" w:sz="4" w:space="0" w:color="auto"/>
              <w:right w:val="single" w:sz="4" w:space="0" w:color="auto"/>
            </w:tcBorders>
            <w:shd w:val="clear" w:color="auto" w:fill="auto"/>
            <w:noWrap/>
            <w:vAlign w:val="bottom"/>
          </w:tcPr>
          <w:p w:rsidR="00E403CE" w:rsidRPr="004E2A7F" w:rsidRDefault="00E403CE" w:rsidP="00E403CE">
            <w:pPr>
              <w:rPr>
                <w:rFonts w:ascii="Arial" w:hAnsi="Arial" w:cs="Arial"/>
                <w:sz w:val="12"/>
                <w:szCs w:val="12"/>
              </w:rPr>
            </w:pPr>
            <w:r w:rsidRPr="004E2A7F">
              <w:rPr>
                <w:rFonts w:ascii="Arial" w:hAnsi="Arial" w:cs="Arial"/>
                <w:sz w:val="12"/>
                <w:szCs w:val="12"/>
              </w:rPr>
              <w:t>Projekte teknike per futjen e teknologjive te reja</w:t>
            </w:r>
          </w:p>
        </w:tc>
        <w:tc>
          <w:tcPr>
            <w:tcW w:w="965"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80.000</w:t>
            </w:r>
          </w:p>
        </w:tc>
        <w:tc>
          <w:tcPr>
            <w:tcW w:w="432"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20.000</w:t>
            </w:r>
          </w:p>
        </w:tc>
        <w:tc>
          <w:tcPr>
            <w:tcW w:w="298"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321"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441"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20.000</w:t>
            </w:r>
          </w:p>
        </w:tc>
        <w:tc>
          <w:tcPr>
            <w:tcW w:w="540" w:type="pct"/>
            <w:tcBorders>
              <w:top w:val="nil"/>
              <w:left w:val="nil"/>
              <w:bottom w:val="dotted" w:sz="4" w:space="0" w:color="auto"/>
              <w:right w:val="double" w:sz="6"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100.000</w:t>
            </w:r>
          </w:p>
        </w:tc>
      </w:tr>
      <w:tr w:rsidR="00E403CE" w:rsidRPr="004E2A7F">
        <w:trPr>
          <w:trHeight w:val="162"/>
        </w:trPr>
        <w:tc>
          <w:tcPr>
            <w:tcW w:w="322" w:type="pct"/>
            <w:tcBorders>
              <w:top w:val="nil"/>
              <w:left w:val="double" w:sz="6" w:space="0" w:color="auto"/>
              <w:bottom w:val="dotted" w:sz="4" w:space="0" w:color="auto"/>
              <w:right w:val="nil"/>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08330</w:t>
            </w:r>
          </w:p>
        </w:tc>
        <w:tc>
          <w:tcPr>
            <w:tcW w:w="1679" w:type="pct"/>
            <w:tcBorders>
              <w:top w:val="nil"/>
              <w:left w:val="single" w:sz="4" w:space="0" w:color="auto"/>
              <w:bottom w:val="dotted" w:sz="4" w:space="0" w:color="auto"/>
              <w:right w:val="single" w:sz="4" w:space="0" w:color="auto"/>
            </w:tcBorders>
            <w:shd w:val="clear" w:color="auto" w:fill="auto"/>
            <w:noWrap/>
            <w:vAlign w:val="bottom"/>
          </w:tcPr>
          <w:p w:rsidR="00E403CE" w:rsidRPr="004E2A7F" w:rsidRDefault="00E403CE" w:rsidP="00E403CE">
            <w:pPr>
              <w:rPr>
                <w:rFonts w:ascii="Arial" w:hAnsi="Arial" w:cs="Arial"/>
                <w:sz w:val="12"/>
                <w:szCs w:val="12"/>
              </w:rPr>
            </w:pPr>
            <w:r w:rsidRPr="004E2A7F">
              <w:rPr>
                <w:rFonts w:ascii="Arial" w:hAnsi="Arial" w:cs="Arial"/>
                <w:sz w:val="12"/>
                <w:szCs w:val="12"/>
              </w:rPr>
              <w:t xml:space="preserve">Prodhime filmike ose veprimtari artistike </w:t>
            </w:r>
            <w:r w:rsidRPr="004E2A7F">
              <w:rPr>
                <w:rFonts w:ascii="Arial" w:hAnsi="Arial" w:cs="Arial"/>
                <w:sz w:val="12"/>
                <w:szCs w:val="12"/>
              </w:rPr>
              <w:br/>
              <w:t>mbarekombetare</w:t>
            </w:r>
          </w:p>
        </w:tc>
        <w:tc>
          <w:tcPr>
            <w:tcW w:w="965"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44.000</w:t>
            </w:r>
          </w:p>
        </w:tc>
        <w:tc>
          <w:tcPr>
            <w:tcW w:w="432"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298"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321"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441"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540" w:type="pct"/>
            <w:tcBorders>
              <w:top w:val="nil"/>
              <w:left w:val="nil"/>
              <w:bottom w:val="dotted" w:sz="4" w:space="0" w:color="auto"/>
              <w:right w:val="double" w:sz="6"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44.000</w:t>
            </w:r>
          </w:p>
        </w:tc>
      </w:tr>
      <w:tr w:rsidR="00E403CE" w:rsidRPr="004E2A7F">
        <w:trPr>
          <w:trHeight w:val="162"/>
        </w:trPr>
        <w:tc>
          <w:tcPr>
            <w:tcW w:w="322" w:type="pct"/>
            <w:tcBorders>
              <w:top w:val="nil"/>
              <w:left w:val="double" w:sz="6" w:space="0" w:color="auto"/>
              <w:bottom w:val="single" w:sz="4" w:space="0" w:color="auto"/>
              <w:right w:val="nil"/>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08340</w:t>
            </w:r>
          </w:p>
        </w:tc>
        <w:tc>
          <w:tcPr>
            <w:tcW w:w="1679" w:type="pct"/>
            <w:tcBorders>
              <w:top w:val="nil"/>
              <w:left w:val="single" w:sz="4" w:space="0" w:color="auto"/>
              <w:bottom w:val="single" w:sz="4" w:space="0" w:color="auto"/>
              <w:right w:val="single" w:sz="4" w:space="0" w:color="auto"/>
            </w:tcBorders>
            <w:shd w:val="clear" w:color="auto" w:fill="auto"/>
            <w:noWrap/>
            <w:vAlign w:val="bottom"/>
          </w:tcPr>
          <w:p w:rsidR="00E403CE" w:rsidRPr="004E2A7F" w:rsidRDefault="00E403CE" w:rsidP="00E403CE">
            <w:pPr>
              <w:rPr>
                <w:rFonts w:ascii="Arial" w:hAnsi="Arial" w:cs="Arial"/>
                <w:sz w:val="12"/>
                <w:szCs w:val="12"/>
              </w:rPr>
            </w:pPr>
            <w:r w:rsidRPr="004E2A7F">
              <w:rPr>
                <w:rFonts w:ascii="Arial" w:hAnsi="Arial" w:cs="Arial"/>
                <w:sz w:val="12"/>
                <w:szCs w:val="12"/>
              </w:rPr>
              <w:t>Orkestra Simfonike e RTSH dhe Kinematografise</w:t>
            </w:r>
          </w:p>
        </w:tc>
        <w:tc>
          <w:tcPr>
            <w:tcW w:w="965" w:type="pct"/>
            <w:tcBorders>
              <w:top w:val="nil"/>
              <w:left w:val="nil"/>
              <w:bottom w:val="single"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40.000</w:t>
            </w:r>
          </w:p>
        </w:tc>
        <w:tc>
          <w:tcPr>
            <w:tcW w:w="432" w:type="pct"/>
            <w:tcBorders>
              <w:top w:val="nil"/>
              <w:left w:val="nil"/>
              <w:bottom w:val="single"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298" w:type="pct"/>
            <w:tcBorders>
              <w:top w:val="nil"/>
              <w:left w:val="nil"/>
              <w:bottom w:val="single"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321" w:type="pct"/>
            <w:tcBorders>
              <w:top w:val="nil"/>
              <w:left w:val="nil"/>
              <w:bottom w:val="single"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441" w:type="pct"/>
            <w:tcBorders>
              <w:top w:val="nil"/>
              <w:left w:val="nil"/>
              <w:bottom w:val="single"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540" w:type="pct"/>
            <w:tcBorders>
              <w:top w:val="nil"/>
              <w:left w:val="nil"/>
              <w:bottom w:val="single" w:sz="4" w:space="0" w:color="auto"/>
              <w:right w:val="double" w:sz="6"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40.000</w:t>
            </w:r>
          </w:p>
        </w:tc>
      </w:tr>
      <w:tr w:rsidR="00E403CE" w:rsidRPr="004E2A7F">
        <w:trPr>
          <w:trHeight w:val="162"/>
        </w:trPr>
        <w:tc>
          <w:tcPr>
            <w:tcW w:w="322" w:type="pct"/>
            <w:tcBorders>
              <w:top w:val="nil"/>
              <w:left w:val="double" w:sz="6" w:space="0" w:color="auto"/>
              <w:bottom w:val="dotted" w:sz="4" w:space="0" w:color="auto"/>
              <w:right w:val="nil"/>
            </w:tcBorders>
            <w:shd w:val="clear" w:color="auto" w:fill="auto"/>
            <w:vAlign w:val="bottom"/>
          </w:tcPr>
          <w:p w:rsidR="00E403CE" w:rsidRPr="004E2A7F" w:rsidRDefault="00E403CE" w:rsidP="00E403CE">
            <w:pPr>
              <w:jc w:val="right"/>
              <w:rPr>
                <w:rFonts w:ascii="Arial" w:hAnsi="Arial" w:cs="Arial"/>
                <w:b/>
                <w:bCs/>
                <w:color w:val="000000"/>
                <w:sz w:val="12"/>
                <w:szCs w:val="12"/>
              </w:rPr>
            </w:pPr>
            <w:r w:rsidRPr="004E2A7F">
              <w:rPr>
                <w:rFonts w:ascii="Arial" w:hAnsi="Arial" w:cs="Arial"/>
                <w:b/>
                <w:bCs/>
                <w:color w:val="000000"/>
                <w:sz w:val="12"/>
                <w:szCs w:val="12"/>
              </w:rPr>
              <w:t>20</w:t>
            </w:r>
          </w:p>
        </w:tc>
        <w:tc>
          <w:tcPr>
            <w:tcW w:w="1679" w:type="pct"/>
            <w:tcBorders>
              <w:top w:val="nil"/>
              <w:left w:val="single" w:sz="4" w:space="0" w:color="auto"/>
              <w:bottom w:val="dotted" w:sz="4" w:space="0" w:color="auto"/>
              <w:right w:val="single" w:sz="4" w:space="0" w:color="auto"/>
            </w:tcBorders>
            <w:shd w:val="clear" w:color="auto" w:fill="auto"/>
            <w:vAlign w:val="bottom"/>
          </w:tcPr>
          <w:p w:rsidR="00E403CE" w:rsidRPr="004E2A7F" w:rsidRDefault="00E403CE" w:rsidP="00E403CE">
            <w:pPr>
              <w:rPr>
                <w:rFonts w:ascii="Arial" w:hAnsi="Arial" w:cs="Arial"/>
                <w:b/>
                <w:bCs/>
                <w:color w:val="000000"/>
                <w:sz w:val="12"/>
                <w:szCs w:val="12"/>
              </w:rPr>
            </w:pPr>
            <w:r w:rsidRPr="004E2A7F">
              <w:rPr>
                <w:rFonts w:ascii="Arial" w:hAnsi="Arial" w:cs="Arial"/>
                <w:b/>
                <w:bCs/>
                <w:color w:val="000000"/>
                <w:sz w:val="12"/>
                <w:szCs w:val="12"/>
              </w:rPr>
              <w:t>Drejtoria e Pergjithshme e Arkivave</w:t>
            </w:r>
          </w:p>
        </w:tc>
        <w:tc>
          <w:tcPr>
            <w:tcW w:w="965"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125.000</w:t>
            </w:r>
          </w:p>
        </w:tc>
        <w:tc>
          <w:tcPr>
            <w:tcW w:w="432"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12.000</w:t>
            </w:r>
          </w:p>
        </w:tc>
        <w:tc>
          <w:tcPr>
            <w:tcW w:w="298"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0</w:t>
            </w:r>
          </w:p>
        </w:tc>
        <w:tc>
          <w:tcPr>
            <w:tcW w:w="321"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17.850</w:t>
            </w:r>
          </w:p>
        </w:tc>
        <w:tc>
          <w:tcPr>
            <w:tcW w:w="441"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29.850</w:t>
            </w:r>
          </w:p>
        </w:tc>
        <w:tc>
          <w:tcPr>
            <w:tcW w:w="540" w:type="pct"/>
            <w:tcBorders>
              <w:top w:val="nil"/>
              <w:left w:val="nil"/>
              <w:bottom w:val="dotted" w:sz="4" w:space="0" w:color="auto"/>
              <w:right w:val="double" w:sz="6" w:space="0" w:color="auto"/>
            </w:tcBorders>
            <w:shd w:val="clear" w:color="auto" w:fill="CCFFFF"/>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154.850</w:t>
            </w:r>
          </w:p>
        </w:tc>
      </w:tr>
      <w:tr w:rsidR="00E403CE" w:rsidRPr="004E2A7F">
        <w:trPr>
          <w:trHeight w:val="162"/>
        </w:trPr>
        <w:tc>
          <w:tcPr>
            <w:tcW w:w="322" w:type="pct"/>
            <w:tcBorders>
              <w:top w:val="nil"/>
              <w:left w:val="double" w:sz="6" w:space="0" w:color="auto"/>
              <w:bottom w:val="single" w:sz="4" w:space="0" w:color="auto"/>
              <w:right w:val="nil"/>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01110</w:t>
            </w:r>
          </w:p>
        </w:tc>
        <w:tc>
          <w:tcPr>
            <w:tcW w:w="1679" w:type="pct"/>
            <w:tcBorders>
              <w:top w:val="nil"/>
              <w:left w:val="single" w:sz="4" w:space="0" w:color="auto"/>
              <w:bottom w:val="single" w:sz="4" w:space="0" w:color="auto"/>
              <w:right w:val="single" w:sz="4" w:space="0" w:color="auto"/>
            </w:tcBorders>
            <w:shd w:val="clear" w:color="auto" w:fill="auto"/>
            <w:noWrap/>
            <w:vAlign w:val="bottom"/>
          </w:tcPr>
          <w:p w:rsidR="00E403CE" w:rsidRPr="004E2A7F" w:rsidRDefault="00E403CE" w:rsidP="00E403CE">
            <w:pPr>
              <w:rPr>
                <w:rFonts w:ascii="Arial" w:hAnsi="Arial" w:cs="Arial"/>
                <w:sz w:val="12"/>
                <w:szCs w:val="12"/>
              </w:rPr>
            </w:pPr>
            <w:r w:rsidRPr="004E2A7F">
              <w:rPr>
                <w:rFonts w:ascii="Arial" w:hAnsi="Arial" w:cs="Arial"/>
                <w:sz w:val="12"/>
                <w:szCs w:val="12"/>
              </w:rPr>
              <w:t>Planifikimi, Menaxhimi dhe Administrimi</w:t>
            </w:r>
          </w:p>
        </w:tc>
        <w:tc>
          <w:tcPr>
            <w:tcW w:w="965" w:type="pct"/>
            <w:tcBorders>
              <w:top w:val="nil"/>
              <w:left w:val="nil"/>
              <w:bottom w:val="single"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125.000</w:t>
            </w:r>
          </w:p>
        </w:tc>
        <w:tc>
          <w:tcPr>
            <w:tcW w:w="432" w:type="pct"/>
            <w:tcBorders>
              <w:top w:val="nil"/>
              <w:left w:val="nil"/>
              <w:bottom w:val="single"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12.000</w:t>
            </w:r>
          </w:p>
        </w:tc>
        <w:tc>
          <w:tcPr>
            <w:tcW w:w="298" w:type="pct"/>
            <w:tcBorders>
              <w:top w:val="nil"/>
              <w:left w:val="nil"/>
              <w:bottom w:val="single"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321" w:type="pct"/>
            <w:tcBorders>
              <w:top w:val="nil"/>
              <w:left w:val="nil"/>
              <w:bottom w:val="single"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17.850</w:t>
            </w:r>
          </w:p>
        </w:tc>
        <w:tc>
          <w:tcPr>
            <w:tcW w:w="441" w:type="pct"/>
            <w:tcBorders>
              <w:top w:val="nil"/>
              <w:left w:val="nil"/>
              <w:bottom w:val="single"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29.850</w:t>
            </w:r>
          </w:p>
        </w:tc>
        <w:tc>
          <w:tcPr>
            <w:tcW w:w="540" w:type="pct"/>
            <w:tcBorders>
              <w:top w:val="nil"/>
              <w:left w:val="nil"/>
              <w:bottom w:val="single" w:sz="4" w:space="0" w:color="auto"/>
              <w:right w:val="double" w:sz="6"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154.850</w:t>
            </w:r>
          </w:p>
        </w:tc>
      </w:tr>
      <w:tr w:rsidR="00E403CE" w:rsidRPr="004E2A7F">
        <w:trPr>
          <w:trHeight w:val="162"/>
        </w:trPr>
        <w:tc>
          <w:tcPr>
            <w:tcW w:w="322" w:type="pct"/>
            <w:tcBorders>
              <w:top w:val="nil"/>
              <w:left w:val="double" w:sz="6" w:space="0" w:color="auto"/>
              <w:bottom w:val="dotted" w:sz="4" w:space="0" w:color="auto"/>
              <w:right w:val="nil"/>
            </w:tcBorders>
            <w:shd w:val="clear" w:color="auto" w:fill="auto"/>
            <w:vAlign w:val="bottom"/>
          </w:tcPr>
          <w:p w:rsidR="00E403CE" w:rsidRPr="004E2A7F" w:rsidRDefault="00E403CE" w:rsidP="00E403CE">
            <w:pPr>
              <w:jc w:val="right"/>
              <w:rPr>
                <w:rFonts w:ascii="Arial" w:hAnsi="Arial" w:cs="Arial"/>
                <w:b/>
                <w:bCs/>
                <w:color w:val="000000"/>
                <w:sz w:val="12"/>
                <w:szCs w:val="12"/>
              </w:rPr>
            </w:pPr>
            <w:r w:rsidRPr="004E2A7F">
              <w:rPr>
                <w:rFonts w:ascii="Arial" w:hAnsi="Arial" w:cs="Arial"/>
                <w:b/>
                <w:bCs/>
                <w:color w:val="000000"/>
                <w:sz w:val="12"/>
                <w:szCs w:val="12"/>
              </w:rPr>
              <w:t>22</w:t>
            </w:r>
          </w:p>
        </w:tc>
        <w:tc>
          <w:tcPr>
            <w:tcW w:w="1679" w:type="pct"/>
            <w:tcBorders>
              <w:top w:val="nil"/>
              <w:left w:val="single" w:sz="4" w:space="0" w:color="auto"/>
              <w:bottom w:val="dotted" w:sz="4" w:space="0" w:color="auto"/>
              <w:right w:val="single" w:sz="4" w:space="0" w:color="auto"/>
            </w:tcBorders>
            <w:shd w:val="clear" w:color="auto" w:fill="auto"/>
            <w:vAlign w:val="bottom"/>
          </w:tcPr>
          <w:p w:rsidR="00E403CE" w:rsidRPr="004E2A7F" w:rsidRDefault="00E403CE" w:rsidP="00E403CE">
            <w:pPr>
              <w:rPr>
                <w:rFonts w:ascii="Arial" w:hAnsi="Arial" w:cs="Arial"/>
                <w:b/>
                <w:bCs/>
                <w:color w:val="000000"/>
                <w:sz w:val="12"/>
                <w:szCs w:val="12"/>
              </w:rPr>
            </w:pPr>
            <w:r w:rsidRPr="004E2A7F">
              <w:rPr>
                <w:rFonts w:ascii="Arial" w:hAnsi="Arial" w:cs="Arial"/>
                <w:b/>
                <w:bCs/>
                <w:color w:val="000000"/>
                <w:sz w:val="12"/>
                <w:szCs w:val="12"/>
              </w:rPr>
              <w:t>Akademia e Shkences</w:t>
            </w:r>
          </w:p>
        </w:tc>
        <w:tc>
          <w:tcPr>
            <w:tcW w:w="965"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92.600</w:t>
            </w:r>
          </w:p>
        </w:tc>
        <w:tc>
          <w:tcPr>
            <w:tcW w:w="432"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2.000</w:t>
            </w:r>
          </w:p>
        </w:tc>
        <w:tc>
          <w:tcPr>
            <w:tcW w:w="298"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0</w:t>
            </w:r>
          </w:p>
        </w:tc>
        <w:tc>
          <w:tcPr>
            <w:tcW w:w="321"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0</w:t>
            </w:r>
          </w:p>
        </w:tc>
        <w:tc>
          <w:tcPr>
            <w:tcW w:w="441"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2.000</w:t>
            </w:r>
          </w:p>
        </w:tc>
        <w:tc>
          <w:tcPr>
            <w:tcW w:w="540" w:type="pct"/>
            <w:tcBorders>
              <w:top w:val="nil"/>
              <w:left w:val="nil"/>
              <w:bottom w:val="dotted" w:sz="4" w:space="0" w:color="auto"/>
              <w:right w:val="double" w:sz="6" w:space="0" w:color="auto"/>
            </w:tcBorders>
            <w:shd w:val="clear" w:color="auto" w:fill="CCFFFF"/>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94.600</w:t>
            </w:r>
          </w:p>
        </w:tc>
      </w:tr>
      <w:tr w:rsidR="00E403CE" w:rsidRPr="004E2A7F">
        <w:trPr>
          <w:trHeight w:val="162"/>
        </w:trPr>
        <w:tc>
          <w:tcPr>
            <w:tcW w:w="322" w:type="pct"/>
            <w:tcBorders>
              <w:top w:val="nil"/>
              <w:left w:val="double" w:sz="6" w:space="0" w:color="auto"/>
              <w:bottom w:val="single" w:sz="4" w:space="0" w:color="auto"/>
              <w:right w:val="nil"/>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01510</w:t>
            </w:r>
          </w:p>
        </w:tc>
        <w:tc>
          <w:tcPr>
            <w:tcW w:w="1679" w:type="pct"/>
            <w:tcBorders>
              <w:top w:val="nil"/>
              <w:left w:val="single" w:sz="4" w:space="0" w:color="auto"/>
              <w:bottom w:val="single" w:sz="4" w:space="0" w:color="auto"/>
              <w:right w:val="single" w:sz="4" w:space="0" w:color="auto"/>
            </w:tcBorders>
            <w:shd w:val="clear" w:color="auto" w:fill="auto"/>
            <w:noWrap/>
            <w:vAlign w:val="bottom"/>
          </w:tcPr>
          <w:p w:rsidR="00E403CE" w:rsidRPr="004E2A7F" w:rsidRDefault="00E403CE" w:rsidP="00E403CE">
            <w:pPr>
              <w:rPr>
                <w:rFonts w:ascii="Arial" w:hAnsi="Arial" w:cs="Arial"/>
                <w:sz w:val="12"/>
                <w:szCs w:val="12"/>
              </w:rPr>
            </w:pPr>
            <w:r w:rsidRPr="004E2A7F">
              <w:rPr>
                <w:rFonts w:ascii="Arial" w:hAnsi="Arial" w:cs="Arial"/>
                <w:sz w:val="12"/>
                <w:szCs w:val="12"/>
              </w:rPr>
              <w:t>Planifikimi, Menaxhimi dhe Administrimi</w:t>
            </w:r>
          </w:p>
        </w:tc>
        <w:tc>
          <w:tcPr>
            <w:tcW w:w="965" w:type="pct"/>
            <w:tcBorders>
              <w:top w:val="nil"/>
              <w:left w:val="nil"/>
              <w:bottom w:val="single"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92.600</w:t>
            </w:r>
          </w:p>
        </w:tc>
        <w:tc>
          <w:tcPr>
            <w:tcW w:w="432" w:type="pct"/>
            <w:tcBorders>
              <w:top w:val="nil"/>
              <w:left w:val="nil"/>
              <w:bottom w:val="single"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2.000</w:t>
            </w:r>
          </w:p>
        </w:tc>
        <w:tc>
          <w:tcPr>
            <w:tcW w:w="298" w:type="pct"/>
            <w:tcBorders>
              <w:top w:val="nil"/>
              <w:left w:val="nil"/>
              <w:bottom w:val="single"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321" w:type="pct"/>
            <w:tcBorders>
              <w:top w:val="nil"/>
              <w:left w:val="nil"/>
              <w:bottom w:val="single"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441" w:type="pct"/>
            <w:tcBorders>
              <w:top w:val="nil"/>
              <w:left w:val="nil"/>
              <w:bottom w:val="single"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2.000</w:t>
            </w:r>
          </w:p>
        </w:tc>
        <w:tc>
          <w:tcPr>
            <w:tcW w:w="540" w:type="pct"/>
            <w:tcBorders>
              <w:top w:val="nil"/>
              <w:left w:val="nil"/>
              <w:bottom w:val="single" w:sz="4" w:space="0" w:color="auto"/>
              <w:right w:val="double" w:sz="6"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94.600</w:t>
            </w:r>
          </w:p>
        </w:tc>
      </w:tr>
      <w:tr w:rsidR="00E403CE" w:rsidRPr="004E2A7F">
        <w:trPr>
          <w:trHeight w:val="162"/>
        </w:trPr>
        <w:tc>
          <w:tcPr>
            <w:tcW w:w="322" w:type="pct"/>
            <w:tcBorders>
              <w:top w:val="nil"/>
              <w:left w:val="double" w:sz="6" w:space="0" w:color="auto"/>
              <w:bottom w:val="dotted" w:sz="4" w:space="0" w:color="auto"/>
              <w:right w:val="nil"/>
            </w:tcBorders>
            <w:shd w:val="clear" w:color="auto" w:fill="auto"/>
            <w:vAlign w:val="bottom"/>
          </w:tcPr>
          <w:p w:rsidR="00E403CE" w:rsidRPr="004E2A7F" w:rsidRDefault="00E403CE" w:rsidP="00E403CE">
            <w:pPr>
              <w:jc w:val="right"/>
              <w:rPr>
                <w:rFonts w:ascii="Arial" w:hAnsi="Arial" w:cs="Arial"/>
                <w:b/>
                <w:bCs/>
                <w:color w:val="000000"/>
                <w:sz w:val="12"/>
                <w:szCs w:val="12"/>
              </w:rPr>
            </w:pPr>
            <w:r w:rsidRPr="004E2A7F">
              <w:rPr>
                <w:rFonts w:ascii="Arial" w:hAnsi="Arial" w:cs="Arial"/>
                <w:b/>
                <w:bCs/>
                <w:color w:val="000000"/>
                <w:sz w:val="12"/>
                <w:szCs w:val="12"/>
              </w:rPr>
              <w:t>24</w:t>
            </w:r>
          </w:p>
        </w:tc>
        <w:tc>
          <w:tcPr>
            <w:tcW w:w="1679" w:type="pct"/>
            <w:tcBorders>
              <w:top w:val="nil"/>
              <w:left w:val="single" w:sz="4" w:space="0" w:color="auto"/>
              <w:bottom w:val="dotted" w:sz="4" w:space="0" w:color="auto"/>
              <w:right w:val="single" w:sz="4" w:space="0" w:color="auto"/>
            </w:tcBorders>
            <w:shd w:val="clear" w:color="auto" w:fill="auto"/>
            <w:vAlign w:val="bottom"/>
          </w:tcPr>
          <w:p w:rsidR="00E403CE" w:rsidRPr="004E2A7F" w:rsidRDefault="00E403CE" w:rsidP="00E403CE">
            <w:pPr>
              <w:rPr>
                <w:rFonts w:ascii="Arial" w:hAnsi="Arial" w:cs="Arial"/>
                <w:b/>
                <w:bCs/>
                <w:color w:val="000000"/>
                <w:sz w:val="12"/>
                <w:szCs w:val="12"/>
              </w:rPr>
            </w:pPr>
            <w:r w:rsidRPr="004E2A7F">
              <w:rPr>
                <w:rFonts w:ascii="Arial" w:hAnsi="Arial" w:cs="Arial"/>
                <w:b/>
                <w:bCs/>
                <w:color w:val="000000"/>
                <w:sz w:val="12"/>
                <w:szCs w:val="12"/>
              </w:rPr>
              <w:t>Kontrolli Larte  i Shtetit</w:t>
            </w:r>
          </w:p>
        </w:tc>
        <w:tc>
          <w:tcPr>
            <w:tcW w:w="965"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248.000</w:t>
            </w:r>
          </w:p>
        </w:tc>
        <w:tc>
          <w:tcPr>
            <w:tcW w:w="432"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20.000</w:t>
            </w:r>
          </w:p>
        </w:tc>
        <w:tc>
          <w:tcPr>
            <w:tcW w:w="298"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0</w:t>
            </w:r>
          </w:p>
        </w:tc>
        <w:tc>
          <w:tcPr>
            <w:tcW w:w="321"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0</w:t>
            </w:r>
          </w:p>
        </w:tc>
        <w:tc>
          <w:tcPr>
            <w:tcW w:w="441"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20.000</w:t>
            </w:r>
          </w:p>
        </w:tc>
        <w:tc>
          <w:tcPr>
            <w:tcW w:w="540" w:type="pct"/>
            <w:tcBorders>
              <w:top w:val="nil"/>
              <w:left w:val="nil"/>
              <w:bottom w:val="dotted" w:sz="4" w:space="0" w:color="auto"/>
              <w:right w:val="double" w:sz="6" w:space="0" w:color="auto"/>
            </w:tcBorders>
            <w:shd w:val="clear" w:color="auto" w:fill="CCFFFF"/>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268.000</w:t>
            </w:r>
          </w:p>
        </w:tc>
      </w:tr>
      <w:tr w:rsidR="00E403CE" w:rsidRPr="004E2A7F">
        <w:trPr>
          <w:trHeight w:val="162"/>
        </w:trPr>
        <w:tc>
          <w:tcPr>
            <w:tcW w:w="322" w:type="pct"/>
            <w:tcBorders>
              <w:top w:val="nil"/>
              <w:left w:val="double" w:sz="6" w:space="0" w:color="auto"/>
              <w:bottom w:val="single" w:sz="4" w:space="0" w:color="auto"/>
              <w:right w:val="nil"/>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01110</w:t>
            </w:r>
          </w:p>
        </w:tc>
        <w:tc>
          <w:tcPr>
            <w:tcW w:w="1679" w:type="pct"/>
            <w:tcBorders>
              <w:top w:val="nil"/>
              <w:left w:val="single" w:sz="4" w:space="0" w:color="auto"/>
              <w:bottom w:val="single" w:sz="4" w:space="0" w:color="auto"/>
              <w:right w:val="single" w:sz="4" w:space="0" w:color="auto"/>
            </w:tcBorders>
            <w:shd w:val="clear" w:color="auto" w:fill="auto"/>
            <w:noWrap/>
            <w:vAlign w:val="bottom"/>
          </w:tcPr>
          <w:p w:rsidR="00E403CE" w:rsidRPr="004E2A7F" w:rsidRDefault="00E403CE" w:rsidP="00E403CE">
            <w:pPr>
              <w:rPr>
                <w:rFonts w:ascii="Arial" w:hAnsi="Arial" w:cs="Arial"/>
                <w:sz w:val="12"/>
                <w:szCs w:val="12"/>
              </w:rPr>
            </w:pPr>
            <w:r w:rsidRPr="004E2A7F">
              <w:rPr>
                <w:rFonts w:ascii="Arial" w:hAnsi="Arial" w:cs="Arial"/>
                <w:sz w:val="12"/>
                <w:szCs w:val="12"/>
              </w:rPr>
              <w:t>Planifikimi, Menaxhimi dhe Administrimi</w:t>
            </w:r>
          </w:p>
        </w:tc>
        <w:tc>
          <w:tcPr>
            <w:tcW w:w="965" w:type="pct"/>
            <w:tcBorders>
              <w:top w:val="nil"/>
              <w:left w:val="nil"/>
              <w:bottom w:val="single"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248.000</w:t>
            </w:r>
          </w:p>
        </w:tc>
        <w:tc>
          <w:tcPr>
            <w:tcW w:w="432" w:type="pct"/>
            <w:tcBorders>
              <w:top w:val="nil"/>
              <w:left w:val="nil"/>
              <w:bottom w:val="single"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20.000</w:t>
            </w:r>
          </w:p>
        </w:tc>
        <w:tc>
          <w:tcPr>
            <w:tcW w:w="298" w:type="pct"/>
            <w:tcBorders>
              <w:top w:val="nil"/>
              <w:left w:val="nil"/>
              <w:bottom w:val="single"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321" w:type="pct"/>
            <w:tcBorders>
              <w:top w:val="nil"/>
              <w:left w:val="nil"/>
              <w:bottom w:val="single"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441" w:type="pct"/>
            <w:tcBorders>
              <w:top w:val="nil"/>
              <w:left w:val="nil"/>
              <w:bottom w:val="single"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20.000</w:t>
            </w:r>
          </w:p>
        </w:tc>
        <w:tc>
          <w:tcPr>
            <w:tcW w:w="540" w:type="pct"/>
            <w:tcBorders>
              <w:top w:val="nil"/>
              <w:left w:val="nil"/>
              <w:bottom w:val="single" w:sz="4" w:space="0" w:color="auto"/>
              <w:right w:val="double" w:sz="6"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268.000</w:t>
            </w:r>
          </w:p>
        </w:tc>
      </w:tr>
      <w:tr w:rsidR="00E403CE" w:rsidRPr="004E2A7F">
        <w:trPr>
          <w:trHeight w:val="162"/>
        </w:trPr>
        <w:tc>
          <w:tcPr>
            <w:tcW w:w="322" w:type="pct"/>
            <w:tcBorders>
              <w:top w:val="nil"/>
              <w:left w:val="double" w:sz="6" w:space="0" w:color="auto"/>
              <w:bottom w:val="dotted" w:sz="4" w:space="0" w:color="auto"/>
              <w:right w:val="nil"/>
            </w:tcBorders>
            <w:shd w:val="clear" w:color="auto" w:fill="auto"/>
            <w:vAlign w:val="bottom"/>
          </w:tcPr>
          <w:p w:rsidR="00E403CE" w:rsidRPr="004E2A7F" w:rsidRDefault="00E403CE" w:rsidP="00E403CE">
            <w:pPr>
              <w:jc w:val="right"/>
              <w:rPr>
                <w:rFonts w:ascii="Arial" w:hAnsi="Arial" w:cs="Arial"/>
                <w:b/>
                <w:bCs/>
                <w:color w:val="000000"/>
                <w:sz w:val="12"/>
                <w:szCs w:val="12"/>
              </w:rPr>
            </w:pPr>
            <w:r w:rsidRPr="004E2A7F">
              <w:rPr>
                <w:rFonts w:ascii="Arial" w:hAnsi="Arial" w:cs="Arial"/>
                <w:b/>
                <w:bCs/>
                <w:color w:val="000000"/>
                <w:sz w:val="12"/>
                <w:szCs w:val="12"/>
              </w:rPr>
              <w:t>25</w:t>
            </w:r>
          </w:p>
        </w:tc>
        <w:tc>
          <w:tcPr>
            <w:tcW w:w="1679" w:type="pct"/>
            <w:tcBorders>
              <w:top w:val="nil"/>
              <w:left w:val="single" w:sz="4" w:space="0" w:color="auto"/>
              <w:bottom w:val="dotted" w:sz="4" w:space="0" w:color="auto"/>
              <w:right w:val="single" w:sz="4" w:space="0" w:color="auto"/>
            </w:tcBorders>
            <w:shd w:val="clear" w:color="auto" w:fill="auto"/>
            <w:vAlign w:val="bottom"/>
          </w:tcPr>
          <w:p w:rsidR="00E403CE" w:rsidRPr="004E2A7F" w:rsidRDefault="00E403CE" w:rsidP="00E403CE">
            <w:pPr>
              <w:rPr>
                <w:rFonts w:ascii="Arial" w:hAnsi="Arial" w:cs="Arial"/>
                <w:b/>
                <w:bCs/>
                <w:color w:val="000000"/>
                <w:sz w:val="12"/>
                <w:szCs w:val="12"/>
              </w:rPr>
            </w:pPr>
            <w:r w:rsidRPr="004E2A7F">
              <w:rPr>
                <w:rFonts w:ascii="Arial" w:hAnsi="Arial" w:cs="Arial"/>
                <w:b/>
                <w:bCs/>
                <w:color w:val="000000"/>
                <w:sz w:val="12"/>
                <w:szCs w:val="12"/>
              </w:rPr>
              <w:t>Ministria e Punes, Ceshtjeve Sociale dhe Shanseve te Barabarta</w:t>
            </w:r>
          </w:p>
        </w:tc>
        <w:tc>
          <w:tcPr>
            <w:tcW w:w="965"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40.049.100</w:t>
            </w:r>
          </w:p>
        </w:tc>
        <w:tc>
          <w:tcPr>
            <w:tcW w:w="432"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246.970</w:t>
            </w:r>
          </w:p>
        </w:tc>
        <w:tc>
          <w:tcPr>
            <w:tcW w:w="298"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0</w:t>
            </w:r>
          </w:p>
        </w:tc>
        <w:tc>
          <w:tcPr>
            <w:tcW w:w="321"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170.000</w:t>
            </w:r>
          </w:p>
        </w:tc>
        <w:tc>
          <w:tcPr>
            <w:tcW w:w="441"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416.970</w:t>
            </w:r>
          </w:p>
        </w:tc>
        <w:tc>
          <w:tcPr>
            <w:tcW w:w="540" w:type="pct"/>
            <w:tcBorders>
              <w:top w:val="nil"/>
              <w:left w:val="nil"/>
              <w:bottom w:val="dotted" w:sz="4" w:space="0" w:color="auto"/>
              <w:right w:val="double" w:sz="6" w:space="0" w:color="auto"/>
            </w:tcBorders>
            <w:shd w:val="clear" w:color="auto" w:fill="CCFFFF"/>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40.466.070</w:t>
            </w:r>
          </w:p>
        </w:tc>
      </w:tr>
      <w:tr w:rsidR="00E403CE" w:rsidRPr="004E2A7F">
        <w:trPr>
          <w:trHeight w:val="162"/>
        </w:trPr>
        <w:tc>
          <w:tcPr>
            <w:tcW w:w="322" w:type="pct"/>
            <w:tcBorders>
              <w:top w:val="nil"/>
              <w:left w:val="double" w:sz="6" w:space="0" w:color="auto"/>
              <w:bottom w:val="dotted" w:sz="4" w:space="0" w:color="auto"/>
              <w:right w:val="nil"/>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01110</w:t>
            </w:r>
          </w:p>
        </w:tc>
        <w:tc>
          <w:tcPr>
            <w:tcW w:w="1679" w:type="pct"/>
            <w:tcBorders>
              <w:top w:val="nil"/>
              <w:left w:val="single" w:sz="4" w:space="0" w:color="auto"/>
              <w:bottom w:val="dotted" w:sz="4" w:space="0" w:color="auto"/>
              <w:right w:val="single" w:sz="4" w:space="0" w:color="auto"/>
            </w:tcBorders>
            <w:shd w:val="clear" w:color="auto" w:fill="auto"/>
            <w:noWrap/>
            <w:vAlign w:val="bottom"/>
          </w:tcPr>
          <w:p w:rsidR="00E403CE" w:rsidRPr="004E2A7F" w:rsidRDefault="00E403CE" w:rsidP="00E403CE">
            <w:pPr>
              <w:rPr>
                <w:rFonts w:ascii="Arial" w:hAnsi="Arial" w:cs="Arial"/>
                <w:sz w:val="12"/>
                <w:szCs w:val="12"/>
              </w:rPr>
            </w:pPr>
            <w:r w:rsidRPr="004E2A7F">
              <w:rPr>
                <w:rFonts w:ascii="Arial" w:hAnsi="Arial" w:cs="Arial"/>
                <w:sz w:val="12"/>
                <w:szCs w:val="12"/>
              </w:rPr>
              <w:t>Planifikimi, Menaxhimi dhe Administrimi</w:t>
            </w:r>
          </w:p>
        </w:tc>
        <w:tc>
          <w:tcPr>
            <w:tcW w:w="965"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157.630</w:t>
            </w:r>
          </w:p>
        </w:tc>
        <w:tc>
          <w:tcPr>
            <w:tcW w:w="432"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12.000</w:t>
            </w:r>
          </w:p>
        </w:tc>
        <w:tc>
          <w:tcPr>
            <w:tcW w:w="298"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321"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441"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12.000</w:t>
            </w:r>
          </w:p>
        </w:tc>
        <w:tc>
          <w:tcPr>
            <w:tcW w:w="540" w:type="pct"/>
            <w:tcBorders>
              <w:top w:val="nil"/>
              <w:left w:val="nil"/>
              <w:bottom w:val="dotted" w:sz="4" w:space="0" w:color="auto"/>
              <w:right w:val="double" w:sz="6"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169.630</w:t>
            </w:r>
          </w:p>
        </w:tc>
      </w:tr>
      <w:tr w:rsidR="00E403CE" w:rsidRPr="004E2A7F">
        <w:trPr>
          <w:trHeight w:val="162"/>
        </w:trPr>
        <w:tc>
          <w:tcPr>
            <w:tcW w:w="322" w:type="pct"/>
            <w:tcBorders>
              <w:top w:val="nil"/>
              <w:left w:val="double" w:sz="6" w:space="0" w:color="auto"/>
              <w:bottom w:val="dotted" w:sz="4" w:space="0" w:color="auto"/>
              <w:right w:val="nil"/>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10220</w:t>
            </w:r>
          </w:p>
        </w:tc>
        <w:tc>
          <w:tcPr>
            <w:tcW w:w="1679" w:type="pct"/>
            <w:tcBorders>
              <w:top w:val="nil"/>
              <w:left w:val="single" w:sz="4" w:space="0" w:color="auto"/>
              <w:bottom w:val="dotted" w:sz="4" w:space="0" w:color="auto"/>
              <w:right w:val="single" w:sz="4" w:space="0" w:color="auto"/>
            </w:tcBorders>
            <w:shd w:val="clear" w:color="auto" w:fill="auto"/>
            <w:noWrap/>
            <w:vAlign w:val="bottom"/>
          </w:tcPr>
          <w:p w:rsidR="00E403CE" w:rsidRPr="004E2A7F" w:rsidRDefault="00E403CE" w:rsidP="00E403CE">
            <w:pPr>
              <w:rPr>
                <w:rFonts w:ascii="Arial" w:hAnsi="Arial" w:cs="Arial"/>
                <w:sz w:val="12"/>
                <w:szCs w:val="12"/>
              </w:rPr>
            </w:pPr>
            <w:r w:rsidRPr="004E2A7F">
              <w:rPr>
                <w:rFonts w:ascii="Arial" w:hAnsi="Arial" w:cs="Arial"/>
                <w:sz w:val="12"/>
                <w:szCs w:val="12"/>
              </w:rPr>
              <w:t>Sigurimi Shoqeror</w:t>
            </w:r>
          </w:p>
        </w:tc>
        <w:tc>
          <w:tcPr>
            <w:tcW w:w="965"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20.430.600</w:t>
            </w:r>
          </w:p>
        </w:tc>
        <w:tc>
          <w:tcPr>
            <w:tcW w:w="432"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298"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321"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441"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540" w:type="pct"/>
            <w:tcBorders>
              <w:top w:val="nil"/>
              <w:left w:val="nil"/>
              <w:bottom w:val="dotted" w:sz="4" w:space="0" w:color="auto"/>
              <w:right w:val="double" w:sz="6"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20.430.600</w:t>
            </w:r>
          </w:p>
        </w:tc>
      </w:tr>
      <w:tr w:rsidR="00E403CE" w:rsidRPr="004E2A7F">
        <w:trPr>
          <w:trHeight w:val="162"/>
        </w:trPr>
        <w:tc>
          <w:tcPr>
            <w:tcW w:w="322" w:type="pct"/>
            <w:tcBorders>
              <w:top w:val="nil"/>
              <w:left w:val="double" w:sz="6" w:space="0" w:color="auto"/>
              <w:bottom w:val="dotted" w:sz="4" w:space="0" w:color="auto"/>
              <w:right w:val="nil"/>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10430</w:t>
            </w:r>
          </w:p>
        </w:tc>
        <w:tc>
          <w:tcPr>
            <w:tcW w:w="1679" w:type="pct"/>
            <w:tcBorders>
              <w:top w:val="nil"/>
              <w:left w:val="single" w:sz="4" w:space="0" w:color="auto"/>
              <w:bottom w:val="dotted" w:sz="4" w:space="0" w:color="auto"/>
              <w:right w:val="single" w:sz="4" w:space="0" w:color="auto"/>
            </w:tcBorders>
            <w:shd w:val="clear" w:color="auto" w:fill="auto"/>
            <w:noWrap/>
            <w:vAlign w:val="bottom"/>
          </w:tcPr>
          <w:p w:rsidR="00E403CE" w:rsidRPr="004E2A7F" w:rsidRDefault="00E403CE" w:rsidP="00E403CE">
            <w:pPr>
              <w:rPr>
                <w:rFonts w:ascii="Arial" w:hAnsi="Arial" w:cs="Arial"/>
                <w:sz w:val="12"/>
                <w:szCs w:val="12"/>
              </w:rPr>
            </w:pPr>
            <w:r w:rsidRPr="004E2A7F">
              <w:rPr>
                <w:rFonts w:ascii="Arial" w:hAnsi="Arial" w:cs="Arial"/>
                <w:sz w:val="12"/>
                <w:szCs w:val="12"/>
              </w:rPr>
              <w:t>Mbrojtja Sociale</w:t>
            </w:r>
          </w:p>
        </w:tc>
        <w:tc>
          <w:tcPr>
            <w:tcW w:w="965"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17.791.100</w:t>
            </w:r>
          </w:p>
        </w:tc>
        <w:tc>
          <w:tcPr>
            <w:tcW w:w="432"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116.500</w:t>
            </w:r>
          </w:p>
        </w:tc>
        <w:tc>
          <w:tcPr>
            <w:tcW w:w="298"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321"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170.000</w:t>
            </w:r>
          </w:p>
        </w:tc>
        <w:tc>
          <w:tcPr>
            <w:tcW w:w="441"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286.500</w:t>
            </w:r>
          </w:p>
        </w:tc>
        <w:tc>
          <w:tcPr>
            <w:tcW w:w="540" w:type="pct"/>
            <w:tcBorders>
              <w:top w:val="nil"/>
              <w:left w:val="nil"/>
              <w:bottom w:val="dotted" w:sz="4" w:space="0" w:color="auto"/>
              <w:right w:val="double" w:sz="6"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18.077.600</w:t>
            </w:r>
          </w:p>
        </w:tc>
      </w:tr>
      <w:tr w:rsidR="00E403CE" w:rsidRPr="004E2A7F">
        <w:trPr>
          <w:trHeight w:val="162"/>
        </w:trPr>
        <w:tc>
          <w:tcPr>
            <w:tcW w:w="322" w:type="pct"/>
            <w:tcBorders>
              <w:top w:val="nil"/>
              <w:left w:val="double" w:sz="6" w:space="0" w:color="auto"/>
              <w:bottom w:val="dotted" w:sz="4" w:space="0" w:color="auto"/>
              <w:right w:val="nil"/>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10550</w:t>
            </w:r>
          </w:p>
        </w:tc>
        <w:tc>
          <w:tcPr>
            <w:tcW w:w="1679" w:type="pct"/>
            <w:tcBorders>
              <w:top w:val="nil"/>
              <w:left w:val="single" w:sz="4" w:space="0" w:color="auto"/>
              <w:bottom w:val="dotted" w:sz="4" w:space="0" w:color="auto"/>
              <w:right w:val="single" w:sz="4" w:space="0" w:color="auto"/>
            </w:tcBorders>
            <w:shd w:val="clear" w:color="auto" w:fill="auto"/>
            <w:noWrap/>
            <w:vAlign w:val="bottom"/>
          </w:tcPr>
          <w:p w:rsidR="00E403CE" w:rsidRPr="004E2A7F" w:rsidRDefault="00E403CE" w:rsidP="00E403CE">
            <w:pPr>
              <w:rPr>
                <w:rFonts w:ascii="Arial" w:hAnsi="Arial" w:cs="Arial"/>
                <w:sz w:val="12"/>
                <w:szCs w:val="12"/>
              </w:rPr>
            </w:pPr>
            <w:r w:rsidRPr="004E2A7F">
              <w:rPr>
                <w:rFonts w:ascii="Arial" w:hAnsi="Arial" w:cs="Arial"/>
                <w:sz w:val="12"/>
                <w:szCs w:val="12"/>
              </w:rPr>
              <w:t>Tregu i Punes</w:t>
            </w:r>
          </w:p>
        </w:tc>
        <w:tc>
          <w:tcPr>
            <w:tcW w:w="965"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1.509.500</w:t>
            </w:r>
          </w:p>
        </w:tc>
        <w:tc>
          <w:tcPr>
            <w:tcW w:w="432"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118.470</w:t>
            </w:r>
          </w:p>
        </w:tc>
        <w:tc>
          <w:tcPr>
            <w:tcW w:w="298"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321"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441"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118.470</w:t>
            </w:r>
          </w:p>
        </w:tc>
        <w:tc>
          <w:tcPr>
            <w:tcW w:w="540" w:type="pct"/>
            <w:tcBorders>
              <w:top w:val="nil"/>
              <w:left w:val="nil"/>
              <w:bottom w:val="dotted" w:sz="4" w:space="0" w:color="auto"/>
              <w:right w:val="double" w:sz="6"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1.627.970</w:t>
            </w:r>
          </w:p>
        </w:tc>
      </w:tr>
      <w:tr w:rsidR="00E403CE" w:rsidRPr="004E2A7F">
        <w:trPr>
          <w:trHeight w:val="162"/>
        </w:trPr>
        <w:tc>
          <w:tcPr>
            <w:tcW w:w="322" w:type="pct"/>
            <w:tcBorders>
              <w:top w:val="nil"/>
              <w:left w:val="double" w:sz="6" w:space="0" w:color="auto"/>
              <w:bottom w:val="dotted" w:sz="4" w:space="0" w:color="auto"/>
              <w:right w:val="nil"/>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04170</w:t>
            </w:r>
          </w:p>
        </w:tc>
        <w:tc>
          <w:tcPr>
            <w:tcW w:w="1679" w:type="pct"/>
            <w:tcBorders>
              <w:top w:val="nil"/>
              <w:left w:val="single" w:sz="4" w:space="0" w:color="auto"/>
              <w:bottom w:val="dotted" w:sz="4" w:space="0" w:color="auto"/>
              <w:right w:val="single" w:sz="4" w:space="0" w:color="auto"/>
            </w:tcBorders>
            <w:shd w:val="clear" w:color="auto" w:fill="auto"/>
            <w:noWrap/>
            <w:vAlign w:val="bottom"/>
          </w:tcPr>
          <w:p w:rsidR="00E403CE" w:rsidRPr="004E2A7F" w:rsidRDefault="00E403CE" w:rsidP="00E403CE">
            <w:pPr>
              <w:rPr>
                <w:rFonts w:ascii="Arial" w:hAnsi="Arial" w:cs="Arial"/>
                <w:sz w:val="12"/>
                <w:szCs w:val="12"/>
              </w:rPr>
            </w:pPr>
            <w:r w:rsidRPr="004E2A7F">
              <w:rPr>
                <w:rFonts w:ascii="Arial" w:hAnsi="Arial" w:cs="Arial"/>
                <w:sz w:val="12"/>
                <w:szCs w:val="12"/>
              </w:rPr>
              <w:t>Inspektimi ne Pune</w:t>
            </w:r>
          </w:p>
        </w:tc>
        <w:tc>
          <w:tcPr>
            <w:tcW w:w="965"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148.890</w:t>
            </w:r>
          </w:p>
        </w:tc>
        <w:tc>
          <w:tcPr>
            <w:tcW w:w="432"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298"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321"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441"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540" w:type="pct"/>
            <w:tcBorders>
              <w:top w:val="nil"/>
              <w:left w:val="nil"/>
              <w:bottom w:val="dotted" w:sz="4" w:space="0" w:color="auto"/>
              <w:right w:val="double" w:sz="6"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148.890</w:t>
            </w:r>
          </w:p>
        </w:tc>
      </w:tr>
      <w:tr w:rsidR="00E403CE" w:rsidRPr="004E2A7F">
        <w:trPr>
          <w:trHeight w:val="162"/>
        </w:trPr>
        <w:tc>
          <w:tcPr>
            <w:tcW w:w="322" w:type="pct"/>
            <w:tcBorders>
              <w:top w:val="nil"/>
              <w:left w:val="double" w:sz="6" w:space="0" w:color="auto"/>
              <w:bottom w:val="single" w:sz="4" w:space="0" w:color="auto"/>
              <w:right w:val="nil"/>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10460</w:t>
            </w:r>
          </w:p>
        </w:tc>
        <w:tc>
          <w:tcPr>
            <w:tcW w:w="1679" w:type="pct"/>
            <w:tcBorders>
              <w:top w:val="nil"/>
              <w:left w:val="single" w:sz="4" w:space="0" w:color="auto"/>
              <w:bottom w:val="single" w:sz="4" w:space="0" w:color="auto"/>
              <w:right w:val="single" w:sz="4" w:space="0" w:color="auto"/>
            </w:tcBorders>
            <w:shd w:val="clear" w:color="auto" w:fill="auto"/>
            <w:noWrap/>
            <w:vAlign w:val="bottom"/>
          </w:tcPr>
          <w:p w:rsidR="00E403CE" w:rsidRPr="004E2A7F" w:rsidRDefault="00E403CE" w:rsidP="00E403CE">
            <w:pPr>
              <w:rPr>
                <w:rFonts w:ascii="Arial" w:hAnsi="Arial" w:cs="Arial"/>
                <w:sz w:val="12"/>
                <w:szCs w:val="12"/>
              </w:rPr>
            </w:pPr>
            <w:r w:rsidRPr="004E2A7F">
              <w:rPr>
                <w:rFonts w:ascii="Arial" w:hAnsi="Arial" w:cs="Arial"/>
                <w:sz w:val="12"/>
                <w:szCs w:val="12"/>
              </w:rPr>
              <w:t>Shanset e Barabarta</w:t>
            </w:r>
          </w:p>
        </w:tc>
        <w:tc>
          <w:tcPr>
            <w:tcW w:w="965" w:type="pct"/>
            <w:tcBorders>
              <w:top w:val="nil"/>
              <w:left w:val="nil"/>
              <w:bottom w:val="single"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11.380</w:t>
            </w:r>
          </w:p>
        </w:tc>
        <w:tc>
          <w:tcPr>
            <w:tcW w:w="432" w:type="pct"/>
            <w:tcBorders>
              <w:top w:val="nil"/>
              <w:left w:val="nil"/>
              <w:bottom w:val="single"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298" w:type="pct"/>
            <w:tcBorders>
              <w:top w:val="nil"/>
              <w:left w:val="nil"/>
              <w:bottom w:val="single"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321" w:type="pct"/>
            <w:tcBorders>
              <w:top w:val="nil"/>
              <w:left w:val="nil"/>
              <w:bottom w:val="single"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441" w:type="pct"/>
            <w:tcBorders>
              <w:top w:val="nil"/>
              <w:left w:val="nil"/>
              <w:bottom w:val="single"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540" w:type="pct"/>
            <w:tcBorders>
              <w:top w:val="nil"/>
              <w:left w:val="nil"/>
              <w:bottom w:val="single" w:sz="4" w:space="0" w:color="auto"/>
              <w:right w:val="double" w:sz="6"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11.380</w:t>
            </w:r>
          </w:p>
        </w:tc>
      </w:tr>
      <w:tr w:rsidR="00E403CE" w:rsidRPr="004E2A7F">
        <w:trPr>
          <w:trHeight w:val="162"/>
        </w:trPr>
        <w:tc>
          <w:tcPr>
            <w:tcW w:w="322" w:type="pct"/>
            <w:tcBorders>
              <w:top w:val="nil"/>
              <w:left w:val="double" w:sz="6" w:space="0" w:color="auto"/>
              <w:bottom w:val="dotted" w:sz="4" w:space="0" w:color="auto"/>
              <w:right w:val="nil"/>
            </w:tcBorders>
            <w:shd w:val="clear" w:color="auto" w:fill="auto"/>
            <w:vAlign w:val="bottom"/>
          </w:tcPr>
          <w:p w:rsidR="00E403CE" w:rsidRPr="004E2A7F" w:rsidRDefault="00E403CE" w:rsidP="00E403CE">
            <w:pPr>
              <w:jc w:val="right"/>
              <w:rPr>
                <w:rFonts w:ascii="Arial" w:hAnsi="Arial" w:cs="Arial"/>
                <w:b/>
                <w:bCs/>
                <w:color w:val="000000"/>
                <w:sz w:val="12"/>
                <w:szCs w:val="12"/>
              </w:rPr>
            </w:pPr>
            <w:r w:rsidRPr="004E2A7F">
              <w:rPr>
                <w:rFonts w:ascii="Arial" w:hAnsi="Arial" w:cs="Arial"/>
                <w:b/>
                <w:bCs/>
                <w:color w:val="000000"/>
                <w:sz w:val="12"/>
                <w:szCs w:val="12"/>
              </w:rPr>
              <w:t>26</w:t>
            </w:r>
          </w:p>
        </w:tc>
        <w:tc>
          <w:tcPr>
            <w:tcW w:w="1679" w:type="pct"/>
            <w:tcBorders>
              <w:top w:val="nil"/>
              <w:left w:val="single" w:sz="4" w:space="0" w:color="auto"/>
              <w:bottom w:val="dotted" w:sz="4" w:space="0" w:color="auto"/>
              <w:right w:val="single" w:sz="4" w:space="0" w:color="auto"/>
            </w:tcBorders>
            <w:shd w:val="clear" w:color="auto" w:fill="auto"/>
            <w:noWrap/>
            <w:vAlign w:val="bottom"/>
          </w:tcPr>
          <w:p w:rsidR="00E403CE" w:rsidRPr="004E2A7F" w:rsidRDefault="00E403CE" w:rsidP="00E403CE">
            <w:pPr>
              <w:rPr>
                <w:rFonts w:ascii="Arial" w:hAnsi="Arial" w:cs="Arial"/>
                <w:b/>
                <w:bCs/>
                <w:sz w:val="12"/>
                <w:szCs w:val="12"/>
              </w:rPr>
            </w:pPr>
            <w:r w:rsidRPr="004E2A7F">
              <w:rPr>
                <w:rFonts w:ascii="Arial" w:hAnsi="Arial" w:cs="Arial"/>
                <w:b/>
                <w:bCs/>
                <w:sz w:val="12"/>
                <w:szCs w:val="12"/>
              </w:rPr>
              <w:t>Ministria e Mjedisit, Pyjeve dhe Administrimit te Ujrave</w:t>
            </w:r>
          </w:p>
        </w:tc>
        <w:tc>
          <w:tcPr>
            <w:tcW w:w="965"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1.094.000</w:t>
            </w:r>
          </w:p>
        </w:tc>
        <w:tc>
          <w:tcPr>
            <w:tcW w:w="432"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201.977</w:t>
            </w:r>
          </w:p>
        </w:tc>
        <w:tc>
          <w:tcPr>
            <w:tcW w:w="298"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47.900</w:t>
            </w:r>
          </w:p>
        </w:tc>
        <w:tc>
          <w:tcPr>
            <w:tcW w:w="321"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292.900</w:t>
            </w:r>
          </w:p>
        </w:tc>
        <w:tc>
          <w:tcPr>
            <w:tcW w:w="441"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542.777</w:t>
            </w:r>
          </w:p>
        </w:tc>
        <w:tc>
          <w:tcPr>
            <w:tcW w:w="540" w:type="pct"/>
            <w:tcBorders>
              <w:top w:val="nil"/>
              <w:left w:val="nil"/>
              <w:bottom w:val="dotted" w:sz="4" w:space="0" w:color="auto"/>
              <w:right w:val="double" w:sz="6" w:space="0" w:color="auto"/>
            </w:tcBorders>
            <w:shd w:val="clear" w:color="auto" w:fill="CCFFFF"/>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1.636.777</w:t>
            </w:r>
          </w:p>
        </w:tc>
      </w:tr>
      <w:tr w:rsidR="00E403CE" w:rsidRPr="004E2A7F">
        <w:trPr>
          <w:trHeight w:val="162"/>
        </w:trPr>
        <w:tc>
          <w:tcPr>
            <w:tcW w:w="322" w:type="pct"/>
            <w:tcBorders>
              <w:top w:val="nil"/>
              <w:left w:val="double" w:sz="6" w:space="0" w:color="auto"/>
              <w:bottom w:val="dotted" w:sz="4" w:space="0" w:color="auto"/>
              <w:right w:val="nil"/>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01110</w:t>
            </w:r>
          </w:p>
        </w:tc>
        <w:tc>
          <w:tcPr>
            <w:tcW w:w="1679" w:type="pct"/>
            <w:tcBorders>
              <w:top w:val="nil"/>
              <w:left w:val="single" w:sz="4" w:space="0" w:color="auto"/>
              <w:bottom w:val="dotted" w:sz="4" w:space="0" w:color="auto"/>
              <w:right w:val="single" w:sz="4" w:space="0" w:color="auto"/>
            </w:tcBorders>
            <w:shd w:val="clear" w:color="auto" w:fill="auto"/>
            <w:noWrap/>
            <w:vAlign w:val="bottom"/>
          </w:tcPr>
          <w:p w:rsidR="00E403CE" w:rsidRPr="004E2A7F" w:rsidRDefault="00E403CE" w:rsidP="00E403CE">
            <w:pPr>
              <w:rPr>
                <w:rFonts w:ascii="Arial" w:hAnsi="Arial" w:cs="Arial"/>
                <w:sz w:val="12"/>
                <w:szCs w:val="12"/>
              </w:rPr>
            </w:pPr>
            <w:r w:rsidRPr="004E2A7F">
              <w:rPr>
                <w:rFonts w:ascii="Arial" w:hAnsi="Arial" w:cs="Arial"/>
                <w:sz w:val="12"/>
                <w:szCs w:val="12"/>
              </w:rPr>
              <w:t>Planifikimi, Menaxhimi dhe Administrimi</w:t>
            </w:r>
          </w:p>
        </w:tc>
        <w:tc>
          <w:tcPr>
            <w:tcW w:w="965"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74.000</w:t>
            </w:r>
          </w:p>
        </w:tc>
        <w:tc>
          <w:tcPr>
            <w:tcW w:w="432"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5.000</w:t>
            </w:r>
          </w:p>
        </w:tc>
        <w:tc>
          <w:tcPr>
            <w:tcW w:w="298"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321"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441"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5.000</w:t>
            </w:r>
          </w:p>
        </w:tc>
        <w:tc>
          <w:tcPr>
            <w:tcW w:w="540" w:type="pct"/>
            <w:tcBorders>
              <w:top w:val="nil"/>
              <w:left w:val="nil"/>
              <w:bottom w:val="dotted" w:sz="4" w:space="0" w:color="auto"/>
              <w:right w:val="double" w:sz="6"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79.000</w:t>
            </w:r>
          </w:p>
        </w:tc>
      </w:tr>
      <w:tr w:rsidR="00E403CE" w:rsidRPr="004E2A7F">
        <w:trPr>
          <w:trHeight w:val="162"/>
        </w:trPr>
        <w:tc>
          <w:tcPr>
            <w:tcW w:w="322" w:type="pct"/>
            <w:tcBorders>
              <w:top w:val="nil"/>
              <w:left w:val="double" w:sz="6" w:space="0" w:color="auto"/>
              <w:bottom w:val="dotted" w:sz="4" w:space="0" w:color="auto"/>
              <w:right w:val="nil"/>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05320</w:t>
            </w:r>
          </w:p>
        </w:tc>
        <w:tc>
          <w:tcPr>
            <w:tcW w:w="1679" w:type="pct"/>
            <w:tcBorders>
              <w:top w:val="nil"/>
              <w:left w:val="single" w:sz="4" w:space="0" w:color="auto"/>
              <w:bottom w:val="dotted" w:sz="4" w:space="0" w:color="auto"/>
              <w:right w:val="single" w:sz="4" w:space="0" w:color="auto"/>
            </w:tcBorders>
            <w:shd w:val="clear" w:color="auto" w:fill="auto"/>
            <w:noWrap/>
            <w:vAlign w:val="bottom"/>
          </w:tcPr>
          <w:p w:rsidR="00E403CE" w:rsidRPr="004E2A7F" w:rsidRDefault="00E403CE" w:rsidP="00E403CE">
            <w:pPr>
              <w:rPr>
                <w:rFonts w:ascii="Arial" w:hAnsi="Arial" w:cs="Arial"/>
                <w:sz w:val="12"/>
                <w:szCs w:val="12"/>
              </w:rPr>
            </w:pPr>
            <w:r w:rsidRPr="004E2A7F">
              <w:rPr>
                <w:rFonts w:ascii="Arial" w:hAnsi="Arial" w:cs="Arial"/>
                <w:sz w:val="12"/>
                <w:szCs w:val="12"/>
              </w:rPr>
              <w:t>Programe per mbrojtjen e Mjedisit</w:t>
            </w:r>
          </w:p>
        </w:tc>
        <w:tc>
          <w:tcPr>
            <w:tcW w:w="965"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87.900</w:t>
            </w:r>
          </w:p>
        </w:tc>
        <w:tc>
          <w:tcPr>
            <w:tcW w:w="432"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18.625</w:t>
            </w:r>
          </w:p>
        </w:tc>
        <w:tc>
          <w:tcPr>
            <w:tcW w:w="298"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321"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115.300</w:t>
            </w:r>
          </w:p>
        </w:tc>
        <w:tc>
          <w:tcPr>
            <w:tcW w:w="441"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133.925</w:t>
            </w:r>
          </w:p>
        </w:tc>
        <w:tc>
          <w:tcPr>
            <w:tcW w:w="540" w:type="pct"/>
            <w:tcBorders>
              <w:top w:val="nil"/>
              <w:left w:val="nil"/>
              <w:bottom w:val="dotted" w:sz="4" w:space="0" w:color="auto"/>
              <w:right w:val="double" w:sz="6"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221.825</w:t>
            </w:r>
          </w:p>
        </w:tc>
      </w:tr>
      <w:tr w:rsidR="00E403CE" w:rsidRPr="004E2A7F">
        <w:trPr>
          <w:trHeight w:val="162"/>
        </w:trPr>
        <w:tc>
          <w:tcPr>
            <w:tcW w:w="322" w:type="pct"/>
            <w:tcBorders>
              <w:top w:val="nil"/>
              <w:left w:val="double" w:sz="6" w:space="0" w:color="auto"/>
              <w:bottom w:val="dotted" w:sz="4" w:space="0" w:color="auto"/>
              <w:right w:val="nil"/>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04230</w:t>
            </w:r>
          </w:p>
        </w:tc>
        <w:tc>
          <w:tcPr>
            <w:tcW w:w="1679" w:type="pct"/>
            <w:tcBorders>
              <w:top w:val="nil"/>
              <w:left w:val="single" w:sz="4" w:space="0" w:color="auto"/>
              <w:bottom w:val="dotted" w:sz="4" w:space="0" w:color="auto"/>
              <w:right w:val="single" w:sz="4" w:space="0" w:color="auto"/>
            </w:tcBorders>
            <w:shd w:val="clear" w:color="auto" w:fill="auto"/>
            <w:noWrap/>
            <w:vAlign w:val="bottom"/>
          </w:tcPr>
          <w:p w:rsidR="00E403CE" w:rsidRPr="004E2A7F" w:rsidRDefault="00E403CE" w:rsidP="00E403CE">
            <w:pPr>
              <w:rPr>
                <w:rFonts w:ascii="Arial" w:hAnsi="Arial" w:cs="Arial"/>
                <w:sz w:val="12"/>
                <w:szCs w:val="12"/>
              </w:rPr>
            </w:pPr>
            <w:r w:rsidRPr="004E2A7F">
              <w:rPr>
                <w:rFonts w:ascii="Arial" w:hAnsi="Arial" w:cs="Arial"/>
                <w:sz w:val="12"/>
                <w:szCs w:val="12"/>
              </w:rPr>
              <w:t>Mbeshtetje per Peshkimin</w:t>
            </w:r>
          </w:p>
        </w:tc>
        <w:tc>
          <w:tcPr>
            <w:tcW w:w="965"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67.100</w:t>
            </w:r>
          </w:p>
        </w:tc>
        <w:tc>
          <w:tcPr>
            <w:tcW w:w="432"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36.600</w:t>
            </w:r>
          </w:p>
        </w:tc>
        <w:tc>
          <w:tcPr>
            <w:tcW w:w="298"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321"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12.700</w:t>
            </w:r>
          </w:p>
        </w:tc>
        <w:tc>
          <w:tcPr>
            <w:tcW w:w="441"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49.300</w:t>
            </w:r>
          </w:p>
        </w:tc>
        <w:tc>
          <w:tcPr>
            <w:tcW w:w="540" w:type="pct"/>
            <w:tcBorders>
              <w:top w:val="nil"/>
              <w:left w:val="nil"/>
              <w:bottom w:val="dotted" w:sz="4" w:space="0" w:color="auto"/>
              <w:right w:val="double" w:sz="6"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116.400</w:t>
            </w:r>
          </w:p>
        </w:tc>
      </w:tr>
      <w:tr w:rsidR="00E403CE" w:rsidRPr="004E2A7F">
        <w:trPr>
          <w:trHeight w:val="162"/>
        </w:trPr>
        <w:tc>
          <w:tcPr>
            <w:tcW w:w="322" w:type="pct"/>
            <w:tcBorders>
              <w:top w:val="nil"/>
              <w:left w:val="double" w:sz="6" w:space="0" w:color="auto"/>
              <w:bottom w:val="dotted" w:sz="4" w:space="0" w:color="auto"/>
              <w:right w:val="nil"/>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05640</w:t>
            </w:r>
          </w:p>
        </w:tc>
        <w:tc>
          <w:tcPr>
            <w:tcW w:w="1679" w:type="pct"/>
            <w:tcBorders>
              <w:top w:val="nil"/>
              <w:left w:val="single" w:sz="4" w:space="0" w:color="auto"/>
              <w:bottom w:val="dotted" w:sz="4" w:space="0" w:color="auto"/>
              <w:right w:val="single" w:sz="4" w:space="0" w:color="auto"/>
            </w:tcBorders>
            <w:shd w:val="clear" w:color="auto" w:fill="auto"/>
            <w:noWrap/>
            <w:vAlign w:val="bottom"/>
          </w:tcPr>
          <w:p w:rsidR="00E403CE" w:rsidRPr="004E2A7F" w:rsidRDefault="00E403CE" w:rsidP="00E403CE">
            <w:pPr>
              <w:rPr>
                <w:rFonts w:ascii="Arial" w:hAnsi="Arial" w:cs="Arial"/>
                <w:sz w:val="12"/>
                <w:szCs w:val="12"/>
              </w:rPr>
            </w:pPr>
            <w:r w:rsidRPr="004E2A7F">
              <w:rPr>
                <w:rFonts w:ascii="Arial" w:hAnsi="Arial" w:cs="Arial"/>
                <w:sz w:val="12"/>
                <w:szCs w:val="12"/>
              </w:rPr>
              <w:t>Administrimi i Ujrave</w:t>
            </w:r>
          </w:p>
        </w:tc>
        <w:tc>
          <w:tcPr>
            <w:tcW w:w="965"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21.000</w:t>
            </w:r>
          </w:p>
        </w:tc>
        <w:tc>
          <w:tcPr>
            <w:tcW w:w="432"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298"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321"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441"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540" w:type="pct"/>
            <w:tcBorders>
              <w:top w:val="nil"/>
              <w:left w:val="nil"/>
              <w:bottom w:val="dotted" w:sz="4" w:space="0" w:color="auto"/>
              <w:right w:val="double" w:sz="6"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21.000</w:t>
            </w:r>
          </w:p>
        </w:tc>
      </w:tr>
      <w:tr w:rsidR="00E403CE" w:rsidRPr="004E2A7F">
        <w:trPr>
          <w:trHeight w:val="162"/>
        </w:trPr>
        <w:tc>
          <w:tcPr>
            <w:tcW w:w="322" w:type="pct"/>
            <w:tcBorders>
              <w:top w:val="nil"/>
              <w:left w:val="double" w:sz="6" w:space="0" w:color="auto"/>
              <w:bottom w:val="single" w:sz="4" w:space="0" w:color="auto"/>
              <w:right w:val="nil"/>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04260</w:t>
            </w:r>
          </w:p>
        </w:tc>
        <w:tc>
          <w:tcPr>
            <w:tcW w:w="1679" w:type="pct"/>
            <w:tcBorders>
              <w:top w:val="nil"/>
              <w:left w:val="single" w:sz="4" w:space="0" w:color="auto"/>
              <w:bottom w:val="single" w:sz="4" w:space="0" w:color="auto"/>
              <w:right w:val="single" w:sz="4" w:space="0" w:color="auto"/>
            </w:tcBorders>
            <w:shd w:val="clear" w:color="auto" w:fill="auto"/>
            <w:noWrap/>
            <w:vAlign w:val="bottom"/>
          </w:tcPr>
          <w:p w:rsidR="00E403CE" w:rsidRPr="004E2A7F" w:rsidRDefault="00E403CE" w:rsidP="00E403CE">
            <w:pPr>
              <w:rPr>
                <w:rFonts w:ascii="Arial" w:hAnsi="Arial" w:cs="Arial"/>
                <w:sz w:val="12"/>
                <w:szCs w:val="12"/>
              </w:rPr>
            </w:pPr>
            <w:r w:rsidRPr="004E2A7F">
              <w:rPr>
                <w:rFonts w:ascii="Arial" w:hAnsi="Arial" w:cs="Arial"/>
                <w:sz w:val="12"/>
                <w:szCs w:val="12"/>
              </w:rPr>
              <w:t>Administrimi i Pyjeve</w:t>
            </w:r>
          </w:p>
        </w:tc>
        <w:tc>
          <w:tcPr>
            <w:tcW w:w="965" w:type="pct"/>
            <w:tcBorders>
              <w:top w:val="nil"/>
              <w:left w:val="nil"/>
              <w:bottom w:val="single"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844.000</w:t>
            </w:r>
          </w:p>
        </w:tc>
        <w:tc>
          <w:tcPr>
            <w:tcW w:w="432" w:type="pct"/>
            <w:tcBorders>
              <w:top w:val="nil"/>
              <w:left w:val="nil"/>
              <w:bottom w:val="single"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141.752</w:t>
            </w:r>
          </w:p>
        </w:tc>
        <w:tc>
          <w:tcPr>
            <w:tcW w:w="298" w:type="pct"/>
            <w:tcBorders>
              <w:top w:val="nil"/>
              <w:left w:val="nil"/>
              <w:bottom w:val="single"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47.900</w:t>
            </w:r>
          </w:p>
        </w:tc>
        <w:tc>
          <w:tcPr>
            <w:tcW w:w="321" w:type="pct"/>
            <w:tcBorders>
              <w:top w:val="nil"/>
              <w:left w:val="nil"/>
              <w:bottom w:val="single"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164.900</w:t>
            </w:r>
          </w:p>
        </w:tc>
        <w:tc>
          <w:tcPr>
            <w:tcW w:w="441" w:type="pct"/>
            <w:tcBorders>
              <w:top w:val="nil"/>
              <w:left w:val="nil"/>
              <w:bottom w:val="single"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354.552</w:t>
            </w:r>
          </w:p>
        </w:tc>
        <w:tc>
          <w:tcPr>
            <w:tcW w:w="540" w:type="pct"/>
            <w:tcBorders>
              <w:top w:val="nil"/>
              <w:left w:val="nil"/>
              <w:bottom w:val="single" w:sz="4" w:space="0" w:color="auto"/>
              <w:right w:val="double" w:sz="6"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1.198.552</w:t>
            </w:r>
          </w:p>
        </w:tc>
      </w:tr>
      <w:tr w:rsidR="00E403CE" w:rsidRPr="004E2A7F">
        <w:trPr>
          <w:trHeight w:val="162"/>
        </w:trPr>
        <w:tc>
          <w:tcPr>
            <w:tcW w:w="322" w:type="pct"/>
            <w:tcBorders>
              <w:top w:val="nil"/>
              <w:left w:val="double" w:sz="6" w:space="0" w:color="auto"/>
              <w:bottom w:val="dotted" w:sz="4" w:space="0" w:color="auto"/>
              <w:right w:val="nil"/>
            </w:tcBorders>
            <w:shd w:val="clear" w:color="auto" w:fill="auto"/>
            <w:vAlign w:val="bottom"/>
          </w:tcPr>
          <w:p w:rsidR="00E403CE" w:rsidRPr="004E2A7F" w:rsidRDefault="00E403CE" w:rsidP="00E403CE">
            <w:pPr>
              <w:jc w:val="right"/>
              <w:rPr>
                <w:rFonts w:ascii="Arial" w:hAnsi="Arial" w:cs="Arial"/>
                <w:b/>
                <w:bCs/>
                <w:color w:val="000000"/>
                <w:sz w:val="12"/>
                <w:szCs w:val="12"/>
              </w:rPr>
            </w:pPr>
            <w:r w:rsidRPr="004E2A7F">
              <w:rPr>
                <w:rFonts w:ascii="Arial" w:hAnsi="Arial" w:cs="Arial"/>
                <w:b/>
                <w:bCs/>
                <w:color w:val="000000"/>
                <w:sz w:val="12"/>
                <w:szCs w:val="12"/>
              </w:rPr>
              <w:t>28</w:t>
            </w:r>
          </w:p>
        </w:tc>
        <w:tc>
          <w:tcPr>
            <w:tcW w:w="1679" w:type="pct"/>
            <w:tcBorders>
              <w:top w:val="nil"/>
              <w:left w:val="single" w:sz="4" w:space="0" w:color="auto"/>
              <w:bottom w:val="dotted" w:sz="4" w:space="0" w:color="auto"/>
              <w:right w:val="single" w:sz="4" w:space="0" w:color="auto"/>
            </w:tcBorders>
            <w:shd w:val="clear" w:color="auto" w:fill="auto"/>
            <w:vAlign w:val="bottom"/>
          </w:tcPr>
          <w:p w:rsidR="00E403CE" w:rsidRPr="004E2A7F" w:rsidRDefault="00E403CE" w:rsidP="00E403CE">
            <w:pPr>
              <w:rPr>
                <w:rFonts w:ascii="Arial" w:hAnsi="Arial" w:cs="Arial"/>
                <w:b/>
                <w:bCs/>
                <w:color w:val="000000"/>
                <w:sz w:val="12"/>
                <w:szCs w:val="12"/>
              </w:rPr>
            </w:pPr>
            <w:r w:rsidRPr="004E2A7F">
              <w:rPr>
                <w:rFonts w:ascii="Arial" w:hAnsi="Arial" w:cs="Arial"/>
                <w:b/>
                <w:bCs/>
                <w:color w:val="000000"/>
                <w:sz w:val="12"/>
                <w:szCs w:val="12"/>
              </w:rPr>
              <w:t>Prokuroria e Pergjithshme</w:t>
            </w:r>
          </w:p>
        </w:tc>
        <w:tc>
          <w:tcPr>
            <w:tcW w:w="965"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988.608</w:t>
            </w:r>
          </w:p>
        </w:tc>
        <w:tc>
          <w:tcPr>
            <w:tcW w:w="432"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22.781</w:t>
            </w:r>
          </w:p>
        </w:tc>
        <w:tc>
          <w:tcPr>
            <w:tcW w:w="298"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0</w:t>
            </w:r>
          </w:p>
        </w:tc>
        <w:tc>
          <w:tcPr>
            <w:tcW w:w="321" w:type="pct"/>
            <w:tcBorders>
              <w:top w:val="nil"/>
              <w:left w:val="nil"/>
              <w:bottom w:val="dotted"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0</w:t>
            </w:r>
          </w:p>
        </w:tc>
        <w:tc>
          <w:tcPr>
            <w:tcW w:w="441" w:type="pct"/>
            <w:tcBorders>
              <w:top w:val="nil"/>
              <w:left w:val="nil"/>
              <w:bottom w:val="dotted"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22.781</w:t>
            </w:r>
          </w:p>
        </w:tc>
        <w:tc>
          <w:tcPr>
            <w:tcW w:w="540" w:type="pct"/>
            <w:tcBorders>
              <w:top w:val="nil"/>
              <w:left w:val="nil"/>
              <w:bottom w:val="dotted" w:sz="4" w:space="0" w:color="auto"/>
              <w:right w:val="double" w:sz="6" w:space="0" w:color="auto"/>
            </w:tcBorders>
            <w:shd w:val="clear" w:color="auto" w:fill="CCFFFF"/>
            <w:noWrap/>
            <w:vAlign w:val="bottom"/>
          </w:tcPr>
          <w:p w:rsidR="00E403CE" w:rsidRPr="004E2A7F" w:rsidRDefault="00E403CE" w:rsidP="00E403CE">
            <w:pPr>
              <w:jc w:val="right"/>
              <w:rPr>
                <w:rFonts w:ascii="Arial" w:hAnsi="Arial" w:cs="Arial"/>
                <w:b/>
                <w:bCs/>
                <w:sz w:val="12"/>
                <w:szCs w:val="12"/>
              </w:rPr>
            </w:pPr>
            <w:r w:rsidRPr="004E2A7F">
              <w:rPr>
                <w:rFonts w:ascii="Arial" w:hAnsi="Arial" w:cs="Arial"/>
                <w:b/>
                <w:bCs/>
                <w:sz w:val="12"/>
                <w:szCs w:val="12"/>
              </w:rPr>
              <w:t>1.011.389</w:t>
            </w:r>
          </w:p>
        </w:tc>
      </w:tr>
      <w:tr w:rsidR="00E403CE" w:rsidRPr="004E2A7F">
        <w:trPr>
          <w:trHeight w:val="162"/>
        </w:trPr>
        <w:tc>
          <w:tcPr>
            <w:tcW w:w="322" w:type="pct"/>
            <w:tcBorders>
              <w:top w:val="nil"/>
              <w:left w:val="double" w:sz="6" w:space="0" w:color="auto"/>
              <w:bottom w:val="single" w:sz="4" w:space="0" w:color="auto"/>
              <w:right w:val="nil"/>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01110</w:t>
            </w:r>
          </w:p>
        </w:tc>
        <w:tc>
          <w:tcPr>
            <w:tcW w:w="1679" w:type="pct"/>
            <w:tcBorders>
              <w:top w:val="nil"/>
              <w:left w:val="single" w:sz="4" w:space="0" w:color="auto"/>
              <w:bottom w:val="single" w:sz="4" w:space="0" w:color="auto"/>
              <w:right w:val="single" w:sz="4" w:space="0" w:color="auto"/>
            </w:tcBorders>
            <w:shd w:val="clear" w:color="auto" w:fill="auto"/>
            <w:noWrap/>
            <w:vAlign w:val="bottom"/>
          </w:tcPr>
          <w:p w:rsidR="00E403CE" w:rsidRPr="004E2A7F" w:rsidRDefault="00E403CE" w:rsidP="00E403CE">
            <w:pPr>
              <w:rPr>
                <w:rFonts w:ascii="Arial" w:hAnsi="Arial" w:cs="Arial"/>
                <w:sz w:val="12"/>
                <w:szCs w:val="12"/>
              </w:rPr>
            </w:pPr>
            <w:r w:rsidRPr="004E2A7F">
              <w:rPr>
                <w:rFonts w:ascii="Arial" w:hAnsi="Arial" w:cs="Arial"/>
                <w:sz w:val="12"/>
                <w:szCs w:val="12"/>
              </w:rPr>
              <w:t>Planifikimi, Menaxhimi dhe Administrimi</w:t>
            </w:r>
          </w:p>
        </w:tc>
        <w:tc>
          <w:tcPr>
            <w:tcW w:w="965" w:type="pct"/>
            <w:tcBorders>
              <w:top w:val="nil"/>
              <w:left w:val="nil"/>
              <w:bottom w:val="single"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988.608</w:t>
            </w:r>
          </w:p>
        </w:tc>
        <w:tc>
          <w:tcPr>
            <w:tcW w:w="432" w:type="pct"/>
            <w:tcBorders>
              <w:top w:val="nil"/>
              <w:left w:val="nil"/>
              <w:bottom w:val="single"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22.781</w:t>
            </w:r>
          </w:p>
        </w:tc>
        <w:tc>
          <w:tcPr>
            <w:tcW w:w="298" w:type="pct"/>
            <w:tcBorders>
              <w:top w:val="nil"/>
              <w:left w:val="nil"/>
              <w:bottom w:val="single"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321" w:type="pct"/>
            <w:tcBorders>
              <w:top w:val="nil"/>
              <w:left w:val="nil"/>
              <w:bottom w:val="single" w:sz="4" w:space="0" w:color="auto"/>
              <w:right w:val="dashed" w:sz="4" w:space="0" w:color="auto"/>
            </w:tcBorders>
            <w:shd w:val="clear" w:color="auto" w:fill="auto"/>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0</w:t>
            </w:r>
          </w:p>
        </w:tc>
        <w:tc>
          <w:tcPr>
            <w:tcW w:w="441" w:type="pct"/>
            <w:tcBorders>
              <w:top w:val="nil"/>
              <w:left w:val="nil"/>
              <w:bottom w:val="single" w:sz="4" w:space="0" w:color="auto"/>
              <w:right w:val="single" w:sz="4"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22.781</w:t>
            </w:r>
          </w:p>
        </w:tc>
        <w:tc>
          <w:tcPr>
            <w:tcW w:w="540" w:type="pct"/>
            <w:tcBorders>
              <w:top w:val="nil"/>
              <w:left w:val="nil"/>
              <w:bottom w:val="single" w:sz="4" w:space="0" w:color="auto"/>
              <w:right w:val="double" w:sz="6" w:space="0" w:color="auto"/>
            </w:tcBorders>
            <w:shd w:val="clear" w:color="auto" w:fill="CCFFFF"/>
            <w:noWrap/>
            <w:vAlign w:val="bottom"/>
          </w:tcPr>
          <w:p w:rsidR="00E403CE" w:rsidRPr="004E2A7F" w:rsidRDefault="00E403CE" w:rsidP="00E403CE">
            <w:pPr>
              <w:jc w:val="right"/>
              <w:rPr>
                <w:rFonts w:ascii="Arial" w:hAnsi="Arial" w:cs="Arial"/>
                <w:sz w:val="12"/>
                <w:szCs w:val="12"/>
              </w:rPr>
            </w:pPr>
            <w:r w:rsidRPr="004E2A7F">
              <w:rPr>
                <w:rFonts w:ascii="Arial" w:hAnsi="Arial" w:cs="Arial"/>
                <w:sz w:val="12"/>
                <w:szCs w:val="12"/>
              </w:rPr>
              <w:t>1.011.389</w:t>
            </w:r>
          </w:p>
        </w:tc>
      </w:tr>
    </w:tbl>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r>
        <w:rPr>
          <w:rFonts w:ascii="CG Times" w:hAnsi="CG Times"/>
          <w:sz w:val="22"/>
          <w:szCs w:val="22"/>
        </w:rPr>
        <w:t>Tab. 1</w:t>
      </w:r>
    </w:p>
    <w:tbl>
      <w:tblPr>
        <w:tblW w:w="5000" w:type="pct"/>
        <w:tblLook w:val="0000" w:firstRow="0" w:lastRow="0" w:firstColumn="0" w:lastColumn="0" w:noHBand="0" w:noVBand="0"/>
      </w:tblPr>
      <w:tblGrid>
        <w:gridCol w:w="606"/>
        <w:gridCol w:w="3446"/>
        <w:gridCol w:w="995"/>
        <w:gridCol w:w="917"/>
        <w:gridCol w:w="839"/>
        <w:gridCol w:w="917"/>
        <w:gridCol w:w="917"/>
        <w:gridCol w:w="1111"/>
      </w:tblGrid>
      <w:tr w:rsidR="00E403CE">
        <w:trPr>
          <w:trHeight w:val="162"/>
        </w:trPr>
        <w:tc>
          <w:tcPr>
            <w:tcW w:w="5000" w:type="pct"/>
            <w:gridSpan w:val="8"/>
            <w:tcBorders>
              <w:top w:val="nil"/>
              <w:left w:val="nil"/>
              <w:bottom w:val="nil"/>
              <w:right w:val="nil"/>
            </w:tcBorders>
            <w:shd w:val="clear" w:color="auto" w:fill="auto"/>
            <w:noWrap/>
            <w:vAlign w:val="bottom"/>
          </w:tcPr>
          <w:p w:rsidR="00E403CE" w:rsidRDefault="00E403CE" w:rsidP="00E403CE">
            <w:pPr>
              <w:jc w:val="center"/>
              <w:rPr>
                <w:rFonts w:ascii="Arial" w:hAnsi="Arial" w:cs="Arial"/>
                <w:b/>
                <w:bCs/>
                <w:color w:val="000000"/>
                <w:sz w:val="14"/>
                <w:szCs w:val="14"/>
                <w:u w:val="single"/>
              </w:rPr>
            </w:pPr>
            <w:r>
              <w:rPr>
                <w:rFonts w:ascii="Arial" w:hAnsi="Arial" w:cs="Arial"/>
                <w:b/>
                <w:bCs/>
                <w:color w:val="000000"/>
                <w:sz w:val="14"/>
                <w:szCs w:val="14"/>
                <w:u w:val="single"/>
              </w:rPr>
              <w:t>BUXHETI I VITIT 2008 SIPAS MINISTRIVE TE LINJES DHE INSTITUCIONEVE BUXHETORE</w:t>
            </w:r>
          </w:p>
        </w:tc>
      </w:tr>
      <w:tr w:rsidR="00E403CE">
        <w:trPr>
          <w:trHeight w:val="162"/>
        </w:trPr>
        <w:tc>
          <w:tcPr>
            <w:tcW w:w="256" w:type="pct"/>
            <w:tcBorders>
              <w:top w:val="nil"/>
              <w:left w:val="nil"/>
              <w:bottom w:val="nil"/>
              <w:right w:val="nil"/>
            </w:tcBorders>
            <w:shd w:val="clear" w:color="auto" w:fill="auto"/>
            <w:noWrap/>
            <w:vAlign w:val="bottom"/>
          </w:tcPr>
          <w:p w:rsidR="00E403CE" w:rsidRDefault="00E403CE" w:rsidP="00E403CE">
            <w:pPr>
              <w:rPr>
                <w:rFonts w:ascii="Arial" w:hAnsi="Arial" w:cs="Arial"/>
                <w:sz w:val="14"/>
                <w:szCs w:val="14"/>
              </w:rPr>
            </w:pPr>
          </w:p>
        </w:tc>
        <w:tc>
          <w:tcPr>
            <w:tcW w:w="2050" w:type="pct"/>
            <w:tcBorders>
              <w:top w:val="nil"/>
              <w:left w:val="nil"/>
              <w:bottom w:val="nil"/>
              <w:right w:val="nil"/>
            </w:tcBorders>
            <w:shd w:val="clear" w:color="auto" w:fill="auto"/>
            <w:noWrap/>
            <w:vAlign w:val="bottom"/>
          </w:tcPr>
          <w:p w:rsidR="00E403CE" w:rsidRDefault="00E403CE" w:rsidP="00E403CE">
            <w:pPr>
              <w:rPr>
                <w:rFonts w:ascii="Arial" w:hAnsi="Arial" w:cs="Arial"/>
                <w:sz w:val="14"/>
                <w:szCs w:val="14"/>
              </w:rPr>
            </w:pPr>
          </w:p>
        </w:tc>
        <w:tc>
          <w:tcPr>
            <w:tcW w:w="474" w:type="pct"/>
            <w:tcBorders>
              <w:top w:val="nil"/>
              <w:left w:val="nil"/>
              <w:bottom w:val="nil"/>
              <w:right w:val="nil"/>
            </w:tcBorders>
            <w:shd w:val="clear" w:color="auto" w:fill="auto"/>
            <w:noWrap/>
            <w:vAlign w:val="bottom"/>
          </w:tcPr>
          <w:p w:rsidR="00E403CE" w:rsidRDefault="00E403CE" w:rsidP="00E403CE">
            <w:pPr>
              <w:rPr>
                <w:rFonts w:ascii="Arial" w:hAnsi="Arial" w:cs="Arial"/>
                <w:sz w:val="14"/>
                <w:szCs w:val="14"/>
              </w:rPr>
            </w:pPr>
          </w:p>
        </w:tc>
        <w:tc>
          <w:tcPr>
            <w:tcW w:w="424" w:type="pct"/>
            <w:tcBorders>
              <w:top w:val="nil"/>
              <w:left w:val="nil"/>
              <w:bottom w:val="nil"/>
              <w:right w:val="nil"/>
            </w:tcBorders>
            <w:shd w:val="clear" w:color="auto" w:fill="auto"/>
            <w:noWrap/>
            <w:vAlign w:val="bottom"/>
          </w:tcPr>
          <w:p w:rsidR="00E403CE" w:rsidRDefault="00E403CE" w:rsidP="00E403CE">
            <w:pPr>
              <w:rPr>
                <w:rFonts w:ascii="Arial" w:hAnsi="Arial" w:cs="Arial"/>
                <w:sz w:val="14"/>
                <w:szCs w:val="14"/>
              </w:rPr>
            </w:pPr>
          </w:p>
        </w:tc>
        <w:tc>
          <w:tcPr>
            <w:tcW w:w="397" w:type="pct"/>
            <w:tcBorders>
              <w:top w:val="nil"/>
              <w:left w:val="nil"/>
              <w:bottom w:val="nil"/>
              <w:right w:val="nil"/>
            </w:tcBorders>
            <w:shd w:val="clear" w:color="auto" w:fill="auto"/>
            <w:noWrap/>
            <w:vAlign w:val="bottom"/>
          </w:tcPr>
          <w:p w:rsidR="00E403CE" w:rsidRDefault="00E403CE" w:rsidP="00E403CE">
            <w:pPr>
              <w:rPr>
                <w:rFonts w:ascii="Arial" w:hAnsi="Arial" w:cs="Arial"/>
                <w:sz w:val="14"/>
                <w:szCs w:val="14"/>
              </w:rPr>
            </w:pPr>
          </w:p>
        </w:tc>
        <w:tc>
          <w:tcPr>
            <w:tcW w:w="424" w:type="pct"/>
            <w:tcBorders>
              <w:top w:val="nil"/>
              <w:left w:val="nil"/>
              <w:bottom w:val="nil"/>
              <w:right w:val="nil"/>
            </w:tcBorders>
            <w:shd w:val="clear" w:color="auto" w:fill="auto"/>
            <w:noWrap/>
            <w:vAlign w:val="bottom"/>
          </w:tcPr>
          <w:p w:rsidR="00E403CE" w:rsidRDefault="00E403CE" w:rsidP="00E403CE">
            <w:pPr>
              <w:rPr>
                <w:rFonts w:ascii="Arial" w:hAnsi="Arial" w:cs="Arial"/>
                <w:sz w:val="14"/>
                <w:szCs w:val="14"/>
              </w:rPr>
            </w:pPr>
          </w:p>
        </w:tc>
        <w:tc>
          <w:tcPr>
            <w:tcW w:w="441" w:type="pct"/>
            <w:tcBorders>
              <w:top w:val="nil"/>
              <w:left w:val="nil"/>
              <w:bottom w:val="nil"/>
              <w:right w:val="nil"/>
            </w:tcBorders>
            <w:shd w:val="clear" w:color="auto" w:fill="auto"/>
            <w:noWrap/>
            <w:vAlign w:val="bottom"/>
          </w:tcPr>
          <w:p w:rsidR="00E403CE" w:rsidRDefault="00E403CE" w:rsidP="00E403CE">
            <w:pPr>
              <w:rPr>
                <w:rFonts w:ascii="Arial" w:hAnsi="Arial" w:cs="Arial"/>
                <w:sz w:val="14"/>
                <w:szCs w:val="14"/>
              </w:rPr>
            </w:pPr>
          </w:p>
        </w:tc>
        <w:tc>
          <w:tcPr>
            <w:tcW w:w="535" w:type="pct"/>
            <w:tcBorders>
              <w:top w:val="nil"/>
              <w:left w:val="nil"/>
              <w:bottom w:val="nil"/>
              <w:right w:val="nil"/>
            </w:tcBorders>
            <w:shd w:val="clear" w:color="auto" w:fill="auto"/>
            <w:noWrap/>
            <w:vAlign w:val="bottom"/>
          </w:tcPr>
          <w:p w:rsidR="00E403CE" w:rsidRDefault="00E403CE" w:rsidP="00E403CE">
            <w:pPr>
              <w:rPr>
                <w:rFonts w:ascii="Arial" w:hAnsi="Arial" w:cs="Arial"/>
                <w:b/>
                <w:bCs/>
                <w:i/>
                <w:iCs/>
                <w:color w:val="000000"/>
                <w:sz w:val="14"/>
                <w:szCs w:val="14"/>
              </w:rPr>
            </w:pPr>
            <w:r>
              <w:rPr>
                <w:rFonts w:ascii="Arial" w:hAnsi="Arial" w:cs="Arial"/>
                <w:b/>
                <w:bCs/>
                <w:i/>
                <w:iCs/>
                <w:color w:val="000000"/>
                <w:sz w:val="14"/>
                <w:szCs w:val="14"/>
              </w:rPr>
              <w:t>ne 000/leke</w:t>
            </w:r>
          </w:p>
        </w:tc>
      </w:tr>
      <w:tr w:rsidR="00E403CE">
        <w:trPr>
          <w:trHeight w:val="162"/>
        </w:trPr>
        <w:tc>
          <w:tcPr>
            <w:tcW w:w="256" w:type="pct"/>
            <w:vMerge w:val="restart"/>
            <w:tcBorders>
              <w:top w:val="double" w:sz="6" w:space="0" w:color="auto"/>
              <w:left w:val="double" w:sz="6" w:space="0" w:color="auto"/>
              <w:bottom w:val="single" w:sz="4" w:space="0" w:color="000000"/>
              <w:right w:val="nil"/>
            </w:tcBorders>
            <w:shd w:val="clear" w:color="auto" w:fill="auto"/>
            <w:noWrap/>
            <w:vAlign w:val="center"/>
          </w:tcPr>
          <w:p w:rsidR="00E403CE" w:rsidRDefault="00E403CE" w:rsidP="00E403CE">
            <w:pPr>
              <w:jc w:val="center"/>
              <w:rPr>
                <w:rFonts w:ascii="Arial" w:hAnsi="Arial" w:cs="Arial"/>
                <w:b/>
                <w:bCs/>
                <w:sz w:val="14"/>
                <w:szCs w:val="14"/>
              </w:rPr>
            </w:pPr>
            <w:r>
              <w:rPr>
                <w:rFonts w:ascii="Arial" w:hAnsi="Arial" w:cs="Arial"/>
                <w:b/>
                <w:bCs/>
                <w:sz w:val="14"/>
                <w:szCs w:val="14"/>
              </w:rPr>
              <w:t>Kodi</w:t>
            </w:r>
          </w:p>
        </w:tc>
        <w:tc>
          <w:tcPr>
            <w:tcW w:w="2050" w:type="pct"/>
            <w:vMerge w:val="restart"/>
            <w:tcBorders>
              <w:top w:val="double" w:sz="6" w:space="0" w:color="auto"/>
              <w:left w:val="single" w:sz="4" w:space="0" w:color="auto"/>
              <w:bottom w:val="single" w:sz="4" w:space="0" w:color="000000"/>
              <w:right w:val="single" w:sz="4" w:space="0" w:color="auto"/>
            </w:tcBorders>
            <w:shd w:val="clear" w:color="auto" w:fill="auto"/>
            <w:vAlign w:val="center"/>
          </w:tcPr>
          <w:p w:rsidR="00E403CE" w:rsidRDefault="00E403CE" w:rsidP="00E403CE">
            <w:pPr>
              <w:jc w:val="center"/>
              <w:rPr>
                <w:rFonts w:ascii="Arial" w:hAnsi="Arial" w:cs="Arial"/>
                <w:b/>
                <w:bCs/>
                <w:sz w:val="14"/>
                <w:szCs w:val="14"/>
              </w:rPr>
            </w:pPr>
            <w:r>
              <w:rPr>
                <w:rFonts w:ascii="Arial" w:hAnsi="Arial" w:cs="Arial"/>
                <w:b/>
                <w:bCs/>
                <w:sz w:val="14"/>
                <w:szCs w:val="14"/>
              </w:rPr>
              <w:t>Emertimi i Institucionit / Programit</w:t>
            </w:r>
          </w:p>
        </w:tc>
        <w:tc>
          <w:tcPr>
            <w:tcW w:w="474" w:type="pct"/>
            <w:vMerge w:val="restart"/>
            <w:tcBorders>
              <w:top w:val="double" w:sz="6" w:space="0" w:color="auto"/>
              <w:left w:val="single" w:sz="4" w:space="0" w:color="auto"/>
              <w:bottom w:val="single" w:sz="4" w:space="0" w:color="000000"/>
              <w:right w:val="single" w:sz="4" w:space="0" w:color="auto"/>
            </w:tcBorders>
            <w:shd w:val="clear" w:color="auto" w:fill="CCFFFF"/>
            <w:vAlign w:val="center"/>
          </w:tcPr>
          <w:p w:rsidR="00E403CE" w:rsidRDefault="00E403CE" w:rsidP="00E403CE">
            <w:pPr>
              <w:jc w:val="center"/>
              <w:rPr>
                <w:rFonts w:ascii="Arial" w:hAnsi="Arial" w:cs="Arial"/>
                <w:b/>
                <w:bCs/>
                <w:sz w:val="14"/>
                <w:szCs w:val="14"/>
              </w:rPr>
            </w:pPr>
            <w:r>
              <w:rPr>
                <w:rFonts w:ascii="Arial" w:hAnsi="Arial" w:cs="Arial"/>
                <w:b/>
                <w:bCs/>
                <w:sz w:val="14"/>
                <w:szCs w:val="14"/>
              </w:rPr>
              <w:t xml:space="preserve">Totali i Shp. Korrente </w:t>
            </w:r>
          </w:p>
        </w:tc>
        <w:tc>
          <w:tcPr>
            <w:tcW w:w="1685" w:type="pct"/>
            <w:gridSpan w:val="4"/>
            <w:tcBorders>
              <w:top w:val="double" w:sz="6" w:space="0" w:color="auto"/>
              <w:left w:val="nil"/>
              <w:bottom w:val="nil"/>
              <w:right w:val="single" w:sz="4" w:space="0" w:color="auto"/>
            </w:tcBorders>
            <w:shd w:val="clear" w:color="auto" w:fill="auto"/>
            <w:noWrap/>
            <w:vAlign w:val="center"/>
          </w:tcPr>
          <w:p w:rsidR="00E403CE" w:rsidRDefault="00E403CE" w:rsidP="00E403CE">
            <w:pPr>
              <w:jc w:val="center"/>
              <w:rPr>
                <w:rFonts w:ascii="Arial" w:hAnsi="Arial" w:cs="Arial"/>
                <w:b/>
                <w:bCs/>
                <w:sz w:val="14"/>
                <w:szCs w:val="14"/>
              </w:rPr>
            </w:pPr>
            <w:r>
              <w:rPr>
                <w:rFonts w:ascii="Arial" w:hAnsi="Arial" w:cs="Arial"/>
                <w:b/>
                <w:bCs/>
                <w:sz w:val="14"/>
                <w:szCs w:val="14"/>
              </w:rPr>
              <w:t>Shpenzimet Kapitale</w:t>
            </w:r>
          </w:p>
        </w:tc>
        <w:tc>
          <w:tcPr>
            <w:tcW w:w="535" w:type="pct"/>
            <w:vMerge w:val="restart"/>
            <w:tcBorders>
              <w:top w:val="double" w:sz="6" w:space="0" w:color="auto"/>
              <w:left w:val="single" w:sz="4" w:space="0" w:color="auto"/>
              <w:bottom w:val="single" w:sz="4" w:space="0" w:color="000000"/>
              <w:right w:val="double" w:sz="6" w:space="0" w:color="auto"/>
            </w:tcBorders>
            <w:shd w:val="clear" w:color="auto" w:fill="CCFFFF"/>
            <w:vAlign w:val="center"/>
          </w:tcPr>
          <w:p w:rsidR="00E403CE" w:rsidRDefault="00E403CE" w:rsidP="00E403CE">
            <w:pPr>
              <w:jc w:val="center"/>
              <w:rPr>
                <w:rFonts w:ascii="Arial" w:hAnsi="Arial" w:cs="Arial"/>
                <w:b/>
                <w:bCs/>
                <w:sz w:val="14"/>
                <w:szCs w:val="14"/>
              </w:rPr>
            </w:pPr>
            <w:r>
              <w:rPr>
                <w:rFonts w:ascii="Arial" w:hAnsi="Arial" w:cs="Arial"/>
                <w:b/>
                <w:bCs/>
                <w:sz w:val="14"/>
                <w:szCs w:val="14"/>
              </w:rPr>
              <w:t>Totali i Shpenzimeve Buxhetore</w:t>
            </w:r>
          </w:p>
        </w:tc>
      </w:tr>
      <w:tr w:rsidR="00E403CE">
        <w:trPr>
          <w:trHeight w:val="162"/>
        </w:trPr>
        <w:tc>
          <w:tcPr>
            <w:tcW w:w="256" w:type="pct"/>
            <w:vMerge/>
            <w:tcBorders>
              <w:top w:val="double" w:sz="6" w:space="0" w:color="auto"/>
              <w:left w:val="double" w:sz="6" w:space="0" w:color="auto"/>
              <w:bottom w:val="single" w:sz="4" w:space="0" w:color="000000"/>
              <w:right w:val="nil"/>
            </w:tcBorders>
            <w:vAlign w:val="center"/>
          </w:tcPr>
          <w:p w:rsidR="00E403CE" w:rsidRDefault="00E403CE" w:rsidP="00E403CE">
            <w:pPr>
              <w:rPr>
                <w:rFonts w:ascii="Arial" w:hAnsi="Arial" w:cs="Arial"/>
                <w:b/>
                <w:bCs/>
                <w:sz w:val="14"/>
                <w:szCs w:val="14"/>
              </w:rPr>
            </w:pPr>
          </w:p>
        </w:tc>
        <w:tc>
          <w:tcPr>
            <w:tcW w:w="2050" w:type="pct"/>
            <w:vMerge/>
            <w:tcBorders>
              <w:top w:val="double" w:sz="6" w:space="0" w:color="auto"/>
              <w:left w:val="single" w:sz="4" w:space="0" w:color="auto"/>
              <w:bottom w:val="single" w:sz="4" w:space="0" w:color="000000"/>
              <w:right w:val="single" w:sz="4" w:space="0" w:color="auto"/>
            </w:tcBorders>
            <w:vAlign w:val="center"/>
          </w:tcPr>
          <w:p w:rsidR="00E403CE" w:rsidRDefault="00E403CE" w:rsidP="00E403CE">
            <w:pPr>
              <w:rPr>
                <w:rFonts w:ascii="Arial" w:hAnsi="Arial" w:cs="Arial"/>
                <w:b/>
                <w:bCs/>
                <w:sz w:val="14"/>
                <w:szCs w:val="14"/>
              </w:rPr>
            </w:pPr>
          </w:p>
        </w:tc>
        <w:tc>
          <w:tcPr>
            <w:tcW w:w="474" w:type="pct"/>
            <w:vMerge/>
            <w:tcBorders>
              <w:top w:val="double" w:sz="6" w:space="0" w:color="auto"/>
              <w:left w:val="single" w:sz="4" w:space="0" w:color="auto"/>
              <w:bottom w:val="single" w:sz="4" w:space="0" w:color="000000"/>
              <w:right w:val="single" w:sz="4" w:space="0" w:color="auto"/>
            </w:tcBorders>
            <w:vAlign w:val="center"/>
          </w:tcPr>
          <w:p w:rsidR="00E403CE" w:rsidRDefault="00E403CE" w:rsidP="00E403CE">
            <w:pPr>
              <w:rPr>
                <w:rFonts w:ascii="Arial" w:hAnsi="Arial" w:cs="Arial"/>
                <w:b/>
                <w:bCs/>
                <w:sz w:val="14"/>
                <w:szCs w:val="14"/>
              </w:rPr>
            </w:pPr>
          </w:p>
        </w:tc>
        <w:tc>
          <w:tcPr>
            <w:tcW w:w="424" w:type="pct"/>
            <w:tcBorders>
              <w:top w:val="dashed" w:sz="4" w:space="0" w:color="auto"/>
              <w:left w:val="nil"/>
              <w:bottom w:val="single" w:sz="4" w:space="0" w:color="auto"/>
              <w:right w:val="dashed" w:sz="4" w:space="0" w:color="auto"/>
            </w:tcBorders>
            <w:shd w:val="clear" w:color="auto" w:fill="auto"/>
            <w:vAlign w:val="center"/>
          </w:tcPr>
          <w:p w:rsidR="00E403CE" w:rsidRDefault="00E403CE" w:rsidP="00E403CE">
            <w:pPr>
              <w:jc w:val="center"/>
              <w:rPr>
                <w:rFonts w:ascii="Arial" w:hAnsi="Arial" w:cs="Arial"/>
                <w:sz w:val="14"/>
                <w:szCs w:val="14"/>
              </w:rPr>
            </w:pPr>
            <w:r>
              <w:rPr>
                <w:rFonts w:ascii="Arial" w:hAnsi="Arial" w:cs="Arial"/>
                <w:sz w:val="14"/>
                <w:szCs w:val="14"/>
              </w:rPr>
              <w:t>Nga</w:t>
            </w:r>
            <w:r>
              <w:rPr>
                <w:rFonts w:ascii="Arial" w:hAnsi="Arial" w:cs="Arial"/>
                <w:sz w:val="14"/>
                <w:szCs w:val="14"/>
              </w:rPr>
              <w:br/>
              <w:t>Buxheti</w:t>
            </w:r>
          </w:p>
        </w:tc>
        <w:tc>
          <w:tcPr>
            <w:tcW w:w="397" w:type="pct"/>
            <w:tcBorders>
              <w:top w:val="dashed" w:sz="4" w:space="0" w:color="auto"/>
              <w:left w:val="nil"/>
              <w:bottom w:val="single" w:sz="4" w:space="0" w:color="auto"/>
              <w:right w:val="dashed" w:sz="4" w:space="0" w:color="auto"/>
            </w:tcBorders>
            <w:shd w:val="clear" w:color="auto" w:fill="auto"/>
            <w:vAlign w:val="center"/>
          </w:tcPr>
          <w:p w:rsidR="00E403CE" w:rsidRDefault="00E403CE" w:rsidP="00E403CE">
            <w:pPr>
              <w:jc w:val="center"/>
              <w:rPr>
                <w:rFonts w:ascii="Arial" w:hAnsi="Arial" w:cs="Arial"/>
                <w:sz w:val="14"/>
                <w:szCs w:val="14"/>
              </w:rPr>
            </w:pPr>
            <w:r>
              <w:rPr>
                <w:rFonts w:ascii="Arial" w:hAnsi="Arial" w:cs="Arial"/>
                <w:sz w:val="14"/>
                <w:szCs w:val="14"/>
              </w:rPr>
              <w:t xml:space="preserve">Nga te </w:t>
            </w:r>
            <w:r>
              <w:rPr>
                <w:rFonts w:ascii="Arial" w:hAnsi="Arial" w:cs="Arial"/>
                <w:sz w:val="14"/>
                <w:szCs w:val="14"/>
              </w:rPr>
              <w:br/>
              <w:t>Ardhurat</w:t>
            </w:r>
          </w:p>
        </w:tc>
        <w:tc>
          <w:tcPr>
            <w:tcW w:w="424" w:type="pct"/>
            <w:tcBorders>
              <w:top w:val="dashed" w:sz="4" w:space="0" w:color="auto"/>
              <w:left w:val="nil"/>
              <w:bottom w:val="single" w:sz="4" w:space="0" w:color="auto"/>
              <w:right w:val="dashed" w:sz="4" w:space="0" w:color="auto"/>
            </w:tcBorders>
            <w:shd w:val="clear" w:color="auto" w:fill="auto"/>
            <w:vAlign w:val="center"/>
          </w:tcPr>
          <w:p w:rsidR="00E403CE" w:rsidRDefault="00E403CE" w:rsidP="00E403CE">
            <w:pPr>
              <w:jc w:val="center"/>
              <w:rPr>
                <w:rFonts w:ascii="Arial" w:hAnsi="Arial" w:cs="Arial"/>
                <w:sz w:val="14"/>
                <w:szCs w:val="14"/>
              </w:rPr>
            </w:pPr>
            <w:r>
              <w:rPr>
                <w:rFonts w:ascii="Arial" w:hAnsi="Arial" w:cs="Arial"/>
                <w:sz w:val="14"/>
                <w:szCs w:val="14"/>
              </w:rPr>
              <w:t>Financimi i</w:t>
            </w:r>
            <w:r>
              <w:rPr>
                <w:rFonts w:ascii="Arial" w:hAnsi="Arial" w:cs="Arial"/>
                <w:sz w:val="14"/>
                <w:szCs w:val="14"/>
              </w:rPr>
              <w:br/>
              <w:t>Huaj</w:t>
            </w:r>
          </w:p>
        </w:tc>
        <w:tc>
          <w:tcPr>
            <w:tcW w:w="441" w:type="pct"/>
            <w:tcBorders>
              <w:top w:val="dashed" w:sz="4" w:space="0" w:color="auto"/>
              <w:left w:val="nil"/>
              <w:bottom w:val="single" w:sz="4" w:space="0" w:color="auto"/>
              <w:right w:val="single" w:sz="4" w:space="0" w:color="auto"/>
            </w:tcBorders>
            <w:shd w:val="clear" w:color="auto" w:fill="CCFFFF"/>
            <w:vAlign w:val="center"/>
          </w:tcPr>
          <w:p w:rsidR="00E403CE" w:rsidRDefault="00E403CE" w:rsidP="00E403CE">
            <w:pPr>
              <w:jc w:val="center"/>
              <w:rPr>
                <w:rFonts w:ascii="Arial" w:hAnsi="Arial" w:cs="Arial"/>
                <w:b/>
                <w:bCs/>
                <w:sz w:val="14"/>
                <w:szCs w:val="14"/>
              </w:rPr>
            </w:pPr>
            <w:r>
              <w:rPr>
                <w:rFonts w:ascii="Arial" w:hAnsi="Arial" w:cs="Arial"/>
                <w:b/>
                <w:bCs/>
                <w:sz w:val="14"/>
                <w:szCs w:val="14"/>
              </w:rPr>
              <w:t>Totali i Shp. Kapitale</w:t>
            </w:r>
          </w:p>
        </w:tc>
        <w:tc>
          <w:tcPr>
            <w:tcW w:w="535" w:type="pct"/>
            <w:vMerge/>
            <w:tcBorders>
              <w:top w:val="double" w:sz="6" w:space="0" w:color="auto"/>
              <w:left w:val="single" w:sz="4" w:space="0" w:color="auto"/>
              <w:bottom w:val="single" w:sz="4" w:space="0" w:color="000000"/>
              <w:right w:val="double" w:sz="6" w:space="0" w:color="auto"/>
            </w:tcBorders>
            <w:vAlign w:val="center"/>
          </w:tcPr>
          <w:p w:rsidR="00E403CE" w:rsidRDefault="00E403CE" w:rsidP="00E403CE">
            <w:pPr>
              <w:rPr>
                <w:rFonts w:ascii="Arial" w:hAnsi="Arial" w:cs="Arial"/>
                <w:b/>
                <w:bCs/>
                <w:sz w:val="14"/>
                <w:szCs w:val="14"/>
              </w:rPr>
            </w:pPr>
          </w:p>
        </w:tc>
      </w:tr>
      <w:tr w:rsidR="00E403CE">
        <w:trPr>
          <w:trHeight w:val="162"/>
        </w:trPr>
        <w:tc>
          <w:tcPr>
            <w:tcW w:w="256" w:type="pct"/>
            <w:tcBorders>
              <w:top w:val="nil"/>
              <w:left w:val="double" w:sz="6" w:space="0" w:color="auto"/>
              <w:bottom w:val="dotted" w:sz="4" w:space="0" w:color="auto"/>
              <w:right w:val="nil"/>
            </w:tcBorders>
            <w:shd w:val="clear" w:color="auto" w:fill="auto"/>
            <w:vAlign w:val="bottom"/>
          </w:tcPr>
          <w:p w:rsidR="00E403CE" w:rsidRDefault="00E403CE" w:rsidP="00E403CE">
            <w:pPr>
              <w:jc w:val="right"/>
              <w:rPr>
                <w:rFonts w:ascii="Arial" w:hAnsi="Arial" w:cs="Arial"/>
                <w:b/>
                <w:bCs/>
                <w:color w:val="000000"/>
                <w:sz w:val="14"/>
                <w:szCs w:val="14"/>
              </w:rPr>
            </w:pPr>
            <w:r>
              <w:rPr>
                <w:rFonts w:ascii="Arial" w:hAnsi="Arial" w:cs="Arial"/>
                <w:b/>
                <w:bCs/>
                <w:color w:val="000000"/>
                <w:sz w:val="14"/>
                <w:szCs w:val="14"/>
              </w:rPr>
              <w:t>29</w:t>
            </w:r>
          </w:p>
        </w:tc>
        <w:tc>
          <w:tcPr>
            <w:tcW w:w="2050" w:type="pct"/>
            <w:tcBorders>
              <w:top w:val="nil"/>
              <w:left w:val="single" w:sz="4" w:space="0" w:color="auto"/>
              <w:bottom w:val="dotted" w:sz="4" w:space="0" w:color="auto"/>
              <w:right w:val="single" w:sz="4" w:space="0" w:color="auto"/>
            </w:tcBorders>
            <w:shd w:val="clear" w:color="auto" w:fill="auto"/>
            <w:vAlign w:val="bottom"/>
          </w:tcPr>
          <w:p w:rsidR="00E403CE" w:rsidRDefault="00E403CE" w:rsidP="00E403CE">
            <w:pPr>
              <w:rPr>
                <w:rFonts w:ascii="Arial" w:hAnsi="Arial" w:cs="Arial"/>
                <w:b/>
                <w:bCs/>
                <w:color w:val="000000"/>
                <w:sz w:val="14"/>
                <w:szCs w:val="14"/>
              </w:rPr>
            </w:pPr>
            <w:r>
              <w:rPr>
                <w:rFonts w:ascii="Arial" w:hAnsi="Arial" w:cs="Arial"/>
                <w:b/>
                <w:bCs/>
                <w:color w:val="000000"/>
                <w:sz w:val="14"/>
                <w:szCs w:val="14"/>
              </w:rPr>
              <w:t>Zyra e Administrimit Buxhetit Gjyqesor</w:t>
            </w:r>
          </w:p>
        </w:tc>
        <w:tc>
          <w:tcPr>
            <w:tcW w:w="474" w:type="pct"/>
            <w:tcBorders>
              <w:top w:val="nil"/>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1.244.490</w:t>
            </w:r>
          </w:p>
        </w:tc>
        <w:tc>
          <w:tcPr>
            <w:tcW w:w="424"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60.000</w:t>
            </w:r>
          </w:p>
        </w:tc>
        <w:tc>
          <w:tcPr>
            <w:tcW w:w="397"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0</w:t>
            </w:r>
          </w:p>
        </w:tc>
        <w:tc>
          <w:tcPr>
            <w:tcW w:w="424"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0</w:t>
            </w:r>
          </w:p>
        </w:tc>
        <w:tc>
          <w:tcPr>
            <w:tcW w:w="441" w:type="pct"/>
            <w:tcBorders>
              <w:top w:val="nil"/>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60.000</w:t>
            </w:r>
          </w:p>
        </w:tc>
        <w:tc>
          <w:tcPr>
            <w:tcW w:w="535" w:type="pct"/>
            <w:tcBorders>
              <w:top w:val="nil"/>
              <w:left w:val="nil"/>
              <w:bottom w:val="dotted" w:sz="4" w:space="0" w:color="auto"/>
              <w:right w:val="double" w:sz="6"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1.304.490</w:t>
            </w:r>
          </w:p>
        </w:tc>
      </w:tr>
      <w:tr w:rsidR="00E403CE">
        <w:trPr>
          <w:trHeight w:val="162"/>
        </w:trPr>
        <w:tc>
          <w:tcPr>
            <w:tcW w:w="256" w:type="pct"/>
            <w:tcBorders>
              <w:top w:val="nil"/>
              <w:left w:val="double" w:sz="6" w:space="0" w:color="auto"/>
              <w:bottom w:val="single" w:sz="4" w:space="0" w:color="auto"/>
              <w:right w:val="nil"/>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03310</w:t>
            </w:r>
          </w:p>
        </w:tc>
        <w:tc>
          <w:tcPr>
            <w:tcW w:w="2050" w:type="pct"/>
            <w:tcBorders>
              <w:top w:val="nil"/>
              <w:left w:val="single" w:sz="4" w:space="0" w:color="auto"/>
              <w:bottom w:val="single" w:sz="4" w:space="0" w:color="auto"/>
              <w:right w:val="single" w:sz="4" w:space="0" w:color="auto"/>
            </w:tcBorders>
            <w:shd w:val="clear" w:color="auto" w:fill="auto"/>
            <w:noWrap/>
            <w:vAlign w:val="bottom"/>
          </w:tcPr>
          <w:p w:rsidR="00E403CE" w:rsidRDefault="00E403CE" w:rsidP="00E403CE">
            <w:pPr>
              <w:rPr>
                <w:rFonts w:ascii="Arial" w:hAnsi="Arial" w:cs="Arial"/>
                <w:sz w:val="14"/>
                <w:szCs w:val="14"/>
              </w:rPr>
            </w:pPr>
            <w:r>
              <w:rPr>
                <w:rFonts w:ascii="Arial" w:hAnsi="Arial" w:cs="Arial"/>
                <w:sz w:val="14"/>
                <w:szCs w:val="14"/>
              </w:rPr>
              <w:t>Planifikimi, Menaxhimi dhe Administrimi</w:t>
            </w:r>
          </w:p>
        </w:tc>
        <w:tc>
          <w:tcPr>
            <w:tcW w:w="474" w:type="pct"/>
            <w:tcBorders>
              <w:top w:val="nil"/>
              <w:left w:val="nil"/>
              <w:bottom w:val="single" w:sz="4" w:space="0" w:color="auto"/>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1.244.490</w:t>
            </w:r>
          </w:p>
        </w:tc>
        <w:tc>
          <w:tcPr>
            <w:tcW w:w="424"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60.000</w:t>
            </w:r>
          </w:p>
        </w:tc>
        <w:tc>
          <w:tcPr>
            <w:tcW w:w="397"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24"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41" w:type="pct"/>
            <w:tcBorders>
              <w:top w:val="nil"/>
              <w:left w:val="nil"/>
              <w:bottom w:val="single" w:sz="4" w:space="0" w:color="auto"/>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60.000</w:t>
            </w:r>
          </w:p>
        </w:tc>
        <w:tc>
          <w:tcPr>
            <w:tcW w:w="535" w:type="pct"/>
            <w:tcBorders>
              <w:top w:val="nil"/>
              <w:left w:val="nil"/>
              <w:bottom w:val="single" w:sz="4" w:space="0" w:color="auto"/>
              <w:right w:val="double" w:sz="6"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1.304.490</w:t>
            </w:r>
          </w:p>
        </w:tc>
      </w:tr>
      <w:tr w:rsidR="00E403CE">
        <w:trPr>
          <w:trHeight w:val="162"/>
        </w:trPr>
        <w:tc>
          <w:tcPr>
            <w:tcW w:w="256" w:type="pct"/>
            <w:tcBorders>
              <w:top w:val="nil"/>
              <w:left w:val="double" w:sz="6" w:space="0" w:color="auto"/>
              <w:bottom w:val="dotted" w:sz="4" w:space="0" w:color="auto"/>
              <w:right w:val="nil"/>
            </w:tcBorders>
            <w:shd w:val="clear" w:color="auto" w:fill="auto"/>
            <w:vAlign w:val="bottom"/>
          </w:tcPr>
          <w:p w:rsidR="00E403CE" w:rsidRDefault="00E403CE" w:rsidP="00E403CE">
            <w:pPr>
              <w:jc w:val="right"/>
              <w:rPr>
                <w:rFonts w:ascii="Arial" w:hAnsi="Arial" w:cs="Arial"/>
                <w:b/>
                <w:bCs/>
                <w:color w:val="000000"/>
                <w:sz w:val="14"/>
                <w:szCs w:val="14"/>
              </w:rPr>
            </w:pPr>
            <w:r>
              <w:rPr>
                <w:rFonts w:ascii="Arial" w:hAnsi="Arial" w:cs="Arial"/>
                <w:b/>
                <w:bCs/>
                <w:color w:val="000000"/>
                <w:sz w:val="14"/>
                <w:szCs w:val="14"/>
              </w:rPr>
              <w:t>30</w:t>
            </w:r>
          </w:p>
        </w:tc>
        <w:tc>
          <w:tcPr>
            <w:tcW w:w="2050" w:type="pct"/>
            <w:tcBorders>
              <w:top w:val="nil"/>
              <w:left w:val="single" w:sz="4" w:space="0" w:color="auto"/>
              <w:bottom w:val="dotted" w:sz="4" w:space="0" w:color="auto"/>
              <w:right w:val="single" w:sz="4" w:space="0" w:color="auto"/>
            </w:tcBorders>
            <w:shd w:val="clear" w:color="auto" w:fill="auto"/>
            <w:vAlign w:val="bottom"/>
          </w:tcPr>
          <w:p w:rsidR="00E403CE" w:rsidRDefault="00E403CE" w:rsidP="00E403CE">
            <w:pPr>
              <w:rPr>
                <w:rFonts w:ascii="Arial" w:hAnsi="Arial" w:cs="Arial"/>
                <w:b/>
                <w:bCs/>
                <w:color w:val="000000"/>
                <w:sz w:val="14"/>
                <w:szCs w:val="14"/>
              </w:rPr>
            </w:pPr>
            <w:r>
              <w:rPr>
                <w:rFonts w:ascii="Arial" w:hAnsi="Arial" w:cs="Arial"/>
                <w:b/>
                <w:bCs/>
                <w:color w:val="000000"/>
                <w:sz w:val="14"/>
                <w:szCs w:val="14"/>
              </w:rPr>
              <w:t>Gjykata Kushtetuese</w:t>
            </w:r>
          </w:p>
        </w:tc>
        <w:tc>
          <w:tcPr>
            <w:tcW w:w="474" w:type="pct"/>
            <w:tcBorders>
              <w:top w:val="nil"/>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90.000</w:t>
            </w:r>
          </w:p>
        </w:tc>
        <w:tc>
          <w:tcPr>
            <w:tcW w:w="424"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6.000</w:t>
            </w:r>
          </w:p>
        </w:tc>
        <w:tc>
          <w:tcPr>
            <w:tcW w:w="397"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0</w:t>
            </w:r>
          </w:p>
        </w:tc>
        <w:tc>
          <w:tcPr>
            <w:tcW w:w="424"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0</w:t>
            </w:r>
          </w:p>
        </w:tc>
        <w:tc>
          <w:tcPr>
            <w:tcW w:w="441" w:type="pct"/>
            <w:tcBorders>
              <w:top w:val="nil"/>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6.000</w:t>
            </w:r>
          </w:p>
        </w:tc>
        <w:tc>
          <w:tcPr>
            <w:tcW w:w="535" w:type="pct"/>
            <w:tcBorders>
              <w:top w:val="nil"/>
              <w:left w:val="nil"/>
              <w:bottom w:val="dotted" w:sz="4" w:space="0" w:color="auto"/>
              <w:right w:val="double" w:sz="6"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96.000</w:t>
            </w:r>
          </w:p>
        </w:tc>
      </w:tr>
      <w:tr w:rsidR="00E403CE">
        <w:trPr>
          <w:trHeight w:val="162"/>
        </w:trPr>
        <w:tc>
          <w:tcPr>
            <w:tcW w:w="256" w:type="pct"/>
            <w:tcBorders>
              <w:top w:val="nil"/>
              <w:left w:val="double" w:sz="6" w:space="0" w:color="auto"/>
              <w:bottom w:val="single" w:sz="4" w:space="0" w:color="auto"/>
              <w:right w:val="nil"/>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01110</w:t>
            </w:r>
          </w:p>
        </w:tc>
        <w:tc>
          <w:tcPr>
            <w:tcW w:w="2050" w:type="pct"/>
            <w:tcBorders>
              <w:top w:val="nil"/>
              <w:left w:val="single" w:sz="4" w:space="0" w:color="auto"/>
              <w:bottom w:val="single" w:sz="4" w:space="0" w:color="auto"/>
              <w:right w:val="single" w:sz="4" w:space="0" w:color="auto"/>
            </w:tcBorders>
            <w:shd w:val="clear" w:color="auto" w:fill="auto"/>
            <w:noWrap/>
            <w:vAlign w:val="bottom"/>
          </w:tcPr>
          <w:p w:rsidR="00E403CE" w:rsidRDefault="00E403CE" w:rsidP="00E403CE">
            <w:pPr>
              <w:rPr>
                <w:rFonts w:ascii="Arial" w:hAnsi="Arial" w:cs="Arial"/>
                <w:sz w:val="14"/>
                <w:szCs w:val="14"/>
              </w:rPr>
            </w:pPr>
            <w:r>
              <w:rPr>
                <w:rFonts w:ascii="Arial" w:hAnsi="Arial" w:cs="Arial"/>
                <w:sz w:val="14"/>
                <w:szCs w:val="14"/>
              </w:rPr>
              <w:t>Planifikimi, Menaxhimi dhe Administrimi</w:t>
            </w:r>
          </w:p>
        </w:tc>
        <w:tc>
          <w:tcPr>
            <w:tcW w:w="474" w:type="pct"/>
            <w:tcBorders>
              <w:top w:val="nil"/>
              <w:left w:val="nil"/>
              <w:bottom w:val="single" w:sz="4" w:space="0" w:color="auto"/>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90.000</w:t>
            </w:r>
          </w:p>
        </w:tc>
        <w:tc>
          <w:tcPr>
            <w:tcW w:w="424"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6.000</w:t>
            </w:r>
          </w:p>
        </w:tc>
        <w:tc>
          <w:tcPr>
            <w:tcW w:w="397"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24"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41" w:type="pct"/>
            <w:tcBorders>
              <w:top w:val="nil"/>
              <w:left w:val="nil"/>
              <w:bottom w:val="single" w:sz="4" w:space="0" w:color="auto"/>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6.000</w:t>
            </w:r>
          </w:p>
        </w:tc>
        <w:tc>
          <w:tcPr>
            <w:tcW w:w="535" w:type="pct"/>
            <w:tcBorders>
              <w:top w:val="nil"/>
              <w:left w:val="nil"/>
              <w:bottom w:val="single" w:sz="4" w:space="0" w:color="auto"/>
              <w:right w:val="double" w:sz="6"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96.000</w:t>
            </w:r>
          </w:p>
        </w:tc>
      </w:tr>
      <w:tr w:rsidR="00E403CE">
        <w:trPr>
          <w:trHeight w:val="162"/>
        </w:trPr>
        <w:tc>
          <w:tcPr>
            <w:tcW w:w="256" w:type="pct"/>
            <w:tcBorders>
              <w:top w:val="nil"/>
              <w:left w:val="double" w:sz="6" w:space="0" w:color="auto"/>
              <w:bottom w:val="dotted" w:sz="4" w:space="0" w:color="auto"/>
              <w:right w:val="nil"/>
            </w:tcBorders>
            <w:shd w:val="clear" w:color="auto" w:fill="auto"/>
            <w:vAlign w:val="bottom"/>
          </w:tcPr>
          <w:p w:rsidR="00E403CE" w:rsidRDefault="00E403CE" w:rsidP="00E403CE">
            <w:pPr>
              <w:jc w:val="right"/>
              <w:rPr>
                <w:rFonts w:ascii="Arial" w:hAnsi="Arial" w:cs="Arial"/>
                <w:b/>
                <w:bCs/>
                <w:color w:val="000000"/>
                <w:sz w:val="14"/>
                <w:szCs w:val="14"/>
              </w:rPr>
            </w:pPr>
            <w:r>
              <w:rPr>
                <w:rFonts w:ascii="Arial" w:hAnsi="Arial" w:cs="Arial"/>
                <w:b/>
                <w:bCs/>
                <w:color w:val="000000"/>
                <w:sz w:val="14"/>
                <w:szCs w:val="14"/>
              </w:rPr>
              <w:t>31</w:t>
            </w:r>
          </w:p>
        </w:tc>
        <w:tc>
          <w:tcPr>
            <w:tcW w:w="2050" w:type="pct"/>
            <w:tcBorders>
              <w:top w:val="nil"/>
              <w:left w:val="single" w:sz="4" w:space="0" w:color="auto"/>
              <w:bottom w:val="dotted" w:sz="4" w:space="0" w:color="auto"/>
              <w:right w:val="single" w:sz="4" w:space="0" w:color="auto"/>
            </w:tcBorders>
            <w:shd w:val="clear" w:color="auto" w:fill="auto"/>
            <w:vAlign w:val="bottom"/>
          </w:tcPr>
          <w:p w:rsidR="00E403CE" w:rsidRDefault="00E403CE" w:rsidP="00E403CE">
            <w:pPr>
              <w:rPr>
                <w:rFonts w:ascii="Arial" w:hAnsi="Arial" w:cs="Arial"/>
                <w:b/>
                <w:bCs/>
                <w:color w:val="000000"/>
                <w:sz w:val="14"/>
                <w:szCs w:val="14"/>
              </w:rPr>
            </w:pPr>
            <w:r>
              <w:rPr>
                <w:rFonts w:ascii="Arial" w:hAnsi="Arial" w:cs="Arial"/>
                <w:b/>
                <w:bCs/>
                <w:color w:val="000000"/>
                <w:sz w:val="14"/>
                <w:szCs w:val="14"/>
              </w:rPr>
              <w:t>Agjensia Telegrafike Shqiptare</w:t>
            </w:r>
          </w:p>
        </w:tc>
        <w:tc>
          <w:tcPr>
            <w:tcW w:w="474" w:type="pct"/>
            <w:tcBorders>
              <w:top w:val="nil"/>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97.800</w:t>
            </w:r>
          </w:p>
        </w:tc>
        <w:tc>
          <w:tcPr>
            <w:tcW w:w="424"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4.000</w:t>
            </w:r>
          </w:p>
        </w:tc>
        <w:tc>
          <w:tcPr>
            <w:tcW w:w="397"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0</w:t>
            </w:r>
          </w:p>
        </w:tc>
        <w:tc>
          <w:tcPr>
            <w:tcW w:w="424"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0</w:t>
            </w:r>
          </w:p>
        </w:tc>
        <w:tc>
          <w:tcPr>
            <w:tcW w:w="441" w:type="pct"/>
            <w:tcBorders>
              <w:top w:val="nil"/>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4.000</w:t>
            </w:r>
          </w:p>
        </w:tc>
        <w:tc>
          <w:tcPr>
            <w:tcW w:w="535" w:type="pct"/>
            <w:tcBorders>
              <w:top w:val="nil"/>
              <w:left w:val="nil"/>
              <w:bottom w:val="dotted" w:sz="4" w:space="0" w:color="auto"/>
              <w:right w:val="double" w:sz="6"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101.800</w:t>
            </w:r>
          </w:p>
        </w:tc>
      </w:tr>
      <w:tr w:rsidR="00E403CE">
        <w:trPr>
          <w:trHeight w:val="162"/>
        </w:trPr>
        <w:tc>
          <w:tcPr>
            <w:tcW w:w="256" w:type="pct"/>
            <w:tcBorders>
              <w:top w:val="nil"/>
              <w:left w:val="double" w:sz="6" w:space="0" w:color="auto"/>
              <w:bottom w:val="single" w:sz="4" w:space="0" w:color="auto"/>
              <w:right w:val="nil"/>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01110</w:t>
            </w:r>
          </w:p>
        </w:tc>
        <w:tc>
          <w:tcPr>
            <w:tcW w:w="2050" w:type="pct"/>
            <w:tcBorders>
              <w:top w:val="nil"/>
              <w:left w:val="single" w:sz="4" w:space="0" w:color="auto"/>
              <w:bottom w:val="single" w:sz="4" w:space="0" w:color="auto"/>
              <w:right w:val="single" w:sz="4" w:space="0" w:color="auto"/>
            </w:tcBorders>
            <w:shd w:val="clear" w:color="auto" w:fill="auto"/>
            <w:noWrap/>
            <w:vAlign w:val="bottom"/>
          </w:tcPr>
          <w:p w:rsidR="00E403CE" w:rsidRDefault="00E403CE" w:rsidP="00E403CE">
            <w:pPr>
              <w:rPr>
                <w:rFonts w:ascii="Arial" w:hAnsi="Arial" w:cs="Arial"/>
                <w:sz w:val="14"/>
                <w:szCs w:val="14"/>
              </w:rPr>
            </w:pPr>
            <w:r>
              <w:rPr>
                <w:rFonts w:ascii="Arial" w:hAnsi="Arial" w:cs="Arial"/>
                <w:sz w:val="14"/>
                <w:szCs w:val="14"/>
              </w:rPr>
              <w:t>Planifikimi, Menaxhimi dhe Administrimi</w:t>
            </w:r>
          </w:p>
        </w:tc>
        <w:tc>
          <w:tcPr>
            <w:tcW w:w="474" w:type="pct"/>
            <w:tcBorders>
              <w:top w:val="nil"/>
              <w:left w:val="nil"/>
              <w:bottom w:val="single" w:sz="4" w:space="0" w:color="auto"/>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97.800</w:t>
            </w:r>
          </w:p>
        </w:tc>
        <w:tc>
          <w:tcPr>
            <w:tcW w:w="424"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4.000</w:t>
            </w:r>
          </w:p>
        </w:tc>
        <w:tc>
          <w:tcPr>
            <w:tcW w:w="397"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24"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41" w:type="pct"/>
            <w:tcBorders>
              <w:top w:val="nil"/>
              <w:left w:val="nil"/>
              <w:bottom w:val="single" w:sz="4" w:space="0" w:color="auto"/>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4.000</w:t>
            </w:r>
          </w:p>
        </w:tc>
        <w:tc>
          <w:tcPr>
            <w:tcW w:w="535" w:type="pct"/>
            <w:tcBorders>
              <w:top w:val="nil"/>
              <w:left w:val="nil"/>
              <w:bottom w:val="single" w:sz="4" w:space="0" w:color="auto"/>
              <w:right w:val="double" w:sz="6"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101.800</w:t>
            </w:r>
          </w:p>
        </w:tc>
      </w:tr>
      <w:tr w:rsidR="00E403CE">
        <w:trPr>
          <w:trHeight w:val="162"/>
        </w:trPr>
        <w:tc>
          <w:tcPr>
            <w:tcW w:w="256" w:type="pct"/>
            <w:tcBorders>
              <w:top w:val="dashed" w:sz="4" w:space="0" w:color="auto"/>
              <w:left w:val="double" w:sz="6" w:space="0" w:color="auto"/>
              <w:bottom w:val="dashed" w:sz="4" w:space="0" w:color="auto"/>
              <w:right w:val="nil"/>
            </w:tcBorders>
            <w:shd w:val="clear" w:color="auto" w:fill="auto"/>
            <w:vAlign w:val="bottom"/>
          </w:tcPr>
          <w:p w:rsidR="00E403CE" w:rsidRDefault="00E403CE" w:rsidP="00E403CE">
            <w:pPr>
              <w:jc w:val="right"/>
              <w:rPr>
                <w:rFonts w:ascii="Arial" w:hAnsi="Arial" w:cs="Arial"/>
                <w:b/>
                <w:bCs/>
                <w:color w:val="000000"/>
                <w:sz w:val="14"/>
                <w:szCs w:val="14"/>
              </w:rPr>
            </w:pPr>
            <w:r>
              <w:rPr>
                <w:rFonts w:ascii="Arial" w:hAnsi="Arial" w:cs="Arial"/>
                <w:b/>
                <w:bCs/>
                <w:color w:val="000000"/>
                <w:sz w:val="14"/>
                <w:szCs w:val="14"/>
              </w:rPr>
              <w:t>40</w:t>
            </w:r>
          </w:p>
        </w:tc>
        <w:tc>
          <w:tcPr>
            <w:tcW w:w="2050" w:type="pct"/>
            <w:tcBorders>
              <w:top w:val="dashed" w:sz="4" w:space="0" w:color="auto"/>
              <w:left w:val="single" w:sz="4" w:space="0" w:color="auto"/>
              <w:bottom w:val="dashed" w:sz="4" w:space="0" w:color="auto"/>
              <w:right w:val="single" w:sz="4" w:space="0" w:color="auto"/>
            </w:tcBorders>
            <w:shd w:val="clear" w:color="auto" w:fill="auto"/>
            <w:vAlign w:val="bottom"/>
          </w:tcPr>
          <w:p w:rsidR="00E403CE" w:rsidRDefault="00E403CE" w:rsidP="00E403CE">
            <w:pPr>
              <w:rPr>
                <w:rFonts w:ascii="Arial" w:hAnsi="Arial" w:cs="Arial"/>
                <w:b/>
                <w:bCs/>
                <w:color w:val="000000"/>
                <w:sz w:val="14"/>
                <w:szCs w:val="14"/>
              </w:rPr>
            </w:pPr>
            <w:r>
              <w:rPr>
                <w:rFonts w:ascii="Arial" w:hAnsi="Arial" w:cs="Arial"/>
                <w:b/>
                <w:bCs/>
                <w:color w:val="000000"/>
                <w:sz w:val="14"/>
                <w:szCs w:val="14"/>
              </w:rPr>
              <w:t>Partite Politike</w:t>
            </w:r>
          </w:p>
        </w:tc>
        <w:tc>
          <w:tcPr>
            <w:tcW w:w="474" w:type="pct"/>
            <w:tcBorders>
              <w:top w:val="nil"/>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200.000</w:t>
            </w:r>
          </w:p>
        </w:tc>
        <w:tc>
          <w:tcPr>
            <w:tcW w:w="424"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0</w:t>
            </w:r>
          </w:p>
        </w:tc>
        <w:tc>
          <w:tcPr>
            <w:tcW w:w="397"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0</w:t>
            </w:r>
          </w:p>
        </w:tc>
        <w:tc>
          <w:tcPr>
            <w:tcW w:w="424"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0</w:t>
            </w:r>
          </w:p>
        </w:tc>
        <w:tc>
          <w:tcPr>
            <w:tcW w:w="441" w:type="pct"/>
            <w:tcBorders>
              <w:top w:val="nil"/>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0</w:t>
            </w:r>
          </w:p>
        </w:tc>
        <w:tc>
          <w:tcPr>
            <w:tcW w:w="535" w:type="pct"/>
            <w:tcBorders>
              <w:top w:val="nil"/>
              <w:left w:val="nil"/>
              <w:bottom w:val="dotted" w:sz="4" w:space="0" w:color="auto"/>
              <w:right w:val="double" w:sz="6"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200.000</w:t>
            </w:r>
          </w:p>
        </w:tc>
      </w:tr>
      <w:tr w:rsidR="00E403CE">
        <w:trPr>
          <w:trHeight w:val="162"/>
        </w:trPr>
        <w:tc>
          <w:tcPr>
            <w:tcW w:w="256" w:type="pct"/>
            <w:tcBorders>
              <w:top w:val="dotted" w:sz="4" w:space="0" w:color="auto"/>
              <w:left w:val="double" w:sz="6" w:space="0" w:color="auto"/>
              <w:bottom w:val="dotted" w:sz="4" w:space="0" w:color="auto"/>
              <w:right w:val="nil"/>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01110</w:t>
            </w:r>
          </w:p>
        </w:tc>
        <w:tc>
          <w:tcPr>
            <w:tcW w:w="2050" w:type="pct"/>
            <w:tcBorders>
              <w:top w:val="dotted" w:sz="4" w:space="0" w:color="auto"/>
              <w:left w:val="single" w:sz="4" w:space="0" w:color="auto"/>
              <w:bottom w:val="dotted" w:sz="4" w:space="0" w:color="auto"/>
              <w:right w:val="single" w:sz="4" w:space="0" w:color="auto"/>
            </w:tcBorders>
            <w:shd w:val="clear" w:color="auto" w:fill="auto"/>
            <w:noWrap/>
            <w:vAlign w:val="bottom"/>
          </w:tcPr>
          <w:p w:rsidR="00E403CE" w:rsidRDefault="00E403CE" w:rsidP="00E403CE">
            <w:pPr>
              <w:rPr>
                <w:rFonts w:ascii="Arial" w:hAnsi="Arial" w:cs="Arial"/>
                <w:sz w:val="14"/>
                <w:szCs w:val="14"/>
              </w:rPr>
            </w:pPr>
            <w:r>
              <w:rPr>
                <w:rFonts w:ascii="Arial" w:hAnsi="Arial" w:cs="Arial"/>
                <w:sz w:val="14"/>
                <w:szCs w:val="14"/>
              </w:rPr>
              <w:t>Mbeshtetje per Partite Politike</w:t>
            </w:r>
          </w:p>
        </w:tc>
        <w:tc>
          <w:tcPr>
            <w:tcW w:w="474" w:type="pct"/>
            <w:tcBorders>
              <w:top w:val="nil"/>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192.000</w:t>
            </w:r>
          </w:p>
        </w:tc>
        <w:tc>
          <w:tcPr>
            <w:tcW w:w="424"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397"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24"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41" w:type="pct"/>
            <w:tcBorders>
              <w:top w:val="nil"/>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535" w:type="pct"/>
            <w:tcBorders>
              <w:top w:val="nil"/>
              <w:left w:val="nil"/>
              <w:bottom w:val="dotted" w:sz="4" w:space="0" w:color="auto"/>
              <w:right w:val="double" w:sz="6"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192.000</w:t>
            </w:r>
          </w:p>
        </w:tc>
      </w:tr>
      <w:tr w:rsidR="00E403CE">
        <w:trPr>
          <w:trHeight w:val="162"/>
        </w:trPr>
        <w:tc>
          <w:tcPr>
            <w:tcW w:w="256" w:type="pct"/>
            <w:tcBorders>
              <w:top w:val="nil"/>
              <w:left w:val="double" w:sz="6" w:space="0" w:color="auto"/>
              <w:bottom w:val="dotted" w:sz="4" w:space="0" w:color="auto"/>
              <w:right w:val="nil"/>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01120</w:t>
            </w:r>
          </w:p>
        </w:tc>
        <w:tc>
          <w:tcPr>
            <w:tcW w:w="2050" w:type="pct"/>
            <w:tcBorders>
              <w:top w:val="nil"/>
              <w:left w:val="single" w:sz="4" w:space="0" w:color="auto"/>
              <w:bottom w:val="dotted" w:sz="4" w:space="0" w:color="auto"/>
              <w:right w:val="single" w:sz="4" w:space="0" w:color="auto"/>
            </w:tcBorders>
            <w:shd w:val="clear" w:color="auto" w:fill="auto"/>
            <w:noWrap/>
            <w:vAlign w:val="bottom"/>
          </w:tcPr>
          <w:p w:rsidR="00E403CE" w:rsidRDefault="00E403CE" w:rsidP="00E403CE">
            <w:pPr>
              <w:rPr>
                <w:rFonts w:ascii="Arial" w:hAnsi="Arial" w:cs="Arial"/>
                <w:sz w:val="14"/>
                <w:szCs w:val="14"/>
              </w:rPr>
            </w:pPr>
            <w:r>
              <w:rPr>
                <w:rFonts w:ascii="Arial" w:hAnsi="Arial" w:cs="Arial"/>
                <w:sz w:val="14"/>
                <w:szCs w:val="14"/>
              </w:rPr>
              <w:t>Mbeshtetje per Shoqatat</w:t>
            </w:r>
          </w:p>
        </w:tc>
        <w:tc>
          <w:tcPr>
            <w:tcW w:w="474" w:type="pct"/>
            <w:tcBorders>
              <w:top w:val="nil"/>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5.000</w:t>
            </w:r>
          </w:p>
        </w:tc>
        <w:tc>
          <w:tcPr>
            <w:tcW w:w="424"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397"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24"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41" w:type="pct"/>
            <w:tcBorders>
              <w:top w:val="nil"/>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535" w:type="pct"/>
            <w:tcBorders>
              <w:top w:val="nil"/>
              <w:left w:val="nil"/>
              <w:bottom w:val="dotted" w:sz="4" w:space="0" w:color="auto"/>
              <w:right w:val="double" w:sz="6"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5.000</w:t>
            </w:r>
          </w:p>
        </w:tc>
      </w:tr>
      <w:tr w:rsidR="00E403CE">
        <w:trPr>
          <w:trHeight w:val="162"/>
        </w:trPr>
        <w:tc>
          <w:tcPr>
            <w:tcW w:w="256" w:type="pct"/>
            <w:tcBorders>
              <w:top w:val="nil"/>
              <w:left w:val="double" w:sz="6" w:space="0" w:color="auto"/>
              <w:bottom w:val="dotted" w:sz="4" w:space="0" w:color="auto"/>
              <w:right w:val="nil"/>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01130</w:t>
            </w:r>
          </w:p>
        </w:tc>
        <w:tc>
          <w:tcPr>
            <w:tcW w:w="2050" w:type="pct"/>
            <w:tcBorders>
              <w:top w:val="nil"/>
              <w:left w:val="single" w:sz="4" w:space="0" w:color="auto"/>
              <w:bottom w:val="dotted" w:sz="4" w:space="0" w:color="auto"/>
              <w:right w:val="single" w:sz="4" w:space="0" w:color="auto"/>
            </w:tcBorders>
            <w:shd w:val="clear" w:color="auto" w:fill="auto"/>
            <w:noWrap/>
            <w:vAlign w:val="bottom"/>
          </w:tcPr>
          <w:p w:rsidR="00E403CE" w:rsidRDefault="00E403CE" w:rsidP="00E403CE">
            <w:pPr>
              <w:rPr>
                <w:rFonts w:ascii="Arial" w:hAnsi="Arial" w:cs="Arial"/>
                <w:sz w:val="14"/>
                <w:szCs w:val="14"/>
              </w:rPr>
            </w:pPr>
            <w:r>
              <w:rPr>
                <w:rFonts w:ascii="Arial" w:hAnsi="Arial" w:cs="Arial"/>
                <w:sz w:val="14"/>
                <w:szCs w:val="14"/>
              </w:rPr>
              <w:t>Mbeshtetje per Organizatat e Veteraneve me Status</w:t>
            </w:r>
          </w:p>
        </w:tc>
        <w:tc>
          <w:tcPr>
            <w:tcW w:w="474" w:type="pct"/>
            <w:tcBorders>
              <w:top w:val="nil"/>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3.000</w:t>
            </w:r>
          </w:p>
        </w:tc>
        <w:tc>
          <w:tcPr>
            <w:tcW w:w="424"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397"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24"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41" w:type="pct"/>
            <w:tcBorders>
              <w:top w:val="nil"/>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535" w:type="pct"/>
            <w:tcBorders>
              <w:top w:val="nil"/>
              <w:left w:val="nil"/>
              <w:bottom w:val="dotted" w:sz="4" w:space="0" w:color="auto"/>
              <w:right w:val="double" w:sz="6"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3.000</w:t>
            </w:r>
          </w:p>
        </w:tc>
      </w:tr>
      <w:tr w:rsidR="00E403CE">
        <w:trPr>
          <w:trHeight w:val="162"/>
        </w:trPr>
        <w:tc>
          <w:tcPr>
            <w:tcW w:w="256" w:type="pct"/>
            <w:tcBorders>
              <w:top w:val="single" w:sz="4" w:space="0" w:color="auto"/>
              <w:left w:val="double" w:sz="6" w:space="0" w:color="auto"/>
              <w:bottom w:val="dotted" w:sz="4" w:space="0" w:color="auto"/>
              <w:right w:val="nil"/>
            </w:tcBorders>
            <w:shd w:val="clear" w:color="auto" w:fill="auto"/>
            <w:vAlign w:val="bottom"/>
          </w:tcPr>
          <w:p w:rsidR="00E403CE" w:rsidRDefault="00E403CE" w:rsidP="00E403CE">
            <w:pPr>
              <w:jc w:val="right"/>
              <w:rPr>
                <w:rFonts w:ascii="Arial" w:hAnsi="Arial" w:cs="Arial"/>
                <w:b/>
                <w:bCs/>
                <w:color w:val="000000"/>
                <w:sz w:val="14"/>
                <w:szCs w:val="14"/>
              </w:rPr>
            </w:pPr>
            <w:r>
              <w:rPr>
                <w:rFonts w:ascii="Arial" w:hAnsi="Arial" w:cs="Arial"/>
                <w:b/>
                <w:bCs/>
                <w:color w:val="000000"/>
                <w:sz w:val="14"/>
                <w:szCs w:val="14"/>
              </w:rPr>
              <w:t>50</w:t>
            </w:r>
          </w:p>
        </w:tc>
        <w:tc>
          <w:tcPr>
            <w:tcW w:w="2050" w:type="pct"/>
            <w:tcBorders>
              <w:top w:val="single" w:sz="4" w:space="0" w:color="auto"/>
              <w:left w:val="single" w:sz="4" w:space="0" w:color="auto"/>
              <w:bottom w:val="dotted" w:sz="4" w:space="0" w:color="auto"/>
              <w:right w:val="single" w:sz="4" w:space="0" w:color="auto"/>
            </w:tcBorders>
            <w:shd w:val="clear" w:color="auto" w:fill="auto"/>
            <w:vAlign w:val="bottom"/>
          </w:tcPr>
          <w:p w:rsidR="00E403CE" w:rsidRDefault="00E403CE" w:rsidP="00E403CE">
            <w:pPr>
              <w:rPr>
                <w:rFonts w:ascii="Arial" w:hAnsi="Arial" w:cs="Arial"/>
                <w:b/>
                <w:bCs/>
                <w:color w:val="000000"/>
                <w:sz w:val="14"/>
                <w:szCs w:val="14"/>
              </w:rPr>
            </w:pPr>
            <w:r>
              <w:rPr>
                <w:rFonts w:ascii="Arial" w:hAnsi="Arial" w:cs="Arial"/>
                <w:b/>
                <w:bCs/>
                <w:color w:val="000000"/>
                <w:sz w:val="14"/>
                <w:szCs w:val="14"/>
              </w:rPr>
              <w:t>Instituti Statistikes</w:t>
            </w:r>
          </w:p>
        </w:tc>
        <w:tc>
          <w:tcPr>
            <w:tcW w:w="474" w:type="pct"/>
            <w:tcBorders>
              <w:top w:val="single" w:sz="4" w:space="0" w:color="auto"/>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192.500</w:t>
            </w:r>
          </w:p>
        </w:tc>
        <w:tc>
          <w:tcPr>
            <w:tcW w:w="424" w:type="pct"/>
            <w:tcBorders>
              <w:top w:val="single" w:sz="4" w:space="0" w:color="auto"/>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17.524</w:t>
            </w:r>
          </w:p>
        </w:tc>
        <w:tc>
          <w:tcPr>
            <w:tcW w:w="397" w:type="pct"/>
            <w:tcBorders>
              <w:top w:val="single" w:sz="4" w:space="0" w:color="auto"/>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0</w:t>
            </w:r>
          </w:p>
        </w:tc>
        <w:tc>
          <w:tcPr>
            <w:tcW w:w="424" w:type="pct"/>
            <w:tcBorders>
              <w:top w:val="single" w:sz="4" w:space="0" w:color="auto"/>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0</w:t>
            </w:r>
          </w:p>
        </w:tc>
        <w:tc>
          <w:tcPr>
            <w:tcW w:w="441" w:type="pct"/>
            <w:tcBorders>
              <w:top w:val="single" w:sz="4" w:space="0" w:color="auto"/>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17.524</w:t>
            </w:r>
          </w:p>
        </w:tc>
        <w:tc>
          <w:tcPr>
            <w:tcW w:w="535" w:type="pct"/>
            <w:tcBorders>
              <w:top w:val="single" w:sz="4" w:space="0" w:color="auto"/>
              <w:left w:val="nil"/>
              <w:bottom w:val="dotted" w:sz="4" w:space="0" w:color="auto"/>
              <w:right w:val="double" w:sz="6"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210.024</w:t>
            </w:r>
          </w:p>
        </w:tc>
      </w:tr>
      <w:tr w:rsidR="00E403CE">
        <w:trPr>
          <w:trHeight w:val="162"/>
        </w:trPr>
        <w:tc>
          <w:tcPr>
            <w:tcW w:w="256" w:type="pct"/>
            <w:tcBorders>
              <w:top w:val="nil"/>
              <w:left w:val="double" w:sz="6" w:space="0" w:color="auto"/>
              <w:bottom w:val="single" w:sz="4" w:space="0" w:color="auto"/>
              <w:right w:val="nil"/>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01310</w:t>
            </w:r>
          </w:p>
        </w:tc>
        <w:tc>
          <w:tcPr>
            <w:tcW w:w="2050" w:type="pct"/>
            <w:tcBorders>
              <w:top w:val="nil"/>
              <w:left w:val="single" w:sz="4" w:space="0" w:color="auto"/>
              <w:bottom w:val="single" w:sz="4" w:space="0" w:color="auto"/>
              <w:right w:val="single" w:sz="4" w:space="0" w:color="auto"/>
            </w:tcBorders>
            <w:shd w:val="clear" w:color="auto" w:fill="auto"/>
            <w:noWrap/>
            <w:vAlign w:val="bottom"/>
          </w:tcPr>
          <w:p w:rsidR="00E403CE" w:rsidRDefault="00E403CE" w:rsidP="00E403CE">
            <w:pPr>
              <w:rPr>
                <w:rFonts w:ascii="Arial" w:hAnsi="Arial" w:cs="Arial"/>
                <w:sz w:val="14"/>
                <w:szCs w:val="14"/>
              </w:rPr>
            </w:pPr>
            <w:r>
              <w:rPr>
                <w:rFonts w:ascii="Arial" w:hAnsi="Arial" w:cs="Arial"/>
                <w:sz w:val="14"/>
                <w:szCs w:val="14"/>
              </w:rPr>
              <w:t>Planifikimi, Menaxhimi dhe Administrimi</w:t>
            </w:r>
          </w:p>
        </w:tc>
        <w:tc>
          <w:tcPr>
            <w:tcW w:w="474" w:type="pct"/>
            <w:tcBorders>
              <w:top w:val="nil"/>
              <w:left w:val="nil"/>
              <w:bottom w:val="single" w:sz="4" w:space="0" w:color="auto"/>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192.500</w:t>
            </w:r>
          </w:p>
        </w:tc>
        <w:tc>
          <w:tcPr>
            <w:tcW w:w="424"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17.524</w:t>
            </w:r>
          </w:p>
        </w:tc>
        <w:tc>
          <w:tcPr>
            <w:tcW w:w="397"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24"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41" w:type="pct"/>
            <w:tcBorders>
              <w:top w:val="nil"/>
              <w:left w:val="nil"/>
              <w:bottom w:val="single" w:sz="4" w:space="0" w:color="auto"/>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17.524</w:t>
            </w:r>
          </w:p>
        </w:tc>
        <w:tc>
          <w:tcPr>
            <w:tcW w:w="535" w:type="pct"/>
            <w:tcBorders>
              <w:top w:val="nil"/>
              <w:left w:val="nil"/>
              <w:bottom w:val="single" w:sz="4" w:space="0" w:color="auto"/>
              <w:right w:val="double" w:sz="6"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210.024</w:t>
            </w:r>
          </w:p>
        </w:tc>
      </w:tr>
      <w:tr w:rsidR="00E403CE">
        <w:trPr>
          <w:trHeight w:val="162"/>
        </w:trPr>
        <w:tc>
          <w:tcPr>
            <w:tcW w:w="256" w:type="pct"/>
            <w:tcBorders>
              <w:top w:val="nil"/>
              <w:left w:val="double" w:sz="6" w:space="0" w:color="auto"/>
              <w:bottom w:val="dotted" w:sz="4" w:space="0" w:color="auto"/>
              <w:right w:val="nil"/>
            </w:tcBorders>
            <w:shd w:val="clear" w:color="auto" w:fill="auto"/>
            <w:vAlign w:val="bottom"/>
          </w:tcPr>
          <w:p w:rsidR="00E403CE" w:rsidRDefault="00E403CE" w:rsidP="00E403CE">
            <w:pPr>
              <w:jc w:val="right"/>
              <w:rPr>
                <w:rFonts w:ascii="Arial" w:hAnsi="Arial" w:cs="Arial"/>
                <w:b/>
                <w:bCs/>
                <w:color w:val="000000"/>
                <w:sz w:val="14"/>
                <w:szCs w:val="14"/>
              </w:rPr>
            </w:pPr>
            <w:r>
              <w:rPr>
                <w:rFonts w:ascii="Arial" w:hAnsi="Arial" w:cs="Arial"/>
                <w:b/>
                <w:bCs/>
                <w:color w:val="000000"/>
                <w:sz w:val="14"/>
                <w:szCs w:val="14"/>
              </w:rPr>
              <w:t>53</w:t>
            </w:r>
          </w:p>
        </w:tc>
        <w:tc>
          <w:tcPr>
            <w:tcW w:w="2050" w:type="pct"/>
            <w:tcBorders>
              <w:top w:val="nil"/>
              <w:left w:val="single" w:sz="4" w:space="0" w:color="auto"/>
              <w:bottom w:val="dotted" w:sz="4" w:space="0" w:color="auto"/>
              <w:right w:val="single" w:sz="4" w:space="0" w:color="auto"/>
            </w:tcBorders>
            <w:shd w:val="clear" w:color="auto" w:fill="auto"/>
            <w:vAlign w:val="bottom"/>
          </w:tcPr>
          <w:p w:rsidR="00E403CE" w:rsidRDefault="00E403CE" w:rsidP="00E403CE">
            <w:pPr>
              <w:rPr>
                <w:rFonts w:ascii="Arial" w:hAnsi="Arial" w:cs="Arial"/>
                <w:b/>
                <w:bCs/>
                <w:color w:val="000000"/>
                <w:sz w:val="14"/>
                <w:szCs w:val="14"/>
              </w:rPr>
            </w:pPr>
            <w:r>
              <w:rPr>
                <w:rFonts w:ascii="Arial" w:hAnsi="Arial" w:cs="Arial"/>
                <w:b/>
                <w:bCs/>
                <w:color w:val="000000"/>
                <w:sz w:val="14"/>
                <w:szCs w:val="14"/>
              </w:rPr>
              <w:t>Autoriteti i Mbikqyrjes Financiare</w:t>
            </w:r>
          </w:p>
        </w:tc>
        <w:tc>
          <w:tcPr>
            <w:tcW w:w="474" w:type="pct"/>
            <w:tcBorders>
              <w:top w:val="nil"/>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13.000</w:t>
            </w:r>
          </w:p>
        </w:tc>
        <w:tc>
          <w:tcPr>
            <w:tcW w:w="424"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6.672</w:t>
            </w:r>
          </w:p>
        </w:tc>
        <w:tc>
          <w:tcPr>
            <w:tcW w:w="397"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0</w:t>
            </w:r>
          </w:p>
        </w:tc>
        <w:tc>
          <w:tcPr>
            <w:tcW w:w="424"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0</w:t>
            </w:r>
          </w:p>
        </w:tc>
        <w:tc>
          <w:tcPr>
            <w:tcW w:w="441" w:type="pct"/>
            <w:tcBorders>
              <w:top w:val="nil"/>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6.672</w:t>
            </w:r>
          </w:p>
        </w:tc>
        <w:tc>
          <w:tcPr>
            <w:tcW w:w="535" w:type="pct"/>
            <w:tcBorders>
              <w:top w:val="nil"/>
              <w:left w:val="nil"/>
              <w:bottom w:val="dotted" w:sz="4" w:space="0" w:color="auto"/>
              <w:right w:val="double" w:sz="6"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19.672</w:t>
            </w:r>
          </w:p>
        </w:tc>
      </w:tr>
      <w:tr w:rsidR="00E403CE">
        <w:trPr>
          <w:trHeight w:val="162"/>
        </w:trPr>
        <w:tc>
          <w:tcPr>
            <w:tcW w:w="256" w:type="pct"/>
            <w:tcBorders>
              <w:top w:val="nil"/>
              <w:left w:val="double" w:sz="6" w:space="0" w:color="auto"/>
              <w:bottom w:val="single" w:sz="4" w:space="0" w:color="auto"/>
              <w:right w:val="nil"/>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04110</w:t>
            </w:r>
          </w:p>
        </w:tc>
        <w:tc>
          <w:tcPr>
            <w:tcW w:w="2050" w:type="pct"/>
            <w:tcBorders>
              <w:top w:val="nil"/>
              <w:left w:val="single" w:sz="4" w:space="0" w:color="auto"/>
              <w:bottom w:val="single" w:sz="4" w:space="0" w:color="auto"/>
              <w:right w:val="single" w:sz="4" w:space="0" w:color="auto"/>
            </w:tcBorders>
            <w:shd w:val="clear" w:color="auto" w:fill="auto"/>
            <w:noWrap/>
            <w:vAlign w:val="bottom"/>
          </w:tcPr>
          <w:p w:rsidR="00E403CE" w:rsidRDefault="00E403CE" w:rsidP="00E403CE">
            <w:pPr>
              <w:rPr>
                <w:rFonts w:ascii="Arial" w:hAnsi="Arial" w:cs="Arial"/>
                <w:sz w:val="14"/>
                <w:szCs w:val="14"/>
              </w:rPr>
            </w:pPr>
            <w:r>
              <w:rPr>
                <w:rFonts w:ascii="Arial" w:hAnsi="Arial" w:cs="Arial"/>
                <w:sz w:val="14"/>
                <w:szCs w:val="14"/>
              </w:rPr>
              <w:t>Planifikimi, Menaxhimi dhe Administrimi</w:t>
            </w:r>
          </w:p>
        </w:tc>
        <w:tc>
          <w:tcPr>
            <w:tcW w:w="474" w:type="pct"/>
            <w:tcBorders>
              <w:top w:val="nil"/>
              <w:left w:val="nil"/>
              <w:bottom w:val="single" w:sz="4" w:space="0" w:color="auto"/>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13.000</w:t>
            </w:r>
          </w:p>
        </w:tc>
        <w:tc>
          <w:tcPr>
            <w:tcW w:w="424"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6.672</w:t>
            </w:r>
          </w:p>
        </w:tc>
        <w:tc>
          <w:tcPr>
            <w:tcW w:w="397"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24"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41" w:type="pct"/>
            <w:tcBorders>
              <w:top w:val="nil"/>
              <w:left w:val="nil"/>
              <w:bottom w:val="single" w:sz="4" w:space="0" w:color="auto"/>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6.672</w:t>
            </w:r>
          </w:p>
        </w:tc>
        <w:tc>
          <w:tcPr>
            <w:tcW w:w="535" w:type="pct"/>
            <w:tcBorders>
              <w:top w:val="nil"/>
              <w:left w:val="nil"/>
              <w:bottom w:val="single" w:sz="4" w:space="0" w:color="auto"/>
              <w:right w:val="double" w:sz="6"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19.672</w:t>
            </w:r>
          </w:p>
        </w:tc>
      </w:tr>
      <w:tr w:rsidR="00E403CE">
        <w:trPr>
          <w:trHeight w:val="162"/>
        </w:trPr>
        <w:tc>
          <w:tcPr>
            <w:tcW w:w="256" w:type="pct"/>
            <w:tcBorders>
              <w:top w:val="nil"/>
              <w:left w:val="double" w:sz="6" w:space="0" w:color="auto"/>
              <w:bottom w:val="dotted" w:sz="4" w:space="0" w:color="auto"/>
              <w:right w:val="nil"/>
            </w:tcBorders>
            <w:shd w:val="clear" w:color="auto" w:fill="auto"/>
            <w:vAlign w:val="bottom"/>
          </w:tcPr>
          <w:p w:rsidR="00E403CE" w:rsidRDefault="00E403CE" w:rsidP="00E403CE">
            <w:pPr>
              <w:jc w:val="right"/>
              <w:rPr>
                <w:rFonts w:ascii="Arial" w:hAnsi="Arial" w:cs="Arial"/>
                <w:b/>
                <w:bCs/>
                <w:color w:val="000000"/>
                <w:sz w:val="14"/>
                <w:szCs w:val="14"/>
              </w:rPr>
            </w:pPr>
            <w:r>
              <w:rPr>
                <w:rFonts w:ascii="Arial" w:hAnsi="Arial" w:cs="Arial"/>
                <w:b/>
                <w:bCs/>
                <w:color w:val="000000"/>
                <w:sz w:val="14"/>
                <w:szCs w:val="14"/>
              </w:rPr>
              <w:t>55</w:t>
            </w:r>
          </w:p>
        </w:tc>
        <w:tc>
          <w:tcPr>
            <w:tcW w:w="2050" w:type="pct"/>
            <w:tcBorders>
              <w:top w:val="nil"/>
              <w:left w:val="single" w:sz="4" w:space="0" w:color="auto"/>
              <w:bottom w:val="dotted" w:sz="4" w:space="0" w:color="auto"/>
              <w:right w:val="single" w:sz="4" w:space="0" w:color="auto"/>
            </w:tcBorders>
            <w:shd w:val="clear" w:color="auto" w:fill="auto"/>
            <w:vAlign w:val="bottom"/>
          </w:tcPr>
          <w:p w:rsidR="00E403CE" w:rsidRDefault="00E403CE" w:rsidP="00E403CE">
            <w:pPr>
              <w:rPr>
                <w:rFonts w:ascii="Arial" w:hAnsi="Arial" w:cs="Arial"/>
                <w:b/>
                <w:bCs/>
                <w:color w:val="000000"/>
                <w:sz w:val="14"/>
                <w:szCs w:val="14"/>
              </w:rPr>
            </w:pPr>
            <w:r>
              <w:rPr>
                <w:rFonts w:ascii="Arial" w:hAnsi="Arial" w:cs="Arial"/>
                <w:b/>
                <w:bCs/>
                <w:color w:val="000000"/>
                <w:sz w:val="14"/>
                <w:szCs w:val="14"/>
              </w:rPr>
              <w:t>Shkolla e Magjistratures</w:t>
            </w:r>
          </w:p>
        </w:tc>
        <w:tc>
          <w:tcPr>
            <w:tcW w:w="474" w:type="pct"/>
            <w:tcBorders>
              <w:top w:val="nil"/>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48.591</w:t>
            </w:r>
          </w:p>
        </w:tc>
        <w:tc>
          <w:tcPr>
            <w:tcW w:w="424"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1.360</w:t>
            </w:r>
          </w:p>
        </w:tc>
        <w:tc>
          <w:tcPr>
            <w:tcW w:w="397"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0</w:t>
            </w:r>
          </w:p>
        </w:tc>
        <w:tc>
          <w:tcPr>
            <w:tcW w:w="424"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0</w:t>
            </w:r>
          </w:p>
        </w:tc>
        <w:tc>
          <w:tcPr>
            <w:tcW w:w="441" w:type="pct"/>
            <w:tcBorders>
              <w:top w:val="nil"/>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1.360</w:t>
            </w:r>
          </w:p>
        </w:tc>
        <w:tc>
          <w:tcPr>
            <w:tcW w:w="535" w:type="pct"/>
            <w:tcBorders>
              <w:top w:val="nil"/>
              <w:left w:val="nil"/>
              <w:bottom w:val="dotted" w:sz="4" w:space="0" w:color="auto"/>
              <w:right w:val="double" w:sz="6"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49.951</w:t>
            </w:r>
          </w:p>
        </w:tc>
      </w:tr>
      <w:tr w:rsidR="00E403CE">
        <w:trPr>
          <w:trHeight w:val="162"/>
        </w:trPr>
        <w:tc>
          <w:tcPr>
            <w:tcW w:w="256" w:type="pct"/>
            <w:tcBorders>
              <w:top w:val="nil"/>
              <w:left w:val="double" w:sz="6" w:space="0" w:color="auto"/>
              <w:bottom w:val="single" w:sz="4" w:space="0" w:color="auto"/>
              <w:right w:val="nil"/>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03310</w:t>
            </w:r>
          </w:p>
        </w:tc>
        <w:tc>
          <w:tcPr>
            <w:tcW w:w="2050" w:type="pct"/>
            <w:tcBorders>
              <w:top w:val="nil"/>
              <w:left w:val="single" w:sz="4" w:space="0" w:color="auto"/>
              <w:bottom w:val="single" w:sz="4" w:space="0" w:color="auto"/>
              <w:right w:val="single" w:sz="4" w:space="0" w:color="auto"/>
            </w:tcBorders>
            <w:shd w:val="clear" w:color="auto" w:fill="auto"/>
            <w:noWrap/>
            <w:vAlign w:val="bottom"/>
          </w:tcPr>
          <w:p w:rsidR="00E403CE" w:rsidRDefault="00E403CE" w:rsidP="00E403CE">
            <w:pPr>
              <w:rPr>
                <w:rFonts w:ascii="Arial" w:hAnsi="Arial" w:cs="Arial"/>
                <w:sz w:val="14"/>
                <w:szCs w:val="14"/>
              </w:rPr>
            </w:pPr>
            <w:r>
              <w:rPr>
                <w:rFonts w:ascii="Arial" w:hAnsi="Arial" w:cs="Arial"/>
                <w:sz w:val="14"/>
                <w:szCs w:val="14"/>
              </w:rPr>
              <w:t>Planifikimi, Menaxhimi dhe Administrimi</w:t>
            </w:r>
          </w:p>
        </w:tc>
        <w:tc>
          <w:tcPr>
            <w:tcW w:w="474" w:type="pct"/>
            <w:tcBorders>
              <w:top w:val="nil"/>
              <w:left w:val="nil"/>
              <w:bottom w:val="single" w:sz="4" w:space="0" w:color="auto"/>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48.591</w:t>
            </w:r>
          </w:p>
        </w:tc>
        <w:tc>
          <w:tcPr>
            <w:tcW w:w="424"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1.360</w:t>
            </w:r>
          </w:p>
        </w:tc>
        <w:tc>
          <w:tcPr>
            <w:tcW w:w="397"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24"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41" w:type="pct"/>
            <w:tcBorders>
              <w:top w:val="nil"/>
              <w:left w:val="nil"/>
              <w:bottom w:val="single" w:sz="4" w:space="0" w:color="auto"/>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1.360</w:t>
            </w:r>
          </w:p>
        </w:tc>
        <w:tc>
          <w:tcPr>
            <w:tcW w:w="535" w:type="pct"/>
            <w:tcBorders>
              <w:top w:val="nil"/>
              <w:left w:val="nil"/>
              <w:bottom w:val="single" w:sz="4" w:space="0" w:color="auto"/>
              <w:right w:val="double" w:sz="6"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49.951</w:t>
            </w:r>
          </w:p>
        </w:tc>
      </w:tr>
      <w:tr w:rsidR="00E403CE">
        <w:trPr>
          <w:trHeight w:val="162"/>
        </w:trPr>
        <w:tc>
          <w:tcPr>
            <w:tcW w:w="256" w:type="pct"/>
            <w:tcBorders>
              <w:top w:val="nil"/>
              <w:left w:val="double" w:sz="6" w:space="0" w:color="auto"/>
              <w:bottom w:val="dotted" w:sz="4" w:space="0" w:color="auto"/>
              <w:right w:val="nil"/>
            </w:tcBorders>
            <w:shd w:val="clear" w:color="auto" w:fill="auto"/>
            <w:vAlign w:val="bottom"/>
          </w:tcPr>
          <w:p w:rsidR="00E403CE" w:rsidRDefault="00E403CE" w:rsidP="00E403CE">
            <w:pPr>
              <w:jc w:val="right"/>
              <w:rPr>
                <w:rFonts w:ascii="Arial" w:hAnsi="Arial" w:cs="Arial"/>
                <w:b/>
                <w:bCs/>
                <w:color w:val="000000"/>
                <w:sz w:val="14"/>
                <w:szCs w:val="14"/>
              </w:rPr>
            </w:pPr>
            <w:r>
              <w:rPr>
                <w:rFonts w:ascii="Arial" w:hAnsi="Arial" w:cs="Arial"/>
                <w:b/>
                <w:bCs/>
                <w:color w:val="000000"/>
                <w:sz w:val="14"/>
                <w:szCs w:val="14"/>
              </w:rPr>
              <w:t>56</w:t>
            </w:r>
          </w:p>
        </w:tc>
        <w:tc>
          <w:tcPr>
            <w:tcW w:w="2050" w:type="pct"/>
            <w:tcBorders>
              <w:top w:val="nil"/>
              <w:left w:val="single" w:sz="4" w:space="0" w:color="auto"/>
              <w:bottom w:val="dotted" w:sz="4" w:space="0" w:color="auto"/>
              <w:right w:val="single" w:sz="4" w:space="0" w:color="auto"/>
            </w:tcBorders>
            <w:shd w:val="clear" w:color="auto" w:fill="auto"/>
            <w:vAlign w:val="bottom"/>
          </w:tcPr>
          <w:p w:rsidR="00E403CE" w:rsidRDefault="00E403CE" w:rsidP="00E403CE">
            <w:pPr>
              <w:rPr>
                <w:rFonts w:ascii="Arial" w:hAnsi="Arial" w:cs="Arial"/>
                <w:b/>
                <w:bCs/>
                <w:color w:val="000000"/>
                <w:sz w:val="14"/>
                <w:szCs w:val="14"/>
              </w:rPr>
            </w:pPr>
            <w:r>
              <w:rPr>
                <w:rFonts w:ascii="Arial" w:hAnsi="Arial" w:cs="Arial"/>
                <w:b/>
                <w:bCs/>
                <w:color w:val="000000"/>
                <w:sz w:val="14"/>
                <w:szCs w:val="14"/>
              </w:rPr>
              <w:t>Fondi  i Zhvillimit Shqiptar</w:t>
            </w:r>
          </w:p>
        </w:tc>
        <w:tc>
          <w:tcPr>
            <w:tcW w:w="474" w:type="pct"/>
            <w:tcBorders>
              <w:top w:val="nil"/>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0</w:t>
            </w:r>
          </w:p>
        </w:tc>
        <w:tc>
          <w:tcPr>
            <w:tcW w:w="424"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595.000</w:t>
            </w:r>
          </w:p>
        </w:tc>
        <w:tc>
          <w:tcPr>
            <w:tcW w:w="397"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0</w:t>
            </w:r>
          </w:p>
        </w:tc>
        <w:tc>
          <w:tcPr>
            <w:tcW w:w="424"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380.000</w:t>
            </w:r>
          </w:p>
        </w:tc>
        <w:tc>
          <w:tcPr>
            <w:tcW w:w="441" w:type="pct"/>
            <w:tcBorders>
              <w:top w:val="nil"/>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975.000</w:t>
            </w:r>
          </w:p>
        </w:tc>
        <w:tc>
          <w:tcPr>
            <w:tcW w:w="535" w:type="pct"/>
            <w:tcBorders>
              <w:top w:val="nil"/>
              <w:left w:val="nil"/>
              <w:bottom w:val="dotted" w:sz="4" w:space="0" w:color="auto"/>
              <w:right w:val="double" w:sz="6"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975.000</w:t>
            </w:r>
          </w:p>
        </w:tc>
      </w:tr>
      <w:tr w:rsidR="00E403CE">
        <w:trPr>
          <w:trHeight w:val="162"/>
        </w:trPr>
        <w:tc>
          <w:tcPr>
            <w:tcW w:w="256" w:type="pct"/>
            <w:tcBorders>
              <w:top w:val="nil"/>
              <w:left w:val="double" w:sz="6" w:space="0" w:color="auto"/>
              <w:bottom w:val="single" w:sz="4" w:space="0" w:color="auto"/>
              <w:right w:val="nil"/>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06210</w:t>
            </w:r>
          </w:p>
        </w:tc>
        <w:tc>
          <w:tcPr>
            <w:tcW w:w="2050" w:type="pct"/>
            <w:tcBorders>
              <w:top w:val="nil"/>
              <w:left w:val="single" w:sz="4" w:space="0" w:color="auto"/>
              <w:bottom w:val="single" w:sz="4" w:space="0" w:color="auto"/>
              <w:right w:val="single" w:sz="4" w:space="0" w:color="auto"/>
            </w:tcBorders>
            <w:shd w:val="clear" w:color="auto" w:fill="auto"/>
            <w:noWrap/>
            <w:vAlign w:val="bottom"/>
          </w:tcPr>
          <w:p w:rsidR="00E403CE" w:rsidRDefault="00E403CE" w:rsidP="00E403CE">
            <w:pPr>
              <w:rPr>
                <w:rFonts w:ascii="Arial" w:hAnsi="Arial" w:cs="Arial"/>
                <w:sz w:val="14"/>
                <w:szCs w:val="14"/>
              </w:rPr>
            </w:pPr>
            <w:r>
              <w:rPr>
                <w:rFonts w:ascii="Arial" w:hAnsi="Arial" w:cs="Arial"/>
                <w:sz w:val="14"/>
                <w:szCs w:val="14"/>
              </w:rPr>
              <w:t>Programe Zhvillimi</w:t>
            </w:r>
          </w:p>
        </w:tc>
        <w:tc>
          <w:tcPr>
            <w:tcW w:w="474" w:type="pct"/>
            <w:tcBorders>
              <w:top w:val="nil"/>
              <w:left w:val="nil"/>
              <w:bottom w:val="single" w:sz="4" w:space="0" w:color="auto"/>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24"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595.000</w:t>
            </w:r>
          </w:p>
        </w:tc>
        <w:tc>
          <w:tcPr>
            <w:tcW w:w="397"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24"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380.000</w:t>
            </w:r>
          </w:p>
        </w:tc>
        <w:tc>
          <w:tcPr>
            <w:tcW w:w="441" w:type="pct"/>
            <w:tcBorders>
              <w:top w:val="nil"/>
              <w:left w:val="nil"/>
              <w:bottom w:val="single" w:sz="4" w:space="0" w:color="auto"/>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975.000</w:t>
            </w:r>
          </w:p>
        </w:tc>
        <w:tc>
          <w:tcPr>
            <w:tcW w:w="535" w:type="pct"/>
            <w:tcBorders>
              <w:top w:val="nil"/>
              <w:left w:val="nil"/>
              <w:bottom w:val="single" w:sz="4" w:space="0" w:color="auto"/>
              <w:right w:val="double" w:sz="6"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975.000</w:t>
            </w:r>
          </w:p>
        </w:tc>
      </w:tr>
      <w:tr w:rsidR="00E403CE">
        <w:trPr>
          <w:trHeight w:val="162"/>
        </w:trPr>
        <w:tc>
          <w:tcPr>
            <w:tcW w:w="256" w:type="pct"/>
            <w:tcBorders>
              <w:top w:val="nil"/>
              <w:left w:val="double" w:sz="6" w:space="0" w:color="auto"/>
              <w:bottom w:val="dotted" w:sz="4" w:space="0" w:color="auto"/>
              <w:right w:val="nil"/>
            </w:tcBorders>
            <w:shd w:val="clear" w:color="auto" w:fill="auto"/>
            <w:vAlign w:val="bottom"/>
          </w:tcPr>
          <w:p w:rsidR="00E403CE" w:rsidRDefault="00E403CE" w:rsidP="00E403CE">
            <w:pPr>
              <w:jc w:val="right"/>
              <w:rPr>
                <w:rFonts w:ascii="Arial" w:hAnsi="Arial" w:cs="Arial"/>
                <w:b/>
                <w:bCs/>
                <w:color w:val="000000"/>
                <w:sz w:val="14"/>
                <w:szCs w:val="14"/>
              </w:rPr>
            </w:pPr>
            <w:r>
              <w:rPr>
                <w:rFonts w:ascii="Arial" w:hAnsi="Arial" w:cs="Arial"/>
                <w:b/>
                <w:bCs/>
                <w:color w:val="000000"/>
                <w:sz w:val="14"/>
                <w:szCs w:val="14"/>
              </w:rPr>
              <w:t>57</w:t>
            </w:r>
          </w:p>
        </w:tc>
        <w:tc>
          <w:tcPr>
            <w:tcW w:w="2050" w:type="pct"/>
            <w:tcBorders>
              <w:top w:val="nil"/>
              <w:left w:val="single" w:sz="4" w:space="0" w:color="auto"/>
              <w:bottom w:val="dotted" w:sz="4" w:space="0" w:color="auto"/>
              <w:right w:val="single" w:sz="4" w:space="0" w:color="auto"/>
            </w:tcBorders>
            <w:shd w:val="clear" w:color="auto" w:fill="auto"/>
            <w:vAlign w:val="bottom"/>
          </w:tcPr>
          <w:p w:rsidR="00E403CE" w:rsidRDefault="00E403CE" w:rsidP="00E403CE">
            <w:pPr>
              <w:rPr>
                <w:rFonts w:ascii="Arial" w:hAnsi="Arial" w:cs="Arial"/>
                <w:b/>
                <w:bCs/>
                <w:color w:val="000000"/>
                <w:sz w:val="14"/>
                <w:szCs w:val="14"/>
              </w:rPr>
            </w:pPr>
            <w:r>
              <w:rPr>
                <w:rFonts w:ascii="Arial" w:hAnsi="Arial" w:cs="Arial"/>
                <w:b/>
                <w:bCs/>
                <w:color w:val="000000"/>
                <w:sz w:val="14"/>
                <w:szCs w:val="14"/>
              </w:rPr>
              <w:t>Qendra Kombetare e Kinematografise</w:t>
            </w:r>
          </w:p>
        </w:tc>
        <w:tc>
          <w:tcPr>
            <w:tcW w:w="474" w:type="pct"/>
            <w:tcBorders>
              <w:top w:val="nil"/>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126.988</w:t>
            </w:r>
          </w:p>
        </w:tc>
        <w:tc>
          <w:tcPr>
            <w:tcW w:w="424"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2.000</w:t>
            </w:r>
          </w:p>
        </w:tc>
        <w:tc>
          <w:tcPr>
            <w:tcW w:w="397"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0</w:t>
            </w:r>
          </w:p>
        </w:tc>
        <w:tc>
          <w:tcPr>
            <w:tcW w:w="424"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0</w:t>
            </w:r>
          </w:p>
        </w:tc>
        <w:tc>
          <w:tcPr>
            <w:tcW w:w="441" w:type="pct"/>
            <w:tcBorders>
              <w:top w:val="nil"/>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2.000</w:t>
            </w:r>
          </w:p>
        </w:tc>
        <w:tc>
          <w:tcPr>
            <w:tcW w:w="535" w:type="pct"/>
            <w:tcBorders>
              <w:top w:val="nil"/>
              <w:left w:val="nil"/>
              <w:bottom w:val="dotted" w:sz="4" w:space="0" w:color="auto"/>
              <w:right w:val="double" w:sz="6"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128.988</w:t>
            </w:r>
          </w:p>
        </w:tc>
      </w:tr>
      <w:tr w:rsidR="00E403CE">
        <w:trPr>
          <w:trHeight w:val="162"/>
        </w:trPr>
        <w:tc>
          <w:tcPr>
            <w:tcW w:w="256" w:type="pct"/>
            <w:tcBorders>
              <w:top w:val="nil"/>
              <w:left w:val="double" w:sz="6" w:space="0" w:color="auto"/>
              <w:bottom w:val="single" w:sz="4" w:space="0" w:color="auto"/>
              <w:right w:val="nil"/>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08210</w:t>
            </w:r>
          </w:p>
        </w:tc>
        <w:tc>
          <w:tcPr>
            <w:tcW w:w="2050" w:type="pct"/>
            <w:tcBorders>
              <w:top w:val="nil"/>
              <w:left w:val="single" w:sz="4" w:space="0" w:color="auto"/>
              <w:bottom w:val="single" w:sz="4" w:space="0" w:color="auto"/>
              <w:right w:val="single" w:sz="4" w:space="0" w:color="auto"/>
            </w:tcBorders>
            <w:shd w:val="clear" w:color="auto" w:fill="auto"/>
            <w:noWrap/>
            <w:vAlign w:val="bottom"/>
          </w:tcPr>
          <w:p w:rsidR="00E403CE" w:rsidRDefault="00E403CE" w:rsidP="00E403CE">
            <w:pPr>
              <w:rPr>
                <w:rFonts w:ascii="Arial" w:hAnsi="Arial" w:cs="Arial"/>
                <w:sz w:val="14"/>
                <w:szCs w:val="14"/>
              </w:rPr>
            </w:pPr>
            <w:r>
              <w:rPr>
                <w:rFonts w:ascii="Arial" w:hAnsi="Arial" w:cs="Arial"/>
                <w:sz w:val="14"/>
                <w:szCs w:val="14"/>
              </w:rPr>
              <w:t>Planifikimi, Menaxhimi dhe Administrimi</w:t>
            </w:r>
          </w:p>
        </w:tc>
        <w:tc>
          <w:tcPr>
            <w:tcW w:w="474" w:type="pct"/>
            <w:tcBorders>
              <w:top w:val="nil"/>
              <w:left w:val="nil"/>
              <w:bottom w:val="single" w:sz="4" w:space="0" w:color="auto"/>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126.988</w:t>
            </w:r>
          </w:p>
        </w:tc>
        <w:tc>
          <w:tcPr>
            <w:tcW w:w="424"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2.000</w:t>
            </w:r>
          </w:p>
        </w:tc>
        <w:tc>
          <w:tcPr>
            <w:tcW w:w="397"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24"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41" w:type="pct"/>
            <w:tcBorders>
              <w:top w:val="nil"/>
              <w:left w:val="nil"/>
              <w:bottom w:val="single" w:sz="4" w:space="0" w:color="auto"/>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2.000</w:t>
            </w:r>
          </w:p>
        </w:tc>
        <w:tc>
          <w:tcPr>
            <w:tcW w:w="535" w:type="pct"/>
            <w:tcBorders>
              <w:top w:val="nil"/>
              <w:left w:val="nil"/>
              <w:bottom w:val="single" w:sz="4" w:space="0" w:color="auto"/>
              <w:right w:val="double" w:sz="6"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128.988</w:t>
            </w:r>
          </w:p>
        </w:tc>
      </w:tr>
      <w:tr w:rsidR="00E403CE">
        <w:trPr>
          <w:trHeight w:val="162"/>
        </w:trPr>
        <w:tc>
          <w:tcPr>
            <w:tcW w:w="256" w:type="pct"/>
            <w:tcBorders>
              <w:top w:val="nil"/>
              <w:left w:val="double" w:sz="6" w:space="0" w:color="auto"/>
              <w:bottom w:val="dotted" w:sz="4" w:space="0" w:color="auto"/>
              <w:right w:val="nil"/>
            </w:tcBorders>
            <w:shd w:val="clear" w:color="auto" w:fill="auto"/>
            <w:vAlign w:val="bottom"/>
          </w:tcPr>
          <w:p w:rsidR="00E403CE" w:rsidRDefault="00E403CE" w:rsidP="00E403CE">
            <w:pPr>
              <w:jc w:val="right"/>
              <w:rPr>
                <w:rFonts w:ascii="Arial" w:hAnsi="Arial" w:cs="Arial"/>
                <w:b/>
                <w:bCs/>
                <w:color w:val="000000"/>
                <w:sz w:val="14"/>
                <w:szCs w:val="14"/>
              </w:rPr>
            </w:pPr>
            <w:r>
              <w:rPr>
                <w:rFonts w:ascii="Arial" w:hAnsi="Arial" w:cs="Arial"/>
                <w:b/>
                <w:bCs/>
                <w:color w:val="000000"/>
                <w:sz w:val="14"/>
                <w:szCs w:val="14"/>
              </w:rPr>
              <w:t>59</w:t>
            </w:r>
          </w:p>
        </w:tc>
        <w:tc>
          <w:tcPr>
            <w:tcW w:w="2050" w:type="pct"/>
            <w:tcBorders>
              <w:top w:val="nil"/>
              <w:left w:val="single" w:sz="4" w:space="0" w:color="auto"/>
              <w:bottom w:val="dotted" w:sz="4" w:space="0" w:color="auto"/>
              <w:right w:val="single" w:sz="4" w:space="0" w:color="auto"/>
            </w:tcBorders>
            <w:shd w:val="clear" w:color="auto" w:fill="auto"/>
            <w:vAlign w:val="bottom"/>
          </w:tcPr>
          <w:p w:rsidR="00E403CE" w:rsidRDefault="00E403CE" w:rsidP="00E403CE">
            <w:pPr>
              <w:rPr>
                <w:rFonts w:ascii="Arial" w:hAnsi="Arial" w:cs="Arial"/>
                <w:b/>
                <w:bCs/>
                <w:color w:val="000000"/>
                <w:sz w:val="14"/>
                <w:szCs w:val="14"/>
              </w:rPr>
            </w:pPr>
            <w:r>
              <w:rPr>
                <w:rFonts w:ascii="Arial" w:hAnsi="Arial" w:cs="Arial"/>
                <w:b/>
                <w:bCs/>
                <w:color w:val="000000"/>
                <w:sz w:val="14"/>
                <w:szCs w:val="14"/>
              </w:rPr>
              <w:t>Instituti i Integrimit te Perndjekurve Politik</w:t>
            </w:r>
          </w:p>
        </w:tc>
        <w:tc>
          <w:tcPr>
            <w:tcW w:w="474" w:type="pct"/>
            <w:tcBorders>
              <w:top w:val="nil"/>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26.000</w:t>
            </w:r>
          </w:p>
        </w:tc>
        <w:tc>
          <w:tcPr>
            <w:tcW w:w="424"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2.000</w:t>
            </w:r>
          </w:p>
        </w:tc>
        <w:tc>
          <w:tcPr>
            <w:tcW w:w="397"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0</w:t>
            </w:r>
          </w:p>
        </w:tc>
        <w:tc>
          <w:tcPr>
            <w:tcW w:w="424"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0</w:t>
            </w:r>
          </w:p>
        </w:tc>
        <w:tc>
          <w:tcPr>
            <w:tcW w:w="441" w:type="pct"/>
            <w:tcBorders>
              <w:top w:val="nil"/>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2.000</w:t>
            </w:r>
          </w:p>
        </w:tc>
        <w:tc>
          <w:tcPr>
            <w:tcW w:w="535" w:type="pct"/>
            <w:tcBorders>
              <w:top w:val="nil"/>
              <w:left w:val="nil"/>
              <w:bottom w:val="dotted" w:sz="4" w:space="0" w:color="auto"/>
              <w:right w:val="double" w:sz="6"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28.000</w:t>
            </w:r>
          </w:p>
        </w:tc>
      </w:tr>
      <w:tr w:rsidR="00E403CE">
        <w:trPr>
          <w:trHeight w:val="162"/>
        </w:trPr>
        <w:tc>
          <w:tcPr>
            <w:tcW w:w="256" w:type="pct"/>
            <w:tcBorders>
              <w:top w:val="nil"/>
              <w:left w:val="double" w:sz="6" w:space="0" w:color="auto"/>
              <w:bottom w:val="single" w:sz="4" w:space="0" w:color="auto"/>
              <w:right w:val="nil"/>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01110</w:t>
            </w:r>
          </w:p>
        </w:tc>
        <w:tc>
          <w:tcPr>
            <w:tcW w:w="2050" w:type="pct"/>
            <w:tcBorders>
              <w:top w:val="nil"/>
              <w:left w:val="single" w:sz="4" w:space="0" w:color="auto"/>
              <w:bottom w:val="single" w:sz="4" w:space="0" w:color="auto"/>
              <w:right w:val="single" w:sz="4" w:space="0" w:color="auto"/>
            </w:tcBorders>
            <w:shd w:val="clear" w:color="auto" w:fill="auto"/>
            <w:noWrap/>
            <w:vAlign w:val="bottom"/>
          </w:tcPr>
          <w:p w:rsidR="00E403CE" w:rsidRDefault="00E403CE" w:rsidP="00E403CE">
            <w:pPr>
              <w:rPr>
                <w:rFonts w:ascii="Arial" w:hAnsi="Arial" w:cs="Arial"/>
                <w:sz w:val="14"/>
                <w:szCs w:val="14"/>
              </w:rPr>
            </w:pPr>
            <w:r>
              <w:rPr>
                <w:rFonts w:ascii="Arial" w:hAnsi="Arial" w:cs="Arial"/>
                <w:sz w:val="14"/>
                <w:szCs w:val="14"/>
              </w:rPr>
              <w:t>Rehabilitimi  i te Perndjekurve Politik</w:t>
            </w:r>
          </w:p>
        </w:tc>
        <w:tc>
          <w:tcPr>
            <w:tcW w:w="474" w:type="pct"/>
            <w:tcBorders>
              <w:top w:val="nil"/>
              <w:left w:val="nil"/>
              <w:bottom w:val="single" w:sz="4" w:space="0" w:color="auto"/>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26.000</w:t>
            </w:r>
          </w:p>
        </w:tc>
        <w:tc>
          <w:tcPr>
            <w:tcW w:w="424"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2.000</w:t>
            </w:r>
          </w:p>
        </w:tc>
        <w:tc>
          <w:tcPr>
            <w:tcW w:w="397"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24"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41" w:type="pct"/>
            <w:tcBorders>
              <w:top w:val="nil"/>
              <w:left w:val="nil"/>
              <w:bottom w:val="single" w:sz="4" w:space="0" w:color="auto"/>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2.000</w:t>
            </w:r>
          </w:p>
        </w:tc>
        <w:tc>
          <w:tcPr>
            <w:tcW w:w="535" w:type="pct"/>
            <w:tcBorders>
              <w:top w:val="nil"/>
              <w:left w:val="nil"/>
              <w:bottom w:val="single" w:sz="4" w:space="0" w:color="auto"/>
              <w:right w:val="double" w:sz="6"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28.000</w:t>
            </w:r>
          </w:p>
        </w:tc>
      </w:tr>
      <w:tr w:rsidR="00E403CE">
        <w:trPr>
          <w:trHeight w:val="162"/>
        </w:trPr>
        <w:tc>
          <w:tcPr>
            <w:tcW w:w="256" w:type="pct"/>
            <w:tcBorders>
              <w:top w:val="nil"/>
              <w:left w:val="double" w:sz="6" w:space="0" w:color="auto"/>
              <w:bottom w:val="dotted" w:sz="4" w:space="0" w:color="auto"/>
              <w:right w:val="nil"/>
            </w:tcBorders>
            <w:shd w:val="clear" w:color="auto" w:fill="auto"/>
            <w:vAlign w:val="bottom"/>
          </w:tcPr>
          <w:p w:rsidR="00E403CE" w:rsidRDefault="00E403CE" w:rsidP="00E403CE">
            <w:pPr>
              <w:jc w:val="right"/>
              <w:rPr>
                <w:rFonts w:ascii="Arial" w:hAnsi="Arial" w:cs="Arial"/>
                <w:b/>
                <w:bCs/>
                <w:color w:val="000000"/>
                <w:sz w:val="14"/>
                <w:szCs w:val="14"/>
              </w:rPr>
            </w:pPr>
            <w:r>
              <w:rPr>
                <w:rFonts w:ascii="Arial" w:hAnsi="Arial" w:cs="Arial"/>
                <w:b/>
                <w:bCs/>
                <w:color w:val="000000"/>
                <w:sz w:val="14"/>
                <w:szCs w:val="14"/>
              </w:rPr>
              <w:t>63</w:t>
            </w:r>
          </w:p>
        </w:tc>
        <w:tc>
          <w:tcPr>
            <w:tcW w:w="2050" w:type="pct"/>
            <w:tcBorders>
              <w:top w:val="nil"/>
              <w:left w:val="single" w:sz="4" w:space="0" w:color="auto"/>
              <w:bottom w:val="dotted" w:sz="4" w:space="0" w:color="auto"/>
              <w:right w:val="single" w:sz="4" w:space="0" w:color="auto"/>
            </w:tcBorders>
            <w:shd w:val="clear" w:color="auto" w:fill="auto"/>
            <w:vAlign w:val="bottom"/>
          </w:tcPr>
          <w:p w:rsidR="00E403CE" w:rsidRDefault="00E403CE" w:rsidP="00E403CE">
            <w:pPr>
              <w:rPr>
                <w:rFonts w:ascii="Arial" w:hAnsi="Arial" w:cs="Arial"/>
                <w:b/>
                <w:bCs/>
                <w:color w:val="000000"/>
                <w:sz w:val="14"/>
                <w:szCs w:val="14"/>
              </w:rPr>
            </w:pPr>
            <w:r>
              <w:rPr>
                <w:rFonts w:ascii="Arial" w:hAnsi="Arial" w:cs="Arial"/>
                <w:b/>
                <w:bCs/>
                <w:color w:val="000000"/>
                <w:sz w:val="14"/>
                <w:szCs w:val="14"/>
              </w:rPr>
              <w:t>Keshilli i Larte i Drejtesise</w:t>
            </w:r>
          </w:p>
        </w:tc>
        <w:tc>
          <w:tcPr>
            <w:tcW w:w="474" w:type="pct"/>
            <w:tcBorders>
              <w:top w:val="nil"/>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68.000</w:t>
            </w:r>
          </w:p>
        </w:tc>
        <w:tc>
          <w:tcPr>
            <w:tcW w:w="424"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4.000</w:t>
            </w:r>
          </w:p>
        </w:tc>
        <w:tc>
          <w:tcPr>
            <w:tcW w:w="397"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0</w:t>
            </w:r>
          </w:p>
        </w:tc>
        <w:tc>
          <w:tcPr>
            <w:tcW w:w="424"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0</w:t>
            </w:r>
          </w:p>
        </w:tc>
        <w:tc>
          <w:tcPr>
            <w:tcW w:w="441" w:type="pct"/>
            <w:tcBorders>
              <w:top w:val="nil"/>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4.000</w:t>
            </w:r>
          </w:p>
        </w:tc>
        <w:tc>
          <w:tcPr>
            <w:tcW w:w="535" w:type="pct"/>
            <w:tcBorders>
              <w:top w:val="nil"/>
              <w:left w:val="nil"/>
              <w:bottom w:val="dotted" w:sz="4" w:space="0" w:color="auto"/>
              <w:right w:val="double" w:sz="6"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72.000</w:t>
            </w:r>
          </w:p>
        </w:tc>
      </w:tr>
      <w:tr w:rsidR="00E403CE">
        <w:trPr>
          <w:trHeight w:val="162"/>
        </w:trPr>
        <w:tc>
          <w:tcPr>
            <w:tcW w:w="256" w:type="pct"/>
            <w:tcBorders>
              <w:top w:val="nil"/>
              <w:left w:val="double" w:sz="6" w:space="0" w:color="auto"/>
              <w:bottom w:val="single" w:sz="4" w:space="0" w:color="auto"/>
              <w:right w:val="nil"/>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01110</w:t>
            </w:r>
          </w:p>
        </w:tc>
        <w:tc>
          <w:tcPr>
            <w:tcW w:w="2050" w:type="pct"/>
            <w:tcBorders>
              <w:top w:val="nil"/>
              <w:left w:val="single" w:sz="4" w:space="0" w:color="auto"/>
              <w:bottom w:val="single" w:sz="4" w:space="0" w:color="auto"/>
              <w:right w:val="single" w:sz="4" w:space="0" w:color="auto"/>
            </w:tcBorders>
            <w:shd w:val="clear" w:color="auto" w:fill="auto"/>
            <w:noWrap/>
            <w:vAlign w:val="bottom"/>
          </w:tcPr>
          <w:p w:rsidR="00E403CE" w:rsidRDefault="00E403CE" w:rsidP="00E403CE">
            <w:pPr>
              <w:rPr>
                <w:rFonts w:ascii="Arial" w:hAnsi="Arial" w:cs="Arial"/>
                <w:sz w:val="14"/>
                <w:szCs w:val="14"/>
              </w:rPr>
            </w:pPr>
            <w:r>
              <w:rPr>
                <w:rFonts w:ascii="Arial" w:hAnsi="Arial" w:cs="Arial"/>
                <w:sz w:val="14"/>
                <w:szCs w:val="14"/>
              </w:rPr>
              <w:t>Planifikimi, Menaxhimi dhe Administrimi</w:t>
            </w:r>
          </w:p>
        </w:tc>
        <w:tc>
          <w:tcPr>
            <w:tcW w:w="474" w:type="pct"/>
            <w:tcBorders>
              <w:top w:val="nil"/>
              <w:left w:val="nil"/>
              <w:bottom w:val="single" w:sz="4" w:space="0" w:color="auto"/>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68.000</w:t>
            </w:r>
          </w:p>
        </w:tc>
        <w:tc>
          <w:tcPr>
            <w:tcW w:w="424"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4.000</w:t>
            </w:r>
          </w:p>
        </w:tc>
        <w:tc>
          <w:tcPr>
            <w:tcW w:w="397"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24"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41" w:type="pct"/>
            <w:tcBorders>
              <w:top w:val="nil"/>
              <w:left w:val="nil"/>
              <w:bottom w:val="single" w:sz="4" w:space="0" w:color="auto"/>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4.000</w:t>
            </w:r>
          </w:p>
        </w:tc>
        <w:tc>
          <w:tcPr>
            <w:tcW w:w="535" w:type="pct"/>
            <w:tcBorders>
              <w:top w:val="nil"/>
              <w:left w:val="nil"/>
              <w:bottom w:val="single" w:sz="4" w:space="0" w:color="auto"/>
              <w:right w:val="double" w:sz="6"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72.000</w:t>
            </w:r>
          </w:p>
        </w:tc>
      </w:tr>
      <w:tr w:rsidR="00E403CE">
        <w:trPr>
          <w:trHeight w:val="162"/>
        </w:trPr>
        <w:tc>
          <w:tcPr>
            <w:tcW w:w="256" w:type="pct"/>
            <w:tcBorders>
              <w:top w:val="nil"/>
              <w:left w:val="double" w:sz="6" w:space="0" w:color="auto"/>
              <w:bottom w:val="dotted" w:sz="4" w:space="0" w:color="auto"/>
              <w:right w:val="nil"/>
            </w:tcBorders>
            <w:shd w:val="clear" w:color="auto" w:fill="auto"/>
            <w:vAlign w:val="bottom"/>
          </w:tcPr>
          <w:p w:rsidR="00E403CE" w:rsidRDefault="00E403CE" w:rsidP="00E403CE">
            <w:pPr>
              <w:jc w:val="right"/>
              <w:rPr>
                <w:rFonts w:ascii="Arial" w:hAnsi="Arial" w:cs="Arial"/>
                <w:b/>
                <w:bCs/>
                <w:color w:val="000000"/>
                <w:sz w:val="14"/>
                <w:szCs w:val="14"/>
              </w:rPr>
            </w:pPr>
            <w:r>
              <w:rPr>
                <w:rFonts w:ascii="Arial" w:hAnsi="Arial" w:cs="Arial"/>
                <w:b/>
                <w:bCs/>
                <w:color w:val="000000"/>
                <w:sz w:val="14"/>
                <w:szCs w:val="14"/>
              </w:rPr>
              <w:t>66</w:t>
            </w:r>
          </w:p>
        </w:tc>
        <w:tc>
          <w:tcPr>
            <w:tcW w:w="2050" w:type="pct"/>
            <w:tcBorders>
              <w:top w:val="nil"/>
              <w:left w:val="single" w:sz="4" w:space="0" w:color="auto"/>
              <w:bottom w:val="dotted" w:sz="4" w:space="0" w:color="auto"/>
              <w:right w:val="single" w:sz="4" w:space="0" w:color="auto"/>
            </w:tcBorders>
            <w:shd w:val="clear" w:color="auto" w:fill="auto"/>
            <w:vAlign w:val="bottom"/>
          </w:tcPr>
          <w:p w:rsidR="00E403CE" w:rsidRDefault="00E403CE" w:rsidP="00E403CE">
            <w:pPr>
              <w:rPr>
                <w:rFonts w:ascii="Arial" w:hAnsi="Arial" w:cs="Arial"/>
                <w:b/>
                <w:bCs/>
                <w:color w:val="000000"/>
                <w:sz w:val="14"/>
                <w:szCs w:val="14"/>
              </w:rPr>
            </w:pPr>
            <w:r>
              <w:rPr>
                <w:rFonts w:ascii="Arial" w:hAnsi="Arial" w:cs="Arial"/>
                <w:b/>
                <w:bCs/>
                <w:color w:val="000000"/>
                <w:sz w:val="14"/>
                <w:szCs w:val="14"/>
              </w:rPr>
              <w:t>Avokati i Popullit</w:t>
            </w:r>
          </w:p>
        </w:tc>
        <w:tc>
          <w:tcPr>
            <w:tcW w:w="474" w:type="pct"/>
            <w:tcBorders>
              <w:top w:val="nil"/>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80.000</w:t>
            </w:r>
          </w:p>
        </w:tc>
        <w:tc>
          <w:tcPr>
            <w:tcW w:w="424"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11.600</w:t>
            </w:r>
          </w:p>
        </w:tc>
        <w:tc>
          <w:tcPr>
            <w:tcW w:w="397"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0</w:t>
            </w:r>
          </w:p>
        </w:tc>
        <w:tc>
          <w:tcPr>
            <w:tcW w:w="424"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0</w:t>
            </w:r>
          </w:p>
        </w:tc>
        <w:tc>
          <w:tcPr>
            <w:tcW w:w="441" w:type="pct"/>
            <w:tcBorders>
              <w:top w:val="nil"/>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11.600</w:t>
            </w:r>
          </w:p>
        </w:tc>
        <w:tc>
          <w:tcPr>
            <w:tcW w:w="535" w:type="pct"/>
            <w:tcBorders>
              <w:top w:val="nil"/>
              <w:left w:val="nil"/>
              <w:bottom w:val="dotted" w:sz="4" w:space="0" w:color="auto"/>
              <w:right w:val="double" w:sz="6"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91.600</w:t>
            </w:r>
          </w:p>
        </w:tc>
      </w:tr>
      <w:tr w:rsidR="00E403CE">
        <w:trPr>
          <w:trHeight w:val="162"/>
        </w:trPr>
        <w:tc>
          <w:tcPr>
            <w:tcW w:w="256" w:type="pct"/>
            <w:tcBorders>
              <w:top w:val="nil"/>
              <w:left w:val="double" w:sz="6" w:space="0" w:color="auto"/>
              <w:bottom w:val="single" w:sz="4" w:space="0" w:color="auto"/>
              <w:right w:val="nil"/>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03310</w:t>
            </w:r>
          </w:p>
        </w:tc>
        <w:tc>
          <w:tcPr>
            <w:tcW w:w="2050" w:type="pct"/>
            <w:tcBorders>
              <w:top w:val="nil"/>
              <w:left w:val="single" w:sz="4" w:space="0" w:color="auto"/>
              <w:bottom w:val="single" w:sz="4" w:space="0" w:color="auto"/>
              <w:right w:val="single" w:sz="4" w:space="0" w:color="auto"/>
            </w:tcBorders>
            <w:shd w:val="clear" w:color="auto" w:fill="auto"/>
            <w:noWrap/>
            <w:vAlign w:val="bottom"/>
          </w:tcPr>
          <w:p w:rsidR="00E403CE" w:rsidRDefault="00E403CE" w:rsidP="00E403CE">
            <w:pPr>
              <w:rPr>
                <w:rFonts w:ascii="Arial" w:hAnsi="Arial" w:cs="Arial"/>
                <w:sz w:val="14"/>
                <w:szCs w:val="14"/>
              </w:rPr>
            </w:pPr>
            <w:r>
              <w:rPr>
                <w:rFonts w:ascii="Arial" w:hAnsi="Arial" w:cs="Arial"/>
                <w:sz w:val="14"/>
                <w:szCs w:val="14"/>
              </w:rPr>
              <w:t>Planifikimi, Menaxhimi dhe Administrimi</w:t>
            </w:r>
          </w:p>
        </w:tc>
        <w:tc>
          <w:tcPr>
            <w:tcW w:w="474" w:type="pct"/>
            <w:tcBorders>
              <w:top w:val="nil"/>
              <w:left w:val="nil"/>
              <w:bottom w:val="single" w:sz="4" w:space="0" w:color="auto"/>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80.000</w:t>
            </w:r>
          </w:p>
        </w:tc>
        <w:tc>
          <w:tcPr>
            <w:tcW w:w="424"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11.600</w:t>
            </w:r>
          </w:p>
        </w:tc>
        <w:tc>
          <w:tcPr>
            <w:tcW w:w="397"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24"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41" w:type="pct"/>
            <w:tcBorders>
              <w:top w:val="nil"/>
              <w:left w:val="nil"/>
              <w:bottom w:val="single" w:sz="4" w:space="0" w:color="auto"/>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11.600</w:t>
            </w:r>
          </w:p>
        </w:tc>
        <w:tc>
          <w:tcPr>
            <w:tcW w:w="535" w:type="pct"/>
            <w:tcBorders>
              <w:top w:val="nil"/>
              <w:left w:val="nil"/>
              <w:bottom w:val="single" w:sz="4" w:space="0" w:color="auto"/>
              <w:right w:val="double" w:sz="6"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91.600</w:t>
            </w:r>
          </w:p>
        </w:tc>
      </w:tr>
      <w:tr w:rsidR="00E403CE">
        <w:trPr>
          <w:trHeight w:val="162"/>
        </w:trPr>
        <w:tc>
          <w:tcPr>
            <w:tcW w:w="256" w:type="pct"/>
            <w:tcBorders>
              <w:top w:val="nil"/>
              <w:left w:val="double" w:sz="6" w:space="0" w:color="auto"/>
              <w:bottom w:val="dotted" w:sz="4" w:space="0" w:color="auto"/>
              <w:right w:val="nil"/>
            </w:tcBorders>
            <w:shd w:val="clear" w:color="auto" w:fill="auto"/>
            <w:vAlign w:val="bottom"/>
          </w:tcPr>
          <w:p w:rsidR="00E403CE" w:rsidRDefault="00E403CE" w:rsidP="00E403CE">
            <w:pPr>
              <w:jc w:val="right"/>
              <w:rPr>
                <w:rFonts w:ascii="Arial" w:hAnsi="Arial" w:cs="Arial"/>
                <w:b/>
                <w:bCs/>
                <w:color w:val="000000"/>
                <w:sz w:val="14"/>
                <w:szCs w:val="14"/>
              </w:rPr>
            </w:pPr>
            <w:r>
              <w:rPr>
                <w:rFonts w:ascii="Arial" w:hAnsi="Arial" w:cs="Arial"/>
                <w:b/>
                <w:bCs/>
                <w:color w:val="000000"/>
                <w:sz w:val="14"/>
                <w:szCs w:val="14"/>
              </w:rPr>
              <w:t>67</w:t>
            </w:r>
          </w:p>
        </w:tc>
        <w:tc>
          <w:tcPr>
            <w:tcW w:w="2050" w:type="pct"/>
            <w:tcBorders>
              <w:top w:val="nil"/>
              <w:left w:val="single" w:sz="4" w:space="0" w:color="auto"/>
              <w:bottom w:val="dotted" w:sz="4" w:space="0" w:color="auto"/>
              <w:right w:val="single" w:sz="4" w:space="0" w:color="auto"/>
            </w:tcBorders>
            <w:shd w:val="clear" w:color="auto" w:fill="auto"/>
            <w:vAlign w:val="bottom"/>
          </w:tcPr>
          <w:p w:rsidR="00E403CE" w:rsidRDefault="00E403CE" w:rsidP="00E403CE">
            <w:pPr>
              <w:rPr>
                <w:rFonts w:ascii="Arial" w:hAnsi="Arial" w:cs="Arial"/>
                <w:b/>
                <w:bCs/>
                <w:color w:val="000000"/>
                <w:sz w:val="14"/>
                <w:szCs w:val="14"/>
              </w:rPr>
            </w:pPr>
            <w:r>
              <w:rPr>
                <w:rFonts w:ascii="Arial" w:hAnsi="Arial" w:cs="Arial"/>
                <w:b/>
                <w:bCs/>
                <w:color w:val="000000"/>
                <w:sz w:val="14"/>
                <w:szCs w:val="14"/>
              </w:rPr>
              <w:t>Komisioni  i Sherbimit Civil</w:t>
            </w:r>
          </w:p>
        </w:tc>
        <w:tc>
          <w:tcPr>
            <w:tcW w:w="474" w:type="pct"/>
            <w:tcBorders>
              <w:top w:val="nil"/>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43.000</w:t>
            </w:r>
          </w:p>
        </w:tc>
        <w:tc>
          <w:tcPr>
            <w:tcW w:w="424"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1.600</w:t>
            </w:r>
          </w:p>
        </w:tc>
        <w:tc>
          <w:tcPr>
            <w:tcW w:w="397"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0</w:t>
            </w:r>
          </w:p>
        </w:tc>
        <w:tc>
          <w:tcPr>
            <w:tcW w:w="424"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0</w:t>
            </w:r>
          </w:p>
        </w:tc>
        <w:tc>
          <w:tcPr>
            <w:tcW w:w="441" w:type="pct"/>
            <w:tcBorders>
              <w:top w:val="nil"/>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1.600</w:t>
            </w:r>
          </w:p>
        </w:tc>
        <w:tc>
          <w:tcPr>
            <w:tcW w:w="535" w:type="pct"/>
            <w:tcBorders>
              <w:top w:val="nil"/>
              <w:left w:val="nil"/>
              <w:bottom w:val="dotted" w:sz="4" w:space="0" w:color="auto"/>
              <w:right w:val="double" w:sz="6"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44.600</w:t>
            </w:r>
          </w:p>
        </w:tc>
      </w:tr>
      <w:tr w:rsidR="00E403CE">
        <w:trPr>
          <w:trHeight w:val="162"/>
        </w:trPr>
        <w:tc>
          <w:tcPr>
            <w:tcW w:w="256" w:type="pct"/>
            <w:tcBorders>
              <w:top w:val="nil"/>
              <w:left w:val="double" w:sz="6" w:space="0" w:color="auto"/>
              <w:bottom w:val="single" w:sz="4" w:space="0" w:color="auto"/>
              <w:right w:val="nil"/>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01110</w:t>
            </w:r>
          </w:p>
        </w:tc>
        <w:tc>
          <w:tcPr>
            <w:tcW w:w="2050" w:type="pct"/>
            <w:tcBorders>
              <w:top w:val="nil"/>
              <w:left w:val="single" w:sz="4" w:space="0" w:color="auto"/>
              <w:bottom w:val="single" w:sz="4" w:space="0" w:color="auto"/>
              <w:right w:val="single" w:sz="4" w:space="0" w:color="auto"/>
            </w:tcBorders>
            <w:shd w:val="clear" w:color="auto" w:fill="auto"/>
            <w:noWrap/>
            <w:vAlign w:val="bottom"/>
          </w:tcPr>
          <w:p w:rsidR="00E403CE" w:rsidRDefault="00E403CE" w:rsidP="00E403CE">
            <w:pPr>
              <w:rPr>
                <w:rFonts w:ascii="Arial" w:hAnsi="Arial" w:cs="Arial"/>
                <w:sz w:val="14"/>
                <w:szCs w:val="14"/>
              </w:rPr>
            </w:pPr>
            <w:r>
              <w:rPr>
                <w:rFonts w:ascii="Arial" w:hAnsi="Arial" w:cs="Arial"/>
                <w:sz w:val="14"/>
                <w:szCs w:val="14"/>
              </w:rPr>
              <w:t>Planifikimi, Menaxhimi dhe Administrimi</w:t>
            </w:r>
          </w:p>
        </w:tc>
        <w:tc>
          <w:tcPr>
            <w:tcW w:w="474" w:type="pct"/>
            <w:tcBorders>
              <w:top w:val="nil"/>
              <w:left w:val="nil"/>
              <w:bottom w:val="single" w:sz="4" w:space="0" w:color="auto"/>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43.000</w:t>
            </w:r>
          </w:p>
        </w:tc>
        <w:tc>
          <w:tcPr>
            <w:tcW w:w="424"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1.600</w:t>
            </w:r>
          </w:p>
        </w:tc>
        <w:tc>
          <w:tcPr>
            <w:tcW w:w="397"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24"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41" w:type="pct"/>
            <w:tcBorders>
              <w:top w:val="nil"/>
              <w:left w:val="nil"/>
              <w:bottom w:val="single" w:sz="4" w:space="0" w:color="auto"/>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1.600</w:t>
            </w:r>
          </w:p>
        </w:tc>
        <w:tc>
          <w:tcPr>
            <w:tcW w:w="535" w:type="pct"/>
            <w:tcBorders>
              <w:top w:val="nil"/>
              <w:left w:val="nil"/>
              <w:bottom w:val="single" w:sz="4" w:space="0" w:color="auto"/>
              <w:right w:val="double" w:sz="6"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44.600</w:t>
            </w:r>
          </w:p>
        </w:tc>
      </w:tr>
      <w:tr w:rsidR="00E403CE">
        <w:trPr>
          <w:trHeight w:val="162"/>
        </w:trPr>
        <w:tc>
          <w:tcPr>
            <w:tcW w:w="256" w:type="pct"/>
            <w:tcBorders>
              <w:top w:val="nil"/>
              <w:left w:val="double" w:sz="6" w:space="0" w:color="auto"/>
              <w:bottom w:val="dotted" w:sz="4" w:space="0" w:color="auto"/>
              <w:right w:val="nil"/>
            </w:tcBorders>
            <w:shd w:val="clear" w:color="auto" w:fill="auto"/>
            <w:vAlign w:val="bottom"/>
          </w:tcPr>
          <w:p w:rsidR="00E403CE" w:rsidRDefault="00E403CE" w:rsidP="00E403CE">
            <w:pPr>
              <w:jc w:val="right"/>
              <w:rPr>
                <w:rFonts w:ascii="Arial" w:hAnsi="Arial" w:cs="Arial"/>
                <w:b/>
                <w:bCs/>
                <w:color w:val="000000"/>
                <w:sz w:val="14"/>
                <w:szCs w:val="14"/>
              </w:rPr>
            </w:pPr>
            <w:r>
              <w:rPr>
                <w:rFonts w:ascii="Arial" w:hAnsi="Arial" w:cs="Arial"/>
                <w:b/>
                <w:bCs/>
                <w:color w:val="000000"/>
                <w:sz w:val="14"/>
                <w:szCs w:val="14"/>
              </w:rPr>
              <w:t>73</w:t>
            </w:r>
          </w:p>
        </w:tc>
        <w:tc>
          <w:tcPr>
            <w:tcW w:w="2050" w:type="pct"/>
            <w:tcBorders>
              <w:top w:val="nil"/>
              <w:left w:val="single" w:sz="4" w:space="0" w:color="auto"/>
              <w:bottom w:val="dotted" w:sz="4" w:space="0" w:color="auto"/>
              <w:right w:val="single" w:sz="4" w:space="0" w:color="auto"/>
            </w:tcBorders>
            <w:shd w:val="clear" w:color="auto" w:fill="auto"/>
            <w:vAlign w:val="bottom"/>
          </w:tcPr>
          <w:p w:rsidR="00E403CE" w:rsidRDefault="00E403CE" w:rsidP="00E403CE">
            <w:pPr>
              <w:rPr>
                <w:rFonts w:ascii="Arial" w:hAnsi="Arial" w:cs="Arial"/>
                <w:b/>
                <w:bCs/>
                <w:color w:val="000000"/>
                <w:sz w:val="14"/>
                <w:szCs w:val="14"/>
              </w:rPr>
            </w:pPr>
            <w:r>
              <w:rPr>
                <w:rFonts w:ascii="Arial" w:hAnsi="Arial" w:cs="Arial"/>
                <w:b/>
                <w:bCs/>
                <w:color w:val="000000"/>
                <w:sz w:val="14"/>
                <w:szCs w:val="14"/>
              </w:rPr>
              <w:t>Komisioni Qendror i Zgjedhjeve</w:t>
            </w:r>
          </w:p>
        </w:tc>
        <w:tc>
          <w:tcPr>
            <w:tcW w:w="474" w:type="pct"/>
            <w:tcBorders>
              <w:top w:val="nil"/>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86.000</w:t>
            </w:r>
          </w:p>
        </w:tc>
        <w:tc>
          <w:tcPr>
            <w:tcW w:w="424"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1.000</w:t>
            </w:r>
          </w:p>
        </w:tc>
        <w:tc>
          <w:tcPr>
            <w:tcW w:w="397"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0</w:t>
            </w:r>
          </w:p>
        </w:tc>
        <w:tc>
          <w:tcPr>
            <w:tcW w:w="424"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0</w:t>
            </w:r>
          </w:p>
        </w:tc>
        <w:tc>
          <w:tcPr>
            <w:tcW w:w="441" w:type="pct"/>
            <w:tcBorders>
              <w:top w:val="nil"/>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1.000</w:t>
            </w:r>
          </w:p>
        </w:tc>
        <w:tc>
          <w:tcPr>
            <w:tcW w:w="535" w:type="pct"/>
            <w:tcBorders>
              <w:top w:val="nil"/>
              <w:left w:val="nil"/>
              <w:bottom w:val="dotted" w:sz="4" w:space="0" w:color="auto"/>
              <w:right w:val="double" w:sz="6"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87.000</w:t>
            </w:r>
          </w:p>
        </w:tc>
      </w:tr>
      <w:tr w:rsidR="00E403CE">
        <w:trPr>
          <w:trHeight w:val="162"/>
        </w:trPr>
        <w:tc>
          <w:tcPr>
            <w:tcW w:w="256" w:type="pct"/>
            <w:tcBorders>
              <w:top w:val="nil"/>
              <w:left w:val="double" w:sz="6" w:space="0" w:color="auto"/>
              <w:bottom w:val="dotted" w:sz="4" w:space="0" w:color="auto"/>
              <w:right w:val="nil"/>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01610</w:t>
            </w:r>
          </w:p>
        </w:tc>
        <w:tc>
          <w:tcPr>
            <w:tcW w:w="2050" w:type="pct"/>
            <w:tcBorders>
              <w:top w:val="nil"/>
              <w:left w:val="single" w:sz="4" w:space="0" w:color="auto"/>
              <w:bottom w:val="dotted" w:sz="4" w:space="0" w:color="auto"/>
              <w:right w:val="single" w:sz="4" w:space="0" w:color="auto"/>
            </w:tcBorders>
            <w:shd w:val="clear" w:color="auto" w:fill="auto"/>
            <w:noWrap/>
            <w:vAlign w:val="bottom"/>
          </w:tcPr>
          <w:p w:rsidR="00E403CE" w:rsidRDefault="00E403CE" w:rsidP="00E403CE">
            <w:pPr>
              <w:rPr>
                <w:rFonts w:ascii="Arial" w:hAnsi="Arial" w:cs="Arial"/>
                <w:sz w:val="14"/>
                <w:szCs w:val="14"/>
              </w:rPr>
            </w:pPr>
            <w:r>
              <w:rPr>
                <w:rFonts w:ascii="Arial" w:hAnsi="Arial" w:cs="Arial"/>
                <w:sz w:val="14"/>
                <w:szCs w:val="14"/>
              </w:rPr>
              <w:t>Planifikimi, Menaxhimi dhe Administrimi</w:t>
            </w:r>
          </w:p>
        </w:tc>
        <w:tc>
          <w:tcPr>
            <w:tcW w:w="474" w:type="pct"/>
            <w:tcBorders>
              <w:top w:val="nil"/>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86.000</w:t>
            </w:r>
          </w:p>
        </w:tc>
        <w:tc>
          <w:tcPr>
            <w:tcW w:w="424"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1.000</w:t>
            </w:r>
          </w:p>
        </w:tc>
        <w:tc>
          <w:tcPr>
            <w:tcW w:w="397"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24"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41" w:type="pct"/>
            <w:tcBorders>
              <w:top w:val="nil"/>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1.000</w:t>
            </w:r>
          </w:p>
        </w:tc>
        <w:tc>
          <w:tcPr>
            <w:tcW w:w="535" w:type="pct"/>
            <w:tcBorders>
              <w:top w:val="nil"/>
              <w:left w:val="nil"/>
              <w:bottom w:val="dotted" w:sz="4" w:space="0" w:color="auto"/>
              <w:right w:val="double" w:sz="6"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87.000</w:t>
            </w:r>
          </w:p>
        </w:tc>
      </w:tr>
      <w:tr w:rsidR="00E403CE">
        <w:trPr>
          <w:trHeight w:val="162"/>
        </w:trPr>
        <w:tc>
          <w:tcPr>
            <w:tcW w:w="256" w:type="pct"/>
            <w:tcBorders>
              <w:top w:val="nil"/>
              <w:left w:val="double" w:sz="6" w:space="0" w:color="auto"/>
              <w:bottom w:val="single" w:sz="4" w:space="0" w:color="auto"/>
              <w:right w:val="nil"/>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01620</w:t>
            </w:r>
          </w:p>
        </w:tc>
        <w:tc>
          <w:tcPr>
            <w:tcW w:w="2050" w:type="pct"/>
            <w:tcBorders>
              <w:top w:val="nil"/>
              <w:left w:val="single" w:sz="4" w:space="0" w:color="auto"/>
              <w:bottom w:val="single" w:sz="4" w:space="0" w:color="auto"/>
              <w:right w:val="single" w:sz="4" w:space="0" w:color="auto"/>
            </w:tcBorders>
            <w:shd w:val="clear" w:color="auto" w:fill="auto"/>
            <w:noWrap/>
            <w:vAlign w:val="bottom"/>
          </w:tcPr>
          <w:p w:rsidR="00E403CE" w:rsidRDefault="00E403CE" w:rsidP="00E403CE">
            <w:pPr>
              <w:rPr>
                <w:rFonts w:ascii="Arial" w:hAnsi="Arial" w:cs="Arial"/>
                <w:sz w:val="14"/>
                <w:szCs w:val="14"/>
              </w:rPr>
            </w:pPr>
            <w:r>
              <w:rPr>
                <w:rFonts w:ascii="Arial" w:hAnsi="Arial" w:cs="Arial"/>
                <w:sz w:val="14"/>
                <w:szCs w:val="14"/>
              </w:rPr>
              <w:t>Zgjedhjet e pergjithshme dhe lokale</w:t>
            </w:r>
          </w:p>
        </w:tc>
        <w:tc>
          <w:tcPr>
            <w:tcW w:w="474" w:type="pct"/>
            <w:tcBorders>
              <w:top w:val="nil"/>
              <w:left w:val="nil"/>
              <w:bottom w:val="single" w:sz="4" w:space="0" w:color="auto"/>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24"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397"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24"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41" w:type="pct"/>
            <w:tcBorders>
              <w:top w:val="nil"/>
              <w:left w:val="nil"/>
              <w:bottom w:val="single" w:sz="4" w:space="0" w:color="auto"/>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535" w:type="pct"/>
            <w:tcBorders>
              <w:top w:val="nil"/>
              <w:left w:val="nil"/>
              <w:bottom w:val="single" w:sz="4" w:space="0" w:color="auto"/>
              <w:right w:val="double" w:sz="6"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r>
      <w:tr w:rsidR="00E403CE">
        <w:trPr>
          <w:trHeight w:val="162"/>
        </w:trPr>
        <w:tc>
          <w:tcPr>
            <w:tcW w:w="256" w:type="pct"/>
            <w:tcBorders>
              <w:top w:val="nil"/>
              <w:left w:val="double" w:sz="6" w:space="0" w:color="auto"/>
              <w:bottom w:val="dotted" w:sz="4" w:space="0" w:color="auto"/>
              <w:right w:val="nil"/>
            </w:tcBorders>
            <w:shd w:val="clear" w:color="auto" w:fill="auto"/>
            <w:vAlign w:val="bottom"/>
          </w:tcPr>
          <w:p w:rsidR="00E403CE" w:rsidRDefault="00E403CE" w:rsidP="00E403CE">
            <w:pPr>
              <w:jc w:val="right"/>
              <w:rPr>
                <w:rFonts w:ascii="Arial" w:hAnsi="Arial" w:cs="Arial"/>
                <w:b/>
                <w:bCs/>
                <w:color w:val="000000"/>
                <w:sz w:val="14"/>
                <w:szCs w:val="14"/>
              </w:rPr>
            </w:pPr>
            <w:r>
              <w:rPr>
                <w:rFonts w:ascii="Arial" w:hAnsi="Arial" w:cs="Arial"/>
                <w:b/>
                <w:bCs/>
                <w:color w:val="000000"/>
                <w:sz w:val="14"/>
                <w:szCs w:val="14"/>
              </w:rPr>
              <w:t>76</w:t>
            </w:r>
          </w:p>
        </w:tc>
        <w:tc>
          <w:tcPr>
            <w:tcW w:w="2050" w:type="pct"/>
            <w:tcBorders>
              <w:top w:val="nil"/>
              <w:left w:val="single" w:sz="4" w:space="0" w:color="auto"/>
              <w:bottom w:val="dotted" w:sz="4" w:space="0" w:color="auto"/>
              <w:right w:val="single" w:sz="4" w:space="0" w:color="auto"/>
            </w:tcBorders>
            <w:shd w:val="clear" w:color="auto" w:fill="auto"/>
            <w:vAlign w:val="bottom"/>
          </w:tcPr>
          <w:p w:rsidR="00E403CE" w:rsidRDefault="00E403CE" w:rsidP="00E403CE">
            <w:pPr>
              <w:rPr>
                <w:rFonts w:ascii="Arial" w:hAnsi="Arial" w:cs="Arial"/>
                <w:b/>
                <w:bCs/>
                <w:color w:val="000000"/>
                <w:sz w:val="14"/>
                <w:szCs w:val="14"/>
              </w:rPr>
            </w:pPr>
            <w:r>
              <w:rPr>
                <w:rFonts w:ascii="Arial" w:hAnsi="Arial" w:cs="Arial"/>
                <w:b/>
                <w:bCs/>
                <w:color w:val="000000"/>
                <w:sz w:val="14"/>
                <w:szCs w:val="14"/>
              </w:rPr>
              <w:t xml:space="preserve">Inspektoriati i Larte i Kontrollit te Deklarimit te Pasurive </w:t>
            </w:r>
          </w:p>
        </w:tc>
        <w:tc>
          <w:tcPr>
            <w:tcW w:w="474" w:type="pct"/>
            <w:tcBorders>
              <w:top w:val="nil"/>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83.000</w:t>
            </w:r>
          </w:p>
        </w:tc>
        <w:tc>
          <w:tcPr>
            <w:tcW w:w="424"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5.000</w:t>
            </w:r>
          </w:p>
        </w:tc>
        <w:tc>
          <w:tcPr>
            <w:tcW w:w="397"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0</w:t>
            </w:r>
          </w:p>
        </w:tc>
        <w:tc>
          <w:tcPr>
            <w:tcW w:w="424"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0</w:t>
            </w:r>
          </w:p>
        </w:tc>
        <w:tc>
          <w:tcPr>
            <w:tcW w:w="441" w:type="pct"/>
            <w:tcBorders>
              <w:top w:val="nil"/>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5.000</w:t>
            </w:r>
          </w:p>
        </w:tc>
        <w:tc>
          <w:tcPr>
            <w:tcW w:w="535" w:type="pct"/>
            <w:tcBorders>
              <w:top w:val="nil"/>
              <w:left w:val="nil"/>
              <w:bottom w:val="dotted" w:sz="4" w:space="0" w:color="auto"/>
              <w:right w:val="double" w:sz="6"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88.000</w:t>
            </w:r>
          </w:p>
        </w:tc>
      </w:tr>
      <w:tr w:rsidR="00E403CE">
        <w:trPr>
          <w:trHeight w:val="162"/>
        </w:trPr>
        <w:tc>
          <w:tcPr>
            <w:tcW w:w="256" w:type="pct"/>
            <w:tcBorders>
              <w:top w:val="nil"/>
              <w:left w:val="double" w:sz="6" w:space="0" w:color="auto"/>
              <w:bottom w:val="single" w:sz="4" w:space="0" w:color="auto"/>
              <w:right w:val="nil"/>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01110</w:t>
            </w:r>
          </w:p>
        </w:tc>
        <w:tc>
          <w:tcPr>
            <w:tcW w:w="2050" w:type="pct"/>
            <w:tcBorders>
              <w:top w:val="nil"/>
              <w:left w:val="single" w:sz="4" w:space="0" w:color="auto"/>
              <w:bottom w:val="single" w:sz="4" w:space="0" w:color="auto"/>
              <w:right w:val="single" w:sz="4" w:space="0" w:color="auto"/>
            </w:tcBorders>
            <w:shd w:val="clear" w:color="auto" w:fill="auto"/>
            <w:noWrap/>
            <w:vAlign w:val="bottom"/>
          </w:tcPr>
          <w:p w:rsidR="00E403CE" w:rsidRDefault="00E403CE" w:rsidP="00E403CE">
            <w:pPr>
              <w:rPr>
                <w:rFonts w:ascii="Arial" w:hAnsi="Arial" w:cs="Arial"/>
                <w:sz w:val="14"/>
                <w:szCs w:val="14"/>
              </w:rPr>
            </w:pPr>
            <w:r>
              <w:rPr>
                <w:rFonts w:ascii="Arial" w:hAnsi="Arial" w:cs="Arial"/>
                <w:sz w:val="14"/>
                <w:szCs w:val="14"/>
              </w:rPr>
              <w:t>Planifikimi, Menaxhimi dhe Administrimi</w:t>
            </w:r>
          </w:p>
        </w:tc>
        <w:tc>
          <w:tcPr>
            <w:tcW w:w="474" w:type="pct"/>
            <w:tcBorders>
              <w:top w:val="nil"/>
              <w:left w:val="nil"/>
              <w:bottom w:val="single" w:sz="4" w:space="0" w:color="auto"/>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83.000</w:t>
            </w:r>
          </w:p>
        </w:tc>
        <w:tc>
          <w:tcPr>
            <w:tcW w:w="424"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5.000</w:t>
            </w:r>
          </w:p>
        </w:tc>
        <w:tc>
          <w:tcPr>
            <w:tcW w:w="397"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24"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41" w:type="pct"/>
            <w:tcBorders>
              <w:top w:val="nil"/>
              <w:left w:val="nil"/>
              <w:bottom w:val="single" w:sz="4" w:space="0" w:color="auto"/>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5.000</w:t>
            </w:r>
          </w:p>
        </w:tc>
        <w:tc>
          <w:tcPr>
            <w:tcW w:w="535" w:type="pct"/>
            <w:tcBorders>
              <w:top w:val="nil"/>
              <w:left w:val="nil"/>
              <w:bottom w:val="single" w:sz="4" w:space="0" w:color="auto"/>
              <w:right w:val="double" w:sz="6"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88.000</w:t>
            </w:r>
          </w:p>
        </w:tc>
      </w:tr>
      <w:tr w:rsidR="00E403CE">
        <w:trPr>
          <w:trHeight w:val="162"/>
        </w:trPr>
        <w:tc>
          <w:tcPr>
            <w:tcW w:w="256" w:type="pct"/>
            <w:tcBorders>
              <w:top w:val="nil"/>
              <w:left w:val="double" w:sz="6" w:space="0" w:color="auto"/>
              <w:bottom w:val="dotted" w:sz="4" w:space="0" w:color="auto"/>
              <w:right w:val="nil"/>
            </w:tcBorders>
            <w:shd w:val="clear" w:color="auto" w:fill="auto"/>
            <w:vAlign w:val="bottom"/>
          </w:tcPr>
          <w:p w:rsidR="00E403CE" w:rsidRDefault="00E403CE" w:rsidP="00E403CE">
            <w:pPr>
              <w:jc w:val="right"/>
              <w:rPr>
                <w:rFonts w:ascii="Arial" w:hAnsi="Arial" w:cs="Arial"/>
                <w:b/>
                <w:bCs/>
                <w:color w:val="000000"/>
                <w:sz w:val="14"/>
                <w:szCs w:val="14"/>
              </w:rPr>
            </w:pPr>
            <w:r>
              <w:rPr>
                <w:rFonts w:ascii="Arial" w:hAnsi="Arial" w:cs="Arial"/>
                <w:b/>
                <w:bCs/>
                <w:color w:val="000000"/>
                <w:sz w:val="14"/>
                <w:szCs w:val="14"/>
              </w:rPr>
              <w:t>77</w:t>
            </w:r>
          </w:p>
        </w:tc>
        <w:tc>
          <w:tcPr>
            <w:tcW w:w="2050" w:type="pct"/>
            <w:tcBorders>
              <w:top w:val="nil"/>
              <w:left w:val="single" w:sz="4" w:space="0" w:color="auto"/>
              <w:bottom w:val="dotted" w:sz="4" w:space="0" w:color="auto"/>
              <w:right w:val="single" w:sz="4" w:space="0" w:color="auto"/>
            </w:tcBorders>
            <w:shd w:val="clear" w:color="auto" w:fill="auto"/>
            <w:vAlign w:val="bottom"/>
          </w:tcPr>
          <w:p w:rsidR="00E403CE" w:rsidRDefault="00E403CE" w:rsidP="00E403CE">
            <w:pPr>
              <w:rPr>
                <w:rFonts w:ascii="Arial" w:hAnsi="Arial" w:cs="Arial"/>
                <w:b/>
                <w:bCs/>
                <w:color w:val="000000"/>
                <w:sz w:val="14"/>
                <w:szCs w:val="14"/>
              </w:rPr>
            </w:pPr>
            <w:r>
              <w:rPr>
                <w:rFonts w:ascii="Arial" w:hAnsi="Arial" w:cs="Arial"/>
                <w:b/>
                <w:bCs/>
                <w:color w:val="000000"/>
                <w:sz w:val="14"/>
                <w:szCs w:val="14"/>
              </w:rPr>
              <w:t>Autoriteti i Konkurences</w:t>
            </w:r>
          </w:p>
        </w:tc>
        <w:tc>
          <w:tcPr>
            <w:tcW w:w="474" w:type="pct"/>
            <w:tcBorders>
              <w:top w:val="nil"/>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52.000</w:t>
            </w:r>
          </w:p>
        </w:tc>
        <w:tc>
          <w:tcPr>
            <w:tcW w:w="424"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4.000</w:t>
            </w:r>
          </w:p>
        </w:tc>
        <w:tc>
          <w:tcPr>
            <w:tcW w:w="397"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0</w:t>
            </w:r>
          </w:p>
        </w:tc>
        <w:tc>
          <w:tcPr>
            <w:tcW w:w="424"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0</w:t>
            </w:r>
          </w:p>
        </w:tc>
        <w:tc>
          <w:tcPr>
            <w:tcW w:w="441" w:type="pct"/>
            <w:tcBorders>
              <w:top w:val="nil"/>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4.000</w:t>
            </w:r>
          </w:p>
        </w:tc>
        <w:tc>
          <w:tcPr>
            <w:tcW w:w="535" w:type="pct"/>
            <w:tcBorders>
              <w:top w:val="nil"/>
              <w:left w:val="nil"/>
              <w:bottom w:val="dotted" w:sz="4" w:space="0" w:color="auto"/>
              <w:right w:val="double" w:sz="6"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56.000</w:t>
            </w:r>
          </w:p>
        </w:tc>
      </w:tr>
      <w:tr w:rsidR="00E403CE">
        <w:trPr>
          <w:trHeight w:val="162"/>
        </w:trPr>
        <w:tc>
          <w:tcPr>
            <w:tcW w:w="256" w:type="pct"/>
            <w:tcBorders>
              <w:top w:val="nil"/>
              <w:left w:val="double" w:sz="6" w:space="0" w:color="auto"/>
              <w:bottom w:val="single" w:sz="4" w:space="0" w:color="auto"/>
              <w:right w:val="nil"/>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04110</w:t>
            </w:r>
          </w:p>
        </w:tc>
        <w:tc>
          <w:tcPr>
            <w:tcW w:w="2050" w:type="pct"/>
            <w:tcBorders>
              <w:top w:val="nil"/>
              <w:left w:val="single" w:sz="4" w:space="0" w:color="auto"/>
              <w:bottom w:val="single" w:sz="4" w:space="0" w:color="auto"/>
              <w:right w:val="single" w:sz="4" w:space="0" w:color="auto"/>
            </w:tcBorders>
            <w:shd w:val="clear" w:color="auto" w:fill="auto"/>
            <w:noWrap/>
            <w:vAlign w:val="bottom"/>
          </w:tcPr>
          <w:p w:rsidR="00E403CE" w:rsidRDefault="00E403CE" w:rsidP="00E403CE">
            <w:pPr>
              <w:rPr>
                <w:rFonts w:ascii="Arial" w:hAnsi="Arial" w:cs="Arial"/>
                <w:sz w:val="14"/>
                <w:szCs w:val="14"/>
              </w:rPr>
            </w:pPr>
            <w:r>
              <w:rPr>
                <w:rFonts w:ascii="Arial" w:hAnsi="Arial" w:cs="Arial"/>
                <w:sz w:val="14"/>
                <w:szCs w:val="14"/>
              </w:rPr>
              <w:t>Planifikimi, Menaxhimi dhe Administrimi</w:t>
            </w:r>
          </w:p>
        </w:tc>
        <w:tc>
          <w:tcPr>
            <w:tcW w:w="474" w:type="pct"/>
            <w:tcBorders>
              <w:top w:val="nil"/>
              <w:left w:val="nil"/>
              <w:bottom w:val="single" w:sz="4" w:space="0" w:color="auto"/>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52.000</w:t>
            </w:r>
          </w:p>
        </w:tc>
        <w:tc>
          <w:tcPr>
            <w:tcW w:w="424"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4.000</w:t>
            </w:r>
          </w:p>
        </w:tc>
        <w:tc>
          <w:tcPr>
            <w:tcW w:w="397"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24"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41" w:type="pct"/>
            <w:tcBorders>
              <w:top w:val="nil"/>
              <w:left w:val="nil"/>
              <w:bottom w:val="single" w:sz="4" w:space="0" w:color="auto"/>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4.000</w:t>
            </w:r>
          </w:p>
        </w:tc>
        <w:tc>
          <w:tcPr>
            <w:tcW w:w="535" w:type="pct"/>
            <w:tcBorders>
              <w:top w:val="nil"/>
              <w:left w:val="nil"/>
              <w:bottom w:val="single" w:sz="4" w:space="0" w:color="auto"/>
              <w:right w:val="double" w:sz="6"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56.000</w:t>
            </w:r>
          </w:p>
        </w:tc>
      </w:tr>
      <w:tr w:rsidR="00E403CE">
        <w:trPr>
          <w:trHeight w:val="162"/>
        </w:trPr>
        <w:tc>
          <w:tcPr>
            <w:tcW w:w="256" w:type="pct"/>
            <w:tcBorders>
              <w:top w:val="nil"/>
              <w:left w:val="double" w:sz="6" w:space="0" w:color="auto"/>
              <w:bottom w:val="dotted" w:sz="4" w:space="0" w:color="auto"/>
              <w:right w:val="nil"/>
            </w:tcBorders>
            <w:shd w:val="clear" w:color="auto" w:fill="auto"/>
            <w:vAlign w:val="bottom"/>
          </w:tcPr>
          <w:p w:rsidR="00E403CE" w:rsidRDefault="00E403CE" w:rsidP="00E403CE">
            <w:pPr>
              <w:jc w:val="right"/>
              <w:rPr>
                <w:rFonts w:ascii="Arial" w:hAnsi="Arial" w:cs="Arial"/>
                <w:b/>
                <w:bCs/>
                <w:color w:val="000000"/>
                <w:sz w:val="14"/>
                <w:szCs w:val="14"/>
              </w:rPr>
            </w:pPr>
            <w:r>
              <w:rPr>
                <w:rFonts w:ascii="Arial" w:hAnsi="Arial" w:cs="Arial"/>
                <w:b/>
                <w:bCs/>
                <w:color w:val="000000"/>
                <w:sz w:val="14"/>
                <w:szCs w:val="14"/>
              </w:rPr>
              <w:t>78</w:t>
            </w:r>
          </w:p>
        </w:tc>
        <w:tc>
          <w:tcPr>
            <w:tcW w:w="2050" w:type="pct"/>
            <w:tcBorders>
              <w:top w:val="nil"/>
              <w:left w:val="single" w:sz="4" w:space="0" w:color="auto"/>
              <w:bottom w:val="dotted" w:sz="4" w:space="0" w:color="auto"/>
              <w:right w:val="single" w:sz="4" w:space="0" w:color="auto"/>
            </w:tcBorders>
            <w:shd w:val="clear" w:color="auto" w:fill="auto"/>
            <w:vAlign w:val="bottom"/>
          </w:tcPr>
          <w:p w:rsidR="00E403CE" w:rsidRDefault="00E403CE" w:rsidP="00E403CE">
            <w:pPr>
              <w:rPr>
                <w:rFonts w:ascii="Arial" w:hAnsi="Arial" w:cs="Arial"/>
                <w:b/>
                <w:bCs/>
                <w:color w:val="000000"/>
                <w:sz w:val="14"/>
                <w:szCs w:val="14"/>
              </w:rPr>
            </w:pPr>
            <w:r>
              <w:rPr>
                <w:rFonts w:ascii="Arial" w:hAnsi="Arial" w:cs="Arial"/>
                <w:b/>
                <w:bCs/>
                <w:color w:val="000000"/>
                <w:sz w:val="14"/>
                <w:szCs w:val="14"/>
              </w:rPr>
              <w:t>Ministria e Integrimit</w:t>
            </w:r>
          </w:p>
        </w:tc>
        <w:tc>
          <w:tcPr>
            <w:tcW w:w="474" w:type="pct"/>
            <w:tcBorders>
              <w:top w:val="nil"/>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130.300</w:t>
            </w:r>
          </w:p>
        </w:tc>
        <w:tc>
          <w:tcPr>
            <w:tcW w:w="424"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11.918</w:t>
            </w:r>
          </w:p>
        </w:tc>
        <w:tc>
          <w:tcPr>
            <w:tcW w:w="397"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0</w:t>
            </w:r>
          </w:p>
        </w:tc>
        <w:tc>
          <w:tcPr>
            <w:tcW w:w="424"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0</w:t>
            </w:r>
          </w:p>
        </w:tc>
        <w:tc>
          <w:tcPr>
            <w:tcW w:w="441" w:type="pct"/>
            <w:tcBorders>
              <w:top w:val="nil"/>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11.918</w:t>
            </w:r>
          </w:p>
        </w:tc>
        <w:tc>
          <w:tcPr>
            <w:tcW w:w="535" w:type="pct"/>
            <w:tcBorders>
              <w:top w:val="nil"/>
              <w:left w:val="nil"/>
              <w:bottom w:val="dotted" w:sz="4" w:space="0" w:color="auto"/>
              <w:right w:val="double" w:sz="6"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142.218</w:t>
            </w:r>
          </w:p>
        </w:tc>
      </w:tr>
      <w:tr w:rsidR="00E403CE">
        <w:trPr>
          <w:trHeight w:val="162"/>
        </w:trPr>
        <w:tc>
          <w:tcPr>
            <w:tcW w:w="256" w:type="pct"/>
            <w:tcBorders>
              <w:top w:val="nil"/>
              <w:left w:val="double" w:sz="6" w:space="0" w:color="auto"/>
              <w:bottom w:val="dotted" w:sz="4" w:space="0" w:color="auto"/>
              <w:right w:val="nil"/>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01110</w:t>
            </w:r>
          </w:p>
        </w:tc>
        <w:tc>
          <w:tcPr>
            <w:tcW w:w="2050" w:type="pct"/>
            <w:tcBorders>
              <w:top w:val="nil"/>
              <w:left w:val="single" w:sz="4" w:space="0" w:color="auto"/>
              <w:bottom w:val="dotted" w:sz="4" w:space="0" w:color="auto"/>
              <w:right w:val="single" w:sz="4" w:space="0" w:color="auto"/>
            </w:tcBorders>
            <w:shd w:val="clear" w:color="auto" w:fill="auto"/>
            <w:noWrap/>
            <w:vAlign w:val="bottom"/>
          </w:tcPr>
          <w:p w:rsidR="00E403CE" w:rsidRDefault="00E403CE" w:rsidP="00E403CE">
            <w:pPr>
              <w:rPr>
                <w:rFonts w:ascii="Arial" w:hAnsi="Arial" w:cs="Arial"/>
                <w:sz w:val="14"/>
                <w:szCs w:val="14"/>
              </w:rPr>
            </w:pPr>
            <w:r>
              <w:rPr>
                <w:rFonts w:ascii="Arial" w:hAnsi="Arial" w:cs="Arial"/>
                <w:sz w:val="14"/>
                <w:szCs w:val="14"/>
              </w:rPr>
              <w:t>Planifikimi, Menaxhimi dhe Administrimi</w:t>
            </w:r>
          </w:p>
        </w:tc>
        <w:tc>
          <w:tcPr>
            <w:tcW w:w="474" w:type="pct"/>
            <w:tcBorders>
              <w:top w:val="nil"/>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43.420</w:t>
            </w:r>
          </w:p>
        </w:tc>
        <w:tc>
          <w:tcPr>
            <w:tcW w:w="424"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10.318</w:t>
            </w:r>
          </w:p>
        </w:tc>
        <w:tc>
          <w:tcPr>
            <w:tcW w:w="397"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24"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41" w:type="pct"/>
            <w:tcBorders>
              <w:top w:val="nil"/>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10.318</w:t>
            </w:r>
          </w:p>
        </w:tc>
        <w:tc>
          <w:tcPr>
            <w:tcW w:w="535" w:type="pct"/>
            <w:tcBorders>
              <w:top w:val="nil"/>
              <w:left w:val="nil"/>
              <w:bottom w:val="dotted" w:sz="4" w:space="0" w:color="auto"/>
              <w:right w:val="double" w:sz="6"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53.738</w:t>
            </w:r>
          </w:p>
        </w:tc>
      </w:tr>
      <w:tr w:rsidR="00E403CE">
        <w:trPr>
          <w:trHeight w:val="162"/>
        </w:trPr>
        <w:tc>
          <w:tcPr>
            <w:tcW w:w="256" w:type="pct"/>
            <w:tcBorders>
              <w:top w:val="nil"/>
              <w:left w:val="double" w:sz="6" w:space="0" w:color="auto"/>
              <w:bottom w:val="dotted" w:sz="4" w:space="0" w:color="auto"/>
              <w:right w:val="nil"/>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01140</w:t>
            </w:r>
          </w:p>
        </w:tc>
        <w:tc>
          <w:tcPr>
            <w:tcW w:w="2050" w:type="pct"/>
            <w:tcBorders>
              <w:top w:val="nil"/>
              <w:left w:val="single" w:sz="4" w:space="0" w:color="auto"/>
              <w:bottom w:val="dotted" w:sz="4" w:space="0" w:color="auto"/>
              <w:right w:val="single" w:sz="4" w:space="0" w:color="auto"/>
            </w:tcBorders>
            <w:shd w:val="clear" w:color="auto" w:fill="auto"/>
            <w:noWrap/>
            <w:vAlign w:val="bottom"/>
          </w:tcPr>
          <w:p w:rsidR="00E403CE" w:rsidRDefault="00E403CE" w:rsidP="00E403CE">
            <w:pPr>
              <w:rPr>
                <w:rFonts w:ascii="Arial" w:hAnsi="Arial" w:cs="Arial"/>
                <w:sz w:val="14"/>
                <w:szCs w:val="14"/>
              </w:rPr>
            </w:pPr>
            <w:r>
              <w:rPr>
                <w:rFonts w:ascii="Arial" w:hAnsi="Arial" w:cs="Arial"/>
                <w:sz w:val="14"/>
                <w:szCs w:val="14"/>
              </w:rPr>
              <w:t>Drejtesia dhe Tregu i Brendshem</w:t>
            </w:r>
          </w:p>
        </w:tc>
        <w:tc>
          <w:tcPr>
            <w:tcW w:w="474" w:type="pct"/>
            <w:tcBorders>
              <w:top w:val="nil"/>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26.057</w:t>
            </w:r>
          </w:p>
        </w:tc>
        <w:tc>
          <w:tcPr>
            <w:tcW w:w="424"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800</w:t>
            </w:r>
          </w:p>
        </w:tc>
        <w:tc>
          <w:tcPr>
            <w:tcW w:w="397"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24"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41" w:type="pct"/>
            <w:tcBorders>
              <w:top w:val="nil"/>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800</w:t>
            </w:r>
          </w:p>
        </w:tc>
        <w:tc>
          <w:tcPr>
            <w:tcW w:w="535" w:type="pct"/>
            <w:tcBorders>
              <w:top w:val="nil"/>
              <w:left w:val="nil"/>
              <w:bottom w:val="dotted" w:sz="4" w:space="0" w:color="auto"/>
              <w:right w:val="double" w:sz="6"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26.857</w:t>
            </w:r>
          </w:p>
        </w:tc>
      </w:tr>
      <w:tr w:rsidR="00E403CE">
        <w:trPr>
          <w:trHeight w:val="162"/>
        </w:trPr>
        <w:tc>
          <w:tcPr>
            <w:tcW w:w="256" w:type="pct"/>
            <w:tcBorders>
              <w:top w:val="nil"/>
              <w:left w:val="double" w:sz="6" w:space="0" w:color="auto"/>
              <w:bottom w:val="single" w:sz="4" w:space="0" w:color="auto"/>
              <w:right w:val="nil"/>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01150</w:t>
            </w:r>
          </w:p>
        </w:tc>
        <w:tc>
          <w:tcPr>
            <w:tcW w:w="2050" w:type="pct"/>
            <w:tcBorders>
              <w:top w:val="nil"/>
              <w:left w:val="single" w:sz="4" w:space="0" w:color="auto"/>
              <w:bottom w:val="single" w:sz="4" w:space="0" w:color="auto"/>
              <w:right w:val="single" w:sz="4" w:space="0" w:color="auto"/>
            </w:tcBorders>
            <w:shd w:val="clear" w:color="auto" w:fill="auto"/>
            <w:noWrap/>
            <w:vAlign w:val="bottom"/>
          </w:tcPr>
          <w:p w:rsidR="00E403CE" w:rsidRDefault="00E403CE" w:rsidP="00E403CE">
            <w:pPr>
              <w:rPr>
                <w:rFonts w:ascii="Arial" w:hAnsi="Arial" w:cs="Arial"/>
                <w:sz w:val="14"/>
                <w:szCs w:val="14"/>
              </w:rPr>
            </w:pPr>
            <w:r>
              <w:rPr>
                <w:rFonts w:ascii="Arial" w:hAnsi="Arial" w:cs="Arial"/>
                <w:sz w:val="14"/>
                <w:szCs w:val="14"/>
              </w:rPr>
              <w:t>Mbeshtetja Institucionale per Procesin e Integrimit</w:t>
            </w:r>
          </w:p>
        </w:tc>
        <w:tc>
          <w:tcPr>
            <w:tcW w:w="474" w:type="pct"/>
            <w:tcBorders>
              <w:top w:val="nil"/>
              <w:left w:val="nil"/>
              <w:bottom w:val="single" w:sz="4" w:space="0" w:color="auto"/>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60.823</w:t>
            </w:r>
          </w:p>
        </w:tc>
        <w:tc>
          <w:tcPr>
            <w:tcW w:w="424"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800</w:t>
            </w:r>
          </w:p>
        </w:tc>
        <w:tc>
          <w:tcPr>
            <w:tcW w:w="397"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24"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41" w:type="pct"/>
            <w:tcBorders>
              <w:top w:val="nil"/>
              <w:left w:val="nil"/>
              <w:bottom w:val="single" w:sz="4" w:space="0" w:color="auto"/>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800</w:t>
            </w:r>
          </w:p>
        </w:tc>
        <w:tc>
          <w:tcPr>
            <w:tcW w:w="535" w:type="pct"/>
            <w:tcBorders>
              <w:top w:val="nil"/>
              <w:left w:val="nil"/>
              <w:bottom w:val="single" w:sz="4" w:space="0" w:color="auto"/>
              <w:right w:val="double" w:sz="6"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61.623</w:t>
            </w:r>
          </w:p>
        </w:tc>
      </w:tr>
      <w:tr w:rsidR="00E403CE">
        <w:trPr>
          <w:trHeight w:val="162"/>
        </w:trPr>
        <w:tc>
          <w:tcPr>
            <w:tcW w:w="256" w:type="pct"/>
            <w:tcBorders>
              <w:top w:val="nil"/>
              <w:left w:val="double" w:sz="6" w:space="0" w:color="auto"/>
              <w:bottom w:val="dotted" w:sz="4" w:space="0" w:color="auto"/>
              <w:right w:val="nil"/>
            </w:tcBorders>
            <w:shd w:val="clear" w:color="auto" w:fill="auto"/>
            <w:vAlign w:val="bottom"/>
          </w:tcPr>
          <w:p w:rsidR="00E403CE" w:rsidRDefault="00E403CE" w:rsidP="00E403CE">
            <w:pPr>
              <w:jc w:val="right"/>
              <w:rPr>
                <w:rFonts w:ascii="Arial" w:hAnsi="Arial" w:cs="Arial"/>
                <w:b/>
                <w:bCs/>
                <w:color w:val="000000"/>
                <w:sz w:val="14"/>
                <w:szCs w:val="14"/>
              </w:rPr>
            </w:pPr>
            <w:r>
              <w:rPr>
                <w:rFonts w:ascii="Arial" w:hAnsi="Arial" w:cs="Arial"/>
                <w:b/>
                <w:bCs/>
                <w:color w:val="000000"/>
                <w:sz w:val="14"/>
                <w:szCs w:val="14"/>
              </w:rPr>
              <w:t>82</w:t>
            </w:r>
          </w:p>
        </w:tc>
        <w:tc>
          <w:tcPr>
            <w:tcW w:w="2050" w:type="pct"/>
            <w:tcBorders>
              <w:top w:val="nil"/>
              <w:left w:val="single" w:sz="4" w:space="0" w:color="auto"/>
              <w:bottom w:val="dotted" w:sz="4" w:space="0" w:color="auto"/>
              <w:right w:val="single" w:sz="4" w:space="0" w:color="auto"/>
            </w:tcBorders>
            <w:shd w:val="clear" w:color="auto" w:fill="auto"/>
            <w:vAlign w:val="bottom"/>
          </w:tcPr>
          <w:p w:rsidR="00E403CE" w:rsidRDefault="00E403CE" w:rsidP="00E403CE">
            <w:pPr>
              <w:rPr>
                <w:rFonts w:ascii="Arial" w:hAnsi="Arial" w:cs="Arial"/>
                <w:b/>
                <w:bCs/>
                <w:color w:val="000000"/>
                <w:sz w:val="14"/>
                <w:szCs w:val="14"/>
              </w:rPr>
            </w:pPr>
            <w:r>
              <w:rPr>
                <w:rFonts w:ascii="Arial" w:hAnsi="Arial" w:cs="Arial"/>
                <w:b/>
                <w:bCs/>
                <w:color w:val="000000"/>
                <w:sz w:val="14"/>
                <w:szCs w:val="14"/>
              </w:rPr>
              <w:t>Keshilli Kombetar i Kontabilitetit</w:t>
            </w:r>
          </w:p>
        </w:tc>
        <w:tc>
          <w:tcPr>
            <w:tcW w:w="474" w:type="pct"/>
            <w:tcBorders>
              <w:top w:val="nil"/>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12.000</w:t>
            </w:r>
          </w:p>
        </w:tc>
        <w:tc>
          <w:tcPr>
            <w:tcW w:w="424"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987</w:t>
            </w:r>
          </w:p>
        </w:tc>
        <w:tc>
          <w:tcPr>
            <w:tcW w:w="397"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0</w:t>
            </w:r>
          </w:p>
        </w:tc>
        <w:tc>
          <w:tcPr>
            <w:tcW w:w="424"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0</w:t>
            </w:r>
          </w:p>
        </w:tc>
        <w:tc>
          <w:tcPr>
            <w:tcW w:w="441" w:type="pct"/>
            <w:tcBorders>
              <w:top w:val="nil"/>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987</w:t>
            </w:r>
          </w:p>
        </w:tc>
        <w:tc>
          <w:tcPr>
            <w:tcW w:w="535" w:type="pct"/>
            <w:tcBorders>
              <w:top w:val="nil"/>
              <w:left w:val="nil"/>
              <w:bottom w:val="dotted" w:sz="4" w:space="0" w:color="auto"/>
              <w:right w:val="double" w:sz="6"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12.987</w:t>
            </w:r>
          </w:p>
        </w:tc>
      </w:tr>
      <w:tr w:rsidR="00E403CE">
        <w:trPr>
          <w:trHeight w:val="162"/>
        </w:trPr>
        <w:tc>
          <w:tcPr>
            <w:tcW w:w="256" w:type="pct"/>
            <w:tcBorders>
              <w:top w:val="nil"/>
              <w:left w:val="double" w:sz="6" w:space="0" w:color="auto"/>
              <w:bottom w:val="single" w:sz="4" w:space="0" w:color="auto"/>
              <w:right w:val="nil"/>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01110</w:t>
            </w:r>
          </w:p>
        </w:tc>
        <w:tc>
          <w:tcPr>
            <w:tcW w:w="2050" w:type="pct"/>
            <w:tcBorders>
              <w:top w:val="nil"/>
              <w:left w:val="single" w:sz="4" w:space="0" w:color="auto"/>
              <w:bottom w:val="single" w:sz="4" w:space="0" w:color="auto"/>
              <w:right w:val="single" w:sz="4" w:space="0" w:color="auto"/>
            </w:tcBorders>
            <w:shd w:val="clear" w:color="auto" w:fill="auto"/>
            <w:noWrap/>
            <w:vAlign w:val="bottom"/>
          </w:tcPr>
          <w:p w:rsidR="00E403CE" w:rsidRDefault="00E403CE" w:rsidP="00E403CE">
            <w:pPr>
              <w:rPr>
                <w:rFonts w:ascii="Arial" w:hAnsi="Arial" w:cs="Arial"/>
                <w:sz w:val="14"/>
                <w:szCs w:val="14"/>
              </w:rPr>
            </w:pPr>
            <w:r>
              <w:rPr>
                <w:rFonts w:ascii="Arial" w:hAnsi="Arial" w:cs="Arial"/>
                <w:sz w:val="14"/>
                <w:szCs w:val="14"/>
              </w:rPr>
              <w:t>Planifikimi, Menaxhimi dhe Administrimi</w:t>
            </w:r>
          </w:p>
        </w:tc>
        <w:tc>
          <w:tcPr>
            <w:tcW w:w="474" w:type="pct"/>
            <w:tcBorders>
              <w:top w:val="nil"/>
              <w:left w:val="nil"/>
              <w:bottom w:val="single" w:sz="4" w:space="0" w:color="auto"/>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12.000</w:t>
            </w:r>
          </w:p>
        </w:tc>
        <w:tc>
          <w:tcPr>
            <w:tcW w:w="424"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987</w:t>
            </w:r>
          </w:p>
        </w:tc>
        <w:tc>
          <w:tcPr>
            <w:tcW w:w="397"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24"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41" w:type="pct"/>
            <w:tcBorders>
              <w:top w:val="nil"/>
              <w:left w:val="nil"/>
              <w:bottom w:val="single" w:sz="4" w:space="0" w:color="auto"/>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987</w:t>
            </w:r>
          </w:p>
        </w:tc>
        <w:tc>
          <w:tcPr>
            <w:tcW w:w="535" w:type="pct"/>
            <w:tcBorders>
              <w:top w:val="nil"/>
              <w:left w:val="nil"/>
              <w:bottom w:val="single" w:sz="4" w:space="0" w:color="auto"/>
              <w:right w:val="double" w:sz="6"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12.987</w:t>
            </w:r>
          </w:p>
        </w:tc>
      </w:tr>
      <w:tr w:rsidR="00E403CE">
        <w:trPr>
          <w:trHeight w:val="162"/>
        </w:trPr>
        <w:tc>
          <w:tcPr>
            <w:tcW w:w="256" w:type="pct"/>
            <w:tcBorders>
              <w:top w:val="nil"/>
              <w:left w:val="double" w:sz="6" w:space="0" w:color="auto"/>
              <w:bottom w:val="dotted" w:sz="4" w:space="0" w:color="auto"/>
              <w:right w:val="nil"/>
            </w:tcBorders>
            <w:shd w:val="clear" w:color="auto" w:fill="auto"/>
            <w:vAlign w:val="bottom"/>
          </w:tcPr>
          <w:p w:rsidR="00E403CE" w:rsidRDefault="00E403CE" w:rsidP="00E403CE">
            <w:pPr>
              <w:jc w:val="right"/>
              <w:rPr>
                <w:rFonts w:ascii="Arial" w:hAnsi="Arial" w:cs="Arial"/>
                <w:b/>
                <w:bCs/>
                <w:color w:val="000000"/>
                <w:sz w:val="14"/>
                <w:szCs w:val="14"/>
              </w:rPr>
            </w:pPr>
            <w:r>
              <w:rPr>
                <w:rFonts w:ascii="Arial" w:hAnsi="Arial" w:cs="Arial"/>
                <w:b/>
                <w:bCs/>
                <w:color w:val="000000"/>
                <w:sz w:val="14"/>
                <w:szCs w:val="14"/>
              </w:rPr>
              <w:t>86</w:t>
            </w:r>
          </w:p>
        </w:tc>
        <w:tc>
          <w:tcPr>
            <w:tcW w:w="2050" w:type="pct"/>
            <w:tcBorders>
              <w:top w:val="nil"/>
              <w:left w:val="single" w:sz="4" w:space="0" w:color="auto"/>
              <w:bottom w:val="dotted" w:sz="4" w:space="0" w:color="auto"/>
              <w:right w:val="single" w:sz="4" w:space="0" w:color="auto"/>
            </w:tcBorders>
            <w:shd w:val="clear" w:color="auto" w:fill="auto"/>
            <w:vAlign w:val="bottom"/>
          </w:tcPr>
          <w:p w:rsidR="00E403CE" w:rsidRDefault="00E403CE" w:rsidP="00E403CE">
            <w:pPr>
              <w:rPr>
                <w:rFonts w:ascii="Arial" w:hAnsi="Arial" w:cs="Arial"/>
                <w:b/>
                <w:bCs/>
                <w:color w:val="000000"/>
                <w:sz w:val="14"/>
                <w:szCs w:val="14"/>
              </w:rPr>
            </w:pPr>
            <w:r>
              <w:rPr>
                <w:rFonts w:ascii="Arial" w:hAnsi="Arial" w:cs="Arial"/>
                <w:b/>
                <w:bCs/>
                <w:color w:val="000000"/>
                <w:sz w:val="14"/>
                <w:szCs w:val="14"/>
              </w:rPr>
              <w:t>Avokati i Prokurimeve</w:t>
            </w:r>
          </w:p>
        </w:tc>
        <w:tc>
          <w:tcPr>
            <w:tcW w:w="474" w:type="pct"/>
            <w:tcBorders>
              <w:top w:val="nil"/>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22.000</w:t>
            </w:r>
          </w:p>
        </w:tc>
        <w:tc>
          <w:tcPr>
            <w:tcW w:w="424"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6.600</w:t>
            </w:r>
          </w:p>
        </w:tc>
        <w:tc>
          <w:tcPr>
            <w:tcW w:w="397"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0</w:t>
            </w:r>
          </w:p>
        </w:tc>
        <w:tc>
          <w:tcPr>
            <w:tcW w:w="424"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0</w:t>
            </w:r>
          </w:p>
        </w:tc>
        <w:tc>
          <w:tcPr>
            <w:tcW w:w="441" w:type="pct"/>
            <w:tcBorders>
              <w:top w:val="nil"/>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6.600</w:t>
            </w:r>
          </w:p>
        </w:tc>
        <w:tc>
          <w:tcPr>
            <w:tcW w:w="535" w:type="pct"/>
            <w:tcBorders>
              <w:top w:val="nil"/>
              <w:left w:val="nil"/>
              <w:bottom w:val="dotted" w:sz="4" w:space="0" w:color="auto"/>
              <w:right w:val="double" w:sz="6"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28.600</w:t>
            </w:r>
          </w:p>
        </w:tc>
      </w:tr>
      <w:tr w:rsidR="00E403CE">
        <w:trPr>
          <w:trHeight w:val="162"/>
        </w:trPr>
        <w:tc>
          <w:tcPr>
            <w:tcW w:w="256" w:type="pct"/>
            <w:tcBorders>
              <w:top w:val="nil"/>
              <w:left w:val="double" w:sz="6" w:space="0" w:color="auto"/>
              <w:bottom w:val="single" w:sz="4" w:space="0" w:color="auto"/>
              <w:right w:val="nil"/>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01110</w:t>
            </w:r>
          </w:p>
        </w:tc>
        <w:tc>
          <w:tcPr>
            <w:tcW w:w="2050" w:type="pct"/>
            <w:tcBorders>
              <w:top w:val="nil"/>
              <w:left w:val="single" w:sz="4" w:space="0" w:color="auto"/>
              <w:bottom w:val="single" w:sz="4" w:space="0" w:color="auto"/>
              <w:right w:val="single" w:sz="4" w:space="0" w:color="auto"/>
            </w:tcBorders>
            <w:shd w:val="clear" w:color="auto" w:fill="auto"/>
            <w:noWrap/>
            <w:vAlign w:val="bottom"/>
          </w:tcPr>
          <w:p w:rsidR="00E403CE" w:rsidRDefault="00E403CE" w:rsidP="00E403CE">
            <w:pPr>
              <w:rPr>
                <w:rFonts w:ascii="Arial" w:hAnsi="Arial" w:cs="Arial"/>
                <w:sz w:val="14"/>
                <w:szCs w:val="14"/>
              </w:rPr>
            </w:pPr>
            <w:r>
              <w:rPr>
                <w:rFonts w:ascii="Arial" w:hAnsi="Arial" w:cs="Arial"/>
                <w:sz w:val="14"/>
                <w:szCs w:val="14"/>
              </w:rPr>
              <w:t>Planifikimi, Menaxhimi dhe Administrimi</w:t>
            </w:r>
          </w:p>
        </w:tc>
        <w:tc>
          <w:tcPr>
            <w:tcW w:w="474" w:type="pct"/>
            <w:tcBorders>
              <w:top w:val="nil"/>
              <w:left w:val="nil"/>
              <w:bottom w:val="single" w:sz="4" w:space="0" w:color="auto"/>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22.000</w:t>
            </w:r>
          </w:p>
        </w:tc>
        <w:tc>
          <w:tcPr>
            <w:tcW w:w="424"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6.600</w:t>
            </w:r>
          </w:p>
        </w:tc>
        <w:tc>
          <w:tcPr>
            <w:tcW w:w="397"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24"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41" w:type="pct"/>
            <w:tcBorders>
              <w:top w:val="nil"/>
              <w:left w:val="nil"/>
              <w:bottom w:val="single" w:sz="4" w:space="0" w:color="auto"/>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6.600</w:t>
            </w:r>
          </w:p>
        </w:tc>
        <w:tc>
          <w:tcPr>
            <w:tcW w:w="535" w:type="pct"/>
            <w:tcBorders>
              <w:top w:val="nil"/>
              <w:left w:val="nil"/>
              <w:bottom w:val="single" w:sz="4" w:space="0" w:color="auto"/>
              <w:right w:val="double" w:sz="6"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28.600</w:t>
            </w:r>
          </w:p>
        </w:tc>
      </w:tr>
      <w:tr w:rsidR="00E403CE">
        <w:trPr>
          <w:trHeight w:val="162"/>
        </w:trPr>
        <w:tc>
          <w:tcPr>
            <w:tcW w:w="256" w:type="pct"/>
            <w:tcBorders>
              <w:top w:val="nil"/>
              <w:left w:val="double" w:sz="6" w:space="0" w:color="auto"/>
              <w:bottom w:val="dotted" w:sz="4" w:space="0" w:color="auto"/>
              <w:right w:val="nil"/>
            </w:tcBorders>
            <w:shd w:val="clear" w:color="auto" w:fill="auto"/>
            <w:vAlign w:val="bottom"/>
          </w:tcPr>
          <w:p w:rsidR="00E403CE" w:rsidRDefault="00E403CE" w:rsidP="00E403CE">
            <w:pPr>
              <w:jc w:val="right"/>
              <w:rPr>
                <w:rFonts w:ascii="Arial" w:hAnsi="Arial" w:cs="Arial"/>
                <w:b/>
                <w:bCs/>
                <w:color w:val="000000"/>
                <w:sz w:val="14"/>
                <w:szCs w:val="14"/>
              </w:rPr>
            </w:pPr>
            <w:r>
              <w:rPr>
                <w:rFonts w:ascii="Arial" w:hAnsi="Arial" w:cs="Arial"/>
                <w:b/>
                <w:bCs/>
                <w:color w:val="000000"/>
                <w:sz w:val="14"/>
                <w:szCs w:val="14"/>
              </w:rPr>
              <w:t>87</w:t>
            </w:r>
          </w:p>
        </w:tc>
        <w:tc>
          <w:tcPr>
            <w:tcW w:w="2050" w:type="pct"/>
            <w:tcBorders>
              <w:top w:val="nil"/>
              <w:left w:val="single" w:sz="4" w:space="0" w:color="auto"/>
              <w:bottom w:val="dotted" w:sz="4" w:space="0" w:color="auto"/>
              <w:right w:val="single" w:sz="4" w:space="0" w:color="auto"/>
            </w:tcBorders>
            <w:shd w:val="clear" w:color="auto" w:fill="auto"/>
            <w:vAlign w:val="bottom"/>
          </w:tcPr>
          <w:p w:rsidR="00E403CE" w:rsidRDefault="00E403CE" w:rsidP="00E403CE">
            <w:pPr>
              <w:rPr>
                <w:rFonts w:ascii="Arial" w:hAnsi="Arial" w:cs="Arial"/>
                <w:b/>
                <w:bCs/>
                <w:color w:val="000000"/>
                <w:sz w:val="14"/>
                <w:szCs w:val="14"/>
              </w:rPr>
            </w:pPr>
            <w:r>
              <w:rPr>
                <w:rFonts w:ascii="Arial" w:hAnsi="Arial" w:cs="Arial"/>
                <w:b/>
                <w:bCs/>
                <w:color w:val="000000"/>
                <w:sz w:val="14"/>
                <w:szCs w:val="14"/>
              </w:rPr>
              <w:t>Institucione te tjera Qeveritare</w:t>
            </w:r>
          </w:p>
        </w:tc>
        <w:tc>
          <w:tcPr>
            <w:tcW w:w="474" w:type="pct"/>
            <w:tcBorders>
              <w:top w:val="nil"/>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224.000</w:t>
            </w:r>
          </w:p>
        </w:tc>
        <w:tc>
          <w:tcPr>
            <w:tcW w:w="424"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213.187</w:t>
            </w:r>
          </w:p>
        </w:tc>
        <w:tc>
          <w:tcPr>
            <w:tcW w:w="397"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0</w:t>
            </w:r>
          </w:p>
        </w:tc>
        <w:tc>
          <w:tcPr>
            <w:tcW w:w="424"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0</w:t>
            </w:r>
          </w:p>
        </w:tc>
        <w:tc>
          <w:tcPr>
            <w:tcW w:w="441" w:type="pct"/>
            <w:tcBorders>
              <w:top w:val="nil"/>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213.187</w:t>
            </w:r>
          </w:p>
        </w:tc>
        <w:tc>
          <w:tcPr>
            <w:tcW w:w="535" w:type="pct"/>
            <w:tcBorders>
              <w:top w:val="nil"/>
              <w:left w:val="nil"/>
              <w:bottom w:val="dotted" w:sz="4" w:space="0" w:color="auto"/>
              <w:right w:val="double" w:sz="6"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437.187</w:t>
            </w:r>
          </w:p>
        </w:tc>
      </w:tr>
      <w:tr w:rsidR="00E403CE">
        <w:trPr>
          <w:trHeight w:val="162"/>
        </w:trPr>
        <w:tc>
          <w:tcPr>
            <w:tcW w:w="256" w:type="pct"/>
            <w:tcBorders>
              <w:top w:val="nil"/>
              <w:left w:val="double" w:sz="6" w:space="0" w:color="auto"/>
              <w:bottom w:val="dotted" w:sz="4" w:space="0" w:color="auto"/>
              <w:right w:val="nil"/>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01320</w:t>
            </w:r>
          </w:p>
        </w:tc>
        <w:tc>
          <w:tcPr>
            <w:tcW w:w="2050" w:type="pct"/>
            <w:tcBorders>
              <w:top w:val="nil"/>
              <w:left w:val="single" w:sz="4" w:space="0" w:color="auto"/>
              <w:bottom w:val="dotted" w:sz="4" w:space="0" w:color="auto"/>
              <w:right w:val="single" w:sz="4" w:space="0" w:color="auto"/>
            </w:tcBorders>
            <w:shd w:val="clear" w:color="auto" w:fill="auto"/>
            <w:noWrap/>
            <w:vAlign w:val="bottom"/>
          </w:tcPr>
          <w:p w:rsidR="00E403CE" w:rsidRDefault="00E403CE" w:rsidP="00E403CE">
            <w:pPr>
              <w:rPr>
                <w:rFonts w:ascii="Arial" w:hAnsi="Arial" w:cs="Arial"/>
                <w:sz w:val="14"/>
                <w:szCs w:val="14"/>
              </w:rPr>
            </w:pPr>
            <w:r>
              <w:rPr>
                <w:rFonts w:ascii="Arial" w:hAnsi="Arial" w:cs="Arial"/>
                <w:sz w:val="14"/>
                <w:szCs w:val="14"/>
              </w:rPr>
              <w:t>Sherbime Qeveritare</w:t>
            </w:r>
          </w:p>
        </w:tc>
        <w:tc>
          <w:tcPr>
            <w:tcW w:w="474" w:type="pct"/>
            <w:tcBorders>
              <w:top w:val="nil"/>
              <w:left w:val="nil"/>
              <w:bottom w:val="nil"/>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81.000</w:t>
            </w:r>
          </w:p>
        </w:tc>
        <w:tc>
          <w:tcPr>
            <w:tcW w:w="424" w:type="pct"/>
            <w:tcBorders>
              <w:top w:val="nil"/>
              <w:left w:val="nil"/>
              <w:bottom w:val="nil"/>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205.187</w:t>
            </w:r>
          </w:p>
        </w:tc>
        <w:tc>
          <w:tcPr>
            <w:tcW w:w="397" w:type="pct"/>
            <w:tcBorders>
              <w:top w:val="nil"/>
              <w:left w:val="nil"/>
              <w:bottom w:val="nil"/>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24" w:type="pct"/>
            <w:tcBorders>
              <w:top w:val="nil"/>
              <w:left w:val="nil"/>
              <w:bottom w:val="nil"/>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41" w:type="pct"/>
            <w:tcBorders>
              <w:top w:val="nil"/>
              <w:left w:val="nil"/>
              <w:bottom w:val="nil"/>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205.187</w:t>
            </w:r>
          </w:p>
        </w:tc>
        <w:tc>
          <w:tcPr>
            <w:tcW w:w="535" w:type="pct"/>
            <w:tcBorders>
              <w:top w:val="nil"/>
              <w:left w:val="nil"/>
              <w:bottom w:val="nil"/>
              <w:right w:val="double" w:sz="6"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286.187</w:t>
            </w:r>
          </w:p>
        </w:tc>
      </w:tr>
      <w:tr w:rsidR="00E403CE">
        <w:trPr>
          <w:trHeight w:val="162"/>
        </w:trPr>
        <w:tc>
          <w:tcPr>
            <w:tcW w:w="256" w:type="pct"/>
            <w:tcBorders>
              <w:top w:val="nil"/>
              <w:left w:val="double" w:sz="6" w:space="0" w:color="auto"/>
              <w:bottom w:val="dotted" w:sz="4" w:space="0" w:color="auto"/>
              <w:right w:val="nil"/>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01130</w:t>
            </w:r>
          </w:p>
        </w:tc>
        <w:tc>
          <w:tcPr>
            <w:tcW w:w="2050" w:type="pct"/>
            <w:tcBorders>
              <w:top w:val="nil"/>
              <w:left w:val="single" w:sz="4" w:space="0" w:color="auto"/>
              <w:bottom w:val="dotted" w:sz="4" w:space="0" w:color="auto"/>
              <w:right w:val="single" w:sz="4" w:space="0" w:color="auto"/>
            </w:tcBorders>
            <w:shd w:val="clear" w:color="auto" w:fill="auto"/>
            <w:noWrap/>
            <w:vAlign w:val="bottom"/>
          </w:tcPr>
          <w:p w:rsidR="00E403CE" w:rsidRDefault="00E403CE" w:rsidP="00E403CE">
            <w:pPr>
              <w:rPr>
                <w:rFonts w:ascii="Arial" w:hAnsi="Arial" w:cs="Arial"/>
                <w:sz w:val="14"/>
                <w:szCs w:val="14"/>
              </w:rPr>
            </w:pPr>
            <w:r>
              <w:rPr>
                <w:rFonts w:ascii="Arial" w:hAnsi="Arial" w:cs="Arial"/>
                <w:sz w:val="14"/>
                <w:szCs w:val="14"/>
              </w:rPr>
              <w:t>Sherbimi i Prokurimit Publik</w:t>
            </w:r>
          </w:p>
        </w:tc>
        <w:tc>
          <w:tcPr>
            <w:tcW w:w="474" w:type="pct"/>
            <w:tcBorders>
              <w:top w:val="dotted" w:sz="4" w:space="0" w:color="auto"/>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42.000</w:t>
            </w:r>
          </w:p>
        </w:tc>
        <w:tc>
          <w:tcPr>
            <w:tcW w:w="424" w:type="pct"/>
            <w:tcBorders>
              <w:top w:val="dotted" w:sz="4" w:space="0" w:color="auto"/>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397" w:type="pct"/>
            <w:tcBorders>
              <w:top w:val="dotted" w:sz="4" w:space="0" w:color="auto"/>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24" w:type="pct"/>
            <w:tcBorders>
              <w:top w:val="dotted" w:sz="4" w:space="0" w:color="auto"/>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41" w:type="pct"/>
            <w:tcBorders>
              <w:top w:val="dotted" w:sz="4" w:space="0" w:color="auto"/>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535" w:type="pct"/>
            <w:tcBorders>
              <w:top w:val="dotted" w:sz="4" w:space="0" w:color="auto"/>
              <w:left w:val="nil"/>
              <w:bottom w:val="dotted" w:sz="4" w:space="0" w:color="auto"/>
              <w:right w:val="double" w:sz="6"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42.000</w:t>
            </w:r>
          </w:p>
        </w:tc>
      </w:tr>
      <w:tr w:rsidR="00E403CE">
        <w:trPr>
          <w:trHeight w:val="162"/>
        </w:trPr>
        <w:tc>
          <w:tcPr>
            <w:tcW w:w="256" w:type="pct"/>
            <w:tcBorders>
              <w:top w:val="nil"/>
              <w:left w:val="double" w:sz="6" w:space="0" w:color="auto"/>
              <w:bottom w:val="dotted" w:sz="4" w:space="0" w:color="auto"/>
              <w:right w:val="nil"/>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01140</w:t>
            </w:r>
          </w:p>
        </w:tc>
        <w:tc>
          <w:tcPr>
            <w:tcW w:w="2050" w:type="pct"/>
            <w:tcBorders>
              <w:top w:val="nil"/>
              <w:left w:val="single" w:sz="4" w:space="0" w:color="auto"/>
              <w:bottom w:val="dotted" w:sz="4" w:space="0" w:color="auto"/>
              <w:right w:val="single" w:sz="4" w:space="0" w:color="auto"/>
            </w:tcBorders>
            <w:shd w:val="clear" w:color="auto" w:fill="auto"/>
            <w:noWrap/>
            <w:vAlign w:val="bottom"/>
          </w:tcPr>
          <w:p w:rsidR="00E403CE" w:rsidRDefault="00E403CE" w:rsidP="00E403CE">
            <w:pPr>
              <w:rPr>
                <w:rFonts w:ascii="Arial" w:hAnsi="Arial" w:cs="Arial"/>
                <w:sz w:val="14"/>
                <w:szCs w:val="14"/>
              </w:rPr>
            </w:pPr>
            <w:r>
              <w:rPr>
                <w:rFonts w:ascii="Arial" w:hAnsi="Arial" w:cs="Arial"/>
                <w:sz w:val="14"/>
                <w:szCs w:val="14"/>
              </w:rPr>
              <w:t>Sherbime per shoqerite e informacionit</w:t>
            </w:r>
          </w:p>
        </w:tc>
        <w:tc>
          <w:tcPr>
            <w:tcW w:w="474" w:type="pct"/>
            <w:tcBorders>
              <w:top w:val="nil"/>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38.000</w:t>
            </w:r>
          </w:p>
        </w:tc>
        <w:tc>
          <w:tcPr>
            <w:tcW w:w="424"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397"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24" w:type="pct"/>
            <w:tcBorders>
              <w:top w:val="nil"/>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41" w:type="pct"/>
            <w:tcBorders>
              <w:top w:val="nil"/>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535" w:type="pct"/>
            <w:tcBorders>
              <w:top w:val="nil"/>
              <w:left w:val="nil"/>
              <w:bottom w:val="dotted" w:sz="4" w:space="0" w:color="auto"/>
              <w:right w:val="double" w:sz="6"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38.000</w:t>
            </w:r>
          </w:p>
        </w:tc>
      </w:tr>
      <w:tr w:rsidR="00E403CE">
        <w:trPr>
          <w:trHeight w:val="162"/>
        </w:trPr>
        <w:tc>
          <w:tcPr>
            <w:tcW w:w="256" w:type="pct"/>
            <w:tcBorders>
              <w:top w:val="nil"/>
              <w:left w:val="double" w:sz="6" w:space="0" w:color="auto"/>
              <w:bottom w:val="nil"/>
              <w:right w:val="nil"/>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01150</w:t>
            </w:r>
          </w:p>
        </w:tc>
        <w:tc>
          <w:tcPr>
            <w:tcW w:w="2050" w:type="pct"/>
            <w:tcBorders>
              <w:top w:val="nil"/>
              <w:left w:val="single" w:sz="4" w:space="0" w:color="auto"/>
              <w:bottom w:val="nil"/>
              <w:right w:val="single" w:sz="4" w:space="0" w:color="auto"/>
            </w:tcBorders>
            <w:shd w:val="clear" w:color="auto" w:fill="auto"/>
            <w:noWrap/>
            <w:vAlign w:val="bottom"/>
          </w:tcPr>
          <w:p w:rsidR="00E403CE" w:rsidRDefault="00E403CE" w:rsidP="00E403CE">
            <w:pPr>
              <w:rPr>
                <w:rFonts w:ascii="Arial" w:hAnsi="Arial" w:cs="Arial"/>
                <w:sz w:val="14"/>
                <w:szCs w:val="14"/>
              </w:rPr>
            </w:pPr>
            <w:r>
              <w:rPr>
                <w:rFonts w:ascii="Arial" w:hAnsi="Arial" w:cs="Arial"/>
                <w:sz w:val="14"/>
                <w:szCs w:val="14"/>
              </w:rPr>
              <w:t>Sherbime te tjera</w:t>
            </w:r>
          </w:p>
        </w:tc>
        <w:tc>
          <w:tcPr>
            <w:tcW w:w="474" w:type="pct"/>
            <w:tcBorders>
              <w:top w:val="nil"/>
              <w:left w:val="nil"/>
              <w:bottom w:val="nil"/>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63.000</w:t>
            </w:r>
          </w:p>
        </w:tc>
        <w:tc>
          <w:tcPr>
            <w:tcW w:w="424" w:type="pct"/>
            <w:tcBorders>
              <w:top w:val="nil"/>
              <w:left w:val="nil"/>
              <w:bottom w:val="nil"/>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8.000</w:t>
            </w:r>
          </w:p>
        </w:tc>
        <w:tc>
          <w:tcPr>
            <w:tcW w:w="397" w:type="pct"/>
            <w:tcBorders>
              <w:top w:val="nil"/>
              <w:left w:val="nil"/>
              <w:bottom w:val="nil"/>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24" w:type="pct"/>
            <w:tcBorders>
              <w:top w:val="nil"/>
              <w:left w:val="nil"/>
              <w:bottom w:val="nil"/>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41" w:type="pct"/>
            <w:tcBorders>
              <w:top w:val="nil"/>
              <w:left w:val="nil"/>
              <w:bottom w:val="nil"/>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8.000</w:t>
            </w:r>
          </w:p>
        </w:tc>
        <w:tc>
          <w:tcPr>
            <w:tcW w:w="535" w:type="pct"/>
            <w:tcBorders>
              <w:top w:val="nil"/>
              <w:left w:val="nil"/>
              <w:bottom w:val="nil"/>
              <w:right w:val="double" w:sz="6"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71.000</w:t>
            </w:r>
          </w:p>
        </w:tc>
      </w:tr>
      <w:tr w:rsidR="00E403CE">
        <w:trPr>
          <w:trHeight w:val="162"/>
        </w:trPr>
        <w:tc>
          <w:tcPr>
            <w:tcW w:w="256" w:type="pct"/>
            <w:tcBorders>
              <w:top w:val="single" w:sz="4" w:space="0" w:color="auto"/>
              <w:left w:val="double" w:sz="6" w:space="0" w:color="auto"/>
              <w:bottom w:val="dotted" w:sz="4" w:space="0" w:color="auto"/>
              <w:right w:val="nil"/>
            </w:tcBorders>
            <w:shd w:val="clear" w:color="auto" w:fill="auto"/>
            <w:vAlign w:val="bottom"/>
          </w:tcPr>
          <w:p w:rsidR="00E403CE" w:rsidRDefault="00E403CE" w:rsidP="00E403CE">
            <w:pPr>
              <w:jc w:val="right"/>
              <w:rPr>
                <w:rFonts w:ascii="Arial" w:hAnsi="Arial" w:cs="Arial"/>
                <w:b/>
                <w:bCs/>
                <w:color w:val="000000"/>
                <w:sz w:val="14"/>
                <w:szCs w:val="14"/>
              </w:rPr>
            </w:pPr>
            <w:r>
              <w:rPr>
                <w:rFonts w:ascii="Arial" w:hAnsi="Arial" w:cs="Arial"/>
                <w:b/>
                <w:bCs/>
                <w:color w:val="000000"/>
                <w:sz w:val="14"/>
                <w:szCs w:val="14"/>
              </w:rPr>
              <w:t>88</w:t>
            </w:r>
          </w:p>
        </w:tc>
        <w:tc>
          <w:tcPr>
            <w:tcW w:w="2050" w:type="pct"/>
            <w:tcBorders>
              <w:top w:val="single" w:sz="4" w:space="0" w:color="auto"/>
              <w:left w:val="single" w:sz="4" w:space="0" w:color="auto"/>
              <w:bottom w:val="dotted" w:sz="4" w:space="0" w:color="auto"/>
              <w:right w:val="single" w:sz="4" w:space="0" w:color="auto"/>
            </w:tcBorders>
            <w:shd w:val="clear" w:color="auto" w:fill="auto"/>
            <w:noWrap/>
            <w:vAlign w:val="bottom"/>
          </w:tcPr>
          <w:p w:rsidR="00E403CE" w:rsidRDefault="00E403CE" w:rsidP="00E403CE">
            <w:pPr>
              <w:rPr>
                <w:rFonts w:ascii="Arial" w:hAnsi="Arial" w:cs="Arial"/>
                <w:b/>
                <w:bCs/>
                <w:sz w:val="14"/>
                <w:szCs w:val="14"/>
              </w:rPr>
            </w:pPr>
            <w:r>
              <w:rPr>
                <w:rFonts w:ascii="Arial" w:hAnsi="Arial" w:cs="Arial"/>
                <w:b/>
                <w:bCs/>
                <w:sz w:val="14"/>
                <w:szCs w:val="14"/>
              </w:rPr>
              <w:t>Mbeshtetje per Shoqerine Civile</w:t>
            </w:r>
          </w:p>
        </w:tc>
        <w:tc>
          <w:tcPr>
            <w:tcW w:w="474" w:type="pct"/>
            <w:tcBorders>
              <w:top w:val="single" w:sz="4" w:space="0" w:color="auto"/>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0</w:t>
            </w:r>
          </w:p>
        </w:tc>
        <w:tc>
          <w:tcPr>
            <w:tcW w:w="424" w:type="pct"/>
            <w:tcBorders>
              <w:top w:val="single" w:sz="4" w:space="0" w:color="auto"/>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0</w:t>
            </w:r>
          </w:p>
        </w:tc>
        <w:tc>
          <w:tcPr>
            <w:tcW w:w="397" w:type="pct"/>
            <w:tcBorders>
              <w:top w:val="single" w:sz="4" w:space="0" w:color="auto"/>
              <w:left w:val="nil"/>
              <w:bottom w:val="dotted" w:sz="4" w:space="0" w:color="auto"/>
              <w:right w:val="dott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0</w:t>
            </w:r>
          </w:p>
        </w:tc>
        <w:tc>
          <w:tcPr>
            <w:tcW w:w="424" w:type="pct"/>
            <w:tcBorders>
              <w:top w:val="single" w:sz="4" w:space="0" w:color="auto"/>
              <w:left w:val="nil"/>
              <w:bottom w:val="dotted" w:sz="4"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0</w:t>
            </w:r>
          </w:p>
        </w:tc>
        <w:tc>
          <w:tcPr>
            <w:tcW w:w="441" w:type="pct"/>
            <w:tcBorders>
              <w:top w:val="single" w:sz="4" w:space="0" w:color="auto"/>
              <w:left w:val="nil"/>
              <w:bottom w:val="dotted" w:sz="4" w:space="0" w:color="auto"/>
              <w:right w:val="single" w:sz="4"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0</w:t>
            </w:r>
          </w:p>
        </w:tc>
        <w:tc>
          <w:tcPr>
            <w:tcW w:w="535" w:type="pct"/>
            <w:tcBorders>
              <w:top w:val="single" w:sz="4" w:space="0" w:color="auto"/>
              <w:left w:val="nil"/>
              <w:bottom w:val="dotted" w:sz="4" w:space="0" w:color="auto"/>
              <w:right w:val="double" w:sz="6"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0</w:t>
            </w:r>
          </w:p>
        </w:tc>
      </w:tr>
      <w:tr w:rsidR="00E403CE">
        <w:trPr>
          <w:trHeight w:val="162"/>
        </w:trPr>
        <w:tc>
          <w:tcPr>
            <w:tcW w:w="256" w:type="pct"/>
            <w:tcBorders>
              <w:top w:val="nil"/>
              <w:left w:val="double" w:sz="6" w:space="0" w:color="auto"/>
              <w:bottom w:val="single" w:sz="4" w:space="0" w:color="auto"/>
              <w:right w:val="nil"/>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01110</w:t>
            </w:r>
          </w:p>
        </w:tc>
        <w:tc>
          <w:tcPr>
            <w:tcW w:w="2050" w:type="pct"/>
            <w:tcBorders>
              <w:top w:val="nil"/>
              <w:left w:val="single" w:sz="4" w:space="0" w:color="auto"/>
              <w:bottom w:val="single" w:sz="4" w:space="0" w:color="auto"/>
              <w:right w:val="single" w:sz="4" w:space="0" w:color="auto"/>
            </w:tcBorders>
            <w:shd w:val="clear" w:color="auto" w:fill="auto"/>
            <w:noWrap/>
            <w:vAlign w:val="bottom"/>
          </w:tcPr>
          <w:p w:rsidR="00E403CE" w:rsidRDefault="00E403CE" w:rsidP="00E403CE">
            <w:pPr>
              <w:rPr>
                <w:rFonts w:ascii="Arial" w:hAnsi="Arial" w:cs="Arial"/>
                <w:sz w:val="14"/>
                <w:szCs w:val="14"/>
              </w:rPr>
            </w:pPr>
            <w:r>
              <w:rPr>
                <w:rFonts w:ascii="Arial" w:hAnsi="Arial" w:cs="Arial"/>
                <w:sz w:val="14"/>
                <w:szCs w:val="14"/>
              </w:rPr>
              <w:t>Planifikimi, Menaxhimi dhe Administrimi</w:t>
            </w:r>
          </w:p>
        </w:tc>
        <w:tc>
          <w:tcPr>
            <w:tcW w:w="474" w:type="pct"/>
            <w:tcBorders>
              <w:top w:val="nil"/>
              <w:left w:val="nil"/>
              <w:bottom w:val="single" w:sz="4" w:space="0" w:color="auto"/>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24" w:type="pct"/>
            <w:tcBorders>
              <w:top w:val="nil"/>
              <w:left w:val="nil"/>
              <w:bottom w:val="nil"/>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397"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24" w:type="pct"/>
            <w:tcBorders>
              <w:top w:val="nil"/>
              <w:left w:val="nil"/>
              <w:bottom w:val="single" w:sz="4" w:space="0" w:color="auto"/>
              <w:right w:val="dashed" w:sz="4" w:space="0" w:color="auto"/>
            </w:tcBorders>
            <w:shd w:val="clear" w:color="auto" w:fill="auto"/>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441" w:type="pct"/>
            <w:tcBorders>
              <w:top w:val="nil"/>
              <w:left w:val="nil"/>
              <w:bottom w:val="single" w:sz="4" w:space="0" w:color="auto"/>
              <w:right w:val="single" w:sz="4"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c>
          <w:tcPr>
            <w:tcW w:w="535" w:type="pct"/>
            <w:tcBorders>
              <w:top w:val="nil"/>
              <w:left w:val="nil"/>
              <w:bottom w:val="single" w:sz="4" w:space="0" w:color="auto"/>
              <w:right w:val="double" w:sz="6" w:space="0" w:color="auto"/>
            </w:tcBorders>
            <w:shd w:val="clear" w:color="auto" w:fill="CCFFFF"/>
            <w:noWrap/>
            <w:vAlign w:val="bottom"/>
          </w:tcPr>
          <w:p w:rsidR="00E403CE" w:rsidRDefault="00E403CE" w:rsidP="00E403CE">
            <w:pPr>
              <w:jc w:val="right"/>
              <w:rPr>
                <w:rFonts w:ascii="Arial" w:hAnsi="Arial" w:cs="Arial"/>
                <w:sz w:val="14"/>
                <w:szCs w:val="14"/>
              </w:rPr>
            </w:pPr>
            <w:r>
              <w:rPr>
                <w:rFonts w:ascii="Arial" w:hAnsi="Arial" w:cs="Arial"/>
                <w:sz w:val="14"/>
                <w:szCs w:val="14"/>
              </w:rPr>
              <w:t>0</w:t>
            </w:r>
          </w:p>
        </w:tc>
      </w:tr>
      <w:tr w:rsidR="00E403CE">
        <w:trPr>
          <w:trHeight w:val="162"/>
        </w:trPr>
        <w:tc>
          <w:tcPr>
            <w:tcW w:w="2306" w:type="pct"/>
            <w:gridSpan w:val="2"/>
            <w:tcBorders>
              <w:top w:val="single" w:sz="4" w:space="0" w:color="auto"/>
              <w:left w:val="double" w:sz="6" w:space="0" w:color="auto"/>
              <w:bottom w:val="double" w:sz="6" w:space="0" w:color="auto"/>
              <w:right w:val="single" w:sz="4" w:space="0" w:color="000000"/>
            </w:tcBorders>
            <w:shd w:val="clear" w:color="auto" w:fill="auto"/>
            <w:noWrap/>
            <w:vAlign w:val="bottom"/>
          </w:tcPr>
          <w:p w:rsidR="00E403CE" w:rsidRDefault="00E403CE" w:rsidP="00E403CE">
            <w:pPr>
              <w:jc w:val="center"/>
              <w:rPr>
                <w:rFonts w:ascii="Arial" w:hAnsi="Arial" w:cs="Arial"/>
                <w:b/>
                <w:bCs/>
                <w:color w:val="000000"/>
                <w:sz w:val="14"/>
                <w:szCs w:val="14"/>
              </w:rPr>
            </w:pPr>
            <w:r>
              <w:rPr>
                <w:rFonts w:ascii="Arial" w:hAnsi="Arial" w:cs="Arial"/>
                <w:b/>
                <w:bCs/>
                <w:color w:val="000000"/>
                <w:sz w:val="14"/>
                <w:szCs w:val="14"/>
              </w:rPr>
              <w:t>TOTALI</w:t>
            </w:r>
          </w:p>
        </w:tc>
        <w:tc>
          <w:tcPr>
            <w:tcW w:w="474" w:type="pct"/>
            <w:tcBorders>
              <w:top w:val="nil"/>
              <w:left w:val="nil"/>
              <w:bottom w:val="double" w:sz="6" w:space="0" w:color="auto"/>
              <w:right w:val="single" w:sz="4"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145.961.628</w:t>
            </w:r>
          </w:p>
        </w:tc>
        <w:tc>
          <w:tcPr>
            <w:tcW w:w="424" w:type="pct"/>
            <w:tcBorders>
              <w:top w:val="single" w:sz="4" w:space="0" w:color="auto"/>
              <w:left w:val="nil"/>
              <w:bottom w:val="double" w:sz="6"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48.038.524</w:t>
            </w:r>
          </w:p>
        </w:tc>
        <w:tc>
          <w:tcPr>
            <w:tcW w:w="397" w:type="pct"/>
            <w:tcBorders>
              <w:top w:val="nil"/>
              <w:left w:val="nil"/>
              <w:bottom w:val="double" w:sz="6"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1.024.749</w:t>
            </w:r>
          </w:p>
        </w:tc>
        <w:tc>
          <w:tcPr>
            <w:tcW w:w="424" w:type="pct"/>
            <w:tcBorders>
              <w:top w:val="nil"/>
              <w:left w:val="nil"/>
              <w:bottom w:val="double" w:sz="6" w:space="0" w:color="auto"/>
              <w:right w:val="dashed" w:sz="4" w:space="0" w:color="auto"/>
            </w:tcBorders>
            <w:shd w:val="clear" w:color="auto" w:fill="auto"/>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41.925.657</w:t>
            </w:r>
          </w:p>
        </w:tc>
        <w:tc>
          <w:tcPr>
            <w:tcW w:w="441" w:type="pct"/>
            <w:tcBorders>
              <w:top w:val="nil"/>
              <w:left w:val="nil"/>
              <w:bottom w:val="double" w:sz="6" w:space="0" w:color="auto"/>
              <w:right w:val="single" w:sz="4"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90.988.930</w:t>
            </w:r>
          </w:p>
        </w:tc>
        <w:tc>
          <w:tcPr>
            <w:tcW w:w="535" w:type="pct"/>
            <w:tcBorders>
              <w:top w:val="nil"/>
              <w:left w:val="nil"/>
              <w:bottom w:val="double" w:sz="6" w:space="0" w:color="auto"/>
              <w:right w:val="double" w:sz="6" w:space="0" w:color="auto"/>
            </w:tcBorders>
            <w:shd w:val="clear" w:color="auto" w:fill="CCFFFF"/>
            <w:noWrap/>
            <w:vAlign w:val="bottom"/>
          </w:tcPr>
          <w:p w:rsidR="00E403CE" w:rsidRDefault="00E403CE" w:rsidP="00E403CE">
            <w:pPr>
              <w:jc w:val="right"/>
              <w:rPr>
                <w:rFonts w:ascii="Arial" w:hAnsi="Arial" w:cs="Arial"/>
                <w:b/>
                <w:bCs/>
                <w:sz w:val="14"/>
                <w:szCs w:val="14"/>
              </w:rPr>
            </w:pPr>
            <w:r>
              <w:rPr>
                <w:rFonts w:ascii="Arial" w:hAnsi="Arial" w:cs="Arial"/>
                <w:b/>
                <w:bCs/>
                <w:sz w:val="14"/>
                <w:szCs w:val="14"/>
              </w:rPr>
              <w:t>236.950.558</w:t>
            </w:r>
          </w:p>
        </w:tc>
      </w:tr>
    </w:tbl>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r>
        <w:rPr>
          <w:rFonts w:ascii="CG Times" w:hAnsi="CG Times"/>
          <w:sz w:val="22"/>
          <w:szCs w:val="22"/>
        </w:rPr>
        <w:t xml:space="preserve">       Tab. 1.1</w:t>
      </w:r>
    </w:p>
    <w:tbl>
      <w:tblPr>
        <w:tblW w:w="8256" w:type="dxa"/>
        <w:jc w:val="center"/>
        <w:tblLook w:val="0000" w:firstRow="0" w:lastRow="0" w:firstColumn="0" w:lastColumn="0" w:noHBand="0" w:noVBand="0"/>
      </w:tblPr>
      <w:tblGrid>
        <w:gridCol w:w="840"/>
        <w:gridCol w:w="5020"/>
        <w:gridCol w:w="1200"/>
        <w:gridCol w:w="1196"/>
      </w:tblGrid>
      <w:tr w:rsidR="00E403CE">
        <w:trPr>
          <w:trHeight w:val="162"/>
          <w:jc w:val="center"/>
        </w:trPr>
        <w:tc>
          <w:tcPr>
            <w:tcW w:w="840" w:type="dxa"/>
            <w:tcBorders>
              <w:top w:val="nil"/>
              <w:left w:val="nil"/>
              <w:bottom w:val="nil"/>
              <w:right w:val="nil"/>
            </w:tcBorders>
            <w:shd w:val="clear" w:color="auto" w:fill="auto"/>
            <w:noWrap/>
            <w:vAlign w:val="bottom"/>
          </w:tcPr>
          <w:p w:rsidR="00E403CE" w:rsidRDefault="00E403CE" w:rsidP="00E403CE">
            <w:pPr>
              <w:rPr>
                <w:rFonts w:ascii="Arial" w:hAnsi="Arial" w:cs="Arial"/>
                <w:sz w:val="16"/>
                <w:szCs w:val="16"/>
              </w:rPr>
            </w:pPr>
          </w:p>
        </w:tc>
        <w:tc>
          <w:tcPr>
            <w:tcW w:w="5020" w:type="dxa"/>
            <w:tcBorders>
              <w:top w:val="nil"/>
              <w:left w:val="nil"/>
              <w:bottom w:val="nil"/>
              <w:right w:val="nil"/>
            </w:tcBorders>
            <w:shd w:val="clear" w:color="auto" w:fill="auto"/>
            <w:noWrap/>
            <w:vAlign w:val="bottom"/>
          </w:tcPr>
          <w:p w:rsidR="00E403CE" w:rsidRDefault="00E403CE" w:rsidP="00E403CE">
            <w:pPr>
              <w:rPr>
                <w:rFonts w:ascii="Arial" w:hAnsi="Arial" w:cs="Arial"/>
                <w:sz w:val="16"/>
                <w:szCs w:val="16"/>
              </w:rPr>
            </w:pPr>
          </w:p>
        </w:tc>
        <w:tc>
          <w:tcPr>
            <w:tcW w:w="1200" w:type="dxa"/>
            <w:tcBorders>
              <w:top w:val="nil"/>
              <w:left w:val="nil"/>
              <w:bottom w:val="nil"/>
              <w:right w:val="nil"/>
            </w:tcBorders>
            <w:shd w:val="clear" w:color="auto" w:fill="auto"/>
            <w:noWrap/>
            <w:vAlign w:val="bottom"/>
          </w:tcPr>
          <w:p w:rsidR="00E403CE" w:rsidRDefault="00E403CE" w:rsidP="00E403CE">
            <w:pPr>
              <w:rPr>
                <w:rFonts w:ascii="Arial" w:hAnsi="Arial" w:cs="Arial"/>
                <w:sz w:val="16"/>
                <w:szCs w:val="16"/>
              </w:rPr>
            </w:pPr>
          </w:p>
        </w:tc>
        <w:tc>
          <w:tcPr>
            <w:tcW w:w="1196" w:type="dxa"/>
            <w:tcBorders>
              <w:top w:val="nil"/>
              <w:left w:val="nil"/>
              <w:bottom w:val="nil"/>
              <w:right w:val="nil"/>
            </w:tcBorders>
            <w:shd w:val="clear" w:color="auto" w:fill="auto"/>
            <w:noWrap/>
            <w:vAlign w:val="bottom"/>
          </w:tcPr>
          <w:p w:rsidR="00E403CE" w:rsidRDefault="00E403CE" w:rsidP="00E403CE">
            <w:pPr>
              <w:rPr>
                <w:rFonts w:ascii="Arial" w:hAnsi="Arial" w:cs="Arial"/>
                <w:b/>
                <w:bCs/>
                <w:i/>
                <w:iCs/>
                <w:sz w:val="16"/>
                <w:szCs w:val="16"/>
              </w:rPr>
            </w:pPr>
            <w:r>
              <w:rPr>
                <w:rFonts w:ascii="Arial" w:hAnsi="Arial" w:cs="Arial"/>
                <w:b/>
                <w:bCs/>
                <w:i/>
                <w:iCs/>
                <w:sz w:val="16"/>
                <w:szCs w:val="16"/>
              </w:rPr>
              <w:t>ne 000/leke</w:t>
            </w:r>
          </w:p>
        </w:tc>
      </w:tr>
      <w:tr w:rsidR="00E403CE">
        <w:trPr>
          <w:trHeight w:val="162"/>
          <w:jc w:val="center"/>
        </w:trPr>
        <w:tc>
          <w:tcPr>
            <w:tcW w:w="840" w:type="dxa"/>
            <w:tcBorders>
              <w:top w:val="double" w:sz="6" w:space="0" w:color="auto"/>
              <w:left w:val="double" w:sz="6" w:space="0" w:color="auto"/>
              <w:bottom w:val="single" w:sz="4" w:space="0" w:color="auto"/>
              <w:right w:val="single" w:sz="4" w:space="0" w:color="auto"/>
            </w:tcBorders>
            <w:shd w:val="clear" w:color="auto" w:fill="auto"/>
            <w:noWrap/>
            <w:vAlign w:val="bottom"/>
          </w:tcPr>
          <w:p w:rsidR="00E403CE" w:rsidRDefault="00E403CE" w:rsidP="00E403CE">
            <w:pPr>
              <w:rPr>
                <w:rFonts w:ascii="Arial" w:hAnsi="Arial" w:cs="Arial"/>
                <w:b/>
                <w:bCs/>
                <w:sz w:val="16"/>
                <w:szCs w:val="16"/>
              </w:rPr>
            </w:pPr>
            <w:r>
              <w:rPr>
                <w:rFonts w:ascii="Arial" w:hAnsi="Arial" w:cs="Arial"/>
                <w:b/>
                <w:bCs/>
                <w:sz w:val="16"/>
                <w:szCs w:val="16"/>
              </w:rPr>
              <w:t>Kodmin</w:t>
            </w:r>
          </w:p>
        </w:tc>
        <w:tc>
          <w:tcPr>
            <w:tcW w:w="5020" w:type="dxa"/>
            <w:tcBorders>
              <w:top w:val="double" w:sz="6" w:space="0" w:color="auto"/>
              <w:left w:val="nil"/>
              <w:bottom w:val="single" w:sz="4" w:space="0" w:color="auto"/>
              <w:right w:val="single" w:sz="4" w:space="0" w:color="auto"/>
            </w:tcBorders>
            <w:shd w:val="clear" w:color="auto" w:fill="auto"/>
            <w:vAlign w:val="bottom"/>
          </w:tcPr>
          <w:p w:rsidR="00E403CE" w:rsidRDefault="00E403CE" w:rsidP="00E403CE">
            <w:pPr>
              <w:rPr>
                <w:rFonts w:ascii="Arial" w:hAnsi="Arial" w:cs="Arial"/>
                <w:b/>
                <w:bCs/>
                <w:sz w:val="16"/>
                <w:szCs w:val="16"/>
              </w:rPr>
            </w:pPr>
            <w:r>
              <w:rPr>
                <w:rFonts w:ascii="Arial" w:hAnsi="Arial" w:cs="Arial"/>
                <w:b/>
                <w:bCs/>
                <w:sz w:val="16"/>
                <w:szCs w:val="16"/>
              </w:rPr>
              <w:t xml:space="preserve">Institucionet e Pavarura </w:t>
            </w:r>
          </w:p>
        </w:tc>
        <w:tc>
          <w:tcPr>
            <w:tcW w:w="1200" w:type="dxa"/>
            <w:tcBorders>
              <w:top w:val="double" w:sz="6" w:space="0" w:color="auto"/>
              <w:left w:val="nil"/>
              <w:bottom w:val="single" w:sz="4" w:space="0" w:color="auto"/>
              <w:right w:val="single" w:sz="4" w:space="0" w:color="auto"/>
            </w:tcBorders>
            <w:shd w:val="clear" w:color="auto" w:fill="auto"/>
            <w:vAlign w:val="bottom"/>
          </w:tcPr>
          <w:p w:rsidR="00E403CE" w:rsidRDefault="00E403CE" w:rsidP="00E403CE">
            <w:pPr>
              <w:jc w:val="center"/>
              <w:rPr>
                <w:rFonts w:ascii="Arial" w:hAnsi="Arial" w:cs="Arial"/>
                <w:b/>
                <w:bCs/>
                <w:sz w:val="16"/>
                <w:szCs w:val="16"/>
              </w:rPr>
            </w:pPr>
            <w:r>
              <w:rPr>
                <w:rFonts w:ascii="Arial" w:hAnsi="Arial" w:cs="Arial"/>
                <w:b/>
                <w:bCs/>
                <w:sz w:val="16"/>
                <w:szCs w:val="16"/>
              </w:rPr>
              <w:t>Nr.</w:t>
            </w:r>
            <w:r>
              <w:rPr>
                <w:rFonts w:ascii="Arial" w:hAnsi="Arial" w:cs="Arial"/>
                <w:b/>
                <w:bCs/>
                <w:sz w:val="16"/>
                <w:szCs w:val="16"/>
              </w:rPr>
              <w:br/>
              <w:t>Punonjesve</w:t>
            </w:r>
          </w:p>
        </w:tc>
        <w:tc>
          <w:tcPr>
            <w:tcW w:w="1196" w:type="dxa"/>
            <w:tcBorders>
              <w:top w:val="double" w:sz="6" w:space="0" w:color="auto"/>
              <w:left w:val="nil"/>
              <w:bottom w:val="single" w:sz="4" w:space="0" w:color="auto"/>
              <w:right w:val="double" w:sz="6" w:space="0" w:color="auto"/>
            </w:tcBorders>
            <w:shd w:val="clear" w:color="auto" w:fill="auto"/>
            <w:vAlign w:val="bottom"/>
          </w:tcPr>
          <w:p w:rsidR="00E403CE" w:rsidRDefault="00E403CE" w:rsidP="00E403CE">
            <w:pPr>
              <w:jc w:val="center"/>
              <w:rPr>
                <w:rFonts w:ascii="Arial" w:hAnsi="Arial" w:cs="Arial"/>
                <w:b/>
                <w:bCs/>
                <w:sz w:val="16"/>
                <w:szCs w:val="16"/>
              </w:rPr>
            </w:pPr>
            <w:r>
              <w:rPr>
                <w:rFonts w:ascii="Arial" w:hAnsi="Arial" w:cs="Arial"/>
                <w:b/>
                <w:bCs/>
                <w:sz w:val="16"/>
                <w:szCs w:val="16"/>
              </w:rPr>
              <w:t>Buxheti</w:t>
            </w:r>
            <w:r>
              <w:rPr>
                <w:rFonts w:ascii="Arial" w:hAnsi="Arial" w:cs="Arial"/>
                <w:b/>
                <w:bCs/>
                <w:sz w:val="16"/>
                <w:szCs w:val="16"/>
              </w:rPr>
              <w:br/>
              <w:t>Total</w:t>
            </w:r>
          </w:p>
        </w:tc>
      </w:tr>
      <w:tr w:rsidR="00E403CE">
        <w:trPr>
          <w:trHeight w:val="162"/>
          <w:jc w:val="center"/>
        </w:trPr>
        <w:tc>
          <w:tcPr>
            <w:tcW w:w="840" w:type="dxa"/>
            <w:tcBorders>
              <w:top w:val="nil"/>
              <w:left w:val="double" w:sz="6" w:space="0" w:color="auto"/>
              <w:bottom w:val="nil"/>
              <w:right w:val="single" w:sz="4" w:space="0" w:color="auto"/>
            </w:tcBorders>
            <w:shd w:val="clear" w:color="auto" w:fill="auto"/>
            <w:vAlign w:val="bottom"/>
          </w:tcPr>
          <w:p w:rsidR="00E403CE" w:rsidRDefault="00E403CE" w:rsidP="00E403CE">
            <w:pPr>
              <w:jc w:val="center"/>
              <w:rPr>
                <w:rFonts w:ascii="Arial" w:hAnsi="Arial" w:cs="Arial"/>
                <w:color w:val="000000"/>
                <w:sz w:val="16"/>
                <w:szCs w:val="16"/>
              </w:rPr>
            </w:pPr>
            <w:r>
              <w:rPr>
                <w:rFonts w:ascii="Arial" w:hAnsi="Arial" w:cs="Arial"/>
                <w:color w:val="000000"/>
                <w:sz w:val="16"/>
                <w:szCs w:val="16"/>
              </w:rPr>
              <w:t>1</w:t>
            </w:r>
          </w:p>
        </w:tc>
        <w:tc>
          <w:tcPr>
            <w:tcW w:w="5020" w:type="dxa"/>
            <w:tcBorders>
              <w:top w:val="nil"/>
              <w:left w:val="nil"/>
              <w:bottom w:val="nil"/>
              <w:right w:val="nil"/>
            </w:tcBorders>
            <w:shd w:val="clear" w:color="auto" w:fill="auto"/>
            <w:vAlign w:val="bottom"/>
          </w:tcPr>
          <w:p w:rsidR="00E403CE" w:rsidRDefault="00E403CE" w:rsidP="00E403CE">
            <w:pPr>
              <w:rPr>
                <w:rFonts w:ascii="Arial" w:hAnsi="Arial" w:cs="Arial"/>
                <w:color w:val="000000"/>
                <w:sz w:val="16"/>
                <w:szCs w:val="16"/>
              </w:rPr>
            </w:pPr>
            <w:r>
              <w:rPr>
                <w:rFonts w:ascii="Arial" w:hAnsi="Arial" w:cs="Arial"/>
                <w:color w:val="000000"/>
                <w:sz w:val="16"/>
                <w:szCs w:val="16"/>
              </w:rPr>
              <w:t>Presidenca</w:t>
            </w:r>
          </w:p>
        </w:tc>
        <w:tc>
          <w:tcPr>
            <w:tcW w:w="1200" w:type="dxa"/>
            <w:tcBorders>
              <w:top w:val="nil"/>
              <w:left w:val="single" w:sz="4" w:space="0" w:color="auto"/>
              <w:bottom w:val="nil"/>
              <w:right w:val="single" w:sz="4" w:space="0" w:color="auto"/>
            </w:tcBorders>
            <w:shd w:val="clear" w:color="auto" w:fill="auto"/>
            <w:noWrap/>
            <w:vAlign w:val="bottom"/>
          </w:tcPr>
          <w:p w:rsidR="00E403CE" w:rsidRDefault="00E403CE" w:rsidP="00E403CE">
            <w:pPr>
              <w:jc w:val="right"/>
              <w:rPr>
                <w:rFonts w:ascii="Arial" w:hAnsi="Arial" w:cs="Arial"/>
                <w:sz w:val="16"/>
                <w:szCs w:val="16"/>
              </w:rPr>
            </w:pPr>
            <w:r>
              <w:rPr>
                <w:rFonts w:ascii="Arial" w:hAnsi="Arial" w:cs="Arial"/>
                <w:sz w:val="16"/>
                <w:szCs w:val="16"/>
              </w:rPr>
              <w:t>80</w:t>
            </w:r>
          </w:p>
        </w:tc>
        <w:tc>
          <w:tcPr>
            <w:tcW w:w="1196" w:type="dxa"/>
            <w:tcBorders>
              <w:top w:val="nil"/>
              <w:left w:val="nil"/>
              <w:bottom w:val="nil"/>
              <w:right w:val="double" w:sz="6" w:space="0" w:color="auto"/>
            </w:tcBorders>
            <w:shd w:val="clear" w:color="auto" w:fill="auto"/>
            <w:noWrap/>
            <w:vAlign w:val="bottom"/>
          </w:tcPr>
          <w:p w:rsidR="00E403CE" w:rsidRDefault="00E403CE" w:rsidP="00E403CE">
            <w:pPr>
              <w:jc w:val="right"/>
              <w:rPr>
                <w:rFonts w:ascii="Arial" w:hAnsi="Arial" w:cs="Arial"/>
                <w:sz w:val="16"/>
                <w:szCs w:val="16"/>
              </w:rPr>
            </w:pPr>
            <w:r>
              <w:rPr>
                <w:rFonts w:ascii="Arial" w:hAnsi="Arial" w:cs="Arial"/>
                <w:sz w:val="16"/>
                <w:szCs w:val="16"/>
              </w:rPr>
              <w:t>405.000</w:t>
            </w:r>
          </w:p>
        </w:tc>
      </w:tr>
      <w:tr w:rsidR="00E403CE">
        <w:trPr>
          <w:trHeight w:val="162"/>
          <w:jc w:val="center"/>
        </w:trPr>
        <w:tc>
          <w:tcPr>
            <w:tcW w:w="840" w:type="dxa"/>
            <w:tcBorders>
              <w:top w:val="dotted" w:sz="4" w:space="0" w:color="auto"/>
              <w:left w:val="double" w:sz="6" w:space="0" w:color="auto"/>
              <w:bottom w:val="dotted" w:sz="4" w:space="0" w:color="auto"/>
              <w:right w:val="single" w:sz="4" w:space="0" w:color="auto"/>
            </w:tcBorders>
            <w:shd w:val="clear" w:color="auto" w:fill="auto"/>
            <w:vAlign w:val="bottom"/>
          </w:tcPr>
          <w:p w:rsidR="00E403CE" w:rsidRDefault="00E403CE" w:rsidP="00E403CE">
            <w:pPr>
              <w:jc w:val="center"/>
              <w:rPr>
                <w:rFonts w:ascii="Arial" w:hAnsi="Arial" w:cs="Arial"/>
                <w:color w:val="000000"/>
                <w:sz w:val="16"/>
                <w:szCs w:val="16"/>
              </w:rPr>
            </w:pPr>
            <w:r>
              <w:rPr>
                <w:rFonts w:ascii="Arial" w:hAnsi="Arial" w:cs="Arial"/>
                <w:color w:val="000000"/>
                <w:sz w:val="16"/>
                <w:szCs w:val="16"/>
              </w:rPr>
              <w:t>2</w:t>
            </w:r>
          </w:p>
        </w:tc>
        <w:tc>
          <w:tcPr>
            <w:tcW w:w="5020" w:type="dxa"/>
            <w:tcBorders>
              <w:top w:val="dotted" w:sz="4" w:space="0" w:color="auto"/>
              <w:left w:val="nil"/>
              <w:bottom w:val="dotted" w:sz="4" w:space="0" w:color="auto"/>
              <w:right w:val="nil"/>
            </w:tcBorders>
            <w:shd w:val="clear" w:color="auto" w:fill="auto"/>
            <w:vAlign w:val="bottom"/>
          </w:tcPr>
          <w:p w:rsidR="00E403CE" w:rsidRDefault="00E403CE" w:rsidP="00E403CE">
            <w:pPr>
              <w:rPr>
                <w:rFonts w:ascii="Arial" w:hAnsi="Arial" w:cs="Arial"/>
                <w:color w:val="000000"/>
                <w:sz w:val="16"/>
                <w:szCs w:val="16"/>
              </w:rPr>
            </w:pPr>
            <w:r>
              <w:rPr>
                <w:rFonts w:ascii="Arial" w:hAnsi="Arial" w:cs="Arial"/>
                <w:color w:val="000000"/>
                <w:sz w:val="16"/>
                <w:szCs w:val="16"/>
              </w:rPr>
              <w:t>Kuvendi</w:t>
            </w:r>
          </w:p>
        </w:tc>
        <w:tc>
          <w:tcPr>
            <w:tcW w:w="1200" w:type="dxa"/>
            <w:tcBorders>
              <w:top w:val="dotted" w:sz="4" w:space="0" w:color="auto"/>
              <w:left w:val="single" w:sz="4" w:space="0" w:color="auto"/>
              <w:bottom w:val="dotted" w:sz="4" w:space="0" w:color="auto"/>
              <w:right w:val="single" w:sz="4" w:space="0" w:color="auto"/>
            </w:tcBorders>
            <w:shd w:val="clear" w:color="auto" w:fill="auto"/>
            <w:noWrap/>
            <w:vAlign w:val="bottom"/>
          </w:tcPr>
          <w:p w:rsidR="00E403CE" w:rsidRDefault="00E403CE" w:rsidP="00E403CE">
            <w:pPr>
              <w:jc w:val="right"/>
              <w:rPr>
                <w:rFonts w:ascii="Arial" w:hAnsi="Arial" w:cs="Arial"/>
                <w:sz w:val="16"/>
                <w:szCs w:val="16"/>
              </w:rPr>
            </w:pPr>
            <w:r>
              <w:rPr>
                <w:rFonts w:ascii="Arial" w:hAnsi="Arial" w:cs="Arial"/>
                <w:sz w:val="16"/>
                <w:szCs w:val="16"/>
              </w:rPr>
              <w:t>440</w:t>
            </w:r>
          </w:p>
        </w:tc>
        <w:tc>
          <w:tcPr>
            <w:tcW w:w="1196" w:type="dxa"/>
            <w:tcBorders>
              <w:top w:val="dotted" w:sz="4" w:space="0" w:color="auto"/>
              <w:left w:val="nil"/>
              <w:bottom w:val="dotted" w:sz="4" w:space="0" w:color="auto"/>
              <w:right w:val="double" w:sz="6" w:space="0" w:color="auto"/>
            </w:tcBorders>
            <w:shd w:val="clear" w:color="auto" w:fill="auto"/>
            <w:noWrap/>
            <w:vAlign w:val="bottom"/>
          </w:tcPr>
          <w:p w:rsidR="00E403CE" w:rsidRDefault="00E403CE" w:rsidP="00E403CE">
            <w:pPr>
              <w:jc w:val="right"/>
              <w:rPr>
                <w:rFonts w:ascii="Arial" w:hAnsi="Arial" w:cs="Arial"/>
                <w:sz w:val="16"/>
                <w:szCs w:val="16"/>
              </w:rPr>
            </w:pPr>
            <w:r>
              <w:rPr>
                <w:rFonts w:ascii="Arial" w:hAnsi="Arial" w:cs="Arial"/>
                <w:sz w:val="16"/>
                <w:szCs w:val="16"/>
              </w:rPr>
              <w:t>1.020.000</w:t>
            </w:r>
          </w:p>
        </w:tc>
      </w:tr>
      <w:tr w:rsidR="00E403CE">
        <w:trPr>
          <w:trHeight w:val="162"/>
          <w:jc w:val="center"/>
        </w:trPr>
        <w:tc>
          <w:tcPr>
            <w:tcW w:w="840" w:type="dxa"/>
            <w:tcBorders>
              <w:top w:val="nil"/>
              <w:left w:val="double" w:sz="6" w:space="0" w:color="auto"/>
              <w:bottom w:val="dotted" w:sz="4" w:space="0" w:color="auto"/>
              <w:right w:val="single" w:sz="4" w:space="0" w:color="auto"/>
            </w:tcBorders>
            <w:shd w:val="clear" w:color="auto" w:fill="auto"/>
            <w:vAlign w:val="bottom"/>
          </w:tcPr>
          <w:p w:rsidR="00E403CE" w:rsidRDefault="00E403CE" w:rsidP="00E403CE">
            <w:pPr>
              <w:jc w:val="center"/>
              <w:rPr>
                <w:rFonts w:ascii="Arial" w:hAnsi="Arial" w:cs="Arial"/>
                <w:color w:val="000000"/>
                <w:sz w:val="16"/>
                <w:szCs w:val="16"/>
              </w:rPr>
            </w:pPr>
            <w:r>
              <w:rPr>
                <w:rFonts w:ascii="Arial" w:hAnsi="Arial" w:cs="Arial"/>
                <w:color w:val="000000"/>
                <w:sz w:val="16"/>
                <w:szCs w:val="16"/>
              </w:rPr>
              <w:t>24</w:t>
            </w:r>
          </w:p>
        </w:tc>
        <w:tc>
          <w:tcPr>
            <w:tcW w:w="5020" w:type="dxa"/>
            <w:tcBorders>
              <w:top w:val="nil"/>
              <w:left w:val="nil"/>
              <w:bottom w:val="dotted" w:sz="4" w:space="0" w:color="auto"/>
              <w:right w:val="nil"/>
            </w:tcBorders>
            <w:shd w:val="clear" w:color="auto" w:fill="auto"/>
            <w:vAlign w:val="bottom"/>
          </w:tcPr>
          <w:p w:rsidR="00E403CE" w:rsidRDefault="00E403CE" w:rsidP="00E403CE">
            <w:pPr>
              <w:rPr>
                <w:rFonts w:ascii="Arial" w:hAnsi="Arial" w:cs="Arial"/>
                <w:color w:val="000000"/>
                <w:sz w:val="16"/>
                <w:szCs w:val="16"/>
              </w:rPr>
            </w:pPr>
            <w:r>
              <w:rPr>
                <w:rFonts w:ascii="Arial" w:hAnsi="Arial" w:cs="Arial"/>
                <w:color w:val="000000"/>
                <w:sz w:val="16"/>
                <w:szCs w:val="16"/>
              </w:rPr>
              <w:t>Kontrolli i Larte i Shtetit</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E403CE" w:rsidRDefault="00E403CE" w:rsidP="00E403CE">
            <w:pPr>
              <w:jc w:val="right"/>
              <w:rPr>
                <w:rFonts w:ascii="Arial" w:hAnsi="Arial" w:cs="Arial"/>
                <w:sz w:val="16"/>
                <w:szCs w:val="16"/>
              </w:rPr>
            </w:pPr>
            <w:r>
              <w:rPr>
                <w:rFonts w:ascii="Arial" w:hAnsi="Arial" w:cs="Arial"/>
                <w:sz w:val="16"/>
                <w:szCs w:val="16"/>
              </w:rPr>
              <w:t>160</w:t>
            </w:r>
          </w:p>
        </w:tc>
        <w:tc>
          <w:tcPr>
            <w:tcW w:w="1196" w:type="dxa"/>
            <w:tcBorders>
              <w:top w:val="nil"/>
              <w:left w:val="nil"/>
              <w:bottom w:val="dotted" w:sz="4" w:space="0" w:color="auto"/>
              <w:right w:val="double" w:sz="6" w:space="0" w:color="auto"/>
            </w:tcBorders>
            <w:shd w:val="clear" w:color="auto" w:fill="auto"/>
            <w:noWrap/>
            <w:vAlign w:val="bottom"/>
          </w:tcPr>
          <w:p w:rsidR="00E403CE" w:rsidRDefault="00E403CE" w:rsidP="00E403CE">
            <w:pPr>
              <w:jc w:val="right"/>
              <w:rPr>
                <w:rFonts w:ascii="Arial" w:hAnsi="Arial" w:cs="Arial"/>
                <w:sz w:val="16"/>
                <w:szCs w:val="16"/>
              </w:rPr>
            </w:pPr>
            <w:r>
              <w:rPr>
                <w:rFonts w:ascii="Arial" w:hAnsi="Arial" w:cs="Arial"/>
                <w:sz w:val="16"/>
                <w:szCs w:val="16"/>
              </w:rPr>
              <w:t>268.000</w:t>
            </w:r>
          </w:p>
        </w:tc>
      </w:tr>
      <w:tr w:rsidR="00E403CE">
        <w:trPr>
          <w:trHeight w:val="162"/>
          <w:jc w:val="center"/>
        </w:trPr>
        <w:tc>
          <w:tcPr>
            <w:tcW w:w="840" w:type="dxa"/>
            <w:tcBorders>
              <w:top w:val="nil"/>
              <w:left w:val="double" w:sz="6" w:space="0" w:color="auto"/>
              <w:bottom w:val="dotted" w:sz="4" w:space="0" w:color="auto"/>
              <w:right w:val="single" w:sz="4" w:space="0" w:color="auto"/>
            </w:tcBorders>
            <w:shd w:val="clear" w:color="auto" w:fill="auto"/>
            <w:vAlign w:val="bottom"/>
          </w:tcPr>
          <w:p w:rsidR="00E403CE" w:rsidRDefault="00E403CE" w:rsidP="00E403CE">
            <w:pPr>
              <w:jc w:val="center"/>
              <w:rPr>
                <w:rFonts w:ascii="Arial" w:hAnsi="Arial" w:cs="Arial"/>
                <w:color w:val="000000"/>
                <w:sz w:val="16"/>
                <w:szCs w:val="16"/>
              </w:rPr>
            </w:pPr>
            <w:r>
              <w:rPr>
                <w:rFonts w:ascii="Arial" w:hAnsi="Arial" w:cs="Arial"/>
                <w:color w:val="000000"/>
                <w:sz w:val="16"/>
                <w:szCs w:val="16"/>
              </w:rPr>
              <w:t>28</w:t>
            </w:r>
          </w:p>
        </w:tc>
        <w:tc>
          <w:tcPr>
            <w:tcW w:w="5020" w:type="dxa"/>
            <w:tcBorders>
              <w:top w:val="nil"/>
              <w:left w:val="nil"/>
              <w:bottom w:val="dotted" w:sz="4" w:space="0" w:color="auto"/>
              <w:right w:val="nil"/>
            </w:tcBorders>
            <w:shd w:val="clear" w:color="auto" w:fill="auto"/>
            <w:vAlign w:val="bottom"/>
          </w:tcPr>
          <w:p w:rsidR="00E403CE" w:rsidRDefault="00E403CE" w:rsidP="00E403CE">
            <w:pPr>
              <w:rPr>
                <w:rFonts w:ascii="Arial" w:hAnsi="Arial" w:cs="Arial"/>
                <w:color w:val="000000"/>
                <w:sz w:val="16"/>
                <w:szCs w:val="16"/>
              </w:rPr>
            </w:pPr>
            <w:r>
              <w:rPr>
                <w:rFonts w:ascii="Arial" w:hAnsi="Arial" w:cs="Arial"/>
                <w:color w:val="000000"/>
                <w:sz w:val="16"/>
                <w:szCs w:val="16"/>
              </w:rPr>
              <w:t>Prokuroria e Pergjithshme</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E403CE" w:rsidRDefault="00E403CE" w:rsidP="00E403CE">
            <w:pPr>
              <w:jc w:val="right"/>
              <w:rPr>
                <w:rFonts w:ascii="Arial" w:hAnsi="Arial" w:cs="Arial"/>
                <w:sz w:val="16"/>
                <w:szCs w:val="16"/>
              </w:rPr>
            </w:pPr>
            <w:r>
              <w:rPr>
                <w:rFonts w:ascii="Arial" w:hAnsi="Arial" w:cs="Arial"/>
                <w:sz w:val="16"/>
                <w:szCs w:val="16"/>
              </w:rPr>
              <w:t>807</w:t>
            </w:r>
          </w:p>
        </w:tc>
        <w:tc>
          <w:tcPr>
            <w:tcW w:w="1196" w:type="dxa"/>
            <w:tcBorders>
              <w:top w:val="nil"/>
              <w:left w:val="nil"/>
              <w:bottom w:val="dotted" w:sz="4" w:space="0" w:color="auto"/>
              <w:right w:val="double" w:sz="6" w:space="0" w:color="auto"/>
            </w:tcBorders>
            <w:shd w:val="clear" w:color="auto" w:fill="auto"/>
            <w:noWrap/>
            <w:vAlign w:val="bottom"/>
          </w:tcPr>
          <w:p w:rsidR="00E403CE" w:rsidRDefault="00E403CE" w:rsidP="00E403CE">
            <w:pPr>
              <w:jc w:val="right"/>
              <w:rPr>
                <w:rFonts w:ascii="Arial" w:hAnsi="Arial" w:cs="Arial"/>
                <w:sz w:val="16"/>
                <w:szCs w:val="16"/>
              </w:rPr>
            </w:pPr>
            <w:r>
              <w:rPr>
                <w:rFonts w:ascii="Arial" w:hAnsi="Arial" w:cs="Arial"/>
                <w:sz w:val="16"/>
                <w:szCs w:val="16"/>
              </w:rPr>
              <w:t>1.011.389</w:t>
            </w:r>
          </w:p>
        </w:tc>
      </w:tr>
      <w:tr w:rsidR="00E403CE">
        <w:trPr>
          <w:trHeight w:val="162"/>
          <w:jc w:val="center"/>
        </w:trPr>
        <w:tc>
          <w:tcPr>
            <w:tcW w:w="840" w:type="dxa"/>
            <w:tcBorders>
              <w:top w:val="nil"/>
              <w:left w:val="double" w:sz="6" w:space="0" w:color="auto"/>
              <w:bottom w:val="dotted" w:sz="4" w:space="0" w:color="auto"/>
              <w:right w:val="single" w:sz="4" w:space="0" w:color="auto"/>
            </w:tcBorders>
            <w:shd w:val="clear" w:color="auto" w:fill="auto"/>
            <w:vAlign w:val="bottom"/>
          </w:tcPr>
          <w:p w:rsidR="00E403CE" w:rsidRDefault="00E403CE" w:rsidP="00E403CE">
            <w:pPr>
              <w:jc w:val="center"/>
              <w:rPr>
                <w:rFonts w:ascii="Arial" w:hAnsi="Arial" w:cs="Arial"/>
                <w:color w:val="000000"/>
                <w:sz w:val="16"/>
                <w:szCs w:val="16"/>
              </w:rPr>
            </w:pPr>
            <w:r>
              <w:rPr>
                <w:rFonts w:ascii="Arial" w:hAnsi="Arial" w:cs="Arial"/>
                <w:color w:val="000000"/>
                <w:sz w:val="16"/>
                <w:szCs w:val="16"/>
              </w:rPr>
              <w:t>29</w:t>
            </w:r>
          </w:p>
        </w:tc>
        <w:tc>
          <w:tcPr>
            <w:tcW w:w="5020" w:type="dxa"/>
            <w:tcBorders>
              <w:top w:val="nil"/>
              <w:left w:val="nil"/>
              <w:bottom w:val="dotted" w:sz="4" w:space="0" w:color="auto"/>
              <w:right w:val="nil"/>
            </w:tcBorders>
            <w:shd w:val="clear" w:color="auto" w:fill="auto"/>
            <w:vAlign w:val="bottom"/>
          </w:tcPr>
          <w:p w:rsidR="00E403CE" w:rsidRDefault="00E403CE" w:rsidP="00E403CE">
            <w:pPr>
              <w:rPr>
                <w:rFonts w:ascii="Arial" w:hAnsi="Arial" w:cs="Arial"/>
                <w:color w:val="000000"/>
                <w:sz w:val="16"/>
                <w:szCs w:val="16"/>
              </w:rPr>
            </w:pPr>
            <w:r>
              <w:rPr>
                <w:rFonts w:ascii="Arial" w:hAnsi="Arial" w:cs="Arial"/>
                <w:color w:val="000000"/>
                <w:sz w:val="16"/>
                <w:szCs w:val="16"/>
              </w:rPr>
              <w:t>Zyra e Administrimit te Buxhetit Gjyqesor</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E403CE" w:rsidRDefault="00E403CE" w:rsidP="00E403CE">
            <w:pPr>
              <w:jc w:val="right"/>
              <w:rPr>
                <w:rFonts w:ascii="Arial" w:hAnsi="Arial" w:cs="Arial"/>
                <w:sz w:val="16"/>
                <w:szCs w:val="16"/>
              </w:rPr>
            </w:pPr>
            <w:r>
              <w:rPr>
                <w:rFonts w:ascii="Arial" w:hAnsi="Arial" w:cs="Arial"/>
                <w:sz w:val="16"/>
                <w:szCs w:val="16"/>
              </w:rPr>
              <w:t>1.230</w:t>
            </w:r>
          </w:p>
        </w:tc>
        <w:tc>
          <w:tcPr>
            <w:tcW w:w="1196" w:type="dxa"/>
            <w:tcBorders>
              <w:top w:val="nil"/>
              <w:left w:val="nil"/>
              <w:bottom w:val="dotted" w:sz="4" w:space="0" w:color="auto"/>
              <w:right w:val="double" w:sz="6" w:space="0" w:color="auto"/>
            </w:tcBorders>
            <w:shd w:val="clear" w:color="auto" w:fill="auto"/>
            <w:noWrap/>
            <w:vAlign w:val="bottom"/>
          </w:tcPr>
          <w:p w:rsidR="00E403CE" w:rsidRDefault="00E403CE" w:rsidP="00E403CE">
            <w:pPr>
              <w:jc w:val="right"/>
              <w:rPr>
                <w:rFonts w:ascii="Arial" w:hAnsi="Arial" w:cs="Arial"/>
                <w:sz w:val="16"/>
                <w:szCs w:val="16"/>
              </w:rPr>
            </w:pPr>
            <w:r>
              <w:rPr>
                <w:rFonts w:ascii="Arial" w:hAnsi="Arial" w:cs="Arial"/>
                <w:sz w:val="16"/>
                <w:szCs w:val="16"/>
              </w:rPr>
              <w:t>1.304.490</w:t>
            </w:r>
          </w:p>
        </w:tc>
      </w:tr>
      <w:tr w:rsidR="00E403CE">
        <w:trPr>
          <w:trHeight w:val="162"/>
          <w:jc w:val="center"/>
        </w:trPr>
        <w:tc>
          <w:tcPr>
            <w:tcW w:w="840" w:type="dxa"/>
            <w:tcBorders>
              <w:top w:val="nil"/>
              <w:left w:val="double" w:sz="6" w:space="0" w:color="auto"/>
              <w:bottom w:val="dotted" w:sz="4" w:space="0" w:color="auto"/>
              <w:right w:val="single" w:sz="4" w:space="0" w:color="auto"/>
            </w:tcBorders>
            <w:shd w:val="clear" w:color="auto" w:fill="auto"/>
            <w:vAlign w:val="bottom"/>
          </w:tcPr>
          <w:p w:rsidR="00E403CE" w:rsidRDefault="00E403CE" w:rsidP="00E403CE">
            <w:pPr>
              <w:jc w:val="center"/>
              <w:rPr>
                <w:rFonts w:ascii="Arial" w:hAnsi="Arial" w:cs="Arial"/>
                <w:color w:val="000000"/>
                <w:sz w:val="16"/>
                <w:szCs w:val="16"/>
              </w:rPr>
            </w:pPr>
            <w:r>
              <w:rPr>
                <w:rFonts w:ascii="Arial" w:hAnsi="Arial" w:cs="Arial"/>
                <w:color w:val="000000"/>
                <w:sz w:val="16"/>
                <w:szCs w:val="16"/>
              </w:rPr>
              <w:t>30</w:t>
            </w:r>
          </w:p>
        </w:tc>
        <w:tc>
          <w:tcPr>
            <w:tcW w:w="5020" w:type="dxa"/>
            <w:tcBorders>
              <w:top w:val="nil"/>
              <w:left w:val="nil"/>
              <w:bottom w:val="dotted" w:sz="4" w:space="0" w:color="auto"/>
              <w:right w:val="nil"/>
            </w:tcBorders>
            <w:shd w:val="clear" w:color="auto" w:fill="auto"/>
            <w:vAlign w:val="bottom"/>
          </w:tcPr>
          <w:p w:rsidR="00E403CE" w:rsidRDefault="00E403CE" w:rsidP="00E403CE">
            <w:pPr>
              <w:rPr>
                <w:rFonts w:ascii="Arial" w:hAnsi="Arial" w:cs="Arial"/>
                <w:color w:val="000000"/>
                <w:sz w:val="16"/>
                <w:szCs w:val="16"/>
              </w:rPr>
            </w:pPr>
            <w:r>
              <w:rPr>
                <w:rFonts w:ascii="Arial" w:hAnsi="Arial" w:cs="Arial"/>
                <w:color w:val="000000"/>
                <w:sz w:val="16"/>
                <w:szCs w:val="16"/>
              </w:rPr>
              <w:t>Gjykata Kushtetuese</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E403CE" w:rsidRDefault="00E403CE" w:rsidP="00E403CE">
            <w:pPr>
              <w:jc w:val="right"/>
              <w:rPr>
                <w:rFonts w:ascii="Arial" w:hAnsi="Arial" w:cs="Arial"/>
                <w:sz w:val="16"/>
                <w:szCs w:val="16"/>
              </w:rPr>
            </w:pPr>
            <w:r>
              <w:rPr>
                <w:rFonts w:ascii="Arial" w:hAnsi="Arial" w:cs="Arial"/>
                <w:sz w:val="16"/>
                <w:szCs w:val="16"/>
              </w:rPr>
              <w:t>50</w:t>
            </w:r>
          </w:p>
        </w:tc>
        <w:tc>
          <w:tcPr>
            <w:tcW w:w="1196" w:type="dxa"/>
            <w:tcBorders>
              <w:top w:val="nil"/>
              <w:left w:val="nil"/>
              <w:bottom w:val="dotted" w:sz="4" w:space="0" w:color="auto"/>
              <w:right w:val="double" w:sz="6" w:space="0" w:color="auto"/>
            </w:tcBorders>
            <w:shd w:val="clear" w:color="auto" w:fill="auto"/>
            <w:noWrap/>
            <w:vAlign w:val="bottom"/>
          </w:tcPr>
          <w:p w:rsidR="00E403CE" w:rsidRDefault="00E403CE" w:rsidP="00E403CE">
            <w:pPr>
              <w:jc w:val="right"/>
              <w:rPr>
                <w:rFonts w:ascii="Arial" w:hAnsi="Arial" w:cs="Arial"/>
                <w:sz w:val="16"/>
                <w:szCs w:val="16"/>
              </w:rPr>
            </w:pPr>
            <w:r>
              <w:rPr>
                <w:rFonts w:ascii="Arial" w:hAnsi="Arial" w:cs="Arial"/>
                <w:sz w:val="16"/>
                <w:szCs w:val="16"/>
              </w:rPr>
              <w:t>96.000</w:t>
            </w:r>
          </w:p>
        </w:tc>
      </w:tr>
      <w:tr w:rsidR="00E403CE">
        <w:trPr>
          <w:trHeight w:val="162"/>
          <w:jc w:val="center"/>
        </w:trPr>
        <w:tc>
          <w:tcPr>
            <w:tcW w:w="840" w:type="dxa"/>
            <w:tcBorders>
              <w:top w:val="nil"/>
              <w:left w:val="double" w:sz="6" w:space="0" w:color="auto"/>
              <w:bottom w:val="dotted" w:sz="4" w:space="0" w:color="auto"/>
              <w:right w:val="single" w:sz="4" w:space="0" w:color="auto"/>
            </w:tcBorders>
            <w:shd w:val="clear" w:color="auto" w:fill="auto"/>
            <w:vAlign w:val="bottom"/>
          </w:tcPr>
          <w:p w:rsidR="00E403CE" w:rsidRDefault="00E403CE" w:rsidP="00E403CE">
            <w:pPr>
              <w:jc w:val="center"/>
              <w:rPr>
                <w:rFonts w:ascii="Arial" w:hAnsi="Arial" w:cs="Arial"/>
                <w:color w:val="000000"/>
                <w:sz w:val="16"/>
                <w:szCs w:val="16"/>
              </w:rPr>
            </w:pPr>
            <w:r>
              <w:rPr>
                <w:rFonts w:ascii="Arial" w:hAnsi="Arial" w:cs="Arial"/>
                <w:color w:val="000000"/>
                <w:sz w:val="16"/>
                <w:szCs w:val="16"/>
              </w:rPr>
              <w:t>53</w:t>
            </w:r>
          </w:p>
        </w:tc>
        <w:tc>
          <w:tcPr>
            <w:tcW w:w="5020" w:type="dxa"/>
            <w:tcBorders>
              <w:top w:val="nil"/>
              <w:left w:val="nil"/>
              <w:bottom w:val="dotted" w:sz="4" w:space="0" w:color="auto"/>
              <w:right w:val="nil"/>
            </w:tcBorders>
            <w:shd w:val="clear" w:color="auto" w:fill="auto"/>
            <w:vAlign w:val="bottom"/>
          </w:tcPr>
          <w:p w:rsidR="00E403CE" w:rsidRDefault="00E403CE" w:rsidP="00E403CE">
            <w:pPr>
              <w:rPr>
                <w:rFonts w:ascii="Arial" w:hAnsi="Arial" w:cs="Arial"/>
                <w:color w:val="000000"/>
                <w:sz w:val="16"/>
                <w:szCs w:val="16"/>
              </w:rPr>
            </w:pPr>
            <w:r>
              <w:rPr>
                <w:rFonts w:ascii="Arial" w:hAnsi="Arial" w:cs="Arial"/>
                <w:color w:val="000000"/>
                <w:sz w:val="16"/>
                <w:szCs w:val="16"/>
              </w:rPr>
              <w:t>Autoriteti i Mbikqyrjes Financiare</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E403CE" w:rsidRDefault="00E403CE" w:rsidP="00E403CE">
            <w:pPr>
              <w:jc w:val="right"/>
              <w:rPr>
                <w:rFonts w:ascii="Arial" w:hAnsi="Arial" w:cs="Arial"/>
                <w:sz w:val="16"/>
                <w:szCs w:val="16"/>
              </w:rPr>
            </w:pPr>
            <w:r>
              <w:rPr>
                <w:rFonts w:ascii="Arial" w:hAnsi="Arial" w:cs="Arial"/>
                <w:sz w:val="16"/>
                <w:szCs w:val="16"/>
              </w:rPr>
              <w:t>45</w:t>
            </w:r>
          </w:p>
        </w:tc>
        <w:tc>
          <w:tcPr>
            <w:tcW w:w="1196" w:type="dxa"/>
            <w:tcBorders>
              <w:top w:val="nil"/>
              <w:left w:val="nil"/>
              <w:bottom w:val="dotted" w:sz="4" w:space="0" w:color="auto"/>
              <w:right w:val="double" w:sz="6" w:space="0" w:color="auto"/>
            </w:tcBorders>
            <w:shd w:val="clear" w:color="auto" w:fill="auto"/>
            <w:noWrap/>
            <w:vAlign w:val="bottom"/>
          </w:tcPr>
          <w:p w:rsidR="00E403CE" w:rsidRDefault="00E403CE" w:rsidP="00E403CE">
            <w:pPr>
              <w:jc w:val="right"/>
              <w:rPr>
                <w:rFonts w:ascii="Arial" w:hAnsi="Arial" w:cs="Arial"/>
                <w:sz w:val="16"/>
                <w:szCs w:val="16"/>
              </w:rPr>
            </w:pPr>
            <w:r>
              <w:rPr>
                <w:rFonts w:ascii="Arial" w:hAnsi="Arial" w:cs="Arial"/>
                <w:sz w:val="16"/>
                <w:szCs w:val="16"/>
              </w:rPr>
              <w:t>19.672</w:t>
            </w:r>
          </w:p>
        </w:tc>
      </w:tr>
      <w:tr w:rsidR="00E403CE">
        <w:trPr>
          <w:trHeight w:val="162"/>
          <w:jc w:val="center"/>
        </w:trPr>
        <w:tc>
          <w:tcPr>
            <w:tcW w:w="840" w:type="dxa"/>
            <w:tcBorders>
              <w:top w:val="nil"/>
              <w:left w:val="double" w:sz="6" w:space="0" w:color="auto"/>
              <w:bottom w:val="dotted" w:sz="4" w:space="0" w:color="auto"/>
              <w:right w:val="single" w:sz="4" w:space="0" w:color="auto"/>
            </w:tcBorders>
            <w:shd w:val="clear" w:color="auto" w:fill="auto"/>
            <w:vAlign w:val="bottom"/>
          </w:tcPr>
          <w:p w:rsidR="00E403CE" w:rsidRDefault="00E403CE" w:rsidP="00E403CE">
            <w:pPr>
              <w:jc w:val="center"/>
              <w:rPr>
                <w:rFonts w:ascii="Arial" w:hAnsi="Arial" w:cs="Arial"/>
                <w:color w:val="000000"/>
                <w:sz w:val="16"/>
                <w:szCs w:val="16"/>
              </w:rPr>
            </w:pPr>
            <w:r>
              <w:rPr>
                <w:rFonts w:ascii="Arial" w:hAnsi="Arial" w:cs="Arial"/>
                <w:color w:val="000000"/>
                <w:sz w:val="16"/>
                <w:szCs w:val="16"/>
              </w:rPr>
              <w:t>55</w:t>
            </w:r>
          </w:p>
        </w:tc>
        <w:tc>
          <w:tcPr>
            <w:tcW w:w="5020" w:type="dxa"/>
            <w:tcBorders>
              <w:top w:val="nil"/>
              <w:left w:val="nil"/>
              <w:bottom w:val="dotted" w:sz="4" w:space="0" w:color="auto"/>
              <w:right w:val="nil"/>
            </w:tcBorders>
            <w:shd w:val="clear" w:color="auto" w:fill="auto"/>
            <w:vAlign w:val="bottom"/>
          </w:tcPr>
          <w:p w:rsidR="00E403CE" w:rsidRDefault="00E403CE" w:rsidP="00E403CE">
            <w:pPr>
              <w:rPr>
                <w:rFonts w:ascii="Arial" w:hAnsi="Arial" w:cs="Arial"/>
                <w:color w:val="000000"/>
                <w:sz w:val="16"/>
                <w:szCs w:val="16"/>
              </w:rPr>
            </w:pPr>
            <w:r>
              <w:rPr>
                <w:rFonts w:ascii="Arial" w:hAnsi="Arial" w:cs="Arial"/>
                <w:color w:val="000000"/>
                <w:sz w:val="16"/>
                <w:szCs w:val="16"/>
              </w:rPr>
              <w:t>Shkolla e Magjistratures</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E403CE" w:rsidRDefault="00E403CE" w:rsidP="00E403CE">
            <w:pPr>
              <w:jc w:val="right"/>
              <w:rPr>
                <w:rFonts w:ascii="Arial" w:hAnsi="Arial" w:cs="Arial"/>
                <w:sz w:val="16"/>
                <w:szCs w:val="16"/>
              </w:rPr>
            </w:pPr>
            <w:r>
              <w:rPr>
                <w:rFonts w:ascii="Arial" w:hAnsi="Arial" w:cs="Arial"/>
                <w:sz w:val="16"/>
                <w:szCs w:val="16"/>
              </w:rPr>
              <w:t>22</w:t>
            </w:r>
          </w:p>
        </w:tc>
        <w:tc>
          <w:tcPr>
            <w:tcW w:w="1196" w:type="dxa"/>
            <w:tcBorders>
              <w:top w:val="nil"/>
              <w:left w:val="nil"/>
              <w:bottom w:val="dotted" w:sz="4" w:space="0" w:color="auto"/>
              <w:right w:val="double" w:sz="6" w:space="0" w:color="auto"/>
            </w:tcBorders>
            <w:shd w:val="clear" w:color="auto" w:fill="auto"/>
            <w:noWrap/>
            <w:vAlign w:val="bottom"/>
          </w:tcPr>
          <w:p w:rsidR="00E403CE" w:rsidRDefault="00E403CE" w:rsidP="00E403CE">
            <w:pPr>
              <w:jc w:val="right"/>
              <w:rPr>
                <w:rFonts w:ascii="Arial" w:hAnsi="Arial" w:cs="Arial"/>
                <w:sz w:val="16"/>
                <w:szCs w:val="16"/>
              </w:rPr>
            </w:pPr>
            <w:r>
              <w:rPr>
                <w:rFonts w:ascii="Arial" w:hAnsi="Arial" w:cs="Arial"/>
                <w:sz w:val="16"/>
                <w:szCs w:val="16"/>
              </w:rPr>
              <w:t>49.951</w:t>
            </w:r>
          </w:p>
        </w:tc>
      </w:tr>
      <w:tr w:rsidR="00E403CE">
        <w:trPr>
          <w:trHeight w:val="162"/>
          <w:jc w:val="center"/>
        </w:trPr>
        <w:tc>
          <w:tcPr>
            <w:tcW w:w="840" w:type="dxa"/>
            <w:tcBorders>
              <w:top w:val="nil"/>
              <w:left w:val="double" w:sz="6" w:space="0" w:color="auto"/>
              <w:bottom w:val="dotted" w:sz="4" w:space="0" w:color="auto"/>
              <w:right w:val="single" w:sz="4" w:space="0" w:color="auto"/>
            </w:tcBorders>
            <w:shd w:val="clear" w:color="auto" w:fill="auto"/>
            <w:vAlign w:val="bottom"/>
          </w:tcPr>
          <w:p w:rsidR="00E403CE" w:rsidRDefault="00E403CE" w:rsidP="00E403CE">
            <w:pPr>
              <w:jc w:val="center"/>
              <w:rPr>
                <w:rFonts w:ascii="Arial" w:hAnsi="Arial" w:cs="Arial"/>
                <w:color w:val="000000"/>
                <w:sz w:val="16"/>
                <w:szCs w:val="16"/>
              </w:rPr>
            </w:pPr>
            <w:r>
              <w:rPr>
                <w:rFonts w:ascii="Arial" w:hAnsi="Arial" w:cs="Arial"/>
                <w:color w:val="000000"/>
                <w:sz w:val="16"/>
                <w:szCs w:val="16"/>
              </w:rPr>
              <w:t>63</w:t>
            </w:r>
          </w:p>
        </w:tc>
        <w:tc>
          <w:tcPr>
            <w:tcW w:w="5020" w:type="dxa"/>
            <w:tcBorders>
              <w:top w:val="nil"/>
              <w:left w:val="nil"/>
              <w:bottom w:val="dotted" w:sz="4" w:space="0" w:color="auto"/>
              <w:right w:val="nil"/>
            </w:tcBorders>
            <w:shd w:val="clear" w:color="auto" w:fill="auto"/>
            <w:vAlign w:val="bottom"/>
          </w:tcPr>
          <w:p w:rsidR="00E403CE" w:rsidRDefault="00E403CE" w:rsidP="00E403CE">
            <w:pPr>
              <w:rPr>
                <w:rFonts w:ascii="Arial" w:hAnsi="Arial" w:cs="Arial"/>
                <w:color w:val="000000"/>
                <w:sz w:val="16"/>
                <w:szCs w:val="16"/>
              </w:rPr>
            </w:pPr>
            <w:r>
              <w:rPr>
                <w:rFonts w:ascii="Arial" w:hAnsi="Arial" w:cs="Arial"/>
                <w:color w:val="000000"/>
                <w:sz w:val="16"/>
                <w:szCs w:val="16"/>
              </w:rPr>
              <w:t>Keshilli i Larte i Drejtesise</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E403CE" w:rsidRDefault="00E403CE" w:rsidP="00E403CE">
            <w:pPr>
              <w:jc w:val="right"/>
              <w:rPr>
                <w:rFonts w:ascii="Arial" w:hAnsi="Arial" w:cs="Arial"/>
                <w:sz w:val="16"/>
                <w:szCs w:val="16"/>
              </w:rPr>
            </w:pPr>
            <w:r>
              <w:rPr>
                <w:rFonts w:ascii="Arial" w:hAnsi="Arial" w:cs="Arial"/>
                <w:sz w:val="16"/>
                <w:szCs w:val="16"/>
              </w:rPr>
              <w:t>41</w:t>
            </w:r>
          </w:p>
        </w:tc>
        <w:tc>
          <w:tcPr>
            <w:tcW w:w="1196" w:type="dxa"/>
            <w:tcBorders>
              <w:top w:val="nil"/>
              <w:left w:val="nil"/>
              <w:bottom w:val="dotted" w:sz="4" w:space="0" w:color="auto"/>
              <w:right w:val="double" w:sz="6" w:space="0" w:color="auto"/>
            </w:tcBorders>
            <w:shd w:val="clear" w:color="auto" w:fill="auto"/>
            <w:noWrap/>
            <w:vAlign w:val="bottom"/>
          </w:tcPr>
          <w:p w:rsidR="00E403CE" w:rsidRDefault="00E403CE" w:rsidP="00E403CE">
            <w:pPr>
              <w:jc w:val="right"/>
              <w:rPr>
                <w:rFonts w:ascii="Arial" w:hAnsi="Arial" w:cs="Arial"/>
                <w:sz w:val="16"/>
                <w:szCs w:val="16"/>
              </w:rPr>
            </w:pPr>
            <w:r>
              <w:rPr>
                <w:rFonts w:ascii="Arial" w:hAnsi="Arial" w:cs="Arial"/>
                <w:sz w:val="16"/>
                <w:szCs w:val="16"/>
              </w:rPr>
              <w:t>72.000</w:t>
            </w:r>
          </w:p>
        </w:tc>
      </w:tr>
      <w:tr w:rsidR="00E403CE">
        <w:trPr>
          <w:trHeight w:val="162"/>
          <w:jc w:val="center"/>
        </w:trPr>
        <w:tc>
          <w:tcPr>
            <w:tcW w:w="840" w:type="dxa"/>
            <w:tcBorders>
              <w:top w:val="nil"/>
              <w:left w:val="double" w:sz="6" w:space="0" w:color="auto"/>
              <w:bottom w:val="dotted" w:sz="4" w:space="0" w:color="auto"/>
              <w:right w:val="single" w:sz="4" w:space="0" w:color="auto"/>
            </w:tcBorders>
            <w:shd w:val="clear" w:color="auto" w:fill="auto"/>
            <w:vAlign w:val="bottom"/>
          </w:tcPr>
          <w:p w:rsidR="00E403CE" w:rsidRDefault="00E403CE" w:rsidP="00E403CE">
            <w:pPr>
              <w:jc w:val="center"/>
              <w:rPr>
                <w:rFonts w:ascii="Arial" w:hAnsi="Arial" w:cs="Arial"/>
                <w:color w:val="000000"/>
                <w:sz w:val="16"/>
                <w:szCs w:val="16"/>
              </w:rPr>
            </w:pPr>
            <w:r>
              <w:rPr>
                <w:rFonts w:ascii="Arial" w:hAnsi="Arial" w:cs="Arial"/>
                <w:color w:val="000000"/>
                <w:sz w:val="16"/>
                <w:szCs w:val="16"/>
              </w:rPr>
              <w:t>66</w:t>
            </w:r>
          </w:p>
        </w:tc>
        <w:tc>
          <w:tcPr>
            <w:tcW w:w="5020" w:type="dxa"/>
            <w:tcBorders>
              <w:top w:val="nil"/>
              <w:left w:val="nil"/>
              <w:bottom w:val="dotted" w:sz="4" w:space="0" w:color="auto"/>
              <w:right w:val="nil"/>
            </w:tcBorders>
            <w:shd w:val="clear" w:color="auto" w:fill="auto"/>
            <w:vAlign w:val="bottom"/>
          </w:tcPr>
          <w:p w:rsidR="00E403CE" w:rsidRDefault="00E403CE" w:rsidP="00E403CE">
            <w:pPr>
              <w:rPr>
                <w:rFonts w:ascii="Arial" w:hAnsi="Arial" w:cs="Arial"/>
                <w:color w:val="000000"/>
                <w:sz w:val="16"/>
                <w:szCs w:val="16"/>
              </w:rPr>
            </w:pPr>
            <w:r>
              <w:rPr>
                <w:rFonts w:ascii="Arial" w:hAnsi="Arial" w:cs="Arial"/>
                <w:color w:val="000000"/>
                <w:sz w:val="16"/>
                <w:szCs w:val="16"/>
              </w:rPr>
              <w:t>Avokati i Popullit</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E403CE" w:rsidRDefault="00E403CE" w:rsidP="00E403CE">
            <w:pPr>
              <w:jc w:val="right"/>
              <w:rPr>
                <w:rFonts w:ascii="Arial" w:hAnsi="Arial" w:cs="Arial"/>
                <w:sz w:val="16"/>
                <w:szCs w:val="16"/>
              </w:rPr>
            </w:pPr>
            <w:r>
              <w:rPr>
                <w:rFonts w:ascii="Arial" w:hAnsi="Arial" w:cs="Arial"/>
                <w:sz w:val="16"/>
                <w:szCs w:val="16"/>
              </w:rPr>
              <w:t>50</w:t>
            </w:r>
          </w:p>
        </w:tc>
        <w:tc>
          <w:tcPr>
            <w:tcW w:w="1196" w:type="dxa"/>
            <w:tcBorders>
              <w:top w:val="nil"/>
              <w:left w:val="nil"/>
              <w:bottom w:val="dotted" w:sz="4" w:space="0" w:color="auto"/>
              <w:right w:val="double" w:sz="6" w:space="0" w:color="auto"/>
            </w:tcBorders>
            <w:shd w:val="clear" w:color="auto" w:fill="auto"/>
            <w:noWrap/>
            <w:vAlign w:val="bottom"/>
          </w:tcPr>
          <w:p w:rsidR="00E403CE" w:rsidRDefault="00E403CE" w:rsidP="00E403CE">
            <w:pPr>
              <w:jc w:val="right"/>
              <w:rPr>
                <w:rFonts w:ascii="Arial" w:hAnsi="Arial" w:cs="Arial"/>
                <w:sz w:val="16"/>
                <w:szCs w:val="16"/>
              </w:rPr>
            </w:pPr>
            <w:r>
              <w:rPr>
                <w:rFonts w:ascii="Arial" w:hAnsi="Arial" w:cs="Arial"/>
                <w:sz w:val="16"/>
                <w:szCs w:val="16"/>
              </w:rPr>
              <w:t>91.600</w:t>
            </w:r>
          </w:p>
        </w:tc>
      </w:tr>
      <w:tr w:rsidR="00E403CE">
        <w:trPr>
          <w:trHeight w:val="162"/>
          <w:jc w:val="center"/>
        </w:trPr>
        <w:tc>
          <w:tcPr>
            <w:tcW w:w="840" w:type="dxa"/>
            <w:tcBorders>
              <w:top w:val="nil"/>
              <w:left w:val="double" w:sz="6" w:space="0" w:color="auto"/>
              <w:bottom w:val="dotted" w:sz="4" w:space="0" w:color="auto"/>
              <w:right w:val="single" w:sz="4" w:space="0" w:color="auto"/>
            </w:tcBorders>
            <w:shd w:val="clear" w:color="auto" w:fill="auto"/>
            <w:vAlign w:val="bottom"/>
          </w:tcPr>
          <w:p w:rsidR="00E403CE" w:rsidRDefault="00E403CE" w:rsidP="00E403CE">
            <w:pPr>
              <w:jc w:val="center"/>
              <w:rPr>
                <w:rFonts w:ascii="Arial" w:hAnsi="Arial" w:cs="Arial"/>
                <w:color w:val="000000"/>
                <w:sz w:val="16"/>
                <w:szCs w:val="16"/>
              </w:rPr>
            </w:pPr>
            <w:r>
              <w:rPr>
                <w:rFonts w:ascii="Arial" w:hAnsi="Arial" w:cs="Arial"/>
                <w:color w:val="000000"/>
                <w:sz w:val="16"/>
                <w:szCs w:val="16"/>
              </w:rPr>
              <w:t>67</w:t>
            </w:r>
          </w:p>
        </w:tc>
        <w:tc>
          <w:tcPr>
            <w:tcW w:w="5020" w:type="dxa"/>
            <w:tcBorders>
              <w:top w:val="nil"/>
              <w:left w:val="nil"/>
              <w:bottom w:val="dotted" w:sz="4" w:space="0" w:color="auto"/>
              <w:right w:val="nil"/>
            </w:tcBorders>
            <w:shd w:val="clear" w:color="auto" w:fill="auto"/>
            <w:vAlign w:val="bottom"/>
          </w:tcPr>
          <w:p w:rsidR="00E403CE" w:rsidRDefault="00E403CE" w:rsidP="00E403CE">
            <w:pPr>
              <w:rPr>
                <w:rFonts w:ascii="Arial" w:hAnsi="Arial" w:cs="Arial"/>
                <w:color w:val="000000"/>
                <w:sz w:val="16"/>
                <w:szCs w:val="16"/>
              </w:rPr>
            </w:pPr>
            <w:r>
              <w:rPr>
                <w:rFonts w:ascii="Arial" w:hAnsi="Arial" w:cs="Arial"/>
                <w:color w:val="000000"/>
                <w:sz w:val="16"/>
                <w:szCs w:val="16"/>
              </w:rPr>
              <w:t>Komisioni i Sherbimit Civil</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E403CE" w:rsidRDefault="00E403CE" w:rsidP="00E403CE">
            <w:pPr>
              <w:jc w:val="right"/>
              <w:rPr>
                <w:rFonts w:ascii="Arial" w:hAnsi="Arial" w:cs="Arial"/>
                <w:sz w:val="16"/>
                <w:szCs w:val="16"/>
              </w:rPr>
            </w:pPr>
            <w:r>
              <w:rPr>
                <w:rFonts w:ascii="Arial" w:hAnsi="Arial" w:cs="Arial"/>
                <w:sz w:val="16"/>
                <w:szCs w:val="16"/>
              </w:rPr>
              <w:t>28</w:t>
            </w:r>
          </w:p>
        </w:tc>
        <w:tc>
          <w:tcPr>
            <w:tcW w:w="1196" w:type="dxa"/>
            <w:tcBorders>
              <w:top w:val="nil"/>
              <w:left w:val="nil"/>
              <w:bottom w:val="dotted" w:sz="4" w:space="0" w:color="auto"/>
              <w:right w:val="double" w:sz="6" w:space="0" w:color="auto"/>
            </w:tcBorders>
            <w:shd w:val="clear" w:color="auto" w:fill="auto"/>
            <w:noWrap/>
            <w:vAlign w:val="bottom"/>
          </w:tcPr>
          <w:p w:rsidR="00E403CE" w:rsidRDefault="00E403CE" w:rsidP="00E403CE">
            <w:pPr>
              <w:jc w:val="right"/>
              <w:rPr>
                <w:rFonts w:ascii="Arial" w:hAnsi="Arial" w:cs="Arial"/>
                <w:sz w:val="16"/>
                <w:szCs w:val="16"/>
              </w:rPr>
            </w:pPr>
            <w:r>
              <w:rPr>
                <w:rFonts w:ascii="Arial" w:hAnsi="Arial" w:cs="Arial"/>
                <w:sz w:val="16"/>
                <w:szCs w:val="16"/>
              </w:rPr>
              <w:t>44.600</w:t>
            </w:r>
          </w:p>
        </w:tc>
      </w:tr>
      <w:tr w:rsidR="00E403CE">
        <w:trPr>
          <w:trHeight w:val="162"/>
          <w:jc w:val="center"/>
        </w:trPr>
        <w:tc>
          <w:tcPr>
            <w:tcW w:w="840" w:type="dxa"/>
            <w:tcBorders>
              <w:top w:val="nil"/>
              <w:left w:val="double" w:sz="6" w:space="0" w:color="auto"/>
              <w:bottom w:val="dotted" w:sz="4" w:space="0" w:color="auto"/>
              <w:right w:val="single" w:sz="4" w:space="0" w:color="auto"/>
            </w:tcBorders>
            <w:shd w:val="clear" w:color="auto" w:fill="auto"/>
            <w:vAlign w:val="bottom"/>
          </w:tcPr>
          <w:p w:rsidR="00E403CE" w:rsidRDefault="00E403CE" w:rsidP="00E403CE">
            <w:pPr>
              <w:jc w:val="center"/>
              <w:rPr>
                <w:rFonts w:ascii="Arial" w:hAnsi="Arial" w:cs="Arial"/>
                <w:color w:val="000000"/>
                <w:sz w:val="16"/>
                <w:szCs w:val="16"/>
              </w:rPr>
            </w:pPr>
            <w:r>
              <w:rPr>
                <w:rFonts w:ascii="Arial" w:hAnsi="Arial" w:cs="Arial"/>
                <w:color w:val="000000"/>
                <w:sz w:val="16"/>
                <w:szCs w:val="16"/>
              </w:rPr>
              <w:t>73</w:t>
            </w:r>
          </w:p>
        </w:tc>
        <w:tc>
          <w:tcPr>
            <w:tcW w:w="5020" w:type="dxa"/>
            <w:tcBorders>
              <w:top w:val="nil"/>
              <w:left w:val="nil"/>
              <w:bottom w:val="dotted" w:sz="4" w:space="0" w:color="auto"/>
              <w:right w:val="nil"/>
            </w:tcBorders>
            <w:shd w:val="clear" w:color="auto" w:fill="auto"/>
            <w:vAlign w:val="bottom"/>
          </w:tcPr>
          <w:p w:rsidR="00E403CE" w:rsidRDefault="00E403CE" w:rsidP="00E403CE">
            <w:pPr>
              <w:rPr>
                <w:rFonts w:ascii="Arial" w:hAnsi="Arial" w:cs="Arial"/>
                <w:color w:val="000000"/>
                <w:sz w:val="16"/>
                <w:szCs w:val="16"/>
              </w:rPr>
            </w:pPr>
            <w:r>
              <w:rPr>
                <w:rFonts w:ascii="Arial" w:hAnsi="Arial" w:cs="Arial"/>
                <w:color w:val="000000"/>
                <w:sz w:val="16"/>
                <w:szCs w:val="16"/>
              </w:rPr>
              <w:t>Komisioni Qendror i Zgjedhjeve</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E403CE" w:rsidRDefault="00E403CE" w:rsidP="00E403CE">
            <w:pPr>
              <w:jc w:val="right"/>
              <w:rPr>
                <w:rFonts w:ascii="Arial" w:hAnsi="Arial" w:cs="Arial"/>
                <w:sz w:val="16"/>
                <w:szCs w:val="16"/>
              </w:rPr>
            </w:pPr>
            <w:r>
              <w:rPr>
                <w:rFonts w:ascii="Arial" w:hAnsi="Arial" w:cs="Arial"/>
                <w:sz w:val="16"/>
                <w:szCs w:val="16"/>
              </w:rPr>
              <w:t>60</w:t>
            </w:r>
          </w:p>
        </w:tc>
        <w:tc>
          <w:tcPr>
            <w:tcW w:w="1196" w:type="dxa"/>
            <w:tcBorders>
              <w:top w:val="nil"/>
              <w:left w:val="nil"/>
              <w:bottom w:val="dotted" w:sz="4" w:space="0" w:color="auto"/>
              <w:right w:val="double" w:sz="6" w:space="0" w:color="auto"/>
            </w:tcBorders>
            <w:shd w:val="clear" w:color="auto" w:fill="auto"/>
            <w:noWrap/>
            <w:vAlign w:val="bottom"/>
          </w:tcPr>
          <w:p w:rsidR="00E403CE" w:rsidRDefault="00E403CE" w:rsidP="00E403CE">
            <w:pPr>
              <w:jc w:val="right"/>
              <w:rPr>
                <w:rFonts w:ascii="Arial" w:hAnsi="Arial" w:cs="Arial"/>
                <w:sz w:val="16"/>
                <w:szCs w:val="16"/>
              </w:rPr>
            </w:pPr>
            <w:r>
              <w:rPr>
                <w:rFonts w:ascii="Arial" w:hAnsi="Arial" w:cs="Arial"/>
                <w:sz w:val="16"/>
                <w:szCs w:val="16"/>
              </w:rPr>
              <w:t>87.000</w:t>
            </w:r>
          </w:p>
        </w:tc>
      </w:tr>
      <w:tr w:rsidR="00E403CE">
        <w:trPr>
          <w:trHeight w:val="162"/>
          <w:jc w:val="center"/>
        </w:trPr>
        <w:tc>
          <w:tcPr>
            <w:tcW w:w="840" w:type="dxa"/>
            <w:tcBorders>
              <w:top w:val="nil"/>
              <w:left w:val="double" w:sz="6" w:space="0" w:color="auto"/>
              <w:bottom w:val="dotted" w:sz="4" w:space="0" w:color="auto"/>
              <w:right w:val="single" w:sz="4" w:space="0" w:color="auto"/>
            </w:tcBorders>
            <w:shd w:val="clear" w:color="auto" w:fill="auto"/>
            <w:vAlign w:val="bottom"/>
          </w:tcPr>
          <w:p w:rsidR="00E403CE" w:rsidRDefault="00E403CE" w:rsidP="00E403CE">
            <w:pPr>
              <w:jc w:val="center"/>
              <w:rPr>
                <w:rFonts w:ascii="Arial" w:hAnsi="Arial" w:cs="Arial"/>
                <w:color w:val="000000"/>
                <w:sz w:val="16"/>
                <w:szCs w:val="16"/>
              </w:rPr>
            </w:pPr>
            <w:r>
              <w:rPr>
                <w:rFonts w:ascii="Arial" w:hAnsi="Arial" w:cs="Arial"/>
                <w:color w:val="000000"/>
                <w:sz w:val="16"/>
                <w:szCs w:val="16"/>
              </w:rPr>
              <w:t>76</w:t>
            </w:r>
          </w:p>
        </w:tc>
        <w:tc>
          <w:tcPr>
            <w:tcW w:w="5020" w:type="dxa"/>
            <w:tcBorders>
              <w:top w:val="nil"/>
              <w:left w:val="nil"/>
              <w:bottom w:val="dotted" w:sz="4" w:space="0" w:color="auto"/>
              <w:right w:val="nil"/>
            </w:tcBorders>
            <w:shd w:val="clear" w:color="auto" w:fill="auto"/>
            <w:vAlign w:val="bottom"/>
          </w:tcPr>
          <w:p w:rsidR="00E403CE" w:rsidRDefault="00E403CE" w:rsidP="00E403CE">
            <w:pPr>
              <w:rPr>
                <w:rFonts w:ascii="Arial" w:hAnsi="Arial" w:cs="Arial"/>
                <w:color w:val="000000"/>
                <w:sz w:val="16"/>
                <w:szCs w:val="16"/>
              </w:rPr>
            </w:pPr>
            <w:r>
              <w:rPr>
                <w:rFonts w:ascii="Arial" w:hAnsi="Arial" w:cs="Arial"/>
                <w:color w:val="000000"/>
                <w:sz w:val="16"/>
                <w:szCs w:val="16"/>
              </w:rPr>
              <w:t xml:space="preserve">Inspektoriati i Larte i Kontrollit te Deklarimit te Pasurive </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E403CE" w:rsidRDefault="00E403CE" w:rsidP="00E403CE">
            <w:pPr>
              <w:jc w:val="right"/>
              <w:rPr>
                <w:rFonts w:ascii="Arial" w:hAnsi="Arial" w:cs="Arial"/>
                <w:sz w:val="16"/>
                <w:szCs w:val="16"/>
              </w:rPr>
            </w:pPr>
            <w:r>
              <w:rPr>
                <w:rFonts w:ascii="Arial" w:hAnsi="Arial" w:cs="Arial"/>
                <w:sz w:val="16"/>
                <w:szCs w:val="16"/>
              </w:rPr>
              <w:t>41</w:t>
            </w:r>
          </w:p>
        </w:tc>
        <w:tc>
          <w:tcPr>
            <w:tcW w:w="1196" w:type="dxa"/>
            <w:tcBorders>
              <w:top w:val="nil"/>
              <w:left w:val="nil"/>
              <w:bottom w:val="dotted" w:sz="4" w:space="0" w:color="auto"/>
              <w:right w:val="double" w:sz="6" w:space="0" w:color="auto"/>
            </w:tcBorders>
            <w:shd w:val="clear" w:color="auto" w:fill="auto"/>
            <w:noWrap/>
            <w:vAlign w:val="bottom"/>
          </w:tcPr>
          <w:p w:rsidR="00E403CE" w:rsidRDefault="00E403CE" w:rsidP="00E403CE">
            <w:pPr>
              <w:jc w:val="right"/>
              <w:rPr>
                <w:rFonts w:ascii="Arial" w:hAnsi="Arial" w:cs="Arial"/>
                <w:sz w:val="16"/>
                <w:szCs w:val="16"/>
              </w:rPr>
            </w:pPr>
            <w:r>
              <w:rPr>
                <w:rFonts w:ascii="Arial" w:hAnsi="Arial" w:cs="Arial"/>
                <w:sz w:val="16"/>
                <w:szCs w:val="16"/>
              </w:rPr>
              <w:t>88.000</w:t>
            </w:r>
          </w:p>
        </w:tc>
      </w:tr>
      <w:tr w:rsidR="00E403CE">
        <w:trPr>
          <w:trHeight w:val="162"/>
          <w:jc w:val="center"/>
        </w:trPr>
        <w:tc>
          <w:tcPr>
            <w:tcW w:w="840" w:type="dxa"/>
            <w:tcBorders>
              <w:top w:val="nil"/>
              <w:left w:val="double" w:sz="6" w:space="0" w:color="auto"/>
              <w:bottom w:val="dotted" w:sz="4" w:space="0" w:color="auto"/>
              <w:right w:val="single" w:sz="4" w:space="0" w:color="auto"/>
            </w:tcBorders>
            <w:shd w:val="clear" w:color="auto" w:fill="auto"/>
            <w:vAlign w:val="bottom"/>
          </w:tcPr>
          <w:p w:rsidR="00E403CE" w:rsidRDefault="00E403CE" w:rsidP="00E403CE">
            <w:pPr>
              <w:jc w:val="center"/>
              <w:rPr>
                <w:rFonts w:ascii="Arial" w:hAnsi="Arial" w:cs="Arial"/>
                <w:color w:val="000000"/>
                <w:sz w:val="16"/>
                <w:szCs w:val="16"/>
              </w:rPr>
            </w:pPr>
            <w:r>
              <w:rPr>
                <w:rFonts w:ascii="Arial" w:hAnsi="Arial" w:cs="Arial"/>
                <w:color w:val="000000"/>
                <w:sz w:val="16"/>
                <w:szCs w:val="16"/>
              </w:rPr>
              <w:t>77</w:t>
            </w:r>
          </w:p>
        </w:tc>
        <w:tc>
          <w:tcPr>
            <w:tcW w:w="5020" w:type="dxa"/>
            <w:tcBorders>
              <w:top w:val="nil"/>
              <w:left w:val="nil"/>
              <w:bottom w:val="dotted" w:sz="4" w:space="0" w:color="auto"/>
              <w:right w:val="nil"/>
            </w:tcBorders>
            <w:shd w:val="clear" w:color="auto" w:fill="auto"/>
            <w:vAlign w:val="bottom"/>
          </w:tcPr>
          <w:p w:rsidR="00E403CE" w:rsidRDefault="00E403CE" w:rsidP="00E403CE">
            <w:pPr>
              <w:rPr>
                <w:rFonts w:ascii="Arial" w:hAnsi="Arial" w:cs="Arial"/>
                <w:color w:val="000000"/>
                <w:sz w:val="16"/>
                <w:szCs w:val="16"/>
              </w:rPr>
            </w:pPr>
            <w:r>
              <w:rPr>
                <w:rFonts w:ascii="Arial" w:hAnsi="Arial" w:cs="Arial"/>
                <w:color w:val="000000"/>
                <w:sz w:val="16"/>
                <w:szCs w:val="16"/>
              </w:rPr>
              <w:t>Autoriteti i Konkurences</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E403CE" w:rsidRDefault="00E403CE" w:rsidP="00E403CE">
            <w:pPr>
              <w:jc w:val="right"/>
              <w:rPr>
                <w:rFonts w:ascii="Arial" w:hAnsi="Arial" w:cs="Arial"/>
                <w:sz w:val="16"/>
                <w:szCs w:val="16"/>
              </w:rPr>
            </w:pPr>
            <w:r>
              <w:rPr>
                <w:rFonts w:ascii="Arial" w:hAnsi="Arial" w:cs="Arial"/>
                <w:sz w:val="16"/>
                <w:szCs w:val="16"/>
              </w:rPr>
              <w:t>35</w:t>
            </w:r>
          </w:p>
        </w:tc>
        <w:tc>
          <w:tcPr>
            <w:tcW w:w="1196" w:type="dxa"/>
            <w:tcBorders>
              <w:top w:val="nil"/>
              <w:left w:val="nil"/>
              <w:bottom w:val="dotted" w:sz="4" w:space="0" w:color="auto"/>
              <w:right w:val="double" w:sz="6" w:space="0" w:color="auto"/>
            </w:tcBorders>
            <w:shd w:val="clear" w:color="auto" w:fill="auto"/>
            <w:noWrap/>
            <w:vAlign w:val="bottom"/>
          </w:tcPr>
          <w:p w:rsidR="00E403CE" w:rsidRDefault="00E403CE" w:rsidP="00E403CE">
            <w:pPr>
              <w:jc w:val="right"/>
              <w:rPr>
                <w:rFonts w:ascii="Arial" w:hAnsi="Arial" w:cs="Arial"/>
                <w:sz w:val="16"/>
                <w:szCs w:val="16"/>
              </w:rPr>
            </w:pPr>
            <w:r>
              <w:rPr>
                <w:rFonts w:ascii="Arial" w:hAnsi="Arial" w:cs="Arial"/>
                <w:sz w:val="16"/>
                <w:szCs w:val="16"/>
              </w:rPr>
              <w:t>56.000</w:t>
            </w:r>
          </w:p>
        </w:tc>
      </w:tr>
      <w:tr w:rsidR="00E403CE">
        <w:trPr>
          <w:trHeight w:val="162"/>
          <w:jc w:val="center"/>
        </w:trPr>
        <w:tc>
          <w:tcPr>
            <w:tcW w:w="840" w:type="dxa"/>
            <w:tcBorders>
              <w:top w:val="nil"/>
              <w:left w:val="double" w:sz="6" w:space="0" w:color="auto"/>
              <w:bottom w:val="dotted" w:sz="4" w:space="0" w:color="auto"/>
              <w:right w:val="single" w:sz="4" w:space="0" w:color="auto"/>
            </w:tcBorders>
            <w:shd w:val="clear" w:color="auto" w:fill="auto"/>
            <w:vAlign w:val="bottom"/>
          </w:tcPr>
          <w:p w:rsidR="00E403CE" w:rsidRDefault="00E403CE" w:rsidP="00E403CE">
            <w:pPr>
              <w:jc w:val="center"/>
              <w:rPr>
                <w:rFonts w:ascii="Arial" w:hAnsi="Arial" w:cs="Arial"/>
                <w:color w:val="000000"/>
                <w:sz w:val="16"/>
                <w:szCs w:val="16"/>
              </w:rPr>
            </w:pPr>
            <w:r>
              <w:rPr>
                <w:rFonts w:ascii="Arial" w:hAnsi="Arial" w:cs="Arial"/>
                <w:color w:val="000000"/>
                <w:sz w:val="16"/>
                <w:szCs w:val="16"/>
              </w:rPr>
              <w:t>86</w:t>
            </w:r>
          </w:p>
        </w:tc>
        <w:tc>
          <w:tcPr>
            <w:tcW w:w="5020" w:type="dxa"/>
            <w:tcBorders>
              <w:top w:val="nil"/>
              <w:left w:val="nil"/>
              <w:bottom w:val="dotted" w:sz="4" w:space="0" w:color="auto"/>
              <w:right w:val="single" w:sz="4" w:space="0" w:color="auto"/>
            </w:tcBorders>
            <w:shd w:val="clear" w:color="auto" w:fill="auto"/>
            <w:vAlign w:val="bottom"/>
          </w:tcPr>
          <w:p w:rsidR="00E403CE" w:rsidRDefault="00E403CE" w:rsidP="00E403CE">
            <w:pPr>
              <w:rPr>
                <w:rFonts w:ascii="Arial" w:hAnsi="Arial" w:cs="Arial"/>
                <w:color w:val="000000"/>
                <w:sz w:val="16"/>
                <w:szCs w:val="16"/>
              </w:rPr>
            </w:pPr>
            <w:r>
              <w:rPr>
                <w:rFonts w:ascii="Arial" w:hAnsi="Arial" w:cs="Arial"/>
                <w:color w:val="000000"/>
                <w:sz w:val="16"/>
                <w:szCs w:val="16"/>
              </w:rPr>
              <w:t>Avokati i Prokurimeve</w:t>
            </w:r>
          </w:p>
        </w:tc>
        <w:tc>
          <w:tcPr>
            <w:tcW w:w="1200" w:type="dxa"/>
            <w:tcBorders>
              <w:top w:val="nil"/>
              <w:left w:val="nil"/>
              <w:bottom w:val="dotted" w:sz="4" w:space="0" w:color="auto"/>
              <w:right w:val="single" w:sz="4" w:space="0" w:color="auto"/>
            </w:tcBorders>
            <w:shd w:val="clear" w:color="auto" w:fill="auto"/>
            <w:noWrap/>
            <w:vAlign w:val="bottom"/>
          </w:tcPr>
          <w:p w:rsidR="00E403CE" w:rsidRDefault="00E403CE" w:rsidP="00E403CE">
            <w:pPr>
              <w:jc w:val="right"/>
              <w:rPr>
                <w:rFonts w:ascii="Arial" w:hAnsi="Arial" w:cs="Arial"/>
                <w:sz w:val="16"/>
                <w:szCs w:val="16"/>
              </w:rPr>
            </w:pPr>
            <w:r>
              <w:rPr>
                <w:rFonts w:ascii="Arial" w:hAnsi="Arial" w:cs="Arial"/>
                <w:sz w:val="16"/>
                <w:szCs w:val="16"/>
              </w:rPr>
              <w:t>15</w:t>
            </w:r>
          </w:p>
        </w:tc>
        <w:tc>
          <w:tcPr>
            <w:tcW w:w="1196" w:type="dxa"/>
            <w:tcBorders>
              <w:top w:val="nil"/>
              <w:left w:val="nil"/>
              <w:bottom w:val="dotted" w:sz="4" w:space="0" w:color="auto"/>
              <w:right w:val="double" w:sz="6" w:space="0" w:color="auto"/>
            </w:tcBorders>
            <w:shd w:val="clear" w:color="auto" w:fill="auto"/>
            <w:noWrap/>
            <w:vAlign w:val="bottom"/>
          </w:tcPr>
          <w:p w:rsidR="00E403CE" w:rsidRDefault="00E403CE" w:rsidP="00E403CE">
            <w:pPr>
              <w:jc w:val="right"/>
              <w:rPr>
                <w:rFonts w:ascii="Arial" w:hAnsi="Arial" w:cs="Arial"/>
                <w:sz w:val="16"/>
                <w:szCs w:val="16"/>
              </w:rPr>
            </w:pPr>
            <w:r>
              <w:rPr>
                <w:rFonts w:ascii="Arial" w:hAnsi="Arial" w:cs="Arial"/>
                <w:sz w:val="16"/>
                <w:szCs w:val="16"/>
              </w:rPr>
              <w:t>28.600</w:t>
            </w:r>
          </w:p>
        </w:tc>
      </w:tr>
      <w:tr w:rsidR="00E403CE">
        <w:trPr>
          <w:trHeight w:val="162"/>
          <w:jc w:val="center"/>
        </w:trPr>
        <w:tc>
          <w:tcPr>
            <w:tcW w:w="840" w:type="dxa"/>
            <w:tcBorders>
              <w:top w:val="nil"/>
              <w:left w:val="double" w:sz="6" w:space="0" w:color="auto"/>
              <w:bottom w:val="double" w:sz="6" w:space="0" w:color="auto"/>
              <w:right w:val="single" w:sz="4" w:space="0" w:color="auto"/>
            </w:tcBorders>
            <w:shd w:val="clear" w:color="auto" w:fill="auto"/>
            <w:noWrap/>
            <w:vAlign w:val="bottom"/>
          </w:tcPr>
          <w:p w:rsidR="00E403CE" w:rsidRDefault="00E403CE" w:rsidP="00E403CE">
            <w:pPr>
              <w:rPr>
                <w:rFonts w:ascii="Arial" w:hAnsi="Arial" w:cs="Arial"/>
                <w:b/>
                <w:bCs/>
                <w:color w:val="000000"/>
                <w:sz w:val="16"/>
                <w:szCs w:val="16"/>
              </w:rPr>
            </w:pPr>
            <w:r>
              <w:rPr>
                <w:rFonts w:ascii="Arial" w:hAnsi="Arial" w:cs="Arial"/>
                <w:b/>
                <w:bCs/>
                <w:color w:val="000000"/>
                <w:sz w:val="16"/>
                <w:szCs w:val="16"/>
              </w:rPr>
              <w:t> </w:t>
            </w:r>
          </w:p>
        </w:tc>
        <w:tc>
          <w:tcPr>
            <w:tcW w:w="5020" w:type="dxa"/>
            <w:tcBorders>
              <w:top w:val="nil"/>
              <w:left w:val="nil"/>
              <w:bottom w:val="double" w:sz="6" w:space="0" w:color="auto"/>
              <w:right w:val="single" w:sz="4" w:space="0" w:color="auto"/>
            </w:tcBorders>
            <w:shd w:val="clear" w:color="auto" w:fill="auto"/>
            <w:noWrap/>
            <w:vAlign w:val="bottom"/>
          </w:tcPr>
          <w:p w:rsidR="00E403CE" w:rsidRDefault="00E403CE" w:rsidP="00E403CE">
            <w:pPr>
              <w:rPr>
                <w:rFonts w:ascii="Arial" w:hAnsi="Arial" w:cs="Arial"/>
                <w:b/>
                <w:bCs/>
                <w:color w:val="000000"/>
                <w:sz w:val="16"/>
                <w:szCs w:val="16"/>
              </w:rPr>
            </w:pPr>
            <w:r>
              <w:rPr>
                <w:rFonts w:ascii="Arial" w:hAnsi="Arial" w:cs="Arial"/>
                <w:b/>
                <w:bCs/>
                <w:color w:val="000000"/>
                <w:sz w:val="16"/>
                <w:szCs w:val="16"/>
              </w:rPr>
              <w:t> </w:t>
            </w:r>
          </w:p>
        </w:tc>
        <w:tc>
          <w:tcPr>
            <w:tcW w:w="1200" w:type="dxa"/>
            <w:tcBorders>
              <w:top w:val="nil"/>
              <w:left w:val="nil"/>
              <w:bottom w:val="double" w:sz="6" w:space="0" w:color="auto"/>
              <w:right w:val="single" w:sz="4" w:space="0" w:color="auto"/>
            </w:tcBorders>
            <w:shd w:val="clear" w:color="auto" w:fill="auto"/>
            <w:noWrap/>
            <w:vAlign w:val="bottom"/>
          </w:tcPr>
          <w:p w:rsidR="00E403CE" w:rsidRDefault="00E403CE" w:rsidP="00E403CE">
            <w:pPr>
              <w:rPr>
                <w:rFonts w:ascii="Arial" w:hAnsi="Arial" w:cs="Arial"/>
                <w:b/>
                <w:bCs/>
                <w:sz w:val="16"/>
                <w:szCs w:val="16"/>
              </w:rPr>
            </w:pPr>
            <w:r>
              <w:rPr>
                <w:rFonts w:ascii="Arial" w:hAnsi="Arial" w:cs="Arial"/>
                <w:b/>
                <w:bCs/>
                <w:sz w:val="16"/>
                <w:szCs w:val="16"/>
              </w:rPr>
              <w:t> </w:t>
            </w:r>
          </w:p>
        </w:tc>
        <w:tc>
          <w:tcPr>
            <w:tcW w:w="1196" w:type="dxa"/>
            <w:tcBorders>
              <w:top w:val="nil"/>
              <w:left w:val="nil"/>
              <w:bottom w:val="double" w:sz="6" w:space="0" w:color="auto"/>
              <w:right w:val="double" w:sz="6" w:space="0" w:color="auto"/>
            </w:tcBorders>
            <w:shd w:val="clear" w:color="auto" w:fill="auto"/>
            <w:noWrap/>
            <w:vAlign w:val="bottom"/>
          </w:tcPr>
          <w:p w:rsidR="00E403CE" w:rsidRDefault="00E403CE" w:rsidP="00E403CE">
            <w:pPr>
              <w:rPr>
                <w:rFonts w:ascii="Arial" w:hAnsi="Arial" w:cs="Arial"/>
                <w:b/>
                <w:bCs/>
                <w:sz w:val="16"/>
                <w:szCs w:val="16"/>
              </w:rPr>
            </w:pPr>
            <w:r>
              <w:rPr>
                <w:rFonts w:ascii="Arial" w:hAnsi="Arial" w:cs="Arial"/>
                <w:b/>
                <w:bCs/>
                <w:sz w:val="16"/>
                <w:szCs w:val="16"/>
              </w:rPr>
              <w:t> </w:t>
            </w:r>
          </w:p>
        </w:tc>
      </w:tr>
    </w:tbl>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r>
        <w:rPr>
          <w:rFonts w:ascii="CG Times" w:hAnsi="CG Times"/>
          <w:sz w:val="22"/>
          <w:szCs w:val="22"/>
        </w:rPr>
        <w:t xml:space="preserve">                  Tab. 2 </w:t>
      </w:r>
    </w:p>
    <w:tbl>
      <w:tblPr>
        <w:tblW w:w="6773" w:type="dxa"/>
        <w:jc w:val="center"/>
        <w:tblLook w:val="0000" w:firstRow="0" w:lastRow="0" w:firstColumn="0" w:lastColumn="0" w:noHBand="0" w:noVBand="0"/>
      </w:tblPr>
      <w:tblGrid>
        <w:gridCol w:w="385"/>
        <w:gridCol w:w="2875"/>
        <w:gridCol w:w="1361"/>
        <w:gridCol w:w="1176"/>
        <w:gridCol w:w="976"/>
      </w:tblGrid>
      <w:tr w:rsidR="00E403CE">
        <w:trPr>
          <w:trHeight w:val="162"/>
          <w:jc w:val="center"/>
        </w:trPr>
        <w:tc>
          <w:tcPr>
            <w:tcW w:w="385" w:type="dxa"/>
            <w:tcBorders>
              <w:top w:val="nil"/>
              <w:left w:val="nil"/>
              <w:bottom w:val="nil"/>
              <w:right w:val="nil"/>
            </w:tcBorders>
            <w:shd w:val="clear" w:color="auto" w:fill="auto"/>
            <w:noWrap/>
            <w:vAlign w:val="bottom"/>
          </w:tcPr>
          <w:p w:rsidR="00E403CE" w:rsidRDefault="00E403CE" w:rsidP="00E403CE">
            <w:pPr>
              <w:rPr>
                <w:rFonts w:ascii="Arial" w:hAnsi="Arial" w:cs="Arial"/>
                <w:sz w:val="16"/>
                <w:szCs w:val="16"/>
              </w:rPr>
            </w:pPr>
          </w:p>
        </w:tc>
        <w:tc>
          <w:tcPr>
            <w:tcW w:w="4236" w:type="dxa"/>
            <w:gridSpan w:val="2"/>
            <w:tcBorders>
              <w:top w:val="nil"/>
              <w:left w:val="nil"/>
              <w:bottom w:val="nil"/>
              <w:right w:val="nil"/>
            </w:tcBorders>
            <w:shd w:val="clear" w:color="auto" w:fill="auto"/>
            <w:noWrap/>
            <w:vAlign w:val="bottom"/>
          </w:tcPr>
          <w:p w:rsidR="00E403CE" w:rsidRDefault="00E403CE" w:rsidP="00E403CE">
            <w:pPr>
              <w:rPr>
                <w:rFonts w:ascii="Arial" w:hAnsi="Arial" w:cs="Arial"/>
                <w:b/>
                <w:bCs/>
                <w:sz w:val="16"/>
                <w:szCs w:val="16"/>
              </w:rPr>
            </w:pPr>
            <w:r>
              <w:rPr>
                <w:rFonts w:ascii="Arial" w:hAnsi="Arial" w:cs="Arial"/>
                <w:b/>
                <w:bCs/>
                <w:sz w:val="16"/>
                <w:szCs w:val="16"/>
              </w:rPr>
              <w:t>Buxheti i vitit 2008 per Pushtetin Gjyqesor</w:t>
            </w:r>
          </w:p>
        </w:tc>
        <w:tc>
          <w:tcPr>
            <w:tcW w:w="1176" w:type="dxa"/>
            <w:tcBorders>
              <w:top w:val="nil"/>
              <w:left w:val="nil"/>
              <w:bottom w:val="nil"/>
              <w:right w:val="nil"/>
            </w:tcBorders>
            <w:shd w:val="clear" w:color="auto" w:fill="auto"/>
            <w:noWrap/>
            <w:vAlign w:val="bottom"/>
          </w:tcPr>
          <w:p w:rsidR="00E403CE" w:rsidRDefault="00E403CE" w:rsidP="00E403CE">
            <w:pPr>
              <w:rPr>
                <w:rFonts w:ascii="Arial" w:hAnsi="Arial" w:cs="Arial"/>
                <w:sz w:val="16"/>
                <w:szCs w:val="16"/>
              </w:rPr>
            </w:pPr>
          </w:p>
        </w:tc>
        <w:tc>
          <w:tcPr>
            <w:tcW w:w="976" w:type="dxa"/>
            <w:tcBorders>
              <w:top w:val="nil"/>
              <w:left w:val="nil"/>
              <w:bottom w:val="nil"/>
              <w:right w:val="nil"/>
            </w:tcBorders>
            <w:shd w:val="clear" w:color="auto" w:fill="auto"/>
            <w:noWrap/>
            <w:vAlign w:val="bottom"/>
          </w:tcPr>
          <w:p w:rsidR="00E403CE" w:rsidRDefault="00E403CE" w:rsidP="00E403CE">
            <w:pPr>
              <w:rPr>
                <w:rFonts w:ascii="Arial" w:hAnsi="Arial" w:cs="Arial"/>
                <w:sz w:val="16"/>
                <w:szCs w:val="16"/>
              </w:rPr>
            </w:pPr>
          </w:p>
        </w:tc>
      </w:tr>
      <w:tr w:rsidR="00E403CE">
        <w:trPr>
          <w:trHeight w:val="162"/>
          <w:jc w:val="center"/>
        </w:trPr>
        <w:tc>
          <w:tcPr>
            <w:tcW w:w="385" w:type="dxa"/>
            <w:tcBorders>
              <w:top w:val="nil"/>
              <w:left w:val="nil"/>
              <w:bottom w:val="nil"/>
              <w:right w:val="nil"/>
            </w:tcBorders>
            <w:shd w:val="clear" w:color="auto" w:fill="auto"/>
            <w:noWrap/>
            <w:vAlign w:val="bottom"/>
          </w:tcPr>
          <w:p w:rsidR="00E403CE" w:rsidRDefault="00E403CE" w:rsidP="00E403CE">
            <w:pPr>
              <w:rPr>
                <w:rFonts w:ascii="Arial" w:hAnsi="Arial" w:cs="Arial"/>
                <w:sz w:val="16"/>
                <w:szCs w:val="16"/>
              </w:rPr>
            </w:pPr>
          </w:p>
        </w:tc>
        <w:tc>
          <w:tcPr>
            <w:tcW w:w="2875" w:type="dxa"/>
            <w:tcBorders>
              <w:top w:val="nil"/>
              <w:left w:val="nil"/>
              <w:bottom w:val="nil"/>
              <w:right w:val="nil"/>
            </w:tcBorders>
            <w:shd w:val="clear" w:color="auto" w:fill="auto"/>
            <w:noWrap/>
            <w:vAlign w:val="bottom"/>
          </w:tcPr>
          <w:p w:rsidR="00E403CE" w:rsidRDefault="00E403CE" w:rsidP="00E403CE">
            <w:pPr>
              <w:rPr>
                <w:rFonts w:ascii="Arial" w:hAnsi="Arial" w:cs="Arial"/>
                <w:sz w:val="16"/>
                <w:szCs w:val="16"/>
              </w:rPr>
            </w:pPr>
          </w:p>
        </w:tc>
        <w:tc>
          <w:tcPr>
            <w:tcW w:w="1361" w:type="dxa"/>
            <w:tcBorders>
              <w:top w:val="nil"/>
              <w:left w:val="nil"/>
              <w:bottom w:val="nil"/>
              <w:right w:val="nil"/>
            </w:tcBorders>
            <w:shd w:val="clear" w:color="auto" w:fill="auto"/>
            <w:noWrap/>
            <w:vAlign w:val="bottom"/>
          </w:tcPr>
          <w:p w:rsidR="00E403CE" w:rsidRDefault="00E403CE" w:rsidP="00E403CE">
            <w:pPr>
              <w:rPr>
                <w:rFonts w:ascii="Arial" w:hAnsi="Arial" w:cs="Arial"/>
                <w:sz w:val="16"/>
                <w:szCs w:val="16"/>
              </w:rPr>
            </w:pPr>
          </w:p>
        </w:tc>
        <w:tc>
          <w:tcPr>
            <w:tcW w:w="1176" w:type="dxa"/>
            <w:tcBorders>
              <w:top w:val="nil"/>
              <w:left w:val="nil"/>
              <w:bottom w:val="nil"/>
              <w:right w:val="nil"/>
            </w:tcBorders>
            <w:shd w:val="clear" w:color="auto" w:fill="auto"/>
            <w:noWrap/>
            <w:vAlign w:val="bottom"/>
          </w:tcPr>
          <w:p w:rsidR="00E403CE" w:rsidRDefault="00E403CE" w:rsidP="00E403CE">
            <w:pPr>
              <w:rPr>
                <w:rFonts w:ascii="Arial" w:hAnsi="Arial" w:cs="Arial"/>
                <w:b/>
                <w:bCs/>
                <w:i/>
                <w:iCs/>
                <w:sz w:val="16"/>
                <w:szCs w:val="16"/>
              </w:rPr>
            </w:pPr>
            <w:r>
              <w:rPr>
                <w:rFonts w:ascii="Arial" w:hAnsi="Arial" w:cs="Arial"/>
                <w:b/>
                <w:bCs/>
                <w:i/>
                <w:iCs/>
                <w:sz w:val="16"/>
                <w:szCs w:val="16"/>
              </w:rPr>
              <w:t>ne 000/leke</w:t>
            </w:r>
          </w:p>
        </w:tc>
        <w:tc>
          <w:tcPr>
            <w:tcW w:w="976" w:type="dxa"/>
            <w:tcBorders>
              <w:top w:val="nil"/>
              <w:left w:val="nil"/>
              <w:bottom w:val="nil"/>
              <w:right w:val="nil"/>
            </w:tcBorders>
            <w:shd w:val="clear" w:color="auto" w:fill="auto"/>
            <w:noWrap/>
            <w:vAlign w:val="bottom"/>
          </w:tcPr>
          <w:p w:rsidR="00E403CE" w:rsidRDefault="00E403CE" w:rsidP="00E403CE">
            <w:pPr>
              <w:rPr>
                <w:rFonts w:ascii="Arial" w:hAnsi="Arial" w:cs="Arial"/>
                <w:sz w:val="16"/>
                <w:szCs w:val="16"/>
              </w:rPr>
            </w:pPr>
          </w:p>
        </w:tc>
      </w:tr>
      <w:tr w:rsidR="00E403CE">
        <w:trPr>
          <w:trHeight w:val="162"/>
          <w:jc w:val="center"/>
        </w:trPr>
        <w:tc>
          <w:tcPr>
            <w:tcW w:w="385" w:type="dxa"/>
            <w:tcBorders>
              <w:top w:val="double" w:sz="6" w:space="0" w:color="auto"/>
              <w:left w:val="double" w:sz="6" w:space="0" w:color="auto"/>
              <w:bottom w:val="nil"/>
              <w:right w:val="nil"/>
            </w:tcBorders>
            <w:shd w:val="clear" w:color="auto" w:fill="auto"/>
            <w:noWrap/>
            <w:vAlign w:val="bottom"/>
          </w:tcPr>
          <w:p w:rsidR="00E403CE" w:rsidRDefault="00E403CE" w:rsidP="00E403CE">
            <w:pPr>
              <w:rPr>
                <w:rFonts w:ascii="Arial" w:hAnsi="Arial" w:cs="Arial"/>
                <w:sz w:val="16"/>
                <w:szCs w:val="16"/>
              </w:rPr>
            </w:pPr>
            <w:r>
              <w:rPr>
                <w:rFonts w:ascii="Arial" w:hAnsi="Arial" w:cs="Arial"/>
                <w:sz w:val="16"/>
                <w:szCs w:val="16"/>
              </w:rPr>
              <w:t>Nr</w:t>
            </w:r>
          </w:p>
        </w:tc>
        <w:tc>
          <w:tcPr>
            <w:tcW w:w="2875" w:type="dxa"/>
            <w:tcBorders>
              <w:top w:val="double" w:sz="6" w:space="0" w:color="auto"/>
              <w:left w:val="single" w:sz="4" w:space="0" w:color="auto"/>
              <w:bottom w:val="single" w:sz="4" w:space="0" w:color="auto"/>
              <w:right w:val="single" w:sz="4" w:space="0" w:color="auto"/>
            </w:tcBorders>
            <w:shd w:val="clear" w:color="auto" w:fill="auto"/>
            <w:vAlign w:val="bottom"/>
          </w:tcPr>
          <w:p w:rsidR="00E403CE" w:rsidRDefault="00E403CE" w:rsidP="00E403CE">
            <w:pPr>
              <w:rPr>
                <w:rFonts w:ascii="Arial" w:hAnsi="Arial" w:cs="Arial"/>
                <w:b/>
                <w:bCs/>
                <w:sz w:val="16"/>
                <w:szCs w:val="16"/>
              </w:rPr>
            </w:pPr>
            <w:r>
              <w:rPr>
                <w:rFonts w:ascii="Arial" w:hAnsi="Arial" w:cs="Arial"/>
                <w:b/>
                <w:bCs/>
                <w:sz w:val="16"/>
                <w:szCs w:val="16"/>
              </w:rPr>
              <w:t>Emertimi</w:t>
            </w:r>
          </w:p>
        </w:tc>
        <w:tc>
          <w:tcPr>
            <w:tcW w:w="1361" w:type="dxa"/>
            <w:tcBorders>
              <w:top w:val="double" w:sz="6" w:space="0" w:color="auto"/>
              <w:left w:val="nil"/>
              <w:bottom w:val="single" w:sz="4" w:space="0" w:color="auto"/>
              <w:right w:val="single" w:sz="4" w:space="0" w:color="auto"/>
            </w:tcBorders>
            <w:shd w:val="clear" w:color="auto" w:fill="auto"/>
            <w:vAlign w:val="bottom"/>
          </w:tcPr>
          <w:p w:rsidR="00E403CE" w:rsidRDefault="00E403CE" w:rsidP="00E403CE">
            <w:pPr>
              <w:rPr>
                <w:rFonts w:ascii="Arial" w:hAnsi="Arial" w:cs="Arial"/>
                <w:b/>
                <w:bCs/>
                <w:sz w:val="16"/>
                <w:szCs w:val="16"/>
              </w:rPr>
            </w:pPr>
            <w:r>
              <w:rPr>
                <w:rFonts w:ascii="Arial" w:hAnsi="Arial" w:cs="Arial"/>
                <w:b/>
                <w:bCs/>
                <w:sz w:val="16"/>
                <w:szCs w:val="16"/>
              </w:rPr>
              <w:t>Korente</w:t>
            </w:r>
          </w:p>
        </w:tc>
        <w:tc>
          <w:tcPr>
            <w:tcW w:w="1176" w:type="dxa"/>
            <w:tcBorders>
              <w:top w:val="double" w:sz="6" w:space="0" w:color="auto"/>
              <w:left w:val="nil"/>
              <w:bottom w:val="single" w:sz="4" w:space="0" w:color="auto"/>
              <w:right w:val="single" w:sz="4" w:space="0" w:color="auto"/>
            </w:tcBorders>
            <w:shd w:val="clear" w:color="auto" w:fill="auto"/>
            <w:vAlign w:val="bottom"/>
          </w:tcPr>
          <w:p w:rsidR="00E403CE" w:rsidRDefault="00E403CE" w:rsidP="00E403CE">
            <w:pPr>
              <w:rPr>
                <w:rFonts w:ascii="Arial" w:hAnsi="Arial" w:cs="Arial"/>
                <w:b/>
                <w:bCs/>
                <w:sz w:val="16"/>
                <w:szCs w:val="16"/>
              </w:rPr>
            </w:pPr>
            <w:r>
              <w:rPr>
                <w:rFonts w:ascii="Arial" w:hAnsi="Arial" w:cs="Arial"/>
                <w:b/>
                <w:bCs/>
                <w:sz w:val="16"/>
                <w:szCs w:val="16"/>
              </w:rPr>
              <w:t>Investime</w:t>
            </w:r>
          </w:p>
        </w:tc>
        <w:tc>
          <w:tcPr>
            <w:tcW w:w="976" w:type="dxa"/>
            <w:tcBorders>
              <w:top w:val="double" w:sz="6" w:space="0" w:color="auto"/>
              <w:left w:val="nil"/>
              <w:bottom w:val="single" w:sz="4" w:space="0" w:color="auto"/>
              <w:right w:val="double" w:sz="6" w:space="0" w:color="auto"/>
            </w:tcBorders>
            <w:shd w:val="clear" w:color="auto" w:fill="auto"/>
            <w:vAlign w:val="bottom"/>
          </w:tcPr>
          <w:p w:rsidR="00E403CE" w:rsidRDefault="00E403CE" w:rsidP="00E403CE">
            <w:pPr>
              <w:rPr>
                <w:rFonts w:ascii="Arial" w:hAnsi="Arial" w:cs="Arial"/>
                <w:b/>
                <w:bCs/>
                <w:sz w:val="16"/>
                <w:szCs w:val="16"/>
              </w:rPr>
            </w:pPr>
            <w:r>
              <w:rPr>
                <w:rFonts w:ascii="Arial" w:hAnsi="Arial" w:cs="Arial"/>
                <w:b/>
                <w:bCs/>
                <w:sz w:val="16"/>
                <w:szCs w:val="16"/>
              </w:rPr>
              <w:t>Totali</w:t>
            </w:r>
          </w:p>
        </w:tc>
      </w:tr>
      <w:tr w:rsidR="00E403CE">
        <w:trPr>
          <w:trHeight w:val="162"/>
          <w:jc w:val="center"/>
        </w:trPr>
        <w:tc>
          <w:tcPr>
            <w:tcW w:w="385" w:type="dxa"/>
            <w:tcBorders>
              <w:top w:val="single" w:sz="4" w:space="0" w:color="auto"/>
              <w:left w:val="double" w:sz="6" w:space="0" w:color="auto"/>
              <w:bottom w:val="dotted" w:sz="4" w:space="0" w:color="auto"/>
              <w:right w:val="single" w:sz="4" w:space="0" w:color="auto"/>
            </w:tcBorders>
            <w:shd w:val="clear" w:color="auto" w:fill="auto"/>
            <w:vAlign w:val="bottom"/>
          </w:tcPr>
          <w:p w:rsidR="00E403CE" w:rsidRDefault="00E403CE" w:rsidP="00E403CE">
            <w:pPr>
              <w:jc w:val="right"/>
              <w:rPr>
                <w:rFonts w:ascii="Arial" w:hAnsi="Arial" w:cs="Arial"/>
                <w:color w:val="000000"/>
                <w:sz w:val="16"/>
                <w:szCs w:val="16"/>
              </w:rPr>
            </w:pPr>
            <w:r>
              <w:rPr>
                <w:rFonts w:ascii="Arial" w:hAnsi="Arial" w:cs="Arial"/>
                <w:color w:val="000000"/>
                <w:sz w:val="16"/>
                <w:szCs w:val="16"/>
              </w:rPr>
              <w:t>1</w:t>
            </w:r>
          </w:p>
        </w:tc>
        <w:tc>
          <w:tcPr>
            <w:tcW w:w="2875" w:type="dxa"/>
            <w:tcBorders>
              <w:top w:val="nil"/>
              <w:left w:val="nil"/>
              <w:bottom w:val="dotted" w:sz="4" w:space="0" w:color="auto"/>
              <w:right w:val="nil"/>
            </w:tcBorders>
            <w:shd w:val="clear" w:color="auto" w:fill="auto"/>
            <w:vAlign w:val="bottom"/>
          </w:tcPr>
          <w:p w:rsidR="00E403CE" w:rsidRDefault="00E403CE" w:rsidP="00E403CE">
            <w:pPr>
              <w:rPr>
                <w:rFonts w:ascii="Arial" w:hAnsi="Arial" w:cs="Arial"/>
                <w:color w:val="000000"/>
                <w:sz w:val="16"/>
                <w:szCs w:val="16"/>
              </w:rPr>
            </w:pPr>
            <w:r>
              <w:rPr>
                <w:rFonts w:ascii="Arial" w:hAnsi="Arial" w:cs="Arial"/>
                <w:color w:val="000000"/>
                <w:sz w:val="16"/>
                <w:szCs w:val="16"/>
              </w:rPr>
              <w:t>Gjykata e Larte</w:t>
            </w:r>
          </w:p>
        </w:tc>
        <w:tc>
          <w:tcPr>
            <w:tcW w:w="1361" w:type="dxa"/>
            <w:tcBorders>
              <w:top w:val="nil"/>
              <w:left w:val="single" w:sz="4" w:space="0" w:color="auto"/>
              <w:bottom w:val="dotted" w:sz="4" w:space="0" w:color="auto"/>
              <w:right w:val="single" w:sz="4" w:space="0" w:color="auto"/>
            </w:tcBorders>
            <w:shd w:val="clear" w:color="auto" w:fill="auto"/>
            <w:noWrap/>
            <w:vAlign w:val="bottom"/>
          </w:tcPr>
          <w:p w:rsidR="00E403CE" w:rsidRDefault="00E403CE" w:rsidP="00E403CE">
            <w:pPr>
              <w:jc w:val="right"/>
              <w:rPr>
                <w:rFonts w:ascii="Arial" w:hAnsi="Arial" w:cs="Arial"/>
                <w:sz w:val="16"/>
                <w:szCs w:val="16"/>
              </w:rPr>
            </w:pPr>
            <w:r>
              <w:rPr>
                <w:rFonts w:ascii="Arial" w:hAnsi="Arial" w:cs="Arial"/>
                <w:sz w:val="16"/>
                <w:szCs w:val="16"/>
              </w:rPr>
              <w:t>173.000</w:t>
            </w:r>
          </w:p>
        </w:tc>
        <w:tc>
          <w:tcPr>
            <w:tcW w:w="1176" w:type="dxa"/>
            <w:tcBorders>
              <w:top w:val="nil"/>
              <w:left w:val="nil"/>
              <w:bottom w:val="dotted" w:sz="4" w:space="0" w:color="auto"/>
              <w:right w:val="single" w:sz="4" w:space="0" w:color="auto"/>
            </w:tcBorders>
            <w:shd w:val="clear" w:color="auto" w:fill="auto"/>
            <w:noWrap/>
            <w:vAlign w:val="bottom"/>
          </w:tcPr>
          <w:p w:rsidR="00E403CE" w:rsidRDefault="00E403CE" w:rsidP="00E403CE">
            <w:pPr>
              <w:jc w:val="right"/>
              <w:rPr>
                <w:rFonts w:ascii="Arial" w:hAnsi="Arial" w:cs="Arial"/>
                <w:sz w:val="16"/>
                <w:szCs w:val="16"/>
              </w:rPr>
            </w:pPr>
            <w:r>
              <w:rPr>
                <w:rFonts w:ascii="Arial" w:hAnsi="Arial" w:cs="Arial"/>
                <w:sz w:val="16"/>
                <w:szCs w:val="16"/>
              </w:rPr>
              <w:t>6.400</w:t>
            </w:r>
          </w:p>
        </w:tc>
        <w:tc>
          <w:tcPr>
            <w:tcW w:w="976" w:type="dxa"/>
            <w:tcBorders>
              <w:top w:val="nil"/>
              <w:left w:val="nil"/>
              <w:bottom w:val="dotted" w:sz="4" w:space="0" w:color="auto"/>
              <w:right w:val="double" w:sz="6" w:space="0" w:color="auto"/>
            </w:tcBorders>
            <w:shd w:val="clear" w:color="auto" w:fill="auto"/>
            <w:noWrap/>
            <w:vAlign w:val="bottom"/>
          </w:tcPr>
          <w:p w:rsidR="00E403CE" w:rsidRDefault="00E403CE" w:rsidP="00E403CE">
            <w:pPr>
              <w:jc w:val="right"/>
              <w:rPr>
                <w:rFonts w:ascii="Arial" w:hAnsi="Arial" w:cs="Arial"/>
                <w:sz w:val="16"/>
                <w:szCs w:val="16"/>
              </w:rPr>
            </w:pPr>
            <w:r>
              <w:rPr>
                <w:rFonts w:ascii="Arial" w:hAnsi="Arial" w:cs="Arial"/>
                <w:sz w:val="16"/>
                <w:szCs w:val="16"/>
              </w:rPr>
              <w:t>179.400</w:t>
            </w:r>
          </w:p>
        </w:tc>
      </w:tr>
      <w:tr w:rsidR="00E403CE">
        <w:trPr>
          <w:trHeight w:val="162"/>
          <w:jc w:val="center"/>
        </w:trPr>
        <w:tc>
          <w:tcPr>
            <w:tcW w:w="385" w:type="dxa"/>
            <w:tcBorders>
              <w:top w:val="nil"/>
              <w:left w:val="double" w:sz="6" w:space="0" w:color="auto"/>
              <w:bottom w:val="dotted" w:sz="4" w:space="0" w:color="auto"/>
              <w:right w:val="single" w:sz="4" w:space="0" w:color="auto"/>
            </w:tcBorders>
            <w:shd w:val="clear" w:color="auto" w:fill="auto"/>
            <w:vAlign w:val="bottom"/>
          </w:tcPr>
          <w:p w:rsidR="00E403CE" w:rsidRDefault="00E403CE" w:rsidP="00E403CE">
            <w:pPr>
              <w:jc w:val="right"/>
              <w:rPr>
                <w:rFonts w:ascii="Arial" w:hAnsi="Arial" w:cs="Arial"/>
                <w:color w:val="000000"/>
                <w:sz w:val="16"/>
                <w:szCs w:val="16"/>
              </w:rPr>
            </w:pPr>
            <w:r>
              <w:rPr>
                <w:rFonts w:ascii="Arial" w:hAnsi="Arial" w:cs="Arial"/>
                <w:color w:val="000000"/>
                <w:sz w:val="16"/>
                <w:szCs w:val="16"/>
              </w:rPr>
              <w:t>2</w:t>
            </w:r>
          </w:p>
        </w:tc>
        <w:tc>
          <w:tcPr>
            <w:tcW w:w="2875" w:type="dxa"/>
            <w:tcBorders>
              <w:top w:val="nil"/>
              <w:left w:val="nil"/>
              <w:bottom w:val="dotted" w:sz="4" w:space="0" w:color="auto"/>
              <w:right w:val="nil"/>
            </w:tcBorders>
            <w:shd w:val="clear" w:color="auto" w:fill="auto"/>
            <w:vAlign w:val="bottom"/>
          </w:tcPr>
          <w:p w:rsidR="00E403CE" w:rsidRDefault="00E403CE" w:rsidP="00E403CE">
            <w:pPr>
              <w:rPr>
                <w:rFonts w:ascii="Arial" w:hAnsi="Arial" w:cs="Arial"/>
                <w:color w:val="000000"/>
                <w:sz w:val="16"/>
                <w:szCs w:val="16"/>
              </w:rPr>
            </w:pPr>
            <w:r>
              <w:rPr>
                <w:rFonts w:ascii="Arial" w:hAnsi="Arial" w:cs="Arial"/>
                <w:color w:val="000000"/>
                <w:sz w:val="16"/>
                <w:szCs w:val="16"/>
              </w:rPr>
              <w:t>Gjykatat e Apelit</w:t>
            </w:r>
          </w:p>
        </w:tc>
        <w:tc>
          <w:tcPr>
            <w:tcW w:w="1361" w:type="dxa"/>
            <w:tcBorders>
              <w:top w:val="nil"/>
              <w:left w:val="single" w:sz="4" w:space="0" w:color="auto"/>
              <w:bottom w:val="dotted" w:sz="4" w:space="0" w:color="auto"/>
              <w:right w:val="single" w:sz="4" w:space="0" w:color="auto"/>
            </w:tcBorders>
            <w:shd w:val="clear" w:color="auto" w:fill="auto"/>
            <w:noWrap/>
            <w:vAlign w:val="bottom"/>
          </w:tcPr>
          <w:p w:rsidR="00E403CE" w:rsidRDefault="00E403CE" w:rsidP="00E403CE">
            <w:pPr>
              <w:jc w:val="right"/>
              <w:rPr>
                <w:rFonts w:ascii="Arial" w:hAnsi="Arial" w:cs="Arial"/>
                <w:sz w:val="16"/>
                <w:szCs w:val="16"/>
              </w:rPr>
            </w:pPr>
            <w:r>
              <w:rPr>
                <w:rFonts w:ascii="Arial" w:hAnsi="Arial" w:cs="Arial"/>
                <w:sz w:val="16"/>
                <w:szCs w:val="16"/>
              </w:rPr>
              <w:t>243.370</w:t>
            </w:r>
          </w:p>
        </w:tc>
        <w:tc>
          <w:tcPr>
            <w:tcW w:w="1176" w:type="dxa"/>
            <w:tcBorders>
              <w:top w:val="nil"/>
              <w:left w:val="nil"/>
              <w:bottom w:val="dotted" w:sz="4" w:space="0" w:color="auto"/>
              <w:right w:val="single" w:sz="4" w:space="0" w:color="auto"/>
            </w:tcBorders>
            <w:shd w:val="clear" w:color="auto" w:fill="auto"/>
            <w:noWrap/>
            <w:vAlign w:val="bottom"/>
          </w:tcPr>
          <w:p w:rsidR="00E403CE" w:rsidRDefault="00E403CE" w:rsidP="00E403CE">
            <w:pPr>
              <w:jc w:val="right"/>
              <w:rPr>
                <w:rFonts w:ascii="Arial" w:hAnsi="Arial" w:cs="Arial"/>
                <w:sz w:val="16"/>
                <w:szCs w:val="16"/>
              </w:rPr>
            </w:pPr>
            <w:r>
              <w:rPr>
                <w:rFonts w:ascii="Arial" w:hAnsi="Arial" w:cs="Arial"/>
                <w:sz w:val="16"/>
                <w:szCs w:val="16"/>
              </w:rPr>
              <w:t>2.700</w:t>
            </w:r>
          </w:p>
        </w:tc>
        <w:tc>
          <w:tcPr>
            <w:tcW w:w="976" w:type="dxa"/>
            <w:tcBorders>
              <w:top w:val="nil"/>
              <w:left w:val="nil"/>
              <w:bottom w:val="dotted" w:sz="4" w:space="0" w:color="auto"/>
              <w:right w:val="double" w:sz="6" w:space="0" w:color="auto"/>
            </w:tcBorders>
            <w:shd w:val="clear" w:color="auto" w:fill="auto"/>
            <w:noWrap/>
            <w:vAlign w:val="bottom"/>
          </w:tcPr>
          <w:p w:rsidR="00E403CE" w:rsidRDefault="00E403CE" w:rsidP="00E403CE">
            <w:pPr>
              <w:jc w:val="right"/>
              <w:rPr>
                <w:rFonts w:ascii="Arial" w:hAnsi="Arial" w:cs="Arial"/>
                <w:sz w:val="16"/>
                <w:szCs w:val="16"/>
              </w:rPr>
            </w:pPr>
            <w:r>
              <w:rPr>
                <w:rFonts w:ascii="Arial" w:hAnsi="Arial" w:cs="Arial"/>
                <w:sz w:val="16"/>
                <w:szCs w:val="16"/>
              </w:rPr>
              <w:t>246.070</w:t>
            </w:r>
          </w:p>
        </w:tc>
      </w:tr>
      <w:tr w:rsidR="00E403CE">
        <w:trPr>
          <w:trHeight w:val="162"/>
          <w:jc w:val="center"/>
        </w:trPr>
        <w:tc>
          <w:tcPr>
            <w:tcW w:w="385" w:type="dxa"/>
            <w:tcBorders>
              <w:top w:val="nil"/>
              <w:left w:val="double" w:sz="6" w:space="0" w:color="auto"/>
              <w:bottom w:val="dotted" w:sz="4" w:space="0" w:color="auto"/>
              <w:right w:val="single" w:sz="4" w:space="0" w:color="auto"/>
            </w:tcBorders>
            <w:shd w:val="clear" w:color="auto" w:fill="auto"/>
            <w:vAlign w:val="bottom"/>
          </w:tcPr>
          <w:p w:rsidR="00E403CE" w:rsidRDefault="00E403CE" w:rsidP="00E403CE">
            <w:pPr>
              <w:jc w:val="right"/>
              <w:rPr>
                <w:rFonts w:ascii="Arial" w:hAnsi="Arial" w:cs="Arial"/>
                <w:color w:val="000000"/>
                <w:sz w:val="16"/>
                <w:szCs w:val="16"/>
              </w:rPr>
            </w:pPr>
            <w:r>
              <w:rPr>
                <w:rFonts w:ascii="Arial" w:hAnsi="Arial" w:cs="Arial"/>
                <w:color w:val="000000"/>
                <w:sz w:val="16"/>
                <w:szCs w:val="16"/>
              </w:rPr>
              <w:t>3</w:t>
            </w:r>
          </w:p>
        </w:tc>
        <w:tc>
          <w:tcPr>
            <w:tcW w:w="2875" w:type="dxa"/>
            <w:tcBorders>
              <w:top w:val="nil"/>
              <w:left w:val="nil"/>
              <w:bottom w:val="dotted" w:sz="4" w:space="0" w:color="auto"/>
              <w:right w:val="nil"/>
            </w:tcBorders>
            <w:shd w:val="clear" w:color="auto" w:fill="auto"/>
            <w:vAlign w:val="bottom"/>
          </w:tcPr>
          <w:p w:rsidR="00E403CE" w:rsidRDefault="00E403CE" w:rsidP="00E403CE">
            <w:pPr>
              <w:rPr>
                <w:rFonts w:ascii="Arial" w:hAnsi="Arial" w:cs="Arial"/>
                <w:color w:val="000000"/>
                <w:sz w:val="16"/>
                <w:szCs w:val="16"/>
              </w:rPr>
            </w:pPr>
            <w:r>
              <w:rPr>
                <w:rFonts w:ascii="Arial" w:hAnsi="Arial" w:cs="Arial"/>
                <w:color w:val="000000"/>
                <w:sz w:val="16"/>
                <w:szCs w:val="16"/>
              </w:rPr>
              <w:t xml:space="preserve">Gjykatat e Faktit </w:t>
            </w:r>
          </w:p>
        </w:tc>
        <w:tc>
          <w:tcPr>
            <w:tcW w:w="1361" w:type="dxa"/>
            <w:tcBorders>
              <w:top w:val="nil"/>
              <w:left w:val="single" w:sz="4" w:space="0" w:color="auto"/>
              <w:bottom w:val="dotted" w:sz="4" w:space="0" w:color="auto"/>
              <w:right w:val="single" w:sz="4" w:space="0" w:color="auto"/>
            </w:tcBorders>
            <w:shd w:val="clear" w:color="auto" w:fill="auto"/>
            <w:noWrap/>
            <w:vAlign w:val="bottom"/>
          </w:tcPr>
          <w:p w:rsidR="00E403CE" w:rsidRDefault="00E403CE" w:rsidP="00E403CE">
            <w:pPr>
              <w:jc w:val="right"/>
              <w:rPr>
                <w:rFonts w:ascii="Arial" w:hAnsi="Arial" w:cs="Arial"/>
                <w:sz w:val="16"/>
                <w:szCs w:val="16"/>
              </w:rPr>
            </w:pPr>
            <w:r>
              <w:rPr>
                <w:rFonts w:ascii="Arial" w:hAnsi="Arial" w:cs="Arial"/>
                <w:sz w:val="16"/>
                <w:szCs w:val="16"/>
              </w:rPr>
              <w:t>806.140</w:t>
            </w:r>
          </w:p>
        </w:tc>
        <w:tc>
          <w:tcPr>
            <w:tcW w:w="1176" w:type="dxa"/>
            <w:tcBorders>
              <w:top w:val="nil"/>
              <w:left w:val="nil"/>
              <w:bottom w:val="dotted" w:sz="4" w:space="0" w:color="auto"/>
              <w:right w:val="single" w:sz="4" w:space="0" w:color="auto"/>
            </w:tcBorders>
            <w:shd w:val="clear" w:color="auto" w:fill="auto"/>
            <w:noWrap/>
            <w:vAlign w:val="bottom"/>
          </w:tcPr>
          <w:p w:rsidR="00E403CE" w:rsidRDefault="00E403CE" w:rsidP="00E403CE">
            <w:pPr>
              <w:jc w:val="right"/>
              <w:rPr>
                <w:rFonts w:ascii="Arial" w:hAnsi="Arial" w:cs="Arial"/>
                <w:sz w:val="16"/>
                <w:szCs w:val="16"/>
              </w:rPr>
            </w:pPr>
            <w:r>
              <w:rPr>
                <w:rFonts w:ascii="Arial" w:hAnsi="Arial" w:cs="Arial"/>
                <w:sz w:val="16"/>
                <w:szCs w:val="16"/>
              </w:rPr>
              <w:t>49.900</w:t>
            </w:r>
          </w:p>
        </w:tc>
        <w:tc>
          <w:tcPr>
            <w:tcW w:w="976" w:type="dxa"/>
            <w:tcBorders>
              <w:top w:val="nil"/>
              <w:left w:val="nil"/>
              <w:bottom w:val="dotted" w:sz="4" w:space="0" w:color="auto"/>
              <w:right w:val="double" w:sz="6" w:space="0" w:color="auto"/>
            </w:tcBorders>
            <w:shd w:val="clear" w:color="auto" w:fill="auto"/>
            <w:noWrap/>
            <w:vAlign w:val="bottom"/>
          </w:tcPr>
          <w:p w:rsidR="00E403CE" w:rsidRDefault="00E403CE" w:rsidP="00E403CE">
            <w:pPr>
              <w:jc w:val="right"/>
              <w:rPr>
                <w:rFonts w:ascii="Arial" w:hAnsi="Arial" w:cs="Arial"/>
                <w:sz w:val="16"/>
                <w:szCs w:val="16"/>
              </w:rPr>
            </w:pPr>
            <w:r>
              <w:rPr>
                <w:rFonts w:ascii="Arial" w:hAnsi="Arial" w:cs="Arial"/>
                <w:sz w:val="16"/>
                <w:szCs w:val="16"/>
              </w:rPr>
              <w:t>856.040</w:t>
            </w:r>
          </w:p>
        </w:tc>
      </w:tr>
      <w:tr w:rsidR="00E403CE">
        <w:trPr>
          <w:trHeight w:val="162"/>
          <w:jc w:val="center"/>
        </w:trPr>
        <w:tc>
          <w:tcPr>
            <w:tcW w:w="385" w:type="dxa"/>
            <w:tcBorders>
              <w:top w:val="nil"/>
              <w:left w:val="double" w:sz="6" w:space="0" w:color="auto"/>
              <w:bottom w:val="single" w:sz="4" w:space="0" w:color="auto"/>
              <w:right w:val="single" w:sz="4" w:space="0" w:color="auto"/>
            </w:tcBorders>
            <w:shd w:val="clear" w:color="auto" w:fill="auto"/>
            <w:vAlign w:val="bottom"/>
          </w:tcPr>
          <w:p w:rsidR="00E403CE" w:rsidRDefault="00E403CE" w:rsidP="00E403CE">
            <w:pPr>
              <w:jc w:val="right"/>
              <w:rPr>
                <w:rFonts w:ascii="Arial" w:hAnsi="Arial" w:cs="Arial"/>
                <w:color w:val="000000"/>
                <w:sz w:val="16"/>
                <w:szCs w:val="16"/>
              </w:rPr>
            </w:pPr>
            <w:r>
              <w:rPr>
                <w:rFonts w:ascii="Arial" w:hAnsi="Arial" w:cs="Arial"/>
                <w:color w:val="000000"/>
                <w:sz w:val="16"/>
                <w:szCs w:val="16"/>
              </w:rPr>
              <w:t>4</w:t>
            </w:r>
          </w:p>
        </w:tc>
        <w:tc>
          <w:tcPr>
            <w:tcW w:w="2875" w:type="dxa"/>
            <w:tcBorders>
              <w:top w:val="nil"/>
              <w:left w:val="nil"/>
              <w:bottom w:val="single" w:sz="4" w:space="0" w:color="auto"/>
              <w:right w:val="nil"/>
            </w:tcBorders>
            <w:shd w:val="clear" w:color="auto" w:fill="auto"/>
            <w:vAlign w:val="bottom"/>
          </w:tcPr>
          <w:p w:rsidR="00E403CE" w:rsidRDefault="00E403CE" w:rsidP="00E403CE">
            <w:pPr>
              <w:rPr>
                <w:rFonts w:ascii="Arial" w:hAnsi="Arial" w:cs="Arial"/>
                <w:color w:val="000000"/>
                <w:sz w:val="16"/>
                <w:szCs w:val="16"/>
              </w:rPr>
            </w:pPr>
            <w:r>
              <w:rPr>
                <w:rFonts w:ascii="Arial" w:hAnsi="Arial" w:cs="Arial"/>
                <w:color w:val="000000"/>
                <w:sz w:val="16"/>
                <w:szCs w:val="16"/>
              </w:rPr>
              <w:t>Z.A.B.GJ.</w:t>
            </w:r>
          </w:p>
        </w:tc>
        <w:tc>
          <w:tcPr>
            <w:tcW w:w="1361" w:type="dxa"/>
            <w:tcBorders>
              <w:top w:val="nil"/>
              <w:left w:val="single" w:sz="4" w:space="0" w:color="auto"/>
              <w:bottom w:val="single" w:sz="4" w:space="0" w:color="auto"/>
              <w:right w:val="single" w:sz="4" w:space="0" w:color="auto"/>
            </w:tcBorders>
            <w:shd w:val="clear" w:color="auto" w:fill="auto"/>
            <w:noWrap/>
            <w:vAlign w:val="bottom"/>
          </w:tcPr>
          <w:p w:rsidR="00E403CE" w:rsidRDefault="00E403CE" w:rsidP="00E403CE">
            <w:pPr>
              <w:jc w:val="right"/>
              <w:rPr>
                <w:rFonts w:ascii="Arial" w:hAnsi="Arial" w:cs="Arial"/>
                <w:sz w:val="16"/>
                <w:szCs w:val="16"/>
              </w:rPr>
            </w:pPr>
            <w:r>
              <w:rPr>
                <w:rFonts w:ascii="Arial" w:hAnsi="Arial" w:cs="Arial"/>
                <w:sz w:val="16"/>
                <w:szCs w:val="16"/>
              </w:rPr>
              <w:t>21.980</w:t>
            </w:r>
          </w:p>
        </w:tc>
        <w:tc>
          <w:tcPr>
            <w:tcW w:w="1176" w:type="dxa"/>
            <w:tcBorders>
              <w:top w:val="nil"/>
              <w:left w:val="nil"/>
              <w:bottom w:val="single" w:sz="4" w:space="0" w:color="auto"/>
              <w:right w:val="single" w:sz="4" w:space="0" w:color="auto"/>
            </w:tcBorders>
            <w:shd w:val="clear" w:color="auto" w:fill="auto"/>
            <w:noWrap/>
            <w:vAlign w:val="bottom"/>
          </w:tcPr>
          <w:p w:rsidR="00E403CE" w:rsidRDefault="00E403CE" w:rsidP="00E403CE">
            <w:pPr>
              <w:jc w:val="right"/>
              <w:rPr>
                <w:rFonts w:ascii="Arial" w:hAnsi="Arial" w:cs="Arial"/>
                <w:sz w:val="16"/>
                <w:szCs w:val="16"/>
              </w:rPr>
            </w:pPr>
            <w:r>
              <w:rPr>
                <w:rFonts w:ascii="Arial" w:hAnsi="Arial" w:cs="Arial"/>
                <w:sz w:val="16"/>
                <w:szCs w:val="16"/>
              </w:rPr>
              <w:t>1.000</w:t>
            </w:r>
          </w:p>
        </w:tc>
        <w:tc>
          <w:tcPr>
            <w:tcW w:w="976" w:type="dxa"/>
            <w:tcBorders>
              <w:top w:val="nil"/>
              <w:left w:val="nil"/>
              <w:bottom w:val="single" w:sz="4" w:space="0" w:color="auto"/>
              <w:right w:val="double" w:sz="6" w:space="0" w:color="auto"/>
            </w:tcBorders>
            <w:shd w:val="clear" w:color="auto" w:fill="auto"/>
            <w:noWrap/>
            <w:vAlign w:val="bottom"/>
          </w:tcPr>
          <w:p w:rsidR="00E403CE" w:rsidRDefault="00E403CE" w:rsidP="00E403CE">
            <w:pPr>
              <w:jc w:val="right"/>
              <w:rPr>
                <w:rFonts w:ascii="Arial" w:hAnsi="Arial" w:cs="Arial"/>
                <w:sz w:val="16"/>
                <w:szCs w:val="16"/>
              </w:rPr>
            </w:pPr>
            <w:r>
              <w:rPr>
                <w:rFonts w:ascii="Arial" w:hAnsi="Arial" w:cs="Arial"/>
                <w:sz w:val="16"/>
                <w:szCs w:val="16"/>
              </w:rPr>
              <w:t>22.980</w:t>
            </w:r>
          </w:p>
        </w:tc>
      </w:tr>
      <w:tr w:rsidR="00E403CE">
        <w:trPr>
          <w:trHeight w:val="162"/>
          <w:jc w:val="center"/>
        </w:trPr>
        <w:tc>
          <w:tcPr>
            <w:tcW w:w="385" w:type="dxa"/>
            <w:tcBorders>
              <w:top w:val="nil"/>
              <w:left w:val="double" w:sz="6" w:space="0" w:color="auto"/>
              <w:bottom w:val="double" w:sz="6" w:space="0" w:color="auto"/>
              <w:right w:val="single" w:sz="4" w:space="0" w:color="auto"/>
            </w:tcBorders>
            <w:shd w:val="clear" w:color="auto" w:fill="auto"/>
            <w:vAlign w:val="bottom"/>
          </w:tcPr>
          <w:p w:rsidR="00E403CE" w:rsidRDefault="00E403CE" w:rsidP="00E403CE">
            <w:pPr>
              <w:jc w:val="right"/>
              <w:rPr>
                <w:rFonts w:ascii="Arial" w:hAnsi="Arial" w:cs="Arial"/>
                <w:color w:val="000000"/>
                <w:sz w:val="16"/>
                <w:szCs w:val="16"/>
              </w:rPr>
            </w:pPr>
            <w:r>
              <w:rPr>
                <w:rFonts w:ascii="Arial" w:hAnsi="Arial" w:cs="Arial"/>
                <w:color w:val="000000"/>
                <w:sz w:val="16"/>
                <w:szCs w:val="16"/>
              </w:rPr>
              <w:t> </w:t>
            </w:r>
          </w:p>
        </w:tc>
        <w:tc>
          <w:tcPr>
            <w:tcW w:w="2875" w:type="dxa"/>
            <w:tcBorders>
              <w:top w:val="nil"/>
              <w:left w:val="nil"/>
              <w:bottom w:val="double" w:sz="6" w:space="0" w:color="auto"/>
              <w:right w:val="nil"/>
            </w:tcBorders>
            <w:shd w:val="clear" w:color="auto" w:fill="auto"/>
            <w:vAlign w:val="bottom"/>
          </w:tcPr>
          <w:p w:rsidR="00E403CE" w:rsidRDefault="00E403CE" w:rsidP="00E403CE">
            <w:pPr>
              <w:rPr>
                <w:rFonts w:ascii="Arial" w:hAnsi="Arial" w:cs="Arial"/>
                <w:color w:val="000000"/>
                <w:sz w:val="16"/>
                <w:szCs w:val="16"/>
              </w:rPr>
            </w:pPr>
            <w:r>
              <w:rPr>
                <w:rFonts w:ascii="Arial" w:hAnsi="Arial" w:cs="Arial"/>
                <w:color w:val="000000"/>
                <w:sz w:val="16"/>
                <w:szCs w:val="16"/>
              </w:rPr>
              <w:t>Shuma</w:t>
            </w:r>
          </w:p>
        </w:tc>
        <w:tc>
          <w:tcPr>
            <w:tcW w:w="1361" w:type="dxa"/>
            <w:tcBorders>
              <w:top w:val="nil"/>
              <w:left w:val="single" w:sz="4" w:space="0" w:color="auto"/>
              <w:bottom w:val="double" w:sz="6" w:space="0" w:color="auto"/>
              <w:right w:val="single" w:sz="4" w:space="0" w:color="auto"/>
            </w:tcBorders>
            <w:shd w:val="clear" w:color="auto" w:fill="auto"/>
            <w:noWrap/>
            <w:vAlign w:val="bottom"/>
          </w:tcPr>
          <w:p w:rsidR="00E403CE" w:rsidRDefault="00E403CE" w:rsidP="00E403CE">
            <w:pPr>
              <w:jc w:val="right"/>
              <w:rPr>
                <w:rFonts w:ascii="Arial" w:hAnsi="Arial" w:cs="Arial"/>
                <w:b/>
                <w:bCs/>
                <w:sz w:val="16"/>
                <w:szCs w:val="16"/>
              </w:rPr>
            </w:pPr>
            <w:r>
              <w:rPr>
                <w:rFonts w:ascii="Arial" w:hAnsi="Arial" w:cs="Arial"/>
                <w:b/>
                <w:bCs/>
                <w:sz w:val="16"/>
                <w:szCs w:val="16"/>
              </w:rPr>
              <w:t>1.244.490</w:t>
            </w:r>
          </w:p>
        </w:tc>
        <w:tc>
          <w:tcPr>
            <w:tcW w:w="1176" w:type="dxa"/>
            <w:tcBorders>
              <w:top w:val="nil"/>
              <w:left w:val="nil"/>
              <w:bottom w:val="double" w:sz="6" w:space="0" w:color="auto"/>
              <w:right w:val="single" w:sz="4" w:space="0" w:color="auto"/>
            </w:tcBorders>
            <w:shd w:val="clear" w:color="auto" w:fill="auto"/>
            <w:noWrap/>
            <w:vAlign w:val="bottom"/>
          </w:tcPr>
          <w:p w:rsidR="00E403CE" w:rsidRDefault="00E403CE" w:rsidP="00E403CE">
            <w:pPr>
              <w:jc w:val="right"/>
              <w:rPr>
                <w:rFonts w:ascii="Arial" w:hAnsi="Arial" w:cs="Arial"/>
                <w:b/>
                <w:bCs/>
                <w:sz w:val="16"/>
                <w:szCs w:val="16"/>
              </w:rPr>
            </w:pPr>
            <w:r>
              <w:rPr>
                <w:rFonts w:ascii="Arial" w:hAnsi="Arial" w:cs="Arial"/>
                <w:b/>
                <w:bCs/>
                <w:sz w:val="16"/>
                <w:szCs w:val="16"/>
              </w:rPr>
              <w:t>60.000</w:t>
            </w:r>
          </w:p>
        </w:tc>
        <w:tc>
          <w:tcPr>
            <w:tcW w:w="976" w:type="dxa"/>
            <w:tcBorders>
              <w:top w:val="nil"/>
              <w:left w:val="nil"/>
              <w:bottom w:val="double" w:sz="6" w:space="0" w:color="auto"/>
              <w:right w:val="double" w:sz="6" w:space="0" w:color="auto"/>
            </w:tcBorders>
            <w:shd w:val="clear" w:color="auto" w:fill="auto"/>
            <w:noWrap/>
            <w:vAlign w:val="bottom"/>
          </w:tcPr>
          <w:p w:rsidR="00E403CE" w:rsidRDefault="00E403CE" w:rsidP="00E403CE">
            <w:pPr>
              <w:jc w:val="right"/>
              <w:rPr>
                <w:rFonts w:ascii="Arial" w:hAnsi="Arial" w:cs="Arial"/>
                <w:b/>
                <w:bCs/>
                <w:sz w:val="16"/>
                <w:szCs w:val="16"/>
              </w:rPr>
            </w:pPr>
            <w:r>
              <w:rPr>
                <w:rFonts w:ascii="Arial" w:hAnsi="Arial" w:cs="Arial"/>
                <w:b/>
                <w:bCs/>
                <w:sz w:val="16"/>
                <w:szCs w:val="16"/>
              </w:rPr>
              <w:t>1.304.490</w:t>
            </w:r>
          </w:p>
        </w:tc>
      </w:tr>
    </w:tbl>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p w:rsidR="00E403CE" w:rsidRDefault="00E403CE" w:rsidP="00E403CE">
      <w:pPr>
        <w:rPr>
          <w:rFonts w:ascii="CG Times" w:hAnsi="CG Times"/>
          <w:sz w:val="22"/>
          <w:szCs w:val="22"/>
        </w:rPr>
      </w:pPr>
    </w:p>
    <w:tbl>
      <w:tblPr>
        <w:tblW w:w="0" w:type="auto"/>
        <w:jc w:val="center"/>
        <w:tblLayout w:type="fixed"/>
        <w:tblLook w:val="0000" w:firstRow="0" w:lastRow="0" w:firstColumn="0" w:lastColumn="0" w:noHBand="0" w:noVBand="0"/>
      </w:tblPr>
      <w:tblGrid>
        <w:gridCol w:w="648"/>
        <w:gridCol w:w="3080"/>
        <w:gridCol w:w="978"/>
        <w:gridCol w:w="684"/>
        <w:gridCol w:w="931"/>
        <w:gridCol w:w="2966"/>
      </w:tblGrid>
      <w:tr w:rsidR="00E403CE" w:rsidRPr="00F41C2C">
        <w:trPr>
          <w:trHeight w:val="162"/>
          <w:jc w:val="center"/>
        </w:trPr>
        <w:tc>
          <w:tcPr>
            <w:tcW w:w="648" w:type="dxa"/>
            <w:tcBorders>
              <w:top w:val="nil"/>
              <w:left w:val="nil"/>
              <w:bottom w:val="nil"/>
              <w:right w:val="nil"/>
            </w:tcBorders>
            <w:shd w:val="clear" w:color="auto" w:fill="auto"/>
            <w:noWrap/>
            <w:vAlign w:val="bottom"/>
          </w:tcPr>
          <w:p w:rsidR="00E403CE" w:rsidRPr="00F41C2C" w:rsidRDefault="00E403CE" w:rsidP="00E403CE">
            <w:pPr>
              <w:rPr>
                <w:rFonts w:ascii="Arial" w:hAnsi="Arial" w:cs="Arial"/>
                <w:sz w:val="12"/>
                <w:szCs w:val="12"/>
              </w:rPr>
            </w:pPr>
          </w:p>
        </w:tc>
        <w:tc>
          <w:tcPr>
            <w:tcW w:w="8639" w:type="dxa"/>
            <w:gridSpan w:val="5"/>
            <w:tcBorders>
              <w:top w:val="nil"/>
              <w:left w:val="nil"/>
              <w:bottom w:val="nil"/>
              <w:right w:val="nil"/>
            </w:tcBorders>
            <w:shd w:val="clear" w:color="auto" w:fill="auto"/>
            <w:noWrap/>
            <w:vAlign w:val="bottom"/>
          </w:tcPr>
          <w:p w:rsidR="00E403CE" w:rsidRPr="00F41C2C" w:rsidRDefault="00E403CE" w:rsidP="00E403CE">
            <w:pPr>
              <w:jc w:val="center"/>
              <w:rPr>
                <w:rFonts w:ascii="Arial" w:hAnsi="Arial" w:cs="Arial"/>
                <w:b/>
                <w:sz w:val="12"/>
                <w:szCs w:val="12"/>
              </w:rPr>
            </w:pPr>
            <w:r w:rsidRPr="00F41C2C">
              <w:rPr>
                <w:rFonts w:ascii="Engravers MT" w:hAnsi="Engravers MT" w:cs="Arial"/>
                <w:b/>
                <w:sz w:val="12"/>
                <w:szCs w:val="12"/>
              </w:rPr>
              <w:t>TREGUESIT FISKALE TE BUXHETIT TE KONSOLIDUAR 2008</w:t>
            </w:r>
          </w:p>
        </w:tc>
      </w:tr>
      <w:tr w:rsidR="00E403CE" w:rsidRPr="00F41C2C">
        <w:trPr>
          <w:trHeight w:val="162"/>
          <w:jc w:val="center"/>
        </w:trPr>
        <w:tc>
          <w:tcPr>
            <w:tcW w:w="648" w:type="dxa"/>
            <w:tcBorders>
              <w:top w:val="nil"/>
              <w:left w:val="nil"/>
              <w:bottom w:val="nil"/>
              <w:right w:val="nil"/>
            </w:tcBorders>
            <w:shd w:val="clear" w:color="auto" w:fill="auto"/>
            <w:noWrap/>
            <w:vAlign w:val="bottom"/>
          </w:tcPr>
          <w:p w:rsidR="00E403CE" w:rsidRPr="00F41C2C" w:rsidRDefault="00E403CE" w:rsidP="00E403CE">
            <w:pPr>
              <w:rPr>
                <w:rFonts w:ascii="Bookman Old Style" w:hAnsi="Bookman Old Style" w:cs="Arial"/>
                <w:sz w:val="12"/>
                <w:szCs w:val="12"/>
              </w:rPr>
            </w:pPr>
          </w:p>
        </w:tc>
        <w:tc>
          <w:tcPr>
            <w:tcW w:w="8639" w:type="dxa"/>
            <w:gridSpan w:val="5"/>
            <w:tcBorders>
              <w:top w:val="nil"/>
              <w:left w:val="nil"/>
              <w:bottom w:val="nil"/>
              <w:right w:val="nil"/>
            </w:tcBorders>
            <w:shd w:val="clear" w:color="auto" w:fill="auto"/>
            <w:noWrap/>
            <w:vAlign w:val="bottom"/>
          </w:tcPr>
          <w:p w:rsidR="00E403CE" w:rsidRPr="00F41C2C" w:rsidRDefault="00E403CE" w:rsidP="00E403CE">
            <w:pPr>
              <w:jc w:val="center"/>
              <w:rPr>
                <w:rFonts w:ascii="Engravers MT" w:hAnsi="Engravers MT" w:cs="Arial"/>
                <w:b/>
                <w:sz w:val="12"/>
                <w:szCs w:val="12"/>
              </w:rPr>
            </w:pPr>
            <w:r w:rsidRPr="00F41C2C">
              <w:rPr>
                <w:rFonts w:ascii="Engravers MT" w:hAnsi="Engravers MT" w:cs="Arial"/>
                <w:b/>
                <w:sz w:val="12"/>
                <w:szCs w:val="12"/>
              </w:rPr>
              <w:t>(Fiscal indicators regarding consolidated budget of 2008)</w:t>
            </w:r>
          </w:p>
        </w:tc>
      </w:tr>
      <w:tr w:rsidR="00E403CE" w:rsidRPr="00F41C2C">
        <w:trPr>
          <w:trHeight w:val="80"/>
          <w:jc w:val="center"/>
        </w:trPr>
        <w:tc>
          <w:tcPr>
            <w:tcW w:w="648" w:type="dxa"/>
            <w:tcBorders>
              <w:top w:val="nil"/>
              <w:left w:val="nil"/>
              <w:bottom w:val="single" w:sz="4" w:space="0" w:color="auto"/>
              <w:right w:val="nil"/>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 </w:t>
            </w:r>
          </w:p>
        </w:tc>
        <w:tc>
          <w:tcPr>
            <w:tcW w:w="3080" w:type="dxa"/>
            <w:tcBorders>
              <w:top w:val="nil"/>
              <w:left w:val="nil"/>
              <w:bottom w:val="nil"/>
              <w:right w:val="nil"/>
            </w:tcBorders>
            <w:shd w:val="clear" w:color="auto" w:fill="auto"/>
            <w:noWrap/>
            <w:vAlign w:val="bottom"/>
          </w:tcPr>
          <w:p w:rsidR="00E403CE" w:rsidRPr="00F41C2C" w:rsidRDefault="00E403CE" w:rsidP="00E403CE">
            <w:pPr>
              <w:rPr>
                <w:rFonts w:ascii="Arial" w:hAnsi="Arial" w:cs="Arial"/>
                <w:sz w:val="12"/>
                <w:szCs w:val="12"/>
              </w:rPr>
            </w:pPr>
          </w:p>
        </w:tc>
        <w:tc>
          <w:tcPr>
            <w:tcW w:w="978" w:type="dxa"/>
            <w:tcBorders>
              <w:top w:val="nil"/>
              <w:left w:val="nil"/>
              <w:bottom w:val="nil"/>
              <w:right w:val="nil"/>
            </w:tcBorders>
            <w:shd w:val="clear" w:color="auto" w:fill="auto"/>
            <w:noWrap/>
            <w:vAlign w:val="bottom"/>
          </w:tcPr>
          <w:p w:rsidR="00E403CE" w:rsidRPr="00F41C2C" w:rsidRDefault="00E403CE" w:rsidP="00E403CE">
            <w:pPr>
              <w:jc w:val="right"/>
              <w:rPr>
                <w:rFonts w:ascii="Arial" w:hAnsi="Arial" w:cs="Arial"/>
                <w:i/>
                <w:iCs/>
                <w:sz w:val="12"/>
                <w:szCs w:val="12"/>
              </w:rPr>
            </w:pPr>
          </w:p>
        </w:tc>
        <w:tc>
          <w:tcPr>
            <w:tcW w:w="684" w:type="dxa"/>
            <w:tcBorders>
              <w:top w:val="nil"/>
              <w:left w:val="nil"/>
              <w:bottom w:val="nil"/>
              <w:right w:val="nil"/>
            </w:tcBorders>
            <w:shd w:val="clear" w:color="auto" w:fill="auto"/>
            <w:noWrap/>
            <w:vAlign w:val="bottom"/>
          </w:tcPr>
          <w:p w:rsidR="00E403CE" w:rsidRPr="00F41C2C" w:rsidRDefault="00E403CE" w:rsidP="00E403CE">
            <w:pPr>
              <w:rPr>
                <w:rFonts w:ascii="Bookman Old Style" w:hAnsi="Bookman Old Style" w:cs="Arial"/>
                <w:i/>
                <w:iCs/>
                <w:sz w:val="12"/>
                <w:szCs w:val="12"/>
              </w:rPr>
            </w:pPr>
          </w:p>
        </w:tc>
        <w:tc>
          <w:tcPr>
            <w:tcW w:w="931" w:type="dxa"/>
            <w:tcBorders>
              <w:top w:val="nil"/>
              <w:left w:val="nil"/>
              <w:bottom w:val="nil"/>
              <w:right w:val="nil"/>
            </w:tcBorders>
            <w:shd w:val="clear" w:color="auto" w:fill="auto"/>
            <w:noWrap/>
            <w:vAlign w:val="bottom"/>
          </w:tcPr>
          <w:p w:rsidR="00E403CE" w:rsidRPr="00F41C2C" w:rsidRDefault="00E403CE" w:rsidP="00E403CE">
            <w:pPr>
              <w:rPr>
                <w:rFonts w:ascii="Bookman Old Style" w:hAnsi="Bookman Old Style" w:cs="Arial"/>
                <w:i/>
                <w:iCs/>
                <w:sz w:val="12"/>
                <w:szCs w:val="12"/>
              </w:rPr>
            </w:pPr>
          </w:p>
        </w:tc>
        <w:tc>
          <w:tcPr>
            <w:tcW w:w="2966" w:type="dxa"/>
            <w:tcBorders>
              <w:top w:val="nil"/>
              <w:left w:val="nil"/>
              <w:bottom w:val="single" w:sz="4" w:space="0" w:color="auto"/>
              <w:right w:val="nil"/>
            </w:tcBorders>
            <w:shd w:val="clear" w:color="auto" w:fill="auto"/>
            <w:noWrap/>
            <w:vAlign w:val="bottom"/>
          </w:tcPr>
          <w:p w:rsidR="00E403CE" w:rsidRPr="00F41C2C" w:rsidRDefault="00E403CE" w:rsidP="00E403CE">
            <w:pPr>
              <w:jc w:val="right"/>
              <w:rPr>
                <w:rFonts w:ascii="Bookman Old Style" w:hAnsi="Bookman Old Style" w:cs="Arial"/>
                <w:i/>
                <w:iCs/>
                <w:sz w:val="12"/>
                <w:szCs w:val="12"/>
              </w:rPr>
            </w:pPr>
            <w:r w:rsidRPr="00F41C2C">
              <w:rPr>
                <w:rFonts w:ascii="Bookman Old Style" w:hAnsi="Bookman Old Style" w:cs="Arial"/>
                <w:i/>
                <w:iCs/>
                <w:sz w:val="12"/>
                <w:szCs w:val="12"/>
              </w:rPr>
              <w:t>ne milion leke (in million of leks)</w:t>
            </w:r>
          </w:p>
        </w:tc>
      </w:tr>
      <w:tr w:rsidR="00E403CE" w:rsidRPr="00F41C2C">
        <w:trPr>
          <w:trHeight w:val="237"/>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E403CE" w:rsidRPr="00F41C2C" w:rsidRDefault="00E403CE" w:rsidP="00E403CE">
            <w:pPr>
              <w:jc w:val="center"/>
              <w:rPr>
                <w:rFonts w:ascii="Bookman Old Style" w:hAnsi="Bookman Old Style" w:cs="Arial"/>
                <w:b/>
                <w:bCs/>
                <w:sz w:val="12"/>
                <w:szCs w:val="12"/>
              </w:rPr>
            </w:pPr>
            <w:r w:rsidRPr="00F41C2C">
              <w:rPr>
                <w:rFonts w:ascii="Bookman Old Style" w:hAnsi="Bookman Old Style" w:cs="Arial"/>
                <w:b/>
                <w:bCs/>
                <w:sz w:val="12"/>
                <w:szCs w:val="12"/>
              </w:rPr>
              <w:t>Nr.</w:t>
            </w:r>
          </w:p>
        </w:tc>
        <w:tc>
          <w:tcPr>
            <w:tcW w:w="3080" w:type="dxa"/>
            <w:tcBorders>
              <w:top w:val="single" w:sz="4" w:space="0" w:color="auto"/>
              <w:left w:val="nil"/>
              <w:bottom w:val="single" w:sz="4" w:space="0" w:color="auto"/>
              <w:right w:val="single" w:sz="4" w:space="0" w:color="auto"/>
            </w:tcBorders>
            <w:shd w:val="clear" w:color="auto" w:fill="auto"/>
            <w:noWrap/>
            <w:vAlign w:val="bottom"/>
          </w:tcPr>
          <w:p w:rsidR="00E403CE" w:rsidRPr="00F41C2C" w:rsidRDefault="00E403CE" w:rsidP="00E403CE">
            <w:pPr>
              <w:jc w:val="center"/>
              <w:rPr>
                <w:rFonts w:ascii="Bookman Old Style" w:hAnsi="Bookman Old Style" w:cs="Arial"/>
                <w:b/>
                <w:bCs/>
                <w:sz w:val="12"/>
                <w:szCs w:val="12"/>
              </w:rPr>
            </w:pPr>
            <w:r w:rsidRPr="00F41C2C">
              <w:rPr>
                <w:rFonts w:ascii="Bookman Old Style" w:hAnsi="Bookman Old Style" w:cs="Arial"/>
                <w:b/>
                <w:bCs/>
                <w:sz w:val="12"/>
                <w:szCs w:val="12"/>
              </w:rPr>
              <w:t>E  M  E  R  T  I  M  I</w:t>
            </w:r>
          </w:p>
        </w:tc>
        <w:tc>
          <w:tcPr>
            <w:tcW w:w="978" w:type="dxa"/>
            <w:tcBorders>
              <w:top w:val="single" w:sz="4" w:space="0" w:color="auto"/>
              <w:left w:val="nil"/>
              <w:bottom w:val="single" w:sz="4" w:space="0" w:color="auto"/>
              <w:right w:val="single" w:sz="4" w:space="0" w:color="auto"/>
            </w:tcBorders>
            <w:shd w:val="clear" w:color="auto" w:fill="auto"/>
            <w:vAlign w:val="bottom"/>
          </w:tcPr>
          <w:p w:rsidR="00E403CE" w:rsidRPr="00345115" w:rsidRDefault="00E403CE" w:rsidP="00E403CE">
            <w:pPr>
              <w:jc w:val="center"/>
              <w:rPr>
                <w:rFonts w:ascii="Bookman Old Style" w:hAnsi="Bookman Old Style" w:cs="Arial"/>
                <w:b/>
                <w:bCs/>
                <w:color w:val="000000"/>
                <w:sz w:val="12"/>
                <w:szCs w:val="12"/>
              </w:rPr>
            </w:pPr>
            <w:r w:rsidRPr="00345115">
              <w:rPr>
                <w:rFonts w:ascii="Bookman Old Style" w:hAnsi="Bookman Old Style" w:cs="Arial"/>
                <w:b/>
                <w:bCs/>
                <w:color w:val="000000"/>
                <w:sz w:val="12"/>
                <w:szCs w:val="12"/>
              </w:rPr>
              <w:t>Akt    Normativ 2008</w:t>
            </w:r>
          </w:p>
        </w:tc>
        <w:tc>
          <w:tcPr>
            <w:tcW w:w="684" w:type="dxa"/>
            <w:tcBorders>
              <w:top w:val="single" w:sz="4" w:space="0" w:color="auto"/>
              <w:left w:val="nil"/>
              <w:bottom w:val="single" w:sz="4" w:space="0" w:color="auto"/>
              <w:right w:val="single" w:sz="4" w:space="0" w:color="auto"/>
            </w:tcBorders>
            <w:shd w:val="clear" w:color="auto" w:fill="auto"/>
            <w:vAlign w:val="bottom"/>
          </w:tcPr>
          <w:p w:rsidR="00E403CE" w:rsidRPr="00345115" w:rsidRDefault="00E403CE" w:rsidP="00E403CE">
            <w:pPr>
              <w:jc w:val="center"/>
              <w:rPr>
                <w:rFonts w:ascii="Bookman Old Style" w:hAnsi="Bookman Old Style" w:cs="Arial"/>
                <w:b/>
                <w:bCs/>
                <w:color w:val="000000"/>
                <w:sz w:val="12"/>
                <w:szCs w:val="12"/>
              </w:rPr>
            </w:pPr>
            <w:r w:rsidRPr="00345115">
              <w:rPr>
                <w:rFonts w:ascii="Bookman Old Style" w:hAnsi="Bookman Old Style" w:cs="Arial"/>
                <w:b/>
                <w:bCs/>
                <w:color w:val="000000"/>
                <w:sz w:val="12"/>
                <w:szCs w:val="12"/>
              </w:rPr>
              <w:t>Ne %       te        PBB</w:t>
            </w:r>
          </w:p>
        </w:tc>
        <w:tc>
          <w:tcPr>
            <w:tcW w:w="931" w:type="dxa"/>
            <w:tcBorders>
              <w:top w:val="single" w:sz="4" w:space="0" w:color="auto"/>
              <w:left w:val="nil"/>
              <w:bottom w:val="single" w:sz="4" w:space="0" w:color="auto"/>
              <w:right w:val="single" w:sz="4" w:space="0" w:color="auto"/>
            </w:tcBorders>
            <w:shd w:val="clear" w:color="auto" w:fill="auto"/>
            <w:vAlign w:val="bottom"/>
          </w:tcPr>
          <w:p w:rsidR="00E403CE" w:rsidRPr="00345115" w:rsidRDefault="00E403CE" w:rsidP="00E403CE">
            <w:pPr>
              <w:jc w:val="center"/>
              <w:rPr>
                <w:rFonts w:ascii="Bookman Old Style" w:hAnsi="Bookman Old Style" w:cs="Arial"/>
                <w:b/>
                <w:bCs/>
                <w:color w:val="000000"/>
                <w:sz w:val="12"/>
                <w:szCs w:val="12"/>
              </w:rPr>
            </w:pPr>
            <w:r w:rsidRPr="00345115">
              <w:rPr>
                <w:rFonts w:ascii="Bookman Old Style" w:hAnsi="Bookman Old Style" w:cs="Arial"/>
                <w:b/>
                <w:bCs/>
                <w:color w:val="000000"/>
                <w:sz w:val="12"/>
                <w:szCs w:val="12"/>
              </w:rPr>
              <w:t>Diferenca</w:t>
            </w:r>
            <w:r w:rsidRPr="00345115">
              <w:rPr>
                <w:rFonts w:ascii="Bookman Old Style" w:hAnsi="Bookman Old Style" w:cs="Arial"/>
                <w:b/>
                <w:bCs/>
                <w:color w:val="000000"/>
                <w:sz w:val="12"/>
                <w:szCs w:val="12"/>
              </w:rPr>
              <w:br/>
              <w:t>absolute</w:t>
            </w:r>
          </w:p>
        </w:tc>
        <w:tc>
          <w:tcPr>
            <w:tcW w:w="2966" w:type="dxa"/>
            <w:tcBorders>
              <w:top w:val="nil"/>
              <w:left w:val="nil"/>
              <w:bottom w:val="single" w:sz="4" w:space="0" w:color="auto"/>
              <w:right w:val="single" w:sz="4" w:space="0" w:color="auto"/>
            </w:tcBorders>
            <w:shd w:val="clear" w:color="auto" w:fill="auto"/>
            <w:noWrap/>
            <w:vAlign w:val="bottom"/>
          </w:tcPr>
          <w:p w:rsidR="00E403CE" w:rsidRPr="00F41C2C" w:rsidRDefault="00E403CE" w:rsidP="00E403CE">
            <w:pPr>
              <w:jc w:val="center"/>
              <w:rPr>
                <w:rFonts w:ascii="Bookman Old Style" w:hAnsi="Bookman Old Style" w:cs="Arial"/>
                <w:b/>
                <w:bCs/>
                <w:sz w:val="12"/>
                <w:szCs w:val="12"/>
              </w:rPr>
            </w:pPr>
            <w:r w:rsidRPr="00F41C2C">
              <w:rPr>
                <w:rFonts w:ascii="Bookman Old Style" w:hAnsi="Bookman Old Style" w:cs="Arial"/>
                <w:b/>
                <w:bCs/>
                <w:sz w:val="12"/>
                <w:szCs w:val="12"/>
              </w:rPr>
              <w:t>I T E M S</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TOTALI TE ARDHURAVE</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298.220</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27.7%</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-5.563</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TOTAL REVENUE</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I.</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Te ardhura nga ndihmat</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2.507</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0.2%</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-2.163</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Grants</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Nga kjo:Mbeshtetje buxhetore(Gerdec)</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0</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0.0%</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0</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From which: Budget Support</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II.</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Te ardhura tatimore</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270.952</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25.1%</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-5.400</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Tax Revenue</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II.1</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Nga Tatimet dhe Doganat</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209.711</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19.5%</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0</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From tax offices and customs</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jc w:val="right"/>
              <w:rPr>
                <w:rFonts w:ascii="Bookman Old Style" w:hAnsi="Bookman Old Style" w:cs="Arial"/>
                <w:sz w:val="12"/>
                <w:szCs w:val="12"/>
              </w:rPr>
            </w:pPr>
            <w:r w:rsidRPr="00F41C2C">
              <w:rPr>
                <w:rFonts w:ascii="Bookman Old Style" w:hAnsi="Bookman Old Style" w:cs="Arial"/>
                <w:sz w:val="12"/>
                <w:szCs w:val="12"/>
              </w:rPr>
              <w:t xml:space="preserve">1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Tatimi mbi Vleren e Shtuar</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106.903</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9.9%</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2.000</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 xml:space="preserve">V.A.T </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jc w:val="right"/>
              <w:rPr>
                <w:rFonts w:ascii="Bookman Old Style" w:hAnsi="Bookman Old Style" w:cs="Arial"/>
                <w:sz w:val="12"/>
                <w:szCs w:val="12"/>
              </w:rPr>
            </w:pPr>
            <w:r w:rsidRPr="00F41C2C">
              <w:rPr>
                <w:rFonts w:ascii="Bookman Old Style" w:hAnsi="Bookman Old Style" w:cs="Arial"/>
                <w:sz w:val="12"/>
                <w:szCs w:val="12"/>
              </w:rPr>
              <w:t xml:space="preserve">2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Tatimi mbi Fitimin</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18.420</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1.7%</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0</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Profit Tax</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jc w:val="right"/>
              <w:rPr>
                <w:rFonts w:ascii="Bookman Old Style" w:hAnsi="Bookman Old Style" w:cs="Arial"/>
                <w:sz w:val="12"/>
                <w:szCs w:val="12"/>
              </w:rPr>
            </w:pPr>
            <w:r w:rsidRPr="00F41C2C">
              <w:rPr>
                <w:rFonts w:ascii="Bookman Old Style" w:hAnsi="Bookman Old Style" w:cs="Arial"/>
                <w:sz w:val="12"/>
                <w:szCs w:val="12"/>
              </w:rPr>
              <w:t xml:space="preserve">3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Akcizat</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35.493</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3.3%</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-2.000</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Excise Tax</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jc w:val="right"/>
              <w:rPr>
                <w:rFonts w:ascii="Bookman Old Style" w:hAnsi="Bookman Old Style" w:cs="Arial"/>
                <w:sz w:val="12"/>
                <w:szCs w:val="12"/>
              </w:rPr>
            </w:pPr>
            <w:r w:rsidRPr="00F41C2C">
              <w:rPr>
                <w:rFonts w:ascii="Bookman Old Style" w:hAnsi="Bookman Old Style" w:cs="Arial"/>
                <w:sz w:val="12"/>
                <w:szCs w:val="12"/>
              </w:rPr>
              <w:t xml:space="preserve">4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Tatimi mbi te Ardhurat Personale</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23.272</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2.2%</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0</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Personal Income Tax</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jc w:val="right"/>
              <w:rPr>
                <w:rFonts w:ascii="Bookman Old Style" w:hAnsi="Bookman Old Style" w:cs="Arial"/>
                <w:sz w:val="12"/>
                <w:szCs w:val="12"/>
              </w:rPr>
            </w:pPr>
            <w:r w:rsidRPr="00F41C2C">
              <w:rPr>
                <w:rFonts w:ascii="Bookman Old Style" w:hAnsi="Bookman Old Style" w:cs="Arial"/>
                <w:sz w:val="12"/>
                <w:szCs w:val="12"/>
              </w:rPr>
              <w:t xml:space="preserve">5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Taksa Nacionale dhe te tjera</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16.212</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1.5%</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0</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National Taxes and others</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jc w:val="right"/>
              <w:rPr>
                <w:rFonts w:ascii="Bookman Old Style" w:hAnsi="Bookman Old Style" w:cs="Arial"/>
                <w:sz w:val="12"/>
                <w:szCs w:val="12"/>
              </w:rPr>
            </w:pPr>
            <w:r w:rsidRPr="00F41C2C">
              <w:rPr>
                <w:rFonts w:ascii="Bookman Old Style" w:hAnsi="Bookman Old Style" w:cs="Arial"/>
                <w:sz w:val="12"/>
                <w:szCs w:val="12"/>
              </w:rPr>
              <w:t xml:space="preserve">6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Taksa Doganore</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9.411</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0.9%</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0</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Customs Duties</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 </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rPr>
                <w:rFonts w:ascii="Bookman Old Style" w:hAnsi="Bookman Old Style" w:cs="Arial"/>
                <w:b/>
                <w:bCs/>
                <w:color w:val="000000"/>
                <w:sz w:val="12"/>
                <w:szCs w:val="12"/>
              </w:rPr>
            </w:pPr>
            <w:r w:rsidRPr="00345115">
              <w:rPr>
                <w:rFonts w:ascii="Bookman Old Style" w:hAnsi="Bookman Old Style" w:cs="Arial"/>
                <w:b/>
                <w:bCs/>
                <w:color w:val="000000"/>
                <w:sz w:val="12"/>
                <w:szCs w:val="12"/>
              </w:rPr>
              <w:t> </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rPr>
                <w:rFonts w:ascii="Bookman Old Style" w:hAnsi="Bookman Old Style" w:cs="Arial"/>
                <w:b/>
                <w:bCs/>
                <w:color w:val="000000"/>
                <w:sz w:val="12"/>
                <w:szCs w:val="12"/>
              </w:rPr>
            </w:pPr>
            <w:r w:rsidRPr="00345115">
              <w:rPr>
                <w:rFonts w:ascii="Bookman Old Style" w:hAnsi="Bookman Old Style" w:cs="Arial"/>
                <w:b/>
                <w:bCs/>
                <w:color w:val="000000"/>
                <w:sz w:val="12"/>
                <w:szCs w:val="12"/>
              </w:rPr>
              <w:t> </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rPr>
                <w:rFonts w:ascii="Bookman Old Style" w:hAnsi="Bookman Old Style" w:cs="Arial"/>
                <w:color w:val="000000"/>
                <w:sz w:val="12"/>
                <w:szCs w:val="12"/>
              </w:rPr>
            </w:pPr>
            <w:r w:rsidRPr="00345115">
              <w:rPr>
                <w:rFonts w:ascii="Bookman Old Style" w:hAnsi="Bookman Old Style" w:cs="Arial"/>
                <w:color w:val="000000"/>
                <w:sz w:val="12"/>
                <w:szCs w:val="12"/>
              </w:rPr>
              <w:t> </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 </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II.2</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Te ardhura nga Pushteti Vendor</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13.082</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1.2%</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-2.500</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Local Taxes</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jc w:val="right"/>
              <w:rPr>
                <w:rFonts w:ascii="Bookman Old Style" w:hAnsi="Bookman Old Style" w:cs="Arial"/>
                <w:sz w:val="12"/>
                <w:szCs w:val="12"/>
              </w:rPr>
            </w:pPr>
            <w:r w:rsidRPr="00F41C2C">
              <w:rPr>
                <w:rFonts w:ascii="Bookman Old Style" w:hAnsi="Bookman Old Style" w:cs="Arial"/>
                <w:sz w:val="12"/>
                <w:szCs w:val="12"/>
              </w:rPr>
              <w:t xml:space="preserve">1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Taksa Lokale</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7.987</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0.7%</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-1.500</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Local Taxes</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jc w:val="right"/>
              <w:rPr>
                <w:rFonts w:ascii="Bookman Old Style" w:hAnsi="Bookman Old Style" w:cs="Arial"/>
                <w:sz w:val="12"/>
                <w:szCs w:val="12"/>
              </w:rPr>
            </w:pPr>
            <w:r w:rsidRPr="00F41C2C">
              <w:rPr>
                <w:rFonts w:ascii="Bookman Old Style" w:hAnsi="Bookman Old Style" w:cs="Arial"/>
                <w:sz w:val="12"/>
                <w:szCs w:val="12"/>
              </w:rPr>
              <w:t xml:space="preserve">2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Tatimi mbi Pasurine(ndertesat)</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2.136</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0.2%</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-1.000</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Property Tax</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jc w:val="right"/>
              <w:rPr>
                <w:rFonts w:ascii="Bookman Old Style" w:hAnsi="Bookman Old Style" w:cs="Arial"/>
                <w:sz w:val="12"/>
                <w:szCs w:val="12"/>
              </w:rPr>
            </w:pPr>
            <w:r w:rsidRPr="00F41C2C">
              <w:rPr>
                <w:rFonts w:ascii="Bookman Old Style" w:hAnsi="Bookman Old Style" w:cs="Arial"/>
                <w:sz w:val="12"/>
                <w:szCs w:val="12"/>
              </w:rPr>
              <w:t xml:space="preserve">3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Tatimi mbi Biznesin e vogel</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2.959</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0.3%</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0</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Small Business Tax</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II.3</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Te ardh Buxh. Pavarur (kontribute)</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48.159</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4.5%</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-2.900</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Social ins. contributions</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jc w:val="right"/>
              <w:rPr>
                <w:rFonts w:ascii="Bookman Old Style" w:hAnsi="Bookman Old Style" w:cs="Arial"/>
                <w:sz w:val="12"/>
                <w:szCs w:val="12"/>
              </w:rPr>
            </w:pPr>
            <w:r w:rsidRPr="00F41C2C">
              <w:rPr>
                <w:rFonts w:ascii="Bookman Old Style" w:hAnsi="Bookman Old Style" w:cs="Arial"/>
                <w:sz w:val="12"/>
                <w:szCs w:val="12"/>
              </w:rPr>
              <w:t xml:space="preserve">1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Sigurimi Shoqeror</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42.936</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4.0%</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-2.900</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Social Insurance</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jc w:val="right"/>
              <w:rPr>
                <w:rFonts w:ascii="Bookman Old Style" w:hAnsi="Bookman Old Style" w:cs="Arial"/>
                <w:sz w:val="12"/>
                <w:szCs w:val="12"/>
              </w:rPr>
            </w:pPr>
            <w:r w:rsidRPr="00F41C2C">
              <w:rPr>
                <w:rFonts w:ascii="Bookman Old Style" w:hAnsi="Bookman Old Style" w:cs="Arial"/>
                <w:sz w:val="12"/>
                <w:szCs w:val="12"/>
              </w:rPr>
              <w:t xml:space="preserve">2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Sigurimi Shendetesor</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5.223</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0.5%</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0</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Health insurance</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III.</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Te ardhura Jotatimore</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24.761</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2.3%</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2.000</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Nontax Revenue</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jc w:val="right"/>
              <w:rPr>
                <w:rFonts w:ascii="Bookman Old Style" w:hAnsi="Bookman Old Style" w:cs="Arial"/>
                <w:sz w:val="12"/>
                <w:szCs w:val="12"/>
              </w:rPr>
            </w:pPr>
            <w:r w:rsidRPr="00F41C2C">
              <w:rPr>
                <w:rFonts w:ascii="Bookman Old Style" w:hAnsi="Bookman Old Style" w:cs="Arial"/>
                <w:sz w:val="12"/>
                <w:szCs w:val="12"/>
              </w:rPr>
              <w:t xml:space="preserve">1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 xml:space="preserve">Tran.Fitimi nga </w:t>
            </w:r>
            <w:smartTag w:uri="urn:schemas-microsoft-com:office:smarttags" w:element="place">
              <w:r w:rsidRPr="00F41C2C">
                <w:rPr>
                  <w:rFonts w:ascii="Bookman Old Style" w:hAnsi="Bookman Old Style" w:cs="Arial"/>
                  <w:sz w:val="12"/>
                  <w:szCs w:val="12"/>
                </w:rPr>
                <w:t>Banka</w:t>
              </w:r>
            </w:smartTag>
            <w:r w:rsidRPr="00F41C2C">
              <w:rPr>
                <w:rFonts w:ascii="Bookman Old Style" w:hAnsi="Bookman Old Style" w:cs="Arial"/>
                <w:sz w:val="12"/>
                <w:szCs w:val="12"/>
              </w:rPr>
              <w:t xml:space="preserve"> e Shqiperise</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5.500</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0.5%</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0</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Profit transfer from BOA</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jc w:val="right"/>
              <w:rPr>
                <w:rFonts w:ascii="Bookman Old Style" w:hAnsi="Bookman Old Style" w:cs="Arial"/>
                <w:sz w:val="12"/>
                <w:szCs w:val="12"/>
              </w:rPr>
            </w:pPr>
            <w:r w:rsidRPr="00F41C2C">
              <w:rPr>
                <w:rFonts w:ascii="Bookman Old Style" w:hAnsi="Bookman Old Style" w:cs="Arial"/>
                <w:sz w:val="12"/>
                <w:szCs w:val="12"/>
              </w:rPr>
              <w:t xml:space="preserve">2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Te ardhura nga Institucionet Buxhetore</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10.800</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1.0%</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800</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Income of budgetary institutions</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jc w:val="right"/>
              <w:rPr>
                <w:rFonts w:ascii="Bookman Old Style" w:hAnsi="Bookman Old Style" w:cs="Arial"/>
                <w:sz w:val="12"/>
                <w:szCs w:val="12"/>
              </w:rPr>
            </w:pPr>
            <w:r w:rsidRPr="00F41C2C">
              <w:rPr>
                <w:rFonts w:ascii="Bookman Old Style" w:hAnsi="Bookman Old Style" w:cs="Arial"/>
                <w:sz w:val="12"/>
                <w:szCs w:val="12"/>
              </w:rPr>
              <w:t xml:space="preserve">3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Gerdeci</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rPr>
                <w:rFonts w:ascii="Arial" w:hAnsi="Arial" w:cs="Arial"/>
                <w:color w:val="000000"/>
                <w:sz w:val="12"/>
                <w:szCs w:val="12"/>
              </w:rPr>
            </w:pPr>
            <w:r w:rsidRPr="00345115">
              <w:rPr>
                <w:rFonts w:ascii="Arial" w:hAnsi="Arial" w:cs="Arial"/>
                <w:color w:val="000000"/>
                <w:sz w:val="12"/>
                <w:szCs w:val="12"/>
              </w:rPr>
              <w:t> </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rPr>
                <w:rFonts w:ascii="Bookman Old Style" w:hAnsi="Bookman Old Style" w:cs="Arial"/>
                <w:color w:val="000000"/>
                <w:sz w:val="12"/>
                <w:szCs w:val="12"/>
              </w:rPr>
            </w:pPr>
            <w:r w:rsidRPr="00345115">
              <w:rPr>
                <w:rFonts w:ascii="Bookman Old Style" w:hAnsi="Bookman Old Style" w:cs="Arial"/>
                <w:color w:val="000000"/>
                <w:sz w:val="12"/>
                <w:szCs w:val="12"/>
              </w:rPr>
              <w:t> </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-480</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 </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jc w:val="right"/>
              <w:rPr>
                <w:rFonts w:ascii="Bookman Old Style" w:hAnsi="Bookman Old Style" w:cs="Arial"/>
                <w:sz w:val="12"/>
                <w:szCs w:val="12"/>
              </w:rPr>
            </w:pPr>
            <w:r w:rsidRPr="00F41C2C">
              <w:rPr>
                <w:rFonts w:ascii="Bookman Old Style" w:hAnsi="Bookman Old Style" w:cs="Arial"/>
                <w:sz w:val="12"/>
                <w:szCs w:val="12"/>
              </w:rPr>
              <w:t xml:space="preserve">4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Dividenti</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5.243</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0.5%</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200</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Divident</w:t>
            </w:r>
          </w:p>
        </w:tc>
      </w:tr>
      <w:tr w:rsidR="00E403CE" w:rsidRPr="00F41C2C">
        <w:trPr>
          <w:trHeight w:val="162"/>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E403CE" w:rsidRPr="00F41C2C" w:rsidRDefault="00E403CE" w:rsidP="00E403CE">
            <w:pPr>
              <w:jc w:val="right"/>
              <w:rPr>
                <w:rFonts w:ascii="Bookman Old Style" w:hAnsi="Bookman Old Style" w:cs="Arial"/>
                <w:sz w:val="12"/>
                <w:szCs w:val="12"/>
              </w:rPr>
            </w:pPr>
            <w:r w:rsidRPr="00F41C2C">
              <w:rPr>
                <w:rFonts w:ascii="Bookman Old Style" w:hAnsi="Bookman Old Style" w:cs="Arial"/>
                <w:sz w:val="12"/>
                <w:szCs w:val="12"/>
              </w:rPr>
              <w:t xml:space="preserve">5 </w:t>
            </w:r>
          </w:p>
        </w:tc>
        <w:tc>
          <w:tcPr>
            <w:tcW w:w="3080" w:type="dxa"/>
            <w:tcBorders>
              <w:top w:val="nil"/>
              <w:left w:val="nil"/>
              <w:bottom w:val="single" w:sz="4" w:space="0" w:color="auto"/>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Te tjera</w:t>
            </w:r>
          </w:p>
        </w:tc>
        <w:tc>
          <w:tcPr>
            <w:tcW w:w="978" w:type="dxa"/>
            <w:tcBorders>
              <w:top w:val="nil"/>
              <w:left w:val="nil"/>
              <w:bottom w:val="single" w:sz="4" w:space="0" w:color="auto"/>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3.218</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0.3%</w:t>
            </w:r>
          </w:p>
        </w:tc>
        <w:tc>
          <w:tcPr>
            <w:tcW w:w="931" w:type="dxa"/>
            <w:tcBorders>
              <w:top w:val="nil"/>
              <w:left w:val="nil"/>
              <w:bottom w:val="single" w:sz="4" w:space="0" w:color="auto"/>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1.480</w:t>
            </w:r>
          </w:p>
        </w:tc>
        <w:tc>
          <w:tcPr>
            <w:tcW w:w="2966" w:type="dxa"/>
            <w:tcBorders>
              <w:top w:val="nil"/>
              <w:left w:val="nil"/>
              <w:bottom w:val="single" w:sz="4" w:space="0" w:color="auto"/>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Other/not allocated</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 </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center"/>
              <w:rPr>
                <w:rFonts w:ascii="Arial" w:hAnsi="Arial" w:cs="Arial"/>
                <w:b/>
                <w:bCs/>
                <w:color w:val="000000"/>
                <w:sz w:val="12"/>
                <w:szCs w:val="12"/>
              </w:rPr>
            </w:pPr>
            <w:r w:rsidRPr="00345115">
              <w:rPr>
                <w:rFonts w:ascii="Arial" w:hAnsi="Arial" w:cs="Arial"/>
                <w:b/>
                <w:bCs/>
                <w:color w:val="000000"/>
                <w:sz w:val="12"/>
                <w:szCs w:val="12"/>
              </w:rPr>
              <w:t> </w:t>
            </w:r>
          </w:p>
        </w:tc>
        <w:tc>
          <w:tcPr>
            <w:tcW w:w="684" w:type="dxa"/>
            <w:tcBorders>
              <w:top w:val="single" w:sz="4" w:space="0" w:color="auto"/>
              <w:left w:val="nil"/>
              <w:bottom w:val="nil"/>
              <w:right w:val="single" w:sz="4" w:space="0" w:color="auto"/>
            </w:tcBorders>
            <w:shd w:val="clear" w:color="auto" w:fill="auto"/>
            <w:noWrap/>
            <w:vAlign w:val="bottom"/>
          </w:tcPr>
          <w:p w:rsidR="00E403CE" w:rsidRPr="00345115" w:rsidRDefault="00E403CE" w:rsidP="00E403CE">
            <w:pPr>
              <w:rPr>
                <w:rFonts w:ascii="Bookman Old Style" w:hAnsi="Bookman Old Style" w:cs="Arial"/>
                <w:b/>
                <w:bCs/>
                <w:color w:val="000000"/>
                <w:sz w:val="12"/>
                <w:szCs w:val="12"/>
              </w:rPr>
            </w:pPr>
            <w:r w:rsidRPr="00345115">
              <w:rPr>
                <w:rFonts w:ascii="Bookman Old Style" w:hAnsi="Bookman Old Style" w:cs="Arial"/>
                <w:b/>
                <w:bCs/>
                <w:color w:val="000000"/>
                <w:sz w:val="12"/>
                <w:szCs w:val="12"/>
              </w:rPr>
              <w:t> </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rPr>
                <w:rFonts w:ascii="Bookman Old Style" w:hAnsi="Bookman Old Style" w:cs="Arial"/>
                <w:b/>
                <w:bCs/>
                <w:color w:val="000000"/>
                <w:sz w:val="12"/>
                <w:szCs w:val="12"/>
              </w:rPr>
            </w:pPr>
            <w:r w:rsidRPr="00345115">
              <w:rPr>
                <w:rFonts w:ascii="Bookman Old Style" w:hAnsi="Bookman Old Style" w:cs="Arial"/>
                <w:b/>
                <w:bCs/>
                <w:color w:val="000000"/>
                <w:sz w:val="12"/>
                <w:szCs w:val="12"/>
              </w:rPr>
              <w:t> </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 </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TOTALI I SHPENZIMEVE</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354.760</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32.9%</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-5.447</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TOTAL EXPENDITURE</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I.</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Shpenzime Korrente</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254.841</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23.6%</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-2.568</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Current Expenditures</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jc w:val="right"/>
              <w:rPr>
                <w:rFonts w:ascii="Bookman Old Style" w:hAnsi="Bookman Old Style" w:cs="Arial"/>
                <w:b/>
                <w:bCs/>
                <w:sz w:val="12"/>
                <w:szCs w:val="12"/>
              </w:rPr>
            </w:pPr>
            <w:r w:rsidRPr="00F41C2C">
              <w:rPr>
                <w:rFonts w:ascii="Bookman Old Style" w:hAnsi="Bookman Old Style" w:cs="Arial"/>
                <w:b/>
                <w:bCs/>
                <w:sz w:val="12"/>
                <w:szCs w:val="12"/>
              </w:rPr>
              <w:t xml:space="preserve">1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Personeli</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67.060</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6.2%</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-899</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Personnel expenditures</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Paga</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56.451</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5.2%</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-646</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Wages</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Kontributi per Sigurime Shoqerore</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10.609</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1.0%</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-252</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Social insurance contributions</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Politikat e reja pagash</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rPr>
                <w:rFonts w:ascii="Bookman Old Style" w:hAnsi="Bookman Old Style" w:cs="Arial"/>
                <w:color w:val="000000"/>
                <w:sz w:val="12"/>
                <w:szCs w:val="12"/>
              </w:rPr>
            </w:pPr>
            <w:r w:rsidRPr="00345115">
              <w:rPr>
                <w:rFonts w:ascii="Bookman Old Style" w:hAnsi="Bookman Old Style" w:cs="Arial"/>
                <w:color w:val="000000"/>
                <w:sz w:val="12"/>
                <w:szCs w:val="12"/>
              </w:rPr>
              <w:t> </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rPr>
                <w:rFonts w:ascii="Bookman Old Style" w:hAnsi="Bookman Old Style" w:cs="Arial"/>
                <w:color w:val="000000"/>
                <w:sz w:val="12"/>
                <w:szCs w:val="12"/>
              </w:rPr>
            </w:pPr>
            <w:r w:rsidRPr="00345115">
              <w:rPr>
                <w:rFonts w:ascii="Bookman Old Style" w:hAnsi="Bookman Old Style" w:cs="Arial"/>
                <w:color w:val="000000"/>
                <w:sz w:val="12"/>
                <w:szCs w:val="12"/>
              </w:rPr>
              <w:t> </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rPr>
                <w:rFonts w:ascii="Bookman Old Style" w:hAnsi="Bookman Old Style" w:cs="Arial"/>
                <w:color w:val="000000"/>
                <w:sz w:val="12"/>
                <w:szCs w:val="12"/>
              </w:rPr>
            </w:pPr>
            <w:r w:rsidRPr="00345115">
              <w:rPr>
                <w:rFonts w:ascii="Bookman Old Style" w:hAnsi="Bookman Old Style" w:cs="Arial"/>
                <w:color w:val="000000"/>
                <w:sz w:val="12"/>
                <w:szCs w:val="12"/>
              </w:rPr>
              <w:t> </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Of which; Contingency for new policies</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jc w:val="right"/>
              <w:rPr>
                <w:rFonts w:ascii="Bookman Old Style" w:hAnsi="Bookman Old Style" w:cs="Arial"/>
                <w:b/>
                <w:bCs/>
                <w:sz w:val="12"/>
                <w:szCs w:val="12"/>
              </w:rPr>
            </w:pPr>
            <w:r w:rsidRPr="00F41C2C">
              <w:rPr>
                <w:rFonts w:ascii="Bookman Old Style" w:hAnsi="Bookman Old Style" w:cs="Arial"/>
                <w:b/>
                <w:bCs/>
                <w:sz w:val="12"/>
                <w:szCs w:val="12"/>
              </w:rPr>
              <w:t xml:space="preserve">2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Interesat</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31.575</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2.9%</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-1.005</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Interest</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 xml:space="preserve"> Te Brendshme</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28.400</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2.6%</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-300</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Domestic</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 xml:space="preserve"> Te Huaja</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3.175</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0.3%</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-705</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Foreign</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jc w:val="right"/>
              <w:rPr>
                <w:rFonts w:ascii="Bookman Old Style" w:hAnsi="Bookman Old Style" w:cs="Arial"/>
                <w:b/>
                <w:bCs/>
                <w:sz w:val="12"/>
                <w:szCs w:val="12"/>
              </w:rPr>
            </w:pPr>
            <w:r w:rsidRPr="00F41C2C">
              <w:rPr>
                <w:rFonts w:ascii="Bookman Old Style" w:hAnsi="Bookman Old Style" w:cs="Arial"/>
                <w:b/>
                <w:bCs/>
                <w:sz w:val="12"/>
                <w:szCs w:val="12"/>
              </w:rPr>
              <w:t xml:space="preserve">3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Shpenzime Operative Mirembajtje</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28.079</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2.6%</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-564</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Operational &amp; Maintenance</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Nga e cila: Financim i Huaj</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225</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rPr>
                <w:rFonts w:ascii="Bookman Old Style" w:hAnsi="Bookman Old Style" w:cs="Arial"/>
                <w:b/>
                <w:bCs/>
                <w:color w:val="000000"/>
                <w:sz w:val="12"/>
                <w:szCs w:val="12"/>
              </w:rPr>
            </w:pPr>
            <w:r w:rsidRPr="00345115">
              <w:rPr>
                <w:rFonts w:ascii="Bookman Old Style" w:hAnsi="Bookman Old Style" w:cs="Arial"/>
                <w:b/>
                <w:bCs/>
                <w:color w:val="000000"/>
                <w:sz w:val="12"/>
                <w:szCs w:val="12"/>
              </w:rPr>
              <w:t> </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0</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From which: Foreign Financing</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jc w:val="right"/>
              <w:rPr>
                <w:rFonts w:ascii="Bookman Old Style" w:hAnsi="Bookman Old Style" w:cs="Arial"/>
                <w:b/>
                <w:bCs/>
                <w:sz w:val="12"/>
                <w:szCs w:val="12"/>
              </w:rPr>
            </w:pPr>
            <w:r w:rsidRPr="00F41C2C">
              <w:rPr>
                <w:rFonts w:ascii="Bookman Old Style" w:hAnsi="Bookman Old Style" w:cs="Arial"/>
                <w:b/>
                <w:bCs/>
                <w:sz w:val="12"/>
                <w:szCs w:val="12"/>
              </w:rPr>
              <w:t xml:space="preserve">4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Subvencionet</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2.566</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0.2%</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600</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Subsidies</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jc w:val="right"/>
              <w:rPr>
                <w:rFonts w:ascii="Bookman Old Style" w:hAnsi="Bookman Old Style" w:cs="Arial"/>
                <w:b/>
                <w:bCs/>
                <w:sz w:val="12"/>
                <w:szCs w:val="12"/>
              </w:rPr>
            </w:pPr>
            <w:r w:rsidRPr="00F41C2C">
              <w:rPr>
                <w:rFonts w:ascii="Bookman Old Style" w:hAnsi="Bookman Old Style" w:cs="Arial"/>
                <w:b/>
                <w:bCs/>
                <w:sz w:val="12"/>
                <w:szCs w:val="12"/>
              </w:rPr>
              <w:t xml:space="preserve">5 </w:t>
            </w:r>
          </w:p>
        </w:tc>
        <w:tc>
          <w:tcPr>
            <w:tcW w:w="3080" w:type="dxa"/>
            <w:tcBorders>
              <w:top w:val="nil"/>
              <w:left w:val="nil"/>
              <w:bottom w:val="nil"/>
              <w:right w:val="single" w:sz="4" w:space="0" w:color="auto"/>
            </w:tcBorders>
            <w:shd w:val="clear" w:color="auto" w:fill="auto"/>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Shpenzime per Sig.Shoq e Shendet</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77.873</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7.2%</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-800</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Social insurance outlays</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Sigurime Shoqerore</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66.713</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6.2%</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-800</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Social insurance</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Sigurime Shendetesore</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11.160</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1.0%</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0</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Health insurance</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jc w:val="right"/>
              <w:rPr>
                <w:rFonts w:ascii="Bookman Old Style" w:hAnsi="Bookman Old Style" w:cs="Arial"/>
                <w:b/>
                <w:bCs/>
                <w:sz w:val="12"/>
                <w:szCs w:val="12"/>
              </w:rPr>
            </w:pPr>
            <w:r w:rsidRPr="00F41C2C">
              <w:rPr>
                <w:rFonts w:ascii="Bookman Old Style" w:hAnsi="Bookman Old Style" w:cs="Arial"/>
                <w:b/>
                <w:bCs/>
                <w:sz w:val="12"/>
                <w:szCs w:val="12"/>
              </w:rPr>
              <w:t xml:space="preserve">6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Shpenzime per Buxhetin Lokal</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29.146</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2.7%</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-2.500</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Local Budget expenditure</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Buxheti lokal (Granti)</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16.064</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1.5%</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0</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Local Budget (Grant)</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Buxheti lokal (Te ardhurat e veta)</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13.082</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1.2%</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-2.500</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Local Budget (Own revenues)</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jc w:val="right"/>
              <w:rPr>
                <w:rFonts w:ascii="Bookman Old Style" w:hAnsi="Bookman Old Style" w:cs="Arial"/>
                <w:b/>
                <w:bCs/>
                <w:sz w:val="12"/>
                <w:szCs w:val="12"/>
              </w:rPr>
            </w:pPr>
            <w:r w:rsidRPr="00F41C2C">
              <w:rPr>
                <w:rFonts w:ascii="Bookman Old Style" w:hAnsi="Bookman Old Style" w:cs="Arial"/>
                <w:b/>
                <w:bCs/>
                <w:sz w:val="12"/>
                <w:szCs w:val="12"/>
              </w:rPr>
              <w:t xml:space="preserve">7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 xml:space="preserve">Shpenzime te tjera </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18.042</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1.7%</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2.600</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Other expenditures</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Pagesa e Papunesise</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900</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0.1%</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-100</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Unemployment insurance benefits</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Ndihma Ekonomike</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14.742</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1.4%</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2.700</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Social assistance</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Kompensim per ish te perndjekurit politike</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1.000</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0.1%</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0</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Compensation for ex political prisoners</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Kompensim per energjine elektrike</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1.400</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0.1%</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0</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Compensation for electricity</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jc w:val="right"/>
              <w:rPr>
                <w:rFonts w:ascii="Bookman Old Style" w:hAnsi="Bookman Old Style" w:cs="Arial"/>
                <w:b/>
                <w:bCs/>
                <w:sz w:val="12"/>
                <w:szCs w:val="12"/>
              </w:rPr>
            </w:pPr>
            <w:r w:rsidRPr="00F41C2C">
              <w:rPr>
                <w:rFonts w:ascii="Bookman Old Style" w:hAnsi="Bookman Old Style" w:cs="Arial"/>
                <w:b/>
                <w:bCs/>
                <w:sz w:val="12"/>
                <w:szCs w:val="12"/>
              </w:rPr>
              <w:t xml:space="preserve">8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Kompensim ne vlere i pronareve</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500</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0.0%</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0</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Property Compensation</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II.</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Fondi Rezerve, Kontigjenca</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5.700</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0.5%</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-4.200</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Reserve fund, Contingency</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Fondi Rezerve i Keshillit te Ministrave</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2.400</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0.2%</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0</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CoM Reserve Fund</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 </w:t>
            </w:r>
          </w:p>
        </w:tc>
        <w:tc>
          <w:tcPr>
            <w:tcW w:w="3080" w:type="dxa"/>
            <w:tcBorders>
              <w:top w:val="nil"/>
              <w:left w:val="nil"/>
              <w:bottom w:val="nil"/>
              <w:right w:val="single" w:sz="4" w:space="0" w:color="auto"/>
            </w:tcBorders>
            <w:shd w:val="clear" w:color="auto" w:fill="auto"/>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Fondi Kontigjence per Politika Pagash dhe Pensionesh</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2.000</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0.2%</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0</w:t>
            </w:r>
          </w:p>
        </w:tc>
        <w:tc>
          <w:tcPr>
            <w:tcW w:w="2966" w:type="dxa"/>
            <w:tcBorders>
              <w:top w:val="nil"/>
              <w:left w:val="nil"/>
              <w:bottom w:val="nil"/>
              <w:right w:val="single" w:sz="4" w:space="0" w:color="auto"/>
            </w:tcBorders>
            <w:shd w:val="clear" w:color="auto" w:fill="auto"/>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 xml:space="preserve">Contingency for Wages and Pensions Increase </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Fondi Kontigjence per Investime Publike</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0</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0.0%</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0</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Contingency for Investments</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Fond Kontigjence</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1.300</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0.1%</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-4.200</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 xml:space="preserve">Contingency </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i/>
                <w:iCs/>
                <w:sz w:val="12"/>
                <w:szCs w:val="12"/>
              </w:rPr>
            </w:pPr>
            <w:r w:rsidRPr="00F41C2C">
              <w:rPr>
                <w:rFonts w:ascii="Bookman Old Style" w:hAnsi="Bookman Old Style" w:cs="Arial"/>
                <w:i/>
                <w:iCs/>
                <w:sz w:val="12"/>
                <w:szCs w:val="12"/>
              </w:rPr>
              <w:t xml:space="preserve">          Nga e cila: Kompensim Gerdeci</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0</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0.0%</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-1.500</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 </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III.</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Gerdeci nga te ardhurat</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480</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0.0%</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0</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Gerdec revenues</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IV</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Shpenzime Kapitale</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91.139</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8.5%</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-3.280</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Capital expenditures</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Financimi Brendshem</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49.063</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4.6%</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215</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Domestic financing</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jc w:val="right"/>
              <w:rPr>
                <w:rFonts w:ascii="Bookman Old Style" w:hAnsi="Bookman Old Style" w:cs="Arial"/>
                <w:i/>
                <w:iCs/>
                <w:sz w:val="12"/>
                <w:szCs w:val="12"/>
              </w:rPr>
            </w:pPr>
            <w:r w:rsidRPr="00F41C2C">
              <w:rPr>
                <w:rFonts w:ascii="Bookman Old Style" w:hAnsi="Bookman Old Style" w:cs="Arial"/>
                <w:i/>
                <w:iCs/>
                <w:sz w:val="12"/>
                <w:szCs w:val="12"/>
              </w:rPr>
              <w:t xml:space="preserve">     Nga e cila:    Transferta Kapitale per OST</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150</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0.0%</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-2.850</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i/>
                <w:iCs/>
                <w:sz w:val="12"/>
                <w:szCs w:val="12"/>
              </w:rPr>
            </w:pPr>
            <w:r w:rsidRPr="00F41C2C">
              <w:rPr>
                <w:rFonts w:ascii="Bookman Old Style" w:hAnsi="Bookman Old Style" w:cs="Arial"/>
                <w:i/>
                <w:iCs/>
                <w:sz w:val="12"/>
                <w:szCs w:val="12"/>
              </w:rPr>
              <w:t>Of which:   Contingency</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Financimi Huaj</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41.926</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3.9%</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-3.645</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Foreign financing</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V</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Net Lending KESH</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2.600</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0.2%</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4.600</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KESH-net lending</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 </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rPr>
                <w:rFonts w:ascii="Bookman Old Style" w:hAnsi="Bookman Old Style" w:cs="Arial"/>
                <w:color w:val="000000"/>
                <w:sz w:val="12"/>
                <w:szCs w:val="12"/>
              </w:rPr>
            </w:pPr>
            <w:r w:rsidRPr="00345115">
              <w:rPr>
                <w:rFonts w:ascii="Bookman Old Style" w:hAnsi="Bookman Old Style" w:cs="Arial"/>
                <w:color w:val="000000"/>
                <w:sz w:val="12"/>
                <w:szCs w:val="12"/>
              </w:rPr>
              <w:t> </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rPr>
                <w:rFonts w:ascii="Bookman Old Style" w:hAnsi="Bookman Old Style" w:cs="Arial"/>
                <w:b/>
                <w:bCs/>
                <w:color w:val="000000"/>
                <w:sz w:val="12"/>
                <w:szCs w:val="12"/>
              </w:rPr>
            </w:pPr>
            <w:r w:rsidRPr="00345115">
              <w:rPr>
                <w:rFonts w:ascii="Bookman Old Style" w:hAnsi="Bookman Old Style" w:cs="Arial"/>
                <w:b/>
                <w:bCs/>
                <w:color w:val="000000"/>
                <w:sz w:val="12"/>
                <w:szCs w:val="12"/>
              </w:rPr>
              <w:t> </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rPr>
                <w:rFonts w:ascii="Bookman Old Style" w:hAnsi="Bookman Old Style" w:cs="Arial"/>
                <w:b/>
                <w:bCs/>
                <w:color w:val="000000"/>
                <w:sz w:val="12"/>
                <w:szCs w:val="12"/>
              </w:rPr>
            </w:pPr>
            <w:r w:rsidRPr="00345115">
              <w:rPr>
                <w:rFonts w:ascii="Bookman Old Style" w:hAnsi="Bookman Old Style" w:cs="Arial"/>
                <w:b/>
                <w:bCs/>
                <w:color w:val="000000"/>
                <w:sz w:val="12"/>
                <w:szCs w:val="12"/>
              </w:rPr>
              <w:t> </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 </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 xml:space="preserve"> DEFIÇITI</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-56.540</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-5.2%</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-116</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Cash Balance</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FINANCIMI DEFIÇITIT</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56.541</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5.2%</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117</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Financing (Cash)</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 xml:space="preserve"> Brendshem</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21.847</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2.0%</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748</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Domestic</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 xml:space="preserve">   Te ardhura nga privatizimi</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2.000</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0.2%</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-2.140</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 xml:space="preserve">  Privatization receipts</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 xml:space="preserve">   Hua-marrje e brendshme</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19.847</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1.8%</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2.888</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 xml:space="preserve">  Domestic borrowing</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 xml:space="preserve">   Te tjera</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rPr>
                <w:rFonts w:ascii="Bookman Old Style" w:hAnsi="Bookman Old Style" w:cs="Arial"/>
                <w:color w:val="000000"/>
                <w:sz w:val="12"/>
                <w:szCs w:val="12"/>
              </w:rPr>
            </w:pPr>
            <w:r w:rsidRPr="00345115">
              <w:rPr>
                <w:rFonts w:ascii="Bookman Old Style" w:hAnsi="Bookman Old Style" w:cs="Arial"/>
                <w:color w:val="000000"/>
                <w:sz w:val="12"/>
                <w:szCs w:val="12"/>
              </w:rPr>
              <w:t> </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0.0%</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0</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 xml:space="preserve">  Other</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I Huaj</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34.694</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3.2%</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-632</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Foreign</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 xml:space="preserve">   Hua afatgjate (e marre)</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39.644</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3.7%</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-1.482</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 xml:space="preserve">  Long-term Loan(Drawings)</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 xml:space="preserve">   Ndryshimi i gjendjes se arkes*</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rPr>
                <w:rFonts w:ascii="Bookman Old Style" w:hAnsi="Bookman Old Style" w:cs="Arial"/>
                <w:color w:val="000000"/>
                <w:sz w:val="12"/>
                <w:szCs w:val="12"/>
              </w:rPr>
            </w:pPr>
            <w:r w:rsidRPr="00345115">
              <w:rPr>
                <w:rFonts w:ascii="Bookman Old Style" w:hAnsi="Bookman Old Style" w:cs="Arial"/>
                <w:color w:val="000000"/>
                <w:sz w:val="12"/>
                <w:szCs w:val="12"/>
              </w:rPr>
              <w:t> </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0.0%</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0</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 xml:space="preserve">  Chang. of stat. Account</w:t>
            </w:r>
          </w:p>
        </w:tc>
      </w:tr>
      <w:tr w:rsidR="00E403CE" w:rsidRPr="00F41C2C">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 </w:t>
            </w:r>
          </w:p>
        </w:tc>
        <w:tc>
          <w:tcPr>
            <w:tcW w:w="3080"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 xml:space="preserve">   Ripagesat</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-4.950</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-0.5%</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color w:val="000000"/>
                <w:sz w:val="12"/>
                <w:szCs w:val="12"/>
              </w:rPr>
            </w:pPr>
            <w:r w:rsidRPr="00345115">
              <w:rPr>
                <w:rFonts w:ascii="Bookman Old Style" w:hAnsi="Bookman Old Style" w:cs="Arial"/>
                <w:color w:val="000000"/>
                <w:sz w:val="12"/>
                <w:szCs w:val="12"/>
              </w:rPr>
              <w:t>850</w:t>
            </w:r>
          </w:p>
        </w:tc>
        <w:tc>
          <w:tcPr>
            <w:tcW w:w="2966" w:type="dxa"/>
            <w:tcBorders>
              <w:top w:val="nil"/>
              <w:left w:val="nil"/>
              <w:bottom w:val="nil"/>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 xml:space="preserve">  Repayments</w:t>
            </w:r>
          </w:p>
        </w:tc>
      </w:tr>
      <w:tr w:rsidR="00E403CE" w:rsidRPr="00F41C2C">
        <w:trPr>
          <w:trHeight w:val="162"/>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 </w:t>
            </w:r>
          </w:p>
        </w:tc>
        <w:tc>
          <w:tcPr>
            <w:tcW w:w="3080" w:type="dxa"/>
            <w:tcBorders>
              <w:top w:val="nil"/>
              <w:left w:val="nil"/>
              <w:bottom w:val="single" w:sz="4" w:space="0" w:color="auto"/>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 xml:space="preserve">   Mbeshtetje buxhetore</w:t>
            </w:r>
          </w:p>
        </w:tc>
        <w:tc>
          <w:tcPr>
            <w:tcW w:w="978" w:type="dxa"/>
            <w:tcBorders>
              <w:top w:val="nil"/>
              <w:left w:val="nil"/>
              <w:bottom w:val="nil"/>
              <w:right w:val="single" w:sz="4" w:space="0" w:color="auto"/>
            </w:tcBorders>
            <w:shd w:val="clear" w:color="auto" w:fill="auto"/>
            <w:noWrap/>
            <w:vAlign w:val="bottom"/>
          </w:tcPr>
          <w:p w:rsidR="00E403CE" w:rsidRPr="00345115" w:rsidRDefault="00E403CE" w:rsidP="00E403CE">
            <w:pPr>
              <w:rPr>
                <w:rFonts w:ascii="Arial" w:hAnsi="Arial" w:cs="Arial"/>
                <w:color w:val="000000"/>
                <w:sz w:val="12"/>
                <w:szCs w:val="12"/>
              </w:rPr>
            </w:pPr>
            <w:r w:rsidRPr="00345115">
              <w:rPr>
                <w:rFonts w:ascii="Arial" w:hAnsi="Arial" w:cs="Arial"/>
                <w:color w:val="000000"/>
                <w:sz w:val="12"/>
                <w:szCs w:val="12"/>
              </w:rPr>
              <w:t> </w:t>
            </w:r>
          </w:p>
        </w:tc>
        <w:tc>
          <w:tcPr>
            <w:tcW w:w="684" w:type="dxa"/>
            <w:tcBorders>
              <w:top w:val="nil"/>
              <w:left w:val="nil"/>
              <w:bottom w:val="nil"/>
              <w:right w:val="single" w:sz="4" w:space="0" w:color="auto"/>
            </w:tcBorders>
            <w:shd w:val="clear" w:color="auto" w:fill="auto"/>
            <w:noWrap/>
            <w:vAlign w:val="bottom"/>
          </w:tcPr>
          <w:p w:rsidR="00E403CE" w:rsidRPr="00345115" w:rsidRDefault="00E403CE" w:rsidP="00E403CE">
            <w:pPr>
              <w:rPr>
                <w:rFonts w:ascii="Bookman Old Style" w:hAnsi="Bookman Old Style" w:cs="Arial"/>
                <w:b/>
                <w:bCs/>
                <w:color w:val="000000"/>
                <w:sz w:val="12"/>
                <w:szCs w:val="12"/>
              </w:rPr>
            </w:pPr>
            <w:r w:rsidRPr="00345115">
              <w:rPr>
                <w:rFonts w:ascii="Bookman Old Style" w:hAnsi="Bookman Old Style" w:cs="Arial"/>
                <w:b/>
                <w:bCs/>
                <w:color w:val="000000"/>
                <w:sz w:val="12"/>
                <w:szCs w:val="12"/>
              </w:rPr>
              <w:t> </w:t>
            </w:r>
          </w:p>
        </w:tc>
        <w:tc>
          <w:tcPr>
            <w:tcW w:w="931" w:type="dxa"/>
            <w:tcBorders>
              <w:top w:val="nil"/>
              <w:left w:val="nil"/>
              <w:bottom w:val="nil"/>
              <w:right w:val="single" w:sz="4" w:space="0" w:color="auto"/>
            </w:tcBorders>
            <w:shd w:val="clear" w:color="auto" w:fill="auto"/>
            <w:noWrap/>
            <w:vAlign w:val="bottom"/>
          </w:tcPr>
          <w:p w:rsidR="00E403CE" w:rsidRPr="00345115" w:rsidRDefault="00E403CE" w:rsidP="00E403CE">
            <w:pPr>
              <w:rPr>
                <w:rFonts w:ascii="Bookman Old Style" w:hAnsi="Bookman Old Style" w:cs="Arial"/>
                <w:color w:val="000000"/>
                <w:sz w:val="12"/>
                <w:szCs w:val="12"/>
              </w:rPr>
            </w:pPr>
            <w:r w:rsidRPr="00345115">
              <w:rPr>
                <w:rFonts w:ascii="Bookman Old Style" w:hAnsi="Bookman Old Style" w:cs="Arial"/>
                <w:color w:val="000000"/>
                <w:sz w:val="12"/>
                <w:szCs w:val="12"/>
              </w:rPr>
              <w:t> </w:t>
            </w:r>
          </w:p>
        </w:tc>
        <w:tc>
          <w:tcPr>
            <w:tcW w:w="2966" w:type="dxa"/>
            <w:tcBorders>
              <w:top w:val="nil"/>
              <w:left w:val="nil"/>
              <w:bottom w:val="single" w:sz="4" w:space="0" w:color="auto"/>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 xml:space="preserve">  Budget Support</w:t>
            </w:r>
          </w:p>
        </w:tc>
      </w:tr>
      <w:tr w:rsidR="00E403CE" w:rsidRPr="00F41C2C">
        <w:trPr>
          <w:trHeight w:val="162"/>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 </w:t>
            </w:r>
          </w:p>
        </w:tc>
        <w:tc>
          <w:tcPr>
            <w:tcW w:w="3080" w:type="dxa"/>
            <w:tcBorders>
              <w:top w:val="nil"/>
              <w:left w:val="nil"/>
              <w:bottom w:val="single" w:sz="4" w:space="0" w:color="auto"/>
              <w:right w:val="single" w:sz="4" w:space="0" w:color="auto"/>
            </w:tcBorders>
            <w:shd w:val="clear" w:color="auto" w:fill="auto"/>
            <w:noWrap/>
            <w:vAlign w:val="bottom"/>
          </w:tcPr>
          <w:p w:rsidR="00E403CE" w:rsidRPr="00F41C2C" w:rsidRDefault="00E403CE" w:rsidP="00E403CE">
            <w:pPr>
              <w:rPr>
                <w:rFonts w:ascii="Bookman Old Style" w:hAnsi="Bookman Old Style" w:cs="Arial"/>
                <w:b/>
                <w:bCs/>
                <w:sz w:val="12"/>
                <w:szCs w:val="12"/>
              </w:rPr>
            </w:pPr>
            <w:r w:rsidRPr="00F41C2C">
              <w:rPr>
                <w:rFonts w:ascii="Bookman Old Style" w:hAnsi="Bookman Old Style" w:cs="Arial"/>
                <w:b/>
                <w:bCs/>
                <w:sz w:val="12"/>
                <w:szCs w:val="12"/>
              </w:rPr>
              <w:t>Produkti i Brendshem Bruto (PBB) 2008</w:t>
            </w: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403CE" w:rsidRPr="00345115" w:rsidRDefault="00E403CE" w:rsidP="00E403CE">
            <w:pPr>
              <w:jc w:val="right"/>
              <w:rPr>
                <w:rFonts w:ascii="Bookman Old Style" w:hAnsi="Bookman Old Style" w:cs="Arial"/>
                <w:b/>
                <w:bCs/>
                <w:color w:val="000000"/>
                <w:sz w:val="12"/>
                <w:szCs w:val="12"/>
              </w:rPr>
            </w:pPr>
            <w:r w:rsidRPr="00345115">
              <w:rPr>
                <w:rFonts w:ascii="Bookman Old Style" w:hAnsi="Bookman Old Style" w:cs="Arial"/>
                <w:b/>
                <w:bCs/>
                <w:color w:val="000000"/>
                <w:sz w:val="12"/>
                <w:szCs w:val="12"/>
              </w:rPr>
              <w:t>1.078.000</w:t>
            </w:r>
          </w:p>
        </w:tc>
        <w:tc>
          <w:tcPr>
            <w:tcW w:w="684" w:type="dxa"/>
            <w:tcBorders>
              <w:top w:val="single" w:sz="4" w:space="0" w:color="auto"/>
              <w:left w:val="nil"/>
              <w:bottom w:val="single" w:sz="4" w:space="0" w:color="auto"/>
              <w:right w:val="nil"/>
            </w:tcBorders>
            <w:shd w:val="clear" w:color="auto" w:fill="auto"/>
            <w:noWrap/>
            <w:vAlign w:val="bottom"/>
          </w:tcPr>
          <w:p w:rsidR="00E403CE" w:rsidRPr="00345115" w:rsidRDefault="00E403CE" w:rsidP="00E403CE">
            <w:pPr>
              <w:rPr>
                <w:rFonts w:ascii="Bookman Old Style" w:hAnsi="Bookman Old Style" w:cs="Arial"/>
                <w:b/>
                <w:bCs/>
                <w:color w:val="000000"/>
                <w:sz w:val="12"/>
                <w:szCs w:val="12"/>
              </w:rPr>
            </w:pPr>
            <w:r w:rsidRPr="00345115">
              <w:rPr>
                <w:rFonts w:ascii="Bookman Old Style" w:hAnsi="Bookman Old Style" w:cs="Arial"/>
                <w:b/>
                <w:bCs/>
                <w:color w:val="000000"/>
                <w:sz w:val="12"/>
                <w:szCs w:val="12"/>
              </w:rPr>
              <w:t> </w:t>
            </w:r>
          </w:p>
        </w:tc>
        <w:tc>
          <w:tcPr>
            <w:tcW w:w="931" w:type="dxa"/>
            <w:tcBorders>
              <w:top w:val="single" w:sz="4" w:space="0" w:color="auto"/>
              <w:left w:val="single" w:sz="4" w:space="0" w:color="auto"/>
              <w:bottom w:val="single" w:sz="4" w:space="0" w:color="auto"/>
              <w:right w:val="nil"/>
            </w:tcBorders>
            <w:shd w:val="clear" w:color="auto" w:fill="auto"/>
            <w:noWrap/>
            <w:vAlign w:val="bottom"/>
          </w:tcPr>
          <w:p w:rsidR="00E403CE" w:rsidRPr="00345115" w:rsidRDefault="00E403CE" w:rsidP="00E403CE">
            <w:pPr>
              <w:rPr>
                <w:rFonts w:ascii="Bookman Old Style" w:hAnsi="Bookman Old Style" w:cs="Arial"/>
                <w:b/>
                <w:bCs/>
                <w:color w:val="000000"/>
                <w:sz w:val="12"/>
                <w:szCs w:val="12"/>
              </w:rPr>
            </w:pPr>
            <w:r w:rsidRPr="00345115">
              <w:rPr>
                <w:rFonts w:ascii="Bookman Old Style" w:hAnsi="Bookman Old Style" w:cs="Arial"/>
                <w:b/>
                <w:bCs/>
                <w:color w:val="000000"/>
                <w:sz w:val="12"/>
                <w:szCs w:val="12"/>
              </w:rPr>
              <w:t> </w:t>
            </w:r>
          </w:p>
        </w:tc>
        <w:tc>
          <w:tcPr>
            <w:tcW w:w="2966" w:type="dxa"/>
            <w:tcBorders>
              <w:top w:val="nil"/>
              <w:left w:val="single" w:sz="4" w:space="0" w:color="auto"/>
              <w:bottom w:val="single" w:sz="4" w:space="0" w:color="auto"/>
              <w:right w:val="single" w:sz="4" w:space="0" w:color="auto"/>
            </w:tcBorders>
            <w:shd w:val="clear" w:color="auto" w:fill="auto"/>
            <w:noWrap/>
            <w:vAlign w:val="bottom"/>
          </w:tcPr>
          <w:p w:rsidR="00E403CE" w:rsidRPr="00F41C2C" w:rsidRDefault="00E403CE" w:rsidP="00E403CE">
            <w:pPr>
              <w:rPr>
                <w:rFonts w:ascii="Bookman Old Style" w:hAnsi="Bookman Old Style" w:cs="Arial"/>
                <w:sz w:val="12"/>
                <w:szCs w:val="12"/>
              </w:rPr>
            </w:pPr>
            <w:r w:rsidRPr="00F41C2C">
              <w:rPr>
                <w:rFonts w:ascii="Bookman Old Style" w:hAnsi="Bookman Old Style" w:cs="Arial"/>
                <w:sz w:val="12"/>
                <w:szCs w:val="12"/>
              </w:rPr>
              <w:t> </w:t>
            </w:r>
          </w:p>
        </w:tc>
      </w:tr>
    </w:tbl>
    <w:p w:rsidR="00E403CE" w:rsidRDefault="00E403CE" w:rsidP="00E403CE">
      <w:pPr>
        <w:rPr>
          <w:rFonts w:ascii="CG Times" w:hAnsi="CG Times"/>
          <w:sz w:val="22"/>
          <w:szCs w:val="22"/>
        </w:rPr>
      </w:pPr>
      <w:r>
        <w:rPr>
          <w:rFonts w:ascii="CG Times" w:hAnsi="CG Times"/>
          <w:sz w:val="22"/>
          <w:szCs w:val="22"/>
        </w:rPr>
        <w:t xml:space="preserve"> </w:t>
      </w:r>
    </w:p>
    <w:p w:rsidR="00FB0069" w:rsidRPr="00CA308B" w:rsidRDefault="00FB0069" w:rsidP="00FB0069">
      <w:pPr>
        <w:pStyle w:val="Paragrafi"/>
      </w:pPr>
    </w:p>
    <w:p w:rsidR="008717A9" w:rsidRDefault="008717A9" w:rsidP="008717A9">
      <w:pPr>
        <w:pStyle w:val="Akti"/>
        <w:rPr>
          <w:rFonts w:eastAsia="MS Mincho"/>
          <w:lang w:eastAsia="en-GB"/>
        </w:rPr>
      </w:pPr>
      <w:r>
        <w:rPr>
          <w:rFonts w:eastAsia="MS Mincho"/>
          <w:lang w:eastAsia="en-GB"/>
        </w:rPr>
        <w:t>Vendim</w:t>
      </w:r>
    </w:p>
    <w:p w:rsidR="008717A9" w:rsidRDefault="008717A9" w:rsidP="008717A9">
      <w:pPr>
        <w:pStyle w:val="NumriData"/>
        <w:rPr>
          <w:rFonts w:eastAsia="MS Mincho"/>
          <w:lang w:eastAsia="en-GB"/>
        </w:rPr>
      </w:pPr>
      <w:r>
        <w:rPr>
          <w:rFonts w:eastAsia="MS Mincho"/>
          <w:lang w:eastAsia="en-GB"/>
        </w:rPr>
        <w:t>Nr.1617, datë 17.12.2008</w:t>
      </w:r>
    </w:p>
    <w:p w:rsidR="008717A9" w:rsidRDefault="008717A9" w:rsidP="008717A9">
      <w:pPr>
        <w:pStyle w:val="Paragrafi"/>
        <w:rPr>
          <w:rFonts w:eastAsia="MS Mincho"/>
          <w:lang w:val="en-GB" w:eastAsia="en-GB"/>
        </w:rPr>
      </w:pPr>
    </w:p>
    <w:p w:rsidR="008717A9" w:rsidRDefault="008717A9" w:rsidP="008717A9">
      <w:pPr>
        <w:pStyle w:val="Titulli"/>
        <w:rPr>
          <w:rFonts w:eastAsia="MS Mincho"/>
          <w:lang w:eastAsia="en-GB"/>
        </w:rPr>
      </w:pPr>
      <w:r>
        <w:rPr>
          <w:rFonts w:eastAsia="MS Mincho"/>
          <w:lang w:eastAsia="en-GB"/>
        </w:rPr>
        <w:t>Për një ndryshim dhe një shtesë në vendimin nr.589, datë 5.9.2007 të këshillit të ministrave “Për ruajtjen dhe sigurimin e objekteve më të rëndësishme shtetërore”, të ndryshuar</w:t>
      </w:r>
    </w:p>
    <w:p w:rsidR="008717A9" w:rsidRDefault="008717A9" w:rsidP="008717A9">
      <w:pPr>
        <w:pStyle w:val="Paragrafi"/>
        <w:rPr>
          <w:rFonts w:eastAsia="MS Mincho"/>
          <w:lang w:val="en-GB" w:eastAsia="en-GB"/>
        </w:rPr>
      </w:pPr>
    </w:p>
    <w:p w:rsidR="008717A9" w:rsidRDefault="008717A9" w:rsidP="008717A9">
      <w:pPr>
        <w:pStyle w:val="Paragrafi"/>
        <w:rPr>
          <w:rFonts w:eastAsia="MS Mincho"/>
          <w:lang w:val="en-GB" w:eastAsia="en-GB"/>
        </w:rPr>
      </w:pPr>
      <w:r>
        <w:rPr>
          <w:rFonts w:eastAsia="MS Mincho"/>
          <w:lang w:val="en-GB" w:eastAsia="en-GB"/>
        </w:rPr>
        <w:t>Në mbështetje të nenit 100 të Ku</w:t>
      </w:r>
      <w:r w:rsidR="0027006F">
        <w:rPr>
          <w:rFonts w:eastAsia="MS Mincho"/>
          <w:lang w:val="en-GB" w:eastAsia="en-GB"/>
        </w:rPr>
        <w:t>shtetutës dhe të shkronjës “dh”</w:t>
      </w:r>
      <w:r>
        <w:rPr>
          <w:rFonts w:eastAsia="MS Mincho"/>
          <w:lang w:val="en-GB" w:eastAsia="en-GB"/>
        </w:rPr>
        <w:t xml:space="preserve"> të nenit 4 të ligjit nr.9749, datë 4.6.2007 “Për Policinë e Shtetit”, me propozimin e Ministrit të Brendshëm dhe të Ministrit të Ekonomisë, Tregtisë dhe Energjetikës, Këshilli i Ministrave</w:t>
      </w:r>
    </w:p>
    <w:p w:rsidR="008717A9" w:rsidRDefault="008717A9" w:rsidP="008717A9">
      <w:pPr>
        <w:pStyle w:val="Paragrafi"/>
        <w:rPr>
          <w:rFonts w:eastAsia="MS Mincho"/>
          <w:lang w:val="en-GB" w:eastAsia="en-GB"/>
        </w:rPr>
      </w:pPr>
    </w:p>
    <w:p w:rsidR="008717A9" w:rsidRDefault="008717A9" w:rsidP="008717A9">
      <w:pPr>
        <w:pStyle w:val="VENDOSI"/>
        <w:rPr>
          <w:rFonts w:eastAsia="MS Mincho"/>
          <w:lang w:eastAsia="en-GB"/>
        </w:rPr>
      </w:pPr>
      <w:r>
        <w:rPr>
          <w:rFonts w:eastAsia="MS Mincho"/>
          <w:lang w:eastAsia="en-GB"/>
        </w:rPr>
        <w:t>Vendosi:</w:t>
      </w:r>
    </w:p>
    <w:p w:rsidR="008717A9" w:rsidRDefault="008717A9" w:rsidP="008717A9">
      <w:pPr>
        <w:pStyle w:val="Paragrafi"/>
        <w:rPr>
          <w:rFonts w:eastAsia="MS Mincho"/>
          <w:lang w:val="en-GB" w:eastAsia="en-GB"/>
        </w:rPr>
      </w:pPr>
    </w:p>
    <w:p w:rsidR="008717A9" w:rsidRDefault="008717A9" w:rsidP="008717A9">
      <w:pPr>
        <w:pStyle w:val="Paragrafi"/>
        <w:rPr>
          <w:rFonts w:eastAsia="MS Mincho"/>
          <w:lang w:val="en-GB" w:eastAsia="en-GB"/>
        </w:rPr>
      </w:pPr>
      <w:r>
        <w:rPr>
          <w:rFonts w:eastAsia="MS Mincho"/>
          <w:lang w:val="en-GB" w:eastAsia="en-GB"/>
        </w:rPr>
        <w:t>1. Në lidhjen 1, që i bashkëlidhet</w:t>
      </w:r>
      <w:r w:rsidR="0096428E">
        <w:rPr>
          <w:rFonts w:eastAsia="MS Mincho"/>
          <w:lang w:val="en-GB" w:eastAsia="en-GB"/>
        </w:rPr>
        <w:t xml:space="preserve"> vendimit nr.589, datë 5.9.2007</w:t>
      </w:r>
      <w:r>
        <w:rPr>
          <w:rFonts w:eastAsia="MS Mincho"/>
          <w:lang w:val="en-GB" w:eastAsia="en-GB"/>
        </w:rPr>
        <w:t xml:space="preserve"> të Këshillit të Ministrave, të ndrys</w:t>
      </w:r>
      <w:r w:rsidR="0096428E">
        <w:rPr>
          <w:rFonts w:eastAsia="MS Mincho"/>
          <w:lang w:val="en-GB" w:eastAsia="en-GB"/>
        </w:rPr>
        <w:t>huar, bëhen</w:t>
      </w:r>
      <w:r>
        <w:rPr>
          <w:rFonts w:eastAsia="MS Mincho"/>
          <w:lang w:val="en-GB" w:eastAsia="en-GB"/>
        </w:rPr>
        <w:t xml:space="preserve"> ky ndryshim dhe kjo shtesë:</w:t>
      </w:r>
    </w:p>
    <w:p w:rsidR="008717A9" w:rsidRDefault="008717A9" w:rsidP="008717A9">
      <w:pPr>
        <w:pStyle w:val="Paragrafi"/>
        <w:rPr>
          <w:rFonts w:eastAsia="MS Mincho"/>
          <w:lang w:val="en-GB" w:eastAsia="en-GB"/>
        </w:rPr>
      </w:pPr>
      <w:r>
        <w:rPr>
          <w:rFonts w:eastAsia="MS Mincho"/>
          <w:lang w:val="en-GB" w:eastAsia="en-GB"/>
        </w:rPr>
        <w:t>a) Përmbajtja e numrit rendor 12 ndryshohet, si më poshtë vijon:</w:t>
      </w:r>
    </w:p>
    <w:p w:rsidR="008717A9" w:rsidRDefault="00623B14" w:rsidP="008717A9">
      <w:pPr>
        <w:pStyle w:val="Paragrafi"/>
        <w:rPr>
          <w:rFonts w:eastAsia="MS Mincho"/>
          <w:lang w:val="en-GB" w:eastAsia="en-GB"/>
        </w:rPr>
      </w:pPr>
      <w:r>
        <w:rPr>
          <w:rFonts w:eastAsia="MS Mincho"/>
          <w:lang w:val="en-GB" w:eastAsia="en-GB"/>
        </w:rPr>
        <w:t>“</w:t>
      </w:r>
      <w:r w:rsidR="008717A9">
        <w:rPr>
          <w:rFonts w:eastAsia="MS Mincho"/>
          <w:lang w:val="en-GB" w:eastAsia="en-GB"/>
        </w:rPr>
        <w:t>12. Rafineria e Ballshit (KPTHN) të ruhet dhe të sigurohet nga Policia e Shtetit deri në përfundimin e procesit të privatizimit dhe dorëzimit të objektit nga Ministria e Ekonomisë, Tregtisë dhe Energjetikës.”.</w:t>
      </w:r>
    </w:p>
    <w:p w:rsidR="008717A9" w:rsidRDefault="008717A9" w:rsidP="008717A9">
      <w:pPr>
        <w:pStyle w:val="Paragrafi"/>
        <w:rPr>
          <w:rFonts w:eastAsia="MS Mincho"/>
          <w:lang w:val="en-GB" w:eastAsia="en-GB"/>
        </w:rPr>
      </w:pPr>
      <w:r>
        <w:rPr>
          <w:rFonts w:eastAsia="MS Mincho"/>
          <w:lang w:val="en-GB" w:eastAsia="en-GB"/>
        </w:rPr>
        <w:t>b) Pas numrit rendor 13 shtohet numri 14, me këtë përmbajtje:</w:t>
      </w:r>
    </w:p>
    <w:p w:rsidR="008717A9" w:rsidRDefault="008717A9" w:rsidP="008717A9">
      <w:pPr>
        <w:pStyle w:val="Paragrafi"/>
        <w:rPr>
          <w:rFonts w:eastAsia="MS Mincho"/>
          <w:lang w:val="en-GB" w:eastAsia="en-GB"/>
        </w:rPr>
      </w:pPr>
      <w:r>
        <w:rPr>
          <w:rFonts w:eastAsia="MS Mincho"/>
          <w:lang w:val="en-GB" w:eastAsia="en-GB"/>
        </w:rPr>
        <w:t>“14</w:t>
      </w:r>
      <w:r w:rsidR="007D0180">
        <w:rPr>
          <w:rFonts w:eastAsia="MS Mincho"/>
          <w:lang w:val="en-GB" w:eastAsia="en-GB"/>
        </w:rPr>
        <w:t>. “Tipografia ushtarake”</w:t>
      </w:r>
      <w:r w:rsidR="00114EFB">
        <w:rPr>
          <w:rFonts w:eastAsia="MS Mincho"/>
          <w:lang w:val="en-GB" w:eastAsia="en-GB"/>
        </w:rPr>
        <w:t xml:space="preserve"> sh.a.</w:t>
      </w:r>
      <w:r>
        <w:rPr>
          <w:rFonts w:eastAsia="MS Mincho"/>
          <w:lang w:val="en-GB" w:eastAsia="en-GB"/>
        </w:rPr>
        <w:t xml:space="preserve"> person juridik, në varësi të Ministrisë së Brendshme.”.</w:t>
      </w:r>
    </w:p>
    <w:p w:rsidR="008717A9" w:rsidRDefault="008717A9" w:rsidP="008717A9">
      <w:pPr>
        <w:pStyle w:val="Paragrafi"/>
        <w:rPr>
          <w:rFonts w:eastAsia="MS Mincho"/>
          <w:lang w:val="en-GB" w:eastAsia="en-GB"/>
        </w:rPr>
      </w:pPr>
      <w:r>
        <w:rPr>
          <w:rFonts w:eastAsia="MS Mincho"/>
          <w:lang w:val="en-GB" w:eastAsia="en-GB"/>
        </w:rPr>
        <w:t>2. Ngarkohen Ministria e Brendshme dhe Ministria e Ekonomisë, Tregtisë dhe Energjetikës për zbatimin e këtij vendimi.</w:t>
      </w:r>
    </w:p>
    <w:p w:rsidR="008717A9" w:rsidRDefault="008717A9" w:rsidP="008717A9">
      <w:pPr>
        <w:pStyle w:val="Paragrafi"/>
        <w:rPr>
          <w:rFonts w:eastAsia="MS Mincho"/>
          <w:lang w:val="en-GB" w:eastAsia="en-GB"/>
        </w:rPr>
      </w:pPr>
      <w:r>
        <w:rPr>
          <w:rFonts w:eastAsia="MS Mincho"/>
          <w:lang w:val="en-GB" w:eastAsia="en-GB"/>
        </w:rPr>
        <w:t>Ky vendim hyn në fuqi menjëherë dhe botohet në Fletoren Zyrtare.</w:t>
      </w:r>
    </w:p>
    <w:p w:rsidR="008717A9" w:rsidRDefault="008717A9" w:rsidP="008717A9">
      <w:pPr>
        <w:pStyle w:val="Paragrafi"/>
        <w:rPr>
          <w:rFonts w:eastAsia="MS Mincho"/>
          <w:lang w:val="en-GB" w:eastAsia="en-GB"/>
        </w:rPr>
      </w:pPr>
    </w:p>
    <w:p w:rsidR="008717A9" w:rsidRDefault="008717A9" w:rsidP="008717A9">
      <w:pPr>
        <w:pStyle w:val="Autoriteti"/>
        <w:rPr>
          <w:rFonts w:eastAsia="MS Mincho"/>
          <w:lang w:eastAsia="en-GB"/>
        </w:rPr>
      </w:pPr>
      <w:r>
        <w:rPr>
          <w:rFonts w:eastAsia="MS Mincho"/>
          <w:lang w:eastAsia="en-GB"/>
        </w:rPr>
        <w:t>Kryeministri</w:t>
      </w:r>
    </w:p>
    <w:p w:rsidR="008717A9" w:rsidRDefault="008717A9" w:rsidP="008717A9">
      <w:pPr>
        <w:pStyle w:val="AutoritetiEmer"/>
        <w:rPr>
          <w:rFonts w:eastAsia="MS Mincho"/>
          <w:lang w:eastAsia="en-GB"/>
        </w:rPr>
      </w:pPr>
      <w:r>
        <w:rPr>
          <w:rFonts w:eastAsia="MS Mincho"/>
          <w:lang w:eastAsia="en-GB"/>
        </w:rPr>
        <w:t>Sali Berisha</w:t>
      </w:r>
    </w:p>
    <w:p w:rsidR="008717A9" w:rsidRDefault="008717A9" w:rsidP="00180ECE">
      <w:pPr>
        <w:pStyle w:val="Akti"/>
        <w:jc w:val="left"/>
      </w:pPr>
    </w:p>
    <w:p w:rsidR="008717A9" w:rsidRDefault="008717A9" w:rsidP="00585708">
      <w:pPr>
        <w:pStyle w:val="Akti"/>
      </w:pPr>
    </w:p>
    <w:p w:rsidR="00A42904" w:rsidRDefault="00A42904" w:rsidP="00585708">
      <w:pPr>
        <w:pStyle w:val="Akti"/>
      </w:pPr>
      <w:r>
        <w:t>VENDIM</w:t>
      </w:r>
    </w:p>
    <w:p w:rsidR="00A42904" w:rsidRDefault="00A42904" w:rsidP="00585708">
      <w:pPr>
        <w:pStyle w:val="NumriData"/>
      </w:pPr>
      <w:r>
        <w:t>Nr.25, datë 5.12.2008</w:t>
      </w:r>
    </w:p>
    <w:p w:rsidR="00A42904" w:rsidRDefault="00A42904" w:rsidP="00A42904">
      <w:pPr>
        <w:pStyle w:val="Paragrafi"/>
      </w:pPr>
    </w:p>
    <w:p w:rsidR="00E72920" w:rsidRPr="00A42904" w:rsidRDefault="00A42904" w:rsidP="00585708">
      <w:pPr>
        <w:pStyle w:val="TitulliTitull"/>
      </w:pPr>
      <w:r w:rsidRPr="00A42904">
        <w:t>NË EMËR TË REPUBLIK</w:t>
      </w:r>
      <w:r w:rsidR="00E72920" w:rsidRPr="00A42904">
        <w:t>ËS SË SHQIPËRISË</w:t>
      </w:r>
    </w:p>
    <w:p w:rsidR="00E72920" w:rsidRDefault="00E72920" w:rsidP="00E72920">
      <w:pPr>
        <w:pStyle w:val="Paragrafi"/>
      </w:pPr>
    </w:p>
    <w:p w:rsidR="00E72920" w:rsidRDefault="00E72920" w:rsidP="00E72920">
      <w:pPr>
        <w:pStyle w:val="Paragrafi"/>
      </w:pPr>
      <w:r>
        <w:t>Gjykata Kushtetuese e Republikës së Shqipërisë, e përbërë nga:</w:t>
      </w:r>
    </w:p>
    <w:p w:rsidR="00FE71C3" w:rsidRDefault="00FE71C3" w:rsidP="00E72920">
      <w:pPr>
        <w:pStyle w:val="Paragrafi"/>
      </w:pPr>
    </w:p>
    <w:p w:rsidR="00E72920" w:rsidRDefault="00E72920" w:rsidP="00E72920">
      <w:pPr>
        <w:pStyle w:val="Paragrafi"/>
      </w:pPr>
      <w:r>
        <w:t>Vladimir Kristo</w:t>
      </w:r>
      <w:r>
        <w:tab/>
      </w:r>
      <w:r>
        <w:tab/>
        <w:t>Kryetar  i Gjykatës Kushtetuese</w:t>
      </w:r>
    </w:p>
    <w:p w:rsidR="00E72920" w:rsidRDefault="00E72920" w:rsidP="00E72920">
      <w:pPr>
        <w:pStyle w:val="Paragrafi"/>
      </w:pPr>
      <w:r>
        <w:t>Gjergj Sauli</w:t>
      </w:r>
      <w:r>
        <w:tab/>
      </w:r>
      <w:r>
        <w:tab/>
        <w:t xml:space="preserve">Anëtar   i </w:t>
      </w:r>
      <w:r>
        <w:tab/>
        <w:t>“</w:t>
      </w:r>
      <w:r>
        <w:tab/>
        <w:t>“</w:t>
      </w:r>
    </w:p>
    <w:p w:rsidR="00E72920" w:rsidRDefault="00E72920" w:rsidP="00E72920">
      <w:pPr>
        <w:pStyle w:val="Paragrafi"/>
      </w:pPr>
      <w:r>
        <w:t>Fehmi Abdiu</w:t>
      </w:r>
      <w:r>
        <w:tab/>
      </w:r>
      <w:r>
        <w:tab/>
        <w:t>Anëtar   i</w:t>
      </w:r>
      <w:r>
        <w:tab/>
        <w:t>“</w:t>
      </w:r>
      <w:r>
        <w:tab/>
        <w:t>“</w:t>
      </w:r>
    </w:p>
    <w:p w:rsidR="00E72920" w:rsidRDefault="00E72920" w:rsidP="00E72920">
      <w:pPr>
        <w:pStyle w:val="Paragrafi"/>
      </w:pPr>
      <w:r>
        <w:t>Kujtim Puto</w:t>
      </w:r>
      <w:r>
        <w:tab/>
      </w:r>
      <w:r>
        <w:tab/>
        <w:t>Anëtar   i</w:t>
      </w:r>
      <w:r>
        <w:tab/>
        <w:t>“</w:t>
      </w:r>
      <w:r>
        <w:tab/>
        <w:t xml:space="preserve">“ </w:t>
      </w:r>
    </w:p>
    <w:p w:rsidR="00E72920" w:rsidRDefault="00E72920" w:rsidP="00E72920">
      <w:pPr>
        <w:pStyle w:val="Paragrafi"/>
      </w:pPr>
      <w:r>
        <w:t>Xhezair Zaganjori</w:t>
      </w:r>
      <w:r>
        <w:tab/>
        <w:t>Anëtar   i</w:t>
      </w:r>
      <w:r>
        <w:tab/>
        <w:t>“</w:t>
      </w:r>
      <w:r>
        <w:tab/>
        <w:t xml:space="preserve">“   </w:t>
      </w:r>
    </w:p>
    <w:p w:rsidR="00E72920" w:rsidRDefault="00E72920" w:rsidP="00E72920">
      <w:pPr>
        <w:pStyle w:val="Paragrafi"/>
      </w:pPr>
      <w:r>
        <w:t>Petrit Plloçi</w:t>
      </w:r>
      <w:r>
        <w:tab/>
      </w:r>
      <w:r>
        <w:tab/>
        <w:t>Anëtar   i</w:t>
      </w:r>
      <w:r>
        <w:tab/>
        <w:t>“</w:t>
      </w:r>
      <w:r>
        <w:tab/>
        <w:t xml:space="preserve">“  </w:t>
      </w:r>
    </w:p>
    <w:p w:rsidR="00E72920" w:rsidRDefault="00E72920" w:rsidP="00E72920">
      <w:pPr>
        <w:pStyle w:val="Paragrafi"/>
      </w:pPr>
      <w:r>
        <w:t>Vitore Tusha</w:t>
      </w:r>
      <w:r>
        <w:tab/>
      </w:r>
      <w:r>
        <w:tab/>
        <w:t>Anëtare e</w:t>
      </w:r>
      <w:r>
        <w:tab/>
        <w:t>“</w:t>
      </w:r>
      <w:r>
        <w:tab/>
        <w:t>“</w:t>
      </w:r>
    </w:p>
    <w:p w:rsidR="00E72920" w:rsidRDefault="00E72920" w:rsidP="00E72920">
      <w:pPr>
        <w:pStyle w:val="Paragrafi"/>
      </w:pPr>
      <w:r>
        <w:t xml:space="preserve">Sokol Berberi </w:t>
      </w:r>
      <w:r>
        <w:tab/>
      </w:r>
      <w:r>
        <w:tab/>
        <w:t>Anëtar   i</w:t>
      </w:r>
      <w:r>
        <w:tab/>
        <w:t>“</w:t>
      </w:r>
      <w:r>
        <w:tab/>
        <w:t>“</w:t>
      </w:r>
    </w:p>
    <w:p w:rsidR="00E72920" w:rsidRDefault="00E72920" w:rsidP="00E72920">
      <w:pPr>
        <w:pStyle w:val="Paragrafi"/>
      </w:pPr>
      <w:r>
        <w:t>Sokol Sadushi</w:t>
      </w:r>
      <w:r>
        <w:tab/>
      </w:r>
      <w:r>
        <w:tab/>
        <w:t>Anëtar   i</w:t>
      </w:r>
      <w:r>
        <w:tab/>
        <w:t>“</w:t>
      </w:r>
      <w:r>
        <w:tab/>
        <w:t>“</w:t>
      </w:r>
    </w:p>
    <w:p w:rsidR="00E72920" w:rsidRDefault="00E72920" w:rsidP="00E72920">
      <w:pPr>
        <w:pStyle w:val="Paragrafi"/>
      </w:pPr>
    </w:p>
    <w:p w:rsidR="00E72920" w:rsidRDefault="00E72920" w:rsidP="00E72920">
      <w:pPr>
        <w:pStyle w:val="Paragrafi"/>
      </w:pPr>
      <w:r>
        <w:t>me sekretare Blerina Çinari, në datën 2.10.2008, mori në shqyrtim në seancë gjyqësore me dyer të hapura çështjen nr.19 Akti, që i përket:</w:t>
      </w:r>
    </w:p>
    <w:p w:rsidR="00E72920" w:rsidRDefault="00EF49A7" w:rsidP="00E72920">
      <w:pPr>
        <w:pStyle w:val="Paragrafi"/>
      </w:pPr>
      <w:r>
        <w:t>Kërkues: Shoqata Kombëtare e Gjyqtarëve të Republikës Së Shqipërisë</w:t>
      </w:r>
      <w:r w:rsidR="00E72920">
        <w:t>,  përfaqësuar nga z.Klodian Rado, gj</w:t>
      </w:r>
      <w:r>
        <w:t>yqtar</w:t>
      </w:r>
      <w:r w:rsidR="00FE71C3">
        <w:t>,</w:t>
      </w:r>
      <w:r>
        <w:t xml:space="preserve"> dhe avokat Vangjel Kosta,</w:t>
      </w:r>
      <w:r w:rsidR="00E72920">
        <w:t xml:space="preserve"> me prokurë të posaçme. </w:t>
      </w:r>
    </w:p>
    <w:p w:rsidR="00E72920" w:rsidRDefault="0045061A" w:rsidP="00E72920">
      <w:pPr>
        <w:pStyle w:val="Paragrafi"/>
      </w:pPr>
      <w:r>
        <w:t>Subjekte të i</w:t>
      </w:r>
      <w:r w:rsidR="005D7E92">
        <w:t>nteresuara</w:t>
      </w:r>
      <w:r w:rsidR="00E72920">
        <w:t xml:space="preserve">: </w:t>
      </w:r>
    </w:p>
    <w:p w:rsidR="00E72920" w:rsidRDefault="00EF49A7" w:rsidP="00E72920">
      <w:pPr>
        <w:pStyle w:val="Paragrafi"/>
      </w:pPr>
      <w:r>
        <w:t>Kuvendi i Republikës së Shqipërisë</w:t>
      </w:r>
      <w:r w:rsidR="00E72920">
        <w:t>, përfaqësuar nga z.Lulzim Lelçaj, me autorizim.</w:t>
      </w:r>
    </w:p>
    <w:p w:rsidR="00E72920" w:rsidRDefault="005D7E92" w:rsidP="00E72920">
      <w:pPr>
        <w:pStyle w:val="Paragrafi"/>
      </w:pPr>
      <w:r>
        <w:t>Këshilli i Lartë i Drejtësisë</w:t>
      </w:r>
      <w:r w:rsidR="00E72920">
        <w:t>, në mungesë.</w:t>
      </w:r>
    </w:p>
    <w:p w:rsidR="00E72920" w:rsidRDefault="005D7E92" w:rsidP="00E72920">
      <w:pPr>
        <w:pStyle w:val="Paragrafi"/>
      </w:pPr>
      <w:r>
        <w:t>Konferenca Gjyqësore Kombëtare</w:t>
      </w:r>
      <w:r w:rsidR="00E72920">
        <w:t>, përfaqësuar nga zëvendëskryetari i Këshillit Ekzekutiv, z.Albert Meçe.</w:t>
      </w:r>
    </w:p>
    <w:p w:rsidR="00E72920" w:rsidRDefault="005D7E92" w:rsidP="00E72920">
      <w:pPr>
        <w:pStyle w:val="Paragrafi"/>
      </w:pPr>
      <w:r>
        <w:t>Objekti</w:t>
      </w:r>
      <w:r w:rsidR="00E72920">
        <w:t xml:space="preserve">: Shfuqizimi si i papajtueshëm me Kushtetutën e Republikës së Shqipërisë i ligjit nr.9399, datë 12.5.2005 “Për organizimin dhe funksionimin e Konferencës Gjyqësore Kombëtare”. </w:t>
      </w:r>
    </w:p>
    <w:p w:rsidR="00E72920" w:rsidRDefault="00E72920" w:rsidP="00E72920">
      <w:pPr>
        <w:pStyle w:val="Paragrafi"/>
      </w:pPr>
      <w:r>
        <w:t>BAZA LIGJORE: Nenet 4, pika 2; 6; 7; 81, pika 2, shkronja “a”; 131, shkronja “a”; 134, shkronja “f”; 145, pika 1, 3 dhe 147 të Kushtetutës të Republikës së Shqipërisë, si dhe neni  49 e vijues i ligjit nr.8577, datë 10.2.2000 “Për organizmin dhe funksionimin e Gjykatës Kushtetuese të Republikës së Shqipërisë”.</w:t>
      </w:r>
    </w:p>
    <w:p w:rsidR="00E72920" w:rsidRDefault="00E72920" w:rsidP="00E72920">
      <w:pPr>
        <w:pStyle w:val="Paragrafi"/>
      </w:pPr>
      <w:r>
        <w:t xml:space="preserve"> </w:t>
      </w:r>
    </w:p>
    <w:p w:rsidR="00E72920" w:rsidRDefault="00E72920" w:rsidP="00585708">
      <w:pPr>
        <w:pStyle w:val="Institucioni"/>
      </w:pPr>
      <w:r>
        <w:t>GJYKATA KUSHTETUESE,</w:t>
      </w:r>
    </w:p>
    <w:p w:rsidR="00E72920" w:rsidRDefault="00E72920" w:rsidP="00E72920">
      <w:pPr>
        <w:pStyle w:val="Paragrafi"/>
      </w:pPr>
    </w:p>
    <w:p w:rsidR="00E72920" w:rsidRDefault="00E72920" w:rsidP="00E72920">
      <w:pPr>
        <w:pStyle w:val="Paragrafi"/>
      </w:pPr>
      <w:r>
        <w:t>pasi dëgjoi relatorin e çështjes Sokol Sadushi, përfaqësuesit e kërkuesit që kërkuan pranimin e kërkesës, përfaqësuesin e Kuvendit që kërkoi rrëzimin e kërkesës, përfaqësuesin e Konferencës Gjyqësore Kombëtare që e la zgjidhjen e çështjes në vlerësimin e gjykatës, si dhe e shqyrtoi çështjen në tërësi,</w:t>
      </w:r>
    </w:p>
    <w:p w:rsidR="00E72920" w:rsidRDefault="00E72920" w:rsidP="00E72920">
      <w:pPr>
        <w:pStyle w:val="Paragrafi"/>
      </w:pPr>
    </w:p>
    <w:p w:rsidR="00E72920" w:rsidRDefault="00E72920" w:rsidP="00585708">
      <w:pPr>
        <w:pStyle w:val="VENDOSI"/>
      </w:pPr>
      <w:r>
        <w:t>VËREN:</w:t>
      </w:r>
    </w:p>
    <w:p w:rsidR="00E72920" w:rsidRDefault="00E72920" w:rsidP="00E72920">
      <w:pPr>
        <w:pStyle w:val="Paragrafi"/>
      </w:pPr>
      <w:r>
        <w:t>I</w:t>
      </w:r>
    </w:p>
    <w:p w:rsidR="00E72920" w:rsidRDefault="00E72920" w:rsidP="00E72920">
      <w:pPr>
        <w:pStyle w:val="Paragrafi"/>
      </w:pPr>
      <w:r>
        <w:t xml:space="preserve">1. Në nenin 147 të Kushtetutës së Republikës së Shqipërisë është parashikuar se Këshilli i Lartë i Drejtësisë përbëhet nga Presidenti i Republikës, Kryetari i Gjykatës së Lartë, Ministri i Drejtësisë, 3 anëtarë të zgjedhur nga Kuvendi, si dhe 9 gjyqtarë të të gjitha niveleve, të cilët zgjidhen nga Konferenca Gjyqësore Kombëtare. </w:t>
      </w:r>
    </w:p>
    <w:p w:rsidR="00E72920" w:rsidRDefault="00E72920" w:rsidP="00E72920">
      <w:pPr>
        <w:pStyle w:val="Paragrafi"/>
      </w:pPr>
      <w:r>
        <w:t xml:space="preserve">Që nga miratimi i Kushtetutës së Republikës së Shqipërisë, në vitin 1998 dhe deri në vitin 2005, organizimi dhe funksionimi i Konferencës Gjyqësore Kombëtare ka qenë i rregulluar nëpërmjet normave të brendshme të statutit të miratuar prej saj. </w:t>
      </w:r>
    </w:p>
    <w:p w:rsidR="00E72920" w:rsidRDefault="00E72920" w:rsidP="00E72920">
      <w:pPr>
        <w:pStyle w:val="Paragrafi"/>
      </w:pPr>
      <w:r>
        <w:t>Kuvendi i Republikës së Shqipërisë, me ligjin nr.9399, datë 12.05.2005, ka parashikuar, nëpërmjet rregullimeve juridike, mënyrën e organizimit dhe të funksionimit të Konferencës Gjyqësore Kombëtare. Sipas këtij ligji, Konferenca Gjyqësore Kombëtare e Shqipërisë është organi përfaqësues i gjyqtarëve të të gjitha niveleve të Republikës së Shqipërisë, në përbërje të të cilit përfshihen anëtarët e Gjykatës së Lartë për shkak të detyrës, kryetarët e gjykatave të shkallës së parë, kryetarët e gjykatave të apelit dhe një numër i caktu</w:t>
      </w:r>
      <w:r w:rsidR="00FE71C3">
        <w:t>ar gjyqtarësh, të zgjedhur nga konferencat gjyqësore r</w:t>
      </w:r>
      <w:r>
        <w:t xml:space="preserve">ajonale. Në këtë ligj janë parashikuar kompetencat e Konferencës Gjyqësore Kombëtare dhe rregullat bazë për mënyrën e financimit, funksionimin dhe zgjedhjen e anëtarësisë e të organeve drejtuese të saj.   </w:t>
      </w:r>
    </w:p>
    <w:p w:rsidR="00E72920" w:rsidRDefault="00E72920" w:rsidP="00E72920">
      <w:pPr>
        <w:pStyle w:val="Paragrafi"/>
      </w:pPr>
      <w:r>
        <w:t xml:space="preserve">2. Shoqata Kombëtare e Gjyqtarëve të Republikës së Shqipërisë i është drejtuar Gjykatës Kushtetuese dhe ka kërkuar që ligji nr.9399, datë 12.5.2005 “Për organizimin dhe funksionimin e Konferencës Gjyqësore Kombëtare” të shfuqizohet si i papajtueshëm me Kushtetutën e Republikës së Shqipërisë. Argumentet kryesore të kërkuesit janë përqendruar në këto drejtime kryesore:  </w:t>
      </w:r>
    </w:p>
    <w:p w:rsidR="00E72920" w:rsidRDefault="00E72920" w:rsidP="00E72920">
      <w:pPr>
        <w:pStyle w:val="Paragrafi"/>
      </w:pPr>
      <w:r>
        <w:t>- Procedura për miratimin e këtij ligji, që rregullon organizimin dhe funksionimin e një institucioni të parashikuar nga Kushtetuta, është kryer në kundërshtim me nenin 81 pika 2 shkronja “a” të saj.</w:t>
      </w:r>
    </w:p>
    <w:p w:rsidR="00E72920" w:rsidRDefault="00E72920" w:rsidP="00E72920">
      <w:pPr>
        <w:pStyle w:val="Paragrafi"/>
      </w:pPr>
      <w:r>
        <w:t xml:space="preserve">- Në referim të nenit 147 të Kushtetutës, kuptimi kushtetues i Konferencës Gjyqësore Kombëtare përcaktohet nga kompetenca e saj për të zgjedhur, nga tërësia e gjyqtarëve të të gjitha niveleve, përfaqësuesit e gjyqësorit në Këshillin e Lartë të Drejtësisë.  </w:t>
      </w:r>
    </w:p>
    <w:p w:rsidR="00E72920" w:rsidRDefault="00E72920" w:rsidP="00E72920">
      <w:pPr>
        <w:pStyle w:val="Paragrafi"/>
      </w:pPr>
      <w:r>
        <w:t>- Ligji vjen në kundërshtim me parimin e ndarjes dhe balancimit ndërmjet pushteteve dhe cenon drejtpërdrejt pavarësinë e gjyqësorit. Ky ligj favorizon pushtet të veçantë për persona të ndryshëm brenda pushtetit gjyqësor.</w:t>
      </w:r>
    </w:p>
    <w:p w:rsidR="00E72920" w:rsidRDefault="00E72920" w:rsidP="00E72920">
      <w:pPr>
        <w:pStyle w:val="Paragrafi"/>
      </w:pPr>
      <w:r>
        <w:t>- Imponimi nga ligjvënësi i rregullave për organizimin dhe funksionimin e trupës gjyqësore në ushtrimin e kompetencës kushtetuese për të zgjedhur përfaqësuesit e vet përbën ndërhyrje të drejtpërdrejtë në vendimmarrjen e pushtetit gjyqësor</w:t>
      </w:r>
      <w:r w:rsidR="00E13053">
        <w:t xml:space="preserve"> dhe cenim të pavarësisë së tij.</w:t>
      </w:r>
      <w:r>
        <w:t xml:space="preserve">  </w:t>
      </w:r>
    </w:p>
    <w:p w:rsidR="00E72920" w:rsidRDefault="00E72920" w:rsidP="00E72920">
      <w:pPr>
        <w:pStyle w:val="Paragrafi"/>
      </w:pPr>
      <w:r>
        <w:t>Përfaqësuesi i subjektit të interesuar, Kuvendi i Republikës së Shqipërisë, ka kërkuar rrëzimin e kërkesës duke parashtruar argumentet në vijim:</w:t>
      </w:r>
    </w:p>
    <w:p w:rsidR="00F73C54" w:rsidRDefault="00F73C54" w:rsidP="00E72920">
      <w:pPr>
        <w:pStyle w:val="Paragrafi"/>
      </w:pPr>
    </w:p>
    <w:p w:rsidR="00E72920" w:rsidRDefault="00E72920" w:rsidP="00E72920">
      <w:pPr>
        <w:pStyle w:val="Paragrafi"/>
      </w:pPr>
      <w:r>
        <w:t>- Kërkesa është paraqitur tej afatit procedural të përcaktuar nga ligji “Për organizimin dhe funksionimin e Gjykatës Kushtetuese”.</w:t>
      </w:r>
    </w:p>
    <w:p w:rsidR="00E72920" w:rsidRDefault="00E72920" w:rsidP="00E72920">
      <w:pPr>
        <w:pStyle w:val="Paragrafi"/>
      </w:pPr>
      <w:r>
        <w:t>- Kërkuesi nuk legjitimohet të kërkojë antikushtetutshmërinë e ligjit, në këndvështrim të nenit 81 pika 2 shkronja “a” të Kushtetutës, sepse duke mos e argumentuar interesin në këtë gjykim, ai nuk përfshihet në grupin e subjekteve që parashikohen në shkronjat “a” deri në “ç” të nenit 134 pika 1 të Kushtetutës.</w:t>
      </w:r>
    </w:p>
    <w:p w:rsidR="00E72920" w:rsidRDefault="00E72920" w:rsidP="00E72920">
      <w:pPr>
        <w:pStyle w:val="Paragrafi"/>
      </w:pPr>
      <w:r>
        <w:t xml:space="preserve">- Neni 147 i Kushtetutës nuk ka parashikuar Konferencën Gjyqësore Kombëtare si një institucion kushtetues, por Këshillin e Lartë të Drejtësisë dhe nuk ka kërkuar që organizimi dhe funksionimi i saj të bëhet me ligj. </w:t>
      </w:r>
    </w:p>
    <w:p w:rsidR="00E72920" w:rsidRDefault="00E72920" w:rsidP="00E72920">
      <w:pPr>
        <w:pStyle w:val="Paragrafi"/>
      </w:pPr>
      <w:r>
        <w:t>- Kërkuesi nuk ka specifikuar dispozitën kushtetuese me të cilën është në kundërshtim formula e parashikuar në ligj për caktimin, për shkak të detyrës, të anëtarëve në Konferencën Gjyqësore Kombëtare. Fakti që nuk janë anëtarë të Konferencës Gjyqësore Kombëtare të gjithë gjyqtarët, nuk sjell  antikushtetutshmëri të dispozitave ligjore.</w:t>
      </w:r>
    </w:p>
    <w:p w:rsidR="00E72920" w:rsidRDefault="00E72920" w:rsidP="00E72920">
      <w:pPr>
        <w:pStyle w:val="Paragrafi"/>
      </w:pPr>
      <w:r>
        <w:t xml:space="preserve">- Nuk ka cenim të parimit të ndarjes dhe balancimit ndërmjet pushteteve dhe pavarësisë së pushtetit gjyqësor, për arsye se asnjë pushtet tjetër nuk ndërhyn te gjyqësori për të propozuar apo imponuar përzgjedhjen e kandidatëve për anëtarë të Këshillit të Lartë të Drejtësisë. </w:t>
      </w:r>
    </w:p>
    <w:p w:rsidR="00E72920" w:rsidRDefault="00E72920" w:rsidP="00E72920">
      <w:pPr>
        <w:pStyle w:val="Paragrafi"/>
      </w:pPr>
      <w:r>
        <w:t>Subjekti i interesuar, Këshilli i Lartë i Drejtësisë, është shprehur për pranimin e kërkesës, duke i përqendruar parashtrimet e tij me shkrim drejtuar kësaj gjykate, në këto drejtime kryesore:</w:t>
      </w:r>
    </w:p>
    <w:p w:rsidR="00E72920" w:rsidRDefault="00E72920" w:rsidP="00E72920">
      <w:pPr>
        <w:pStyle w:val="Paragrafi"/>
      </w:pPr>
      <w:r>
        <w:t xml:space="preserve">- Ligji ka krijuar një përplasje me frymën e Kushtetutës për misionin dhe qëllimin e Konferencës Gjyqësore Kombëtare. Ligji e ka devijuar elementin “kombëtar” nga dimensioni kushtetues, sepse nuk e ka referuar zgjedhjen e anëtarëve të Këshillit të Lartë të Drejtësisë te tërësia e gjyqtarëve të të gjitha niveleve, por vetëm te një pjesë e tyre. </w:t>
      </w:r>
    </w:p>
    <w:p w:rsidR="00E72920" w:rsidRDefault="00E72920" w:rsidP="00E72920">
      <w:pPr>
        <w:pStyle w:val="Paragrafi"/>
      </w:pPr>
      <w:r>
        <w:t xml:space="preserve">- Në kundërshtim me vizionin dhe frymën e Kushtetutës, ligji u jep disa gjyqtarëve të drejta dhe privilegje më shumë se të tjerëve. Nenet 3 dhe 4 të ligjit, për të zgjedhur 9 anëtarët e Këshillit të Lartë të Drejtësisë, sanksionojnë një raport të diferencuar dhe një peshë të dalluar vote mes anëtarëve të Gjykatës së Lartë e kryetarëve të gjykatave, nga njëra anë dhe gjyqtarëve të dy niveleve, nga ana tjetër. </w:t>
      </w:r>
    </w:p>
    <w:p w:rsidR="00E72920" w:rsidRDefault="00E72920" w:rsidP="00E72920">
      <w:pPr>
        <w:pStyle w:val="Paragrafi"/>
      </w:pPr>
      <w:r>
        <w:t>- Mënyra e aplikuar për zgjedhjen e anëtarëve të Konferencës Gjyqësore Kombëtare është në kundërshtim me frymën demokratike brenda organizmave social-politikë dhe të parimit “një anëtar, një votë”.</w:t>
      </w:r>
    </w:p>
    <w:p w:rsidR="00E72920" w:rsidRDefault="00E72920" w:rsidP="00E72920">
      <w:pPr>
        <w:pStyle w:val="Paragrafi"/>
      </w:pPr>
      <w:r>
        <w:t>- Ligji nuk ka realizuar një zgjidhje të mirë dhe efektive për organizimin e Konferencës Gjyqësore Kombëtare.</w:t>
      </w:r>
    </w:p>
    <w:p w:rsidR="00E72920" w:rsidRDefault="00E72920" w:rsidP="00E72920">
      <w:pPr>
        <w:pStyle w:val="Paragrafi"/>
      </w:pPr>
    </w:p>
    <w:p w:rsidR="00E72920" w:rsidRDefault="00E72920" w:rsidP="00E72920">
      <w:pPr>
        <w:pStyle w:val="Paragrafi"/>
      </w:pPr>
      <w:r>
        <w:t>II</w:t>
      </w:r>
    </w:p>
    <w:p w:rsidR="00E72920" w:rsidRDefault="00E72920" w:rsidP="00E72920">
      <w:pPr>
        <w:pStyle w:val="Paragrafi"/>
      </w:pPr>
      <w:r>
        <w:t>1. Gjykata Kushtetuese (Gjykata) e vlerëson të nevojshme të analizojë paraprakisht legjitimimin e Shoqatës Kombëtare të Gjyqtarëve. Përfaqësuesi i subjektit të interesuar, Kuvendi i Republikës së Shqipërisë, e ka argumentuar mungesën e legjitimimit të kërkuesit në këtë gjykim kushtetues, për shkak të subjektit konkret që ai përfaqëson (</w:t>
      </w:r>
      <w:r>
        <w:rPr>
          <w:i/>
        </w:rPr>
        <w:t>ratione personae</w:t>
      </w:r>
      <w:r>
        <w:t>), për shkak të kalimit të afatit 3-vjeçar për të paraqitur kërkesën (</w:t>
      </w:r>
      <w:r>
        <w:rPr>
          <w:i/>
        </w:rPr>
        <w:t>ratione temporis</w:t>
      </w:r>
      <w:r>
        <w:t>), si dhe për shkak të mungesës së lidhjes ndërmjet interesit të tij të drejtpërdrejt</w:t>
      </w:r>
      <w:r w:rsidR="009850A5">
        <w:t>ë</w:t>
      </w:r>
      <w:r>
        <w:t xml:space="preserve"> me thelbin e çështjes në gjykim (</w:t>
      </w:r>
      <w:r>
        <w:rPr>
          <w:i/>
        </w:rPr>
        <w:t>ratione materiae</w:t>
      </w:r>
      <w:r>
        <w:t xml:space="preserve">).  </w:t>
      </w:r>
    </w:p>
    <w:p w:rsidR="00E72920" w:rsidRDefault="00E72920" w:rsidP="00E72920">
      <w:pPr>
        <w:pStyle w:val="Paragrafi"/>
      </w:pPr>
      <w:r>
        <w:t xml:space="preserve">2. Në kuptim të rregullimit të parashikuar nga nenet 131 shkronja “a” dhe 134 pika 2 shkronja “f” të Kushtetutës, kërkuesi legjitimohet </w:t>
      </w:r>
      <w:r>
        <w:rPr>
          <w:i/>
        </w:rPr>
        <w:t>ratione personae</w:t>
      </w:r>
      <w:r>
        <w:t xml:space="preserve"> t’i drejtohet për këtë çështje Gjykatës Kushtetuese. Shoqata Kombëtare e Gjyqtarëve është regjistruar si subjekt juridik në Gjykatën e Rrethit Gjyqësor Tiranë me vendimin nr.2160, datë 25.1.2008. Në nenin 1 të statutit të Shoqatës është parashikuar, si një ndër qëllimet kryesore të saj, “konsolidimi, forcimi dhe mbrojtja e pavarësisë së gjyqtarëve dhe të sistemit gjyqësor në tërësi”. </w:t>
      </w:r>
    </w:p>
    <w:p w:rsidR="00F73C54" w:rsidRDefault="00E72920" w:rsidP="00E72920">
      <w:pPr>
        <w:pStyle w:val="Paragrafi"/>
      </w:pPr>
      <w:r>
        <w:t xml:space="preserve">Kërkesa e Shoqatës Kombëtare të Gjyqtarëve, e paraqitur nga kryetarja e saj, në kuptim të kompetencës që parashikohet në nenin 10 të statutit, përmban si argument parësor, që Gjykata e konsideron të përfshirë në sferën e qëllimit të kësaj Shoqate, pretendimin për cenim të parimit të ndarjes dhe balancimit ndërmjet pushteteve e, në veçanti, të parimit të pavarësisë së gjyqësorit, që kanë të bëjnë me rolin e Konferencës Gjyqësore Kombëtare si institucioni që zgjedh shumicën absolute të anëtarëve të Këshillit të Lartë të Drejtësisë. </w:t>
      </w:r>
    </w:p>
    <w:p w:rsidR="00E72920" w:rsidRDefault="00E72920" w:rsidP="00E72920">
      <w:pPr>
        <w:pStyle w:val="Paragrafi"/>
      </w:pPr>
      <w:r>
        <w:t xml:space="preserve"> </w:t>
      </w:r>
    </w:p>
    <w:p w:rsidR="00E72920" w:rsidRDefault="00E72920" w:rsidP="00E72920">
      <w:pPr>
        <w:pStyle w:val="Paragrafi"/>
      </w:pPr>
      <w:r>
        <w:t xml:space="preserve">3. Kërkuesi legjitimohet </w:t>
      </w:r>
      <w:r>
        <w:rPr>
          <w:i/>
        </w:rPr>
        <w:t>ratione temporis</w:t>
      </w:r>
      <w:r>
        <w:t xml:space="preserve"> pasi kërkesa është regjistruar brenda afatit të parashikuar në ligjin nr.8577, datë 10.2.2000 “Për organizimin dhe funksionimin e Gjykatës Kushtetuese të Republikës së Shqipërisë”. Ligji, objekt shqyrtimi, është botuar në Fletoren Zyrtare më datë 14.6.2005. Vetë ligji, në nenin 12 të tij, përcakton se “ky ligj hyn në fuqi 15 ditë pas botimit në Fletoren Zyrtare”. Rezulton se ky afat 15-ditor është plotësuar në datën 29.6.2005. Sipas një vërtetimi me nr. extra, datë 4.7.2008 të lëshuar nga Dega e Shërbimeve të Filialit të Postës Shqiptare, Tiranë dhe të administruar në këtë gjykim kushtetues</w:t>
      </w:r>
      <w:r w:rsidR="008A3056">
        <w:t>,</w:t>
      </w:r>
      <w:r>
        <w:t xml:space="preserve"> rezulton se kërkesa e Shoqatës Kombëtare të Gjyqtarëve, me “</w:t>
      </w:r>
      <w:r>
        <w:rPr>
          <w:i/>
        </w:rPr>
        <w:t>nr.7283 është pranuar në sportelin e Postës Qendër-Tiranë në datën 27.6.2008</w:t>
      </w:r>
      <w:r>
        <w:t xml:space="preserve">”. </w:t>
      </w:r>
    </w:p>
    <w:p w:rsidR="00E72920" w:rsidRDefault="00E72920" w:rsidP="00E72920">
      <w:pPr>
        <w:pStyle w:val="Paragrafi"/>
      </w:pPr>
      <w:r>
        <w:t xml:space="preserve">Në nenin 50 të ligjit nr.8577, datë 10.2.2000 “Për organizimin dhe funksionimin e Gjykatës Kushtetuese të Republikës së Shqipërisë”, parashikohet se kërkesat për shqyrtimin e pajtueshmërisë së ligjit ose të akteve të tjera normative me Kushtetutën ose me marrëveshjet ndërkombëtare, mund të paraqiten brenda 3 vjetëve nga hyrja në fuqi e tyre”. Në nenin 1 paragrafi 2 të ligjit është sanksionuar rregulli se “për çështje që lidhen me procedura që nuk rregullohen nga ky ligj, Gjykata Kushtetuese merr parasysh edhe dispozitat ligjore që rregullojnë procedurat e tjera, duke marrë në konsideratë natyrën ligjore të çështjes”. Në këtë kontekst, neni 149 i Kodit të Procedurës Civile parashikon se “afati nuk quhet i humbur, kur kërkesa ose akti është dërguar me postë edhe në ditën e fundit të afatit”. </w:t>
      </w:r>
    </w:p>
    <w:p w:rsidR="00E72920" w:rsidRDefault="00E72920" w:rsidP="00E72920">
      <w:pPr>
        <w:pStyle w:val="Paragrafi"/>
      </w:pPr>
      <w:r>
        <w:t xml:space="preserve">4. Pa i hyrë paraprakisht analizës mbi pajtueshmërinë e ligjit, objekt shqyrtimi, me Kushtetutën, Gjykata vlerëson se kërkuesi legjitimohet </w:t>
      </w:r>
      <w:r>
        <w:rPr>
          <w:i/>
        </w:rPr>
        <w:t>ratione materiae</w:t>
      </w:r>
      <w:r>
        <w:t xml:space="preserve">, në lidhje me pretendimin e tij për antikushtetutshmërinë e ligjit, në këndvështrim të nenit 81 pika 2 shkronja “a” të Kushtetutës. </w:t>
      </w:r>
    </w:p>
    <w:p w:rsidR="00E72920" w:rsidRDefault="00E72920" w:rsidP="00E72920">
      <w:pPr>
        <w:pStyle w:val="Paragrafi"/>
        <w:rPr>
          <w:b/>
        </w:rPr>
      </w:pPr>
      <w:r>
        <w:t>Në kuptim të nenit 134 pika 2 të Kushtetutës, çështjen e legjitimimit të kërkuesit Gjykata e ka vlerësuar si një ndër aspektet kryesore që përcakton inicimin e procesit kushtetues. Për gjykime të kontrollit të kushtetutshmërisë së normës, subjektet që parashikohen në dispozitën e sipërcituar, kanë detyrimin për të provuar lidhjen e domosdoshme që duhet të ekzistojë ndërmjet veprimtarisë ligjore që ato kryejnë dhe pretendimit për shkelje kushtetuese në çështjen e ngritur. Shoqatat (organizatat e tjera) janë parashikuar në nenin 134 pika 1 shkronja “g” të Kushtetutës, ndër subjektet që ushtrojnë në mënyrë të kushtëzuar të drejtën për t’iu drejtuar Gjykatës, duke pasur legjitimitet kushtetues vetëm për çështjet që lidhen me interesat e tyre (</w:t>
      </w:r>
      <w:r>
        <w:rPr>
          <w:i/>
        </w:rPr>
        <w:t>shih vendimet e Gjykatës Kushtetuese nr.35, datë 10.10.2007 dhe nr.17, datë 25.7.2008</w:t>
      </w:r>
      <w:r>
        <w:t>)</w:t>
      </w:r>
      <w:r>
        <w:rPr>
          <w:b/>
        </w:rPr>
        <w:t xml:space="preserve">. </w:t>
      </w:r>
    </w:p>
    <w:p w:rsidR="00E72920" w:rsidRDefault="00E72920" w:rsidP="00E72920">
      <w:pPr>
        <w:pStyle w:val="Paragrafi"/>
      </w:pPr>
      <w:r>
        <w:t xml:space="preserve"> Për të vlerësuar legjitimimin e subjektit, të cilit i kërkohet të justifikojë interesin e tij në lidhje me çështjen, Gjykata duhet të përcaktojë të drejtën kushtetuese ose ligjore të subjektit, i cili pretendon se i është cenuar për shkak të antikushtetutshmërisë së normës konkrete të kundërshtuar para saj. </w:t>
      </w:r>
    </w:p>
    <w:p w:rsidR="00E72920" w:rsidRDefault="00E72920" w:rsidP="00E72920">
      <w:pPr>
        <w:pStyle w:val="Paragrafi"/>
      </w:pPr>
      <w:r>
        <w:t xml:space="preserve">Neni 81 pika 2 shkronja “a” i Kushtetutës, që kërkuesi pretendon të jetë shkelur nga ligji objekt shqyrtimi, është normë kushtetuese me karakter procedural. Në jurisprudencën kushtetuese është argumentuar se subjektet e parashikuara në nenin 134 pika 2 të Kushtetutës nuk legjitimohen të kërkojnë antikushtetutshmërinë e normës juridike duke paraqitur si argument ekzistencën e veseve formale, në qoftë se vetë norma nuk ka cenuar ndonjë të drejtë a liri kushtetuese nga ato që subjekti legjitimohet t’i mbrojë para Gjykatës. Në çështjen në shqyrtim, kërkuesi pretendon se ligji i kundërshtuar ka cenuar si në formë, ashtu edhe në përmbajtje standardet kushtetuese që kanë të bëjnë me parimin e ndarjes dhe balancimit të pushteteve dhe, në veçanti, me pavarësinë e pushtetit gjyqësor.  </w:t>
      </w:r>
    </w:p>
    <w:p w:rsidR="00E72920" w:rsidRDefault="00E72920" w:rsidP="00E72920">
      <w:pPr>
        <w:pStyle w:val="Paragrafi"/>
      </w:pPr>
      <w:r>
        <w:t xml:space="preserve">Në jurisprudencën e kësaj Gjykate është theksuar se “deklarimet e neneve 6 dhe 81 pika 2 shkronja “a” të Kushtetutës shprehen në funksion të garantimit të pavarësisë së organeve dhe institucioneve kushtetuese. Sipas nenit 6, organizimi dhe funksionimi i organeve të parashikuara në këtë Kushtetutë rregullohet me ligjet e tyre përkatëse…”, ndërsa në nenin 81 pika 2 shkronja “a” theksohet, ndër të tjera, se ligjet për organizimin dhe funksionimin e institucioneve të parashikuara nga Kushtetuta duhet të miratohen me tri të pestat e të gjithë anëtarëve të Kuvendit... Kjo pavarësi nuk është thjesht një privilegj i tyre, por një prerogativë e vërtetë dhe e domosdoshme, e cila u jep më shumë siguri, qëndrueshmëri dhe efikasitet organeve dhe institucioneve kushtetuese </w:t>
      </w:r>
      <w:r w:rsidR="009C1311">
        <w:t>në ushtrimin e detyrave të tyre</w:t>
      </w:r>
      <w:r>
        <w:t xml:space="preserve"> (</w:t>
      </w:r>
      <w:r>
        <w:rPr>
          <w:i/>
        </w:rPr>
        <w:t>shih vendimin e Gjykatës Kushtetuese nr. 19, datë 3.5.2007</w:t>
      </w:r>
      <w:r>
        <w:t>).</w:t>
      </w:r>
    </w:p>
    <w:p w:rsidR="00CF667B" w:rsidRDefault="00CF667B" w:rsidP="00E72920">
      <w:pPr>
        <w:pStyle w:val="Paragrafi"/>
      </w:pPr>
    </w:p>
    <w:p w:rsidR="00E72920" w:rsidRDefault="00E72920" w:rsidP="00E72920">
      <w:pPr>
        <w:pStyle w:val="Paragrafi"/>
      </w:pPr>
      <w:r>
        <w:t xml:space="preserve">Pavarësisht se në formë, neni 81 pika 2 shkronja “a” i Kushtetutës, është normë me natyrë procedurale, në thelb ajo mbetet një dispozitë që synon mbrojtjen e institucioneve të parashikuara nga Kushtetuta. Kjo dispozitë kushtetuese është edhe në funksion të mbrojtjes së pavarësisë së gjyqësorit dhe pretendimi për cenimin e kësaj prerogative procedurale, i ngritur pikërisht nga një subjekt, i cili në veprimtarinë ligjore ka një mision të tillë, e bën të pranishëm ekzistencën e interesit për çështjen në shqyrtim. Në këtë kontekst, Gjykata vlerëson se Shoqata Kombëtare e Gjyqtarëve legjitimohet </w:t>
      </w:r>
      <w:r>
        <w:rPr>
          <w:i/>
        </w:rPr>
        <w:t>ratione materiae</w:t>
      </w:r>
      <w:r>
        <w:t xml:space="preserve"> të kërkojë kontrollin e pajtueshmërisë së ligjit me Kushtetutën.</w:t>
      </w:r>
    </w:p>
    <w:p w:rsidR="00E72920" w:rsidRDefault="00E72920" w:rsidP="00E72920">
      <w:pPr>
        <w:pStyle w:val="Paragrafi"/>
      </w:pPr>
    </w:p>
    <w:p w:rsidR="00E72920" w:rsidRDefault="00E72920" w:rsidP="00E72920">
      <w:pPr>
        <w:pStyle w:val="Paragrafi"/>
      </w:pPr>
      <w:r>
        <w:t>III</w:t>
      </w:r>
    </w:p>
    <w:p w:rsidR="00E72920" w:rsidRDefault="00E72920" w:rsidP="00E72920">
      <w:pPr>
        <w:pStyle w:val="Paragrafi"/>
      </w:pPr>
      <w:r>
        <w:t xml:space="preserve">1. Një ndër pretendimet e parashtruara nga kërkuesi për të argumentuar antikushtetutshmërinë në tërësi të ligjit, objekt shqyrtimi, është mosrespektimi nga ligjvënësi i kërkesave të nenit 81 pika 2 shkronja “a” të Kushtetutës, sipas të cilit ligjet për organizimin dhe funksionimin e institucioneve të parashikuara nga Kushtetuta miratohen me tri të pestat e të gjithë anëtarëve të Kuvendit, </w:t>
      </w:r>
    </w:p>
    <w:p w:rsidR="00E72920" w:rsidRDefault="00E72920" w:rsidP="00E72920">
      <w:pPr>
        <w:pStyle w:val="Paragrafi"/>
      </w:pPr>
      <w:r>
        <w:t>Sipas kërkuesit, Konferenca Gjyqësore Kombëtare është një institucion i parashikuar si i tillë për herë të parë nga Kushtetuta dhe i pajisur me kompetencën për të zgjedhur nëntë anëtarë të Këshillit të Lartë të Drejtësisë nga tërësia e gjyqtarëve të të gjitha niveleve. Ndërsa sipas pretendimit të subjekteve të interesuar</w:t>
      </w:r>
      <w:r w:rsidR="00B27566">
        <w:t>a</w:t>
      </w:r>
      <w:r>
        <w:t>, Konferenca Gjyqësore Kombëtare nuk përfshihet në shtrirjen e termit kushtetues “</w:t>
      </w:r>
      <w:r>
        <w:rPr>
          <w:i/>
        </w:rPr>
        <w:t>institucion</w:t>
      </w:r>
      <w:r>
        <w:t xml:space="preserve">” dhe, për rrjedhojë, ligji që rregullon veprimtarinë e saj nuk kërkon miratimin me një shumicë të cilësuar të votave të anëtarëve të Kuvendit.  </w:t>
      </w:r>
    </w:p>
    <w:p w:rsidR="00E72920" w:rsidRDefault="00DE4AEE" w:rsidP="00E72920">
      <w:pPr>
        <w:pStyle w:val="Paragrafi"/>
      </w:pPr>
      <w:r>
        <w:t>Për t’u</w:t>
      </w:r>
      <w:r w:rsidR="00E72920">
        <w:t xml:space="preserve"> dhënë zgjidhje të drejtë pretendimeve të subjekteve në këtë proces kushtetues, Gjykata e çmon të nevojshme të bëjë interpretimin në nenin 81 pika 2 shkronja “a” të termit “</w:t>
      </w:r>
      <w:r w:rsidR="00E72920">
        <w:rPr>
          <w:i/>
        </w:rPr>
        <w:t>institucioneve të parashikuara nga Kushtetuta</w:t>
      </w:r>
      <w:r w:rsidR="00E72920">
        <w:t>”, si dhe të vendit që zë Konferenca Gjyqësore Kombëtare, në kuptim të nenit 147 të Kushtetutës. Gjithashtu, Gjykata vlerëson se neni 81 pika 2 shkronja “a” dhe veçanërisht termi “</w:t>
      </w:r>
      <w:r w:rsidR="00E72920">
        <w:rPr>
          <w:i/>
        </w:rPr>
        <w:t>institucioneve të parashikuara nga Kushtetuta</w:t>
      </w:r>
      <w:r w:rsidR="00E72920">
        <w:t>” duhet të interpretohet në lidhje dhe me nenin 6 të Kushtetutës, që përdor termin “</w:t>
      </w:r>
      <w:r w:rsidR="00E72920">
        <w:rPr>
          <w:i/>
        </w:rPr>
        <w:t>organeve të parashikuara në këtë Kushtetutë</w:t>
      </w:r>
      <w:r w:rsidR="00E72920">
        <w:t xml:space="preserve">”. </w:t>
      </w:r>
    </w:p>
    <w:p w:rsidR="00E72920" w:rsidRDefault="00E72920" w:rsidP="00E72920">
      <w:pPr>
        <w:pStyle w:val="Paragrafi"/>
      </w:pPr>
      <w:r>
        <w:t>Në kuptimin doktrinar, por edhe në atë të jurisprudencës kushtetuese, institucionet konsiderohen si tërësi strukturash dhe mekanizmash juridikë që rregullojnë sjellje brenda një komuniteti shoqëror. Termi “</w:t>
      </w:r>
      <w:r>
        <w:rPr>
          <w:i/>
        </w:rPr>
        <w:t>institucion</w:t>
      </w:r>
      <w:r>
        <w:t xml:space="preserve">” përdoret si ndaj zakoneve dhe sjelljeve të rëndësishme për një shoqëri, ashtu dhe ndaj organizimeve formale të qeverisjes dhe të shërbimeve publike. Si mekanizma të rendit dhe të bashkëpunimit shoqëror, institucionet shfaqen qoftë si organizma (organe) </w:t>
      </w:r>
      <w:r>
        <w:rPr>
          <w:i/>
        </w:rPr>
        <w:t>formalë</w:t>
      </w:r>
      <w:r>
        <w:t>, objektivisht realë, ashtu edhe si tërësi rregullash që përcaktojnë një situatë juridike të dhënë. Për rrjedhojë, edhe termi “</w:t>
      </w:r>
      <w:r>
        <w:rPr>
          <w:i/>
        </w:rPr>
        <w:t>organ</w:t>
      </w:r>
      <w:r>
        <w:t>”, në kuptimin e përgjithshëm të tij, konceptohet si instrument me funksion të caktuar, por dhe si element që, i lidhur me strukturën e një institucioni, siguron funksionimin normal të tij (</w:t>
      </w:r>
      <w:r>
        <w:rPr>
          <w:i/>
        </w:rPr>
        <w:t>shih Gerard Cornu: Vocabulaire juridique, Editions PUF, Paris 2004</w:t>
      </w:r>
      <w:r>
        <w:t>).</w:t>
      </w:r>
    </w:p>
    <w:p w:rsidR="00E72920" w:rsidRDefault="00E72920" w:rsidP="00E72920">
      <w:pPr>
        <w:pStyle w:val="Paragrafi"/>
      </w:pPr>
      <w:r>
        <w:t xml:space="preserve">Gjykata vlerëson se rregullimi kushtetues që imponon organizimin dhe funksionimin me ligj të organeve të parashikuara në Kushtetutë (neni 6), duhet parë i lidhur ngushtë me respektimin e procedurës së votimit, në kuptim të nenit 81 pika 2 shkronja “a”. Kjo dispozitë kushtetuese ka parashikuar shumicën e cilësuar me tri të pestat e të gjithë anëtarëve të Kuvendit si mënyrë votimi për ligjet, mbi bazën e të cilëve organizohen dhe funksionojnë institucionet e parashikuara nga Kushtetuta, në dallim nga votimi me shumicë të thjeshtë që kërkohet për ligjet e tjera.  </w:t>
      </w:r>
    </w:p>
    <w:p w:rsidR="00E72920" w:rsidRDefault="00E72920" w:rsidP="00E72920">
      <w:pPr>
        <w:pStyle w:val="Paragrafi"/>
      </w:pPr>
      <w:r>
        <w:t>Në këtë mënyrë, me anë të ligjeve që kërkojnë një konsensus më të gjerë, Kushtetuta nuk ka disiplinuar vetëm bazat e funksionimit e të organizimit të institucioneve/organeve kushtetuese, të cilat janë vendosur në krye të organizimit shtetëror dhe që ndikojnë në formën e shtetit e të qeverisjes, por edhe të atyre institucioneve që mund të parashikohen prej saj dhe që nuk konsiderohen si përcaktues</w:t>
      </w:r>
      <w:r w:rsidR="00F717EA">
        <w:t>e</w:t>
      </w:r>
      <w:r>
        <w:t xml:space="preserve"> për strukturën kushtetuese të shtetit. </w:t>
      </w:r>
    </w:p>
    <w:p w:rsidR="00E72920" w:rsidRDefault="00E72920" w:rsidP="00E72920">
      <w:pPr>
        <w:pStyle w:val="Paragrafi"/>
      </w:pPr>
      <w:r>
        <w:t xml:space="preserve">Doktrina dhe jurisprudenca kushtetuese e kanë bërë dallimin ndërmjet </w:t>
      </w:r>
      <w:r w:rsidRPr="00235633">
        <w:rPr>
          <w:i/>
        </w:rPr>
        <w:t xml:space="preserve">institucioneve kushtetuese </w:t>
      </w:r>
      <w:r>
        <w:t xml:space="preserve">nga njëra anë, dhe </w:t>
      </w:r>
      <w:r>
        <w:rPr>
          <w:i/>
        </w:rPr>
        <w:t>institucioneve me rëndësi kushtetuese</w:t>
      </w:r>
      <w:r>
        <w:t xml:space="preserve"> apo </w:t>
      </w:r>
      <w:r>
        <w:rPr>
          <w:i/>
        </w:rPr>
        <w:t>të parashikuara nga Kushtetuta</w:t>
      </w:r>
      <w:r>
        <w:t xml:space="preserve">, nga ana tjetër. Institucionet kushtetuese konsiderohen si elemente të domosdoshme dhe të pandashme të shtetit, sepse mungesa e njërit do të sillte ndalimin e veprimtarisë së plotë shtetërore dhe zëvendësimi i tyre me institucione të tjera nuk mund të mos shkaktonte ndryshim në mënyrë rrënjësore të formës së shtetit. Struktura bazë e këtyre institucioneve përcaktohet në mënyrë të drejtpërdrejtë e të plotë nga Kushtetuta. Megjithatë, Gjykata çmon të nevojshme të theksojë se ndërsa </w:t>
      </w:r>
      <w:r w:rsidRPr="00235633">
        <w:rPr>
          <w:i/>
        </w:rPr>
        <w:t>institucionet kushtetuese</w:t>
      </w:r>
      <w:r>
        <w:t xml:space="preserve"> janë përcaktuar në Kushtetutë, jo të gjitha </w:t>
      </w:r>
      <w:r>
        <w:rPr>
          <w:i/>
        </w:rPr>
        <w:t>institucionet e parashikuara në Kushtetutë</w:t>
      </w:r>
      <w:r>
        <w:t xml:space="preserve"> konsiderohen si “</w:t>
      </w:r>
      <w:r>
        <w:rPr>
          <w:i/>
        </w:rPr>
        <w:t>institucione/organe kushtetuese</w:t>
      </w:r>
      <w:r>
        <w:t xml:space="preserve">”. Pra, dallimi mes </w:t>
      </w:r>
      <w:r w:rsidRPr="00235633">
        <w:rPr>
          <w:i/>
        </w:rPr>
        <w:t>institucioneve kushtetuese</w:t>
      </w:r>
      <w:r>
        <w:t xml:space="preserve"> dhe </w:t>
      </w:r>
      <w:r w:rsidRPr="00235633">
        <w:rPr>
          <w:i/>
        </w:rPr>
        <w:t>institucioneve të parashikuara nga Kushtetuta</w:t>
      </w:r>
      <w:r>
        <w:t xml:space="preserve">, pavarësisht nga fakti i përmendjes shprehimisht prej saj, qëndron se </w:t>
      </w:r>
      <w:r w:rsidR="00235633">
        <w:t>të para</w:t>
      </w:r>
      <w:r>
        <w:t>t janë organe të nevojshme e të pashman</w:t>
      </w:r>
      <w:r w:rsidR="00BB2136">
        <w:t>gshme në përcaktimin e formës së</w:t>
      </w:r>
      <w:r>
        <w:t xml:space="preserve"> shtetit</w:t>
      </w:r>
      <w:r w:rsidR="0059218D">
        <w:t xml:space="preserve"> e të qeverisjes, ndërsa të dyta</w:t>
      </w:r>
      <w:r>
        <w:t xml:space="preserve">t kontribuojnë për përcaktimin e rregullimit demokratik kushtetues dhe si organe ndihmëse nuk janë thelbësore për strukturën kushtetuese të shtetit. </w:t>
      </w:r>
    </w:p>
    <w:p w:rsidR="00E72920" w:rsidRDefault="00E72920" w:rsidP="00E72920">
      <w:pPr>
        <w:pStyle w:val="Paragrafi"/>
      </w:pPr>
      <w:r>
        <w:t>Nga kjo analizë, Gjykata nxjerr konkluzionin se Kushtetuta, në nenin 81 pika 2 shkronja “a”, me termin “</w:t>
      </w:r>
      <w:r>
        <w:rPr>
          <w:i/>
        </w:rPr>
        <w:t>institucioneve të parashikuara nga Kushtetuta</w:t>
      </w:r>
      <w:r>
        <w:t xml:space="preserve">” ka pasur parasysh një shtrirje të gjerë të tij, duke përfshirë në të njëjtin rregullim procedural miratimin e ligjeve si për organizimin dhe funksionimin e institucioneve kushtetuese, ashtu edhe për institucionet e parashikuara prej saj. Në këtë rregullim kushtetues nuk përfshihen vetëm institucionet kushtetuese, </w:t>
      </w:r>
      <w:r w:rsidR="00BC2291">
        <w:t>sipas kuptimit të dhënë më lart</w:t>
      </w:r>
      <w:r>
        <w:t xml:space="preserve">, por edhe ato institucione të parashikuara nga Kushtetuta, të cilat, nëpërmjet saj, kanë fituar si personalitetin juridik, ashtu edhe kompetencën kushtetuese. Gjykata e çmon të nevojshme të sqarojë se jo çdo institucion që përmendet në Kushtetutë duhet të përfshihet domosdoshmërish në procedurën e miratimit të ligjit sipas nenit 81 pika 2 shkronja “a”. Ky qëndrim është rrjedhojë e faktit të ekzistencës së dallimit thelbësor ndërmjet </w:t>
      </w:r>
      <w:r>
        <w:rPr>
          <w:i/>
        </w:rPr>
        <w:t>institucioneve të parashikuara nga Kushtetuta</w:t>
      </w:r>
      <w:r>
        <w:t xml:space="preserve"> dhe institucioneve që vetëm sa përmenden prej saj. Kuptimi i termit “</w:t>
      </w:r>
      <w:r>
        <w:rPr>
          <w:i/>
        </w:rPr>
        <w:t>institucioneve të parashikuara nga Kushtetuta</w:t>
      </w:r>
      <w:r>
        <w:t>” lidhet me vullnetin e kushtetutbërësit për t’i dhënë institucionit personalitet juridik, me qëllim përmbushjen prej tij të kompetencës specifike kushtetuese. Në Kushtetutë përmenden edhe institucione të tjera, të cilat nuk pajisen prej saj me kompetencë kushtetuese. Për rrjedhojë, institucione të tilla si: “</w:t>
      </w:r>
      <w:r w:rsidRPr="00B526F6">
        <w:rPr>
          <w:i/>
        </w:rPr>
        <w:t>drejtuesit e institucioneve shtetërore</w:t>
      </w:r>
      <w:r>
        <w:t>” (neni 80), “</w:t>
      </w:r>
      <w:r>
        <w:rPr>
          <w:i/>
        </w:rPr>
        <w:t>Drejtori i Shërbimit Informativ të Shtetit</w:t>
      </w:r>
      <w:r>
        <w:t>” (neni 92, shkronja “f”), “</w:t>
      </w:r>
      <w:r>
        <w:rPr>
          <w:i/>
        </w:rPr>
        <w:t>Kryetari i Akademisë së Shkencave</w:t>
      </w:r>
      <w:r>
        <w:t xml:space="preserve">”, </w:t>
      </w:r>
      <w:r>
        <w:rPr>
          <w:i/>
        </w:rPr>
        <w:t>rektorët e universiteteve</w:t>
      </w:r>
      <w:r>
        <w:t>” (neni 92, shkronja “g”), “</w:t>
      </w:r>
      <w:r>
        <w:rPr>
          <w:i/>
        </w:rPr>
        <w:t>Shefi i Shtabit të Përgjithshëm</w:t>
      </w:r>
      <w:r>
        <w:t>”(neni 16</w:t>
      </w:r>
      <w:r w:rsidR="00B526F6">
        <w:t>9, pika 3) etj. nuk mund të një</w:t>
      </w:r>
      <w:r>
        <w:t>sohen dhe as të përfshihen në termin “</w:t>
      </w:r>
      <w:r>
        <w:rPr>
          <w:i/>
        </w:rPr>
        <w:t>institucioneve të parashikuara nga Kushtetuta</w:t>
      </w:r>
      <w:r>
        <w:t xml:space="preserve">”, në kuptim të nenit 81 pika 2 shkronja “a”.   </w:t>
      </w:r>
    </w:p>
    <w:p w:rsidR="00E72920" w:rsidRDefault="00E72920" w:rsidP="00E72920">
      <w:pPr>
        <w:pStyle w:val="Paragrafi"/>
      </w:pPr>
      <w:r>
        <w:t xml:space="preserve">I ndryshëm është pozicioni që i është dhënë Konferencës Gjyqësore Kombëtare nga Kushtetuta. Nëpërmjet nenit 147 të Kushtetutës, ajo ka fituar personalitet juridik dhe është njohur si i vetmi organizëm vendimmarrës, i pajisur me kompetencën kushtetuese për të zgjedhur 9 gjyqtarë në funksionin e anëtarit të Këshillit të Lartë të Drejtësisë. </w:t>
      </w:r>
    </w:p>
    <w:p w:rsidR="00E72920" w:rsidRDefault="00E72920" w:rsidP="00E72920">
      <w:pPr>
        <w:pStyle w:val="Paragrafi"/>
      </w:pPr>
      <w:r>
        <w:t xml:space="preserve">Mbi këtë analizë, Gjykata nxjerr përfundimin se Konferenca Gjyqësore Kombëtare, si një nga ato institucione që parashikohet drejtpërdrejt nga Kushtetuta, nuk përjashtohet nga rregullimi procedural i nenit 81 pika 2 shkronja “a”. </w:t>
      </w:r>
    </w:p>
    <w:p w:rsidR="00E72920" w:rsidRDefault="00E72920" w:rsidP="00E72920">
      <w:pPr>
        <w:pStyle w:val="Paragrafi"/>
      </w:pPr>
    </w:p>
    <w:p w:rsidR="00E72920" w:rsidRDefault="00E72920" w:rsidP="00585708">
      <w:pPr>
        <w:pStyle w:val="Paragrafi"/>
        <w:jc w:val="left"/>
      </w:pPr>
      <w:r>
        <w:t>IV</w:t>
      </w:r>
    </w:p>
    <w:p w:rsidR="00E72920" w:rsidRDefault="00E72920" w:rsidP="00E72920">
      <w:pPr>
        <w:pStyle w:val="Paragrafi"/>
      </w:pPr>
      <w:r>
        <w:t>1. Kërkuesi pretendon se ligji, objekt shqyrtimi, vjen në kundërshtim me parimin e ndarjes dhe balancimit ndërmjet pushteteve dhe në veçanti me parimin e pavarësisë së gjyqësorit, në kuptim të neneve 6, 81, pika 2 shkronja “a”, 145 pika 1, 3 dhe 147 të Kushtetutës së Republikës së Shqipërisë.</w:t>
      </w:r>
    </w:p>
    <w:p w:rsidR="00E72920" w:rsidRDefault="00E72920" w:rsidP="00E72920">
      <w:pPr>
        <w:pStyle w:val="Paragrafi"/>
      </w:pPr>
      <w:r>
        <w:t>Sipas nenit 7 të Kushtetutës, sistemi i qeverisjes bazohet në ndarjen dhe balancimin ndërmjet pushteteve. Ky parim do të thotë që ligjvënësi, ekzekutivi dhe gjyqësori janë të ndarë, efektivisht të pavarur dhe me një balancë ndërmjet tyre. “Çdo institucion i një pushteti gëzon kompetencën sipas këtij qëllimi. Përmbajtja konkrete e kësaj kompetence varet nga fakti se cilit pushtet i përket ky institucion, nga vendi i tij midis institucioneve të tjera, si dhe nga raportet e fuqive të tij me ato të institucioneve të pushtetit shtetëror. Në përputhje me detyrat që u ka ngarkuar Kushtetuta, secili prej tyre është i pajisur me pushtet të mjaftueshëm, gjë që i jep mundësinë të marrë vendime në mënyrë të lirë e të pavarur. Asnjë organ apo institucion tjetër, në përbërje ose jo të një prej tri pushteteve nuk mund të ndërhyjë në trajtimin dhe zgjidhjen e çështjeve, që sipas rastit do të përbënin objektin qendror të veprimtarisë së organeve apo institucioneve të tjera kushtetuese (</w:t>
      </w:r>
      <w:r>
        <w:rPr>
          <w:i/>
        </w:rPr>
        <w:t>shih vendimet e Gjykatës Kushtetuese nr.19, datë 3.5.2007 dhe nr.11, datë 2.4.2008</w:t>
      </w:r>
      <w:r>
        <w:t>).</w:t>
      </w:r>
    </w:p>
    <w:p w:rsidR="00F73C54" w:rsidRDefault="00F73C54" w:rsidP="00E72920">
      <w:pPr>
        <w:pStyle w:val="Paragrafi"/>
      </w:pPr>
    </w:p>
    <w:p w:rsidR="00E72920" w:rsidRDefault="00E72920" w:rsidP="00E72920">
      <w:pPr>
        <w:pStyle w:val="Paragrafi"/>
      </w:pPr>
      <w:r>
        <w:t xml:space="preserve">Jurisprudenca kushtetuese, në respekt të zbatimit të parimit të ndarjes dhe balancimit ndërmjet pushteteve dhe të parimit të shtetit të së drejtës, ka theksuar se pavarësia e gjyqësorit duhet kuptuar si </w:t>
      </w:r>
      <w:r>
        <w:rPr>
          <w:i/>
        </w:rPr>
        <w:t>pavarësi thelbësore</w:t>
      </w:r>
      <w:r>
        <w:t xml:space="preserve"> (tagër e gjykatave për të dhënë vendime me paanësi dhe pa u ndikuar nga interesat e ndonjë dege tjetër të pushtetit) dhe si </w:t>
      </w:r>
      <w:r>
        <w:rPr>
          <w:i/>
        </w:rPr>
        <w:t>pavarësi strukturore</w:t>
      </w:r>
      <w:r>
        <w:t xml:space="preserve">, që kërkon parashikimin në Kushtetutë të institucionit që realizon emërimet dhe shkarkimet e gjyqtarëve. Si pjesë të </w:t>
      </w:r>
      <w:r>
        <w:rPr>
          <w:i/>
        </w:rPr>
        <w:t>pavarësisë strukturore</w:t>
      </w:r>
      <w:r>
        <w:t xml:space="preserve"> konsiderohen njëkohësisht edhe </w:t>
      </w:r>
      <w:r>
        <w:rPr>
          <w:i/>
        </w:rPr>
        <w:t>pavarësia organizative dhe financiare</w:t>
      </w:r>
      <w:r>
        <w:t xml:space="preserve">.  </w:t>
      </w:r>
    </w:p>
    <w:p w:rsidR="00E72920" w:rsidRDefault="00E72920" w:rsidP="00E72920">
      <w:pPr>
        <w:pStyle w:val="Paragrafi"/>
      </w:pPr>
      <w:r>
        <w:t>Pavarësia e gjyqtarëve dhe gjykatave është një nga parimet themelore të shtetit demokratik, por nuk përbën një qëllim në vetvete. Respektimi i këtij parimi është një kusht i nevojshëm për mbrojtjen e të drejtave dhe lirive themelore të njeriut. Në paragrafin e dytë të nenit 42 të Kushtetutës parashikohet se: “Kushdo, për mbrojtjen e të drejtave, të lirive dhe të interesave të tij kushtetuese dhe ligjore, ose në rastin e akuzave të ngritura kundër tij, ka të drejtën e një gjykimi të drejtë dhe publik brenda një afati të arsyeshëm nga një gjykatë e pavarur dhe e paanshme e caktuar me ligj”. Në këtë kuptim, kjo pavarësi nuk është një privilegj, por një nga detyrat themelore të gjyqtarëve dhe të gjykatës, që rrjedh nga të drejtat e njeriut për të pasur një arbitër të paanshëm në një konflikt, të garantuar nga Kushtetuta. Mbrojtja e një standardi të tillë përbën dhe kriterin orientues për të vlerësuar pavarësinë e  gjyqtarëve dhe të gjykatave (</w:t>
      </w:r>
      <w:r>
        <w:rPr>
          <w:i/>
        </w:rPr>
        <w:t>shih vendimin e Gjykatës Kushtetuese nr.11, datë 2.4.2008</w:t>
      </w:r>
      <w:r>
        <w:t>). Nga ana tjetër, pavarësia e gjyqësorit nuk mund të kuptohet pa pavarësinë e gjyqtarit brenda vetë strukturës së gjyqësorit, nëpërmjet së cilës sigurohet që asnjë gjyqtar të mos mund të ndërhyjë në veprimtarinë dhe bindjen e një gjyqtari tjetër. Mbi këto standarde kushtetuese, që kanë gjetur konfirmimin e tyre në jurisprudencën kushtetuese, është e orientuar Gjykata për zgjidhjen e drejtë të çështjes në shqyrtim.</w:t>
      </w:r>
    </w:p>
    <w:p w:rsidR="00E72920" w:rsidRDefault="00E72920" w:rsidP="00E72920">
      <w:pPr>
        <w:pStyle w:val="Paragrafi"/>
      </w:pPr>
      <w:r>
        <w:t xml:space="preserve">2. Për t’i dhënë përgjigje pretendimit të kërkuesit, Gjykatës i nevojitet fillimisht të analizojë vendin që i është caktuar Konferencës Gjyqësore Kombëtare në Kushtetutë. Konferenca Gjyqësore Kombëtare përmendet për herë të parë në nenin 147, pika 1 të Kushtetutës si një organizëm vendimmarrës. Rregullimi i parashikuar në dispozitën kushtetuese të sipërcituar, sipas së cilës 9 anëtarë të Këshillit të Lartë të Drejtësisë zgjidhen nga Konferenca Gjyqësore Kombëtare, vendos një raport të drejtë ndërmjet autoritetit me të cilin vishen këta gjyqtarë ndaj të gjithë gjyqtarëve të rretheve gjyqësore dhe të apeleve, nga njëra anë, dhe të drejtës së çdo gjyqtari, si anëtar i Konferencës Gjyqësore Kombëtare për të marrë pjesë në zgjedhjen e 60% të anëtarësisë së këtij institucioni me rëndësi kushtetuese, nga ana tjetër. Pra, funksioni parësor i Konferencës Gjyqësore Kombëtare, i parashikuar nga vetë Kushtetuta, konsiston në zgjedhjen, nga e gjithë trupa e gjyqësorit, të 9 përfaqësuesve të tij, në organin që vendos për emërimin e transferimin e gjyqtarëve, si dhe për përgjegjësinë e tyre disiplinore sipas ligjit.  </w:t>
      </w:r>
    </w:p>
    <w:p w:rsidR="00E72920" w:rsidRDefault="00E72920" w:rsidP="00E72920">
      <w:pPr>
        <w:pStyle w:val="Paragrafi"/>
      </w:pPr>
      <w:r>
        <w:t>Nga përmbajtja e kësaj dispozite rezulton se Këshilli i Lartë i Drejtësisë (si një organizëm me rëndësi kushtetuese, i përbërë në shumicën e tij nga gjyqtarë, të cilët, në ushtrimin e funksionit të tyre si të tillë, realizojnë lidhjen e këtij organi me korpusin gjyqësor), është ngritur për të garantuar funksionin vetëqeverisës të gjyqësorit. Frymën e korporatës në Këshillin e Lartë të Drejtësisë, kushtetutbërësi e ka përfshirë me synimin për ta bërë gjykatën të pavarur nga ndërhyrjet e legjislativit dhe të ekzekutivit (</w:t>
      </w:r>
      <w:r>
        <w:rPr>
          <w:i/>
        </w:rPr>
        <w:t>shih vendimet e Gjykatës Kushtetuese nr.14, datë 22.5.2006</w:t>
      </w:r>
      <w:r>
        <w:t xml:space="preserve">, </w:t>
      </w:r>
      <w:r>
        <w:rPr>
          <w:i/>
        </w:rPr>
        <w:t>nr.35, datë 10.10.2007, nr.17, datë 25.7.2008</w:t>
      </w:r>
      <w:r>
        <w:t xml:space="preserve">). </w:t>
      </w:r>
    </w:p>
    <w:p w:rsidR="00E72920" w:rsidRDefault="00E72920" w:rsidP="00E72920">
      <w:pPr>
        <w:pStyle w:val="Paragrafi"/>
      </w:pPr>
      <w:r>
        <w:t>Një zgjidhje e tillë është në përputhje të plotë edhe me dokumentet ndërkombëtare të gjithëpranuara, në të cilat është konfirmuar qëndrimi se për “</w:t>
      </w:r>
      <w:r>
        <w:rPr>
          <w:i/>
        </w:rPr>
        <w:t>çdo vendim që ndikon në përzgjedhjen, rekrutimin, emërimin, përparimin në karrierë ose pushimin e funksioneve të një gjyqtari, kërkohet ndërhyrja e një autoriteti të pavarur nga pushteti ekzekutiv dhe legjislativ, brenda të cilit të paktën gjysma e atyre që marrin pjesë të jenë gjyqtarë të zgjedhur nga kolegët e tyre, duke ndjekur metoda që garantojnë përfaqësimin më të gjerë të gjyqësorit</w:t>
      </w:r>
      <w:r>
        <w:t>”. Gjyqtarët që janë anëtarë të organit të pavarur “</w:t>
      </w:r>
      <w:r>
        <w:rPr>
          <w:i/>
        </w:rPr>
        <w:t>duhet të zgjidhen nga kolegët e tyre, për arsye se pavarësia e nevojshme e këtij organi përjashton zgjedhjen ose emërimin e anëtarëve të tij nga një autoritet politik që i përket ekzekutivit ose legjislaturës</w:t>
      </w:r>
      <w:r>
        <w:t xml:space="preserve">. Pa insistuar në ndonjë sistem votimi të veçantë, </w:t>
      </w:r>
      <w:r>
        <w:rPr>
          <w:i/>
        </w:rPr>
        <w:t>metoda për të zgjedhur përfaqësuesit e gjyqtarëve në këtë organ duhet të garantojë përfaqësimin më të gjerë të gjyqtarëve”(shih Kartën Europiane mbi Statutin e Gjyqtarëve dhe Memorandumin shpjegues për Kartën Europiane mbi Statutin e Gjyqtarëve - Këshilli i Europës - 1998)</w:t>
      </w:r>
      <w:r>
        <w:t>.</w:t>
      </w:r>
    </w:p>
    <w:p w:rsidR="00907D02" w:rsidRDefault="00907D02" w:rsidP="00E72920">
      <w:pPr>
        <w:pStyle w:val="Paragrafi"/>
      </w:pPr>
    </w:p>
    <w:p w:rsidR="00E72920" w:rsidRDefault="00E72920" w:rsidP="00E72920">
      <w:pPr>
        <w:pStyle w:val="Paragrafi"/>
      </w:pPr>
      <w:r>
        <w:t>Në dritën e interpretimit sistematik dhe teleologjik, Gjykata konstaton se vendosja e Konferencës Gjyqësore Kombëtare në pjesën e nëntë të Kushtetutës, të titulluar “</w:t>
      </w:r>
      <w:r>
        <w:rPr>
          <w:i/>
        </w:rPr>
        <w:t>Gjykatat</w:t>
      </w:r>
      <w:r>
        <w:t xml:space="preserve">”, ku është sanksionuar dhe kompetenca e saj, synon krijimin e një organizmi të gjyqtarëve, me qëllim mbrojtjen e të drejtave dhe garancive kushtetuese që i vishen pushtetit gjyqësor. Përderisa Këshilli i Lartë i Drejtësisë është kompozuar si një organizëm me strukturë të përzier dhe me një shumicë të cilësuar nga radhët e gjyqësorit, Kushtetuta i ka dhënë Konferencës Gjyqësore Kombëtare një pozitë të rëndësishme kushtetuese dhe e ka pajisur atë me një rol përcaktues në funksion të forcimit dhe të mbrojtjes së pavarësisë së pushtetit gjyqësor.   </w:t>
      </w:r>
    </w:p>
    <w:p w:rsidR="00E72920" w:rsidRDefault="00E72920" w:rsidP="00E72920">
      <w:pPr>
        <w:pStyle w:val="Paragrafi"/>
      </w:pPr>
      <w:r>
        <w:t>3. Pas shqyrtimit tërësor të përmbajtjes së ligjit nr.9399, datë 12.5.2005 “Për organizimin dhe funksionimin e Konferencës Gjyqësore Kombëtare”, Gjykata tërheq konkluzionin se ligjvënësi nuk është kufizuar vetëm në referimin te norma kushtetuese që parashikon zgjedhjen e 9 anëtarëve të Këshillit të Lartë të Drejtësisë. Në nenin 1 të ligjit, Konferenca Gjyqësore Kombëtare është konceptuar si organi përfaqësues i gjyqtarëve të të gjitha niveleve të Republikës së Shqipërisë, ndërkohë që ky ligj ka parashikuar dhe një organizëm tjetër, Konferencën Gjyqësore Rajonale, e cila nga ana e saj zgjedh Konferencën Gjyqësore Kombëtare.</w:t>
      </w:r>
    </w:p>
    <w:p w:rsidR="00E72920" w:rsidRDefault="00E72920" w:rsidP="00E72920">
      <w:pPr>
        <w:pStyle w:val="Paragrafi"/>
      </w:pPr>
      <w:r>
        <w:t>Me anë të dispozitave të këtij ligji, është normuar juridikisht organizimi i strukturave të brendshme të Konferencës Gjyqësore Kombëtare, si dhe është përcaktuar sistemi i përzgjedhjes së anëtarëve të Këshillit të Lartë të Drejtësisë, përmes votimit të tërthortë në dy nivele, ku niveli i parë, i përbërë nga shumica absolute e të gjith</w:t>
      </w:r>
      <w:r w:rsidR="0076209C">
        <w:t>ë gjyqtarëve, të organizuar në konferencat gjyqësore r</w:t>
      </w:r>
      <w:r>
        <w:t xml:space="preserve">ajonale, zgjedh nivelin e dytë, Konferencën Gjyqësore Kombëtare, që është praktikisht përzgjedhësja e kandidaturave fituese. Sipas ligjit, përbërja e Konferencës Gjyqësore Kombëtare është kufizuar vetëm te gjyqtarët e Gjykatës së Lartë, kryetarët e gjykatave të shkallës së parë dhe kryetarët e gjykatave të apelit, të cilët janë anëtarë të saj, për shkak të detyrës që kryejnë, si dhe tek anëtarët e tjerë që zgjidhen nga konferencat gjyqësore rajonale. </w:t>
      </w:r>
    </w:p>
    <w:p w:rsidR="00E72920" w:rsidRDefault="00E72920" w:rsidP="00E72920">
      <w:pPr>
        <w:pStyle w:val="Paragrafi"/>
      </w:pPr>
      <w:r>
        <w:t xml:space="preserve">Për çështjen në shqyrtim para saj, Gjykata e çmon të domosdoshme të theksojë se nuk mund të konsiderojë si çështje të juridiksionit kushtetues pretendimet e palëve për përshtatshmërinë apo efektivitetin e mënyrës së zgjedhur nga ligjvënësi për të rregulluar një marrëdhënie juridiko-shoqërore, por, nuk mund të mënjanojë nga gjykimi kushtetues ato rregullime, të cilat vijnë në kundërshtim me standardet kushtetuese. </w:t>
      </w:r>
    </w:p>
    <w:p w:rsidR="00E72920" w:rsidRDefault="00E72920" w:rsidP="00E72920">
      <w:pPr>
        <w:pStyle w:val="Paragrafi"/>
      </w:pPr>
      <w:r>
        <w:t xml:space="preserve">Sipas nenit 1 të ligjit, objekt shqyrtimi, “Konferenca Gjyqësore Kombëtare është organi përfaqësues i gjyqtarëve të të gjitha niveleve të Republikës së Shqipërisë.” Me përcaktimin që i është bërë Konferencës Gjyqësore Kombëtare, si organ përfaqësues i gjyqtarëve, por jo si një organizëm që përfshin tërësinë e gjithë gjyqtarëve, ligjvënësi ka bërë një rregullim të ndryshëm nga sa parashikon neni 147 i Kushtetutës. Gjykata vëren se Kushtetuta nuk i ka lënë ndonjë hapësirë ligjvënësit, për t’i dhënë Konferencës Gjyqësore Kombëtare fizionominë e një organi përfaqësues të gjyqësorit dhe, aq më pak, që zgjedhjen e saj ta realizojë një tjetër organizëm siç është Konferenca Gjyqësore Rajonale.        </w:t>
      </w:r>
    </w:p>
    <w:p w:rsidR="00E72920" w:rsidRDefault="00E72920" w:rsidP="00E72920">
      <w:pPr>
        <w:pStyle w:val="Paragrafi"/>
      </w:pPr>
      <w:r>
        <w:t>Mbështetur në përmbajtjen e dispozitave kushtetuese, si edhe në natyrën specifike me të cilën janë veshur disa organe të pushtetit shtetëror, zbatimi i rregullave të përgjithshme të demokracisë përfaqësuese është pranuar gjerësisht si mjeti më i përshtatshëm dhe i domosdoshëm për ngritjen dhe funksionimin e organeve me natyrë politike. Jo vetëm për nga mënyra e formulimit të nenit 147 të Kushtetuës, por edhe për arsye të funksionit të rëndësishëm që luan Këshilli i Lartë i Drejtësisë për pushtetin gjyqësor, në referim edhe të parimit të ndarjes dhe balancimit ndërmjet pushteteve, Gjykata konkludon se qëllimi i kushtetutbërësit nuk ka qenë konstituimi i Konferencës Gjyqësore Kombëtare si një organ përfaqësues, por si organizëm i të gjithë gjyqtarëve që organizohet dhe vetëqeveriset nga vetë gjyqësori. Parashikimi drejtpërdrejt nga Kushtetuta i Konferencës Gjyqësore Kombëtare, duke i veshur kësaj statusin e institucionit me kompetencë të rëndësishme kushtetuese, ka për qëllim garantimin e pavarësisë së gjykatës si institucion për t’i ngritur pengesë jo vetëm autoriteteve të tjera shtetërore (në radhë të parë, ekzekutivit dhe ligjvënësit)</w:t>
      </w:r>
      <w:r w:rsidR="00940E90">
        <w:t>,</w:t>
      </w:r>
      <w:r>
        <w:t xml:space="preserve"> por edhe cilitdo personi a funksionari brenda vetë gjyqësorit.</w:t>
      </w:r>
    </w:p>
    <w:p w:rsidR="00E72920" w:rsidRDefault="00E72920" w:rsidP="00E72920">
      <w:pPr>
        <w:pStyle w:val="Paragrafi"/>
      </w:pPr>
      <w:r>
        <w:t xml:space="preserve">4. Nenet 3 dhe 4 të ligjit, objekt shqyrtimi, parashikojnë se anëtarët e Gjykatës së Lartë, kryetarët e gjykatave të shkallës së parë dhe kryetarët e gjykatave të apelit janë anëtarë, për shkak të detyrës, të Konferencës Gjyqësore Kombëtare dhe ata nuk i nënshtrohen procesit të votimit dhe përzgjedhjes nga masa e të gjithë gjyqtarëve, ndërsa Kryetari i Gjykatës së Lartë është Kryetari i Konferencës Gjyqësore Kombëtare dhe kryeson Këshillin Ekzekutiv të saj. </w:t>
      </w:r>
    </w:p>
    <w:p w:rsidR="00E72920" w:rsidRDefault="00E72920" w:rsidP="00E72920">
      <w:pPr>
        <w:pStyle w:val="Paragrafi"/>
      </w:pPr>
      <w:r>
        <w:t xml:space="preserve">Gjykata vlerëson se përcaktimi dhe pozicioni </w:t>
      </w:r>
      <w:r>
        <w:rPr>
          <w:i/>
        </w:rPr>
        <w:t>ipso jure</w:t>
      </w:r>
      <w:r>
        <w:t xml:space="preserve"> i pjesës drejtuese të gjyqësorit në Konferencën Gjyqësore Kombëtare, sipas ligjit, krijon një standard të dyfishtë dhe i vendos gjyqtarët në pozita jo të njëjta, përsa i përket ushtrimit të së drejtës dhe të detyrës kushtetuese për zgjedhjen e përfaqësuesve të tyre në Këshillin e Lartë të Drejtësisë. Ky rregullim i ligjit, përveçse nuk është në përputhje me konceptin e Kushtetutës, krijon hapësirë për ndikim të papërshtatshëm nga funksionarë të ndryshëm brenda Konferencës Gjyqësore dhe, për rrjedhojë, në Këshillin e Lartë të Drejtësisë. Gjykata e çmon të nevojshme të theksojë se tërësia e gjyqtarëve të të gjitha niveleve si një organizëm vetërregullues duhet të ndërtohet mbi bazën e parimeve dhe të standardeve kushtetuese, në respekt të pavarësisë së jashtme dhe të brendshme të gjyqësorit e të gjyqtarëve, me qëllimin që zgjedhja e anëtarëve të Këshillit të Lartë të Drejtësisë të garantojë ushtrimin e funksionit kushtetues të këtij fundit në mbrojtje të pavarësisë dhe të vetadministrimit të gjyqësorit.</w:t>
      </w:r>
    </w:p>
    <w:p w:rsidR="00E72920" w:rsidRDefault="00E72920" w:rsidP="00E72920">
      <w:pPr>
        <w:pStyle w:val="Paragrafi"/>
      </w:pPr>
      <w:r>
        <w:t>Përderisa ndodhemi përpara dispozitave ligjore që nuk mbështeten në parimet dhe rregullimet e specifikuara kushtetuese, por në tejkalime jashtëkushtetuese si në formë, ashtu edhe në përmbajtje, Gjykata thekson se është prekur, veç të tjerash, edhe parimi i shtetit të së drejtës, i shprehur me përparësinë e normave të Kushtetutës në raport me normat e tjera ligjore. Ky është një qëndrim i konsoliduar i mbajtur nga Gjykata, në disa çështje të tjera analoge, në të cilat ka theksuar se “</w:t>
      </w:r>
      <w:r>
        <w:rPr>
          <w:i/>
        </w:rPr>
        <w:t>atë që nuk ka dashur ta bëjë Kushtetuta nuk mund ta bëjë ligji” (shih vendimin e Gjykatës Kushtetuese nr.29, datë 9.11.2005</w:t>
      </w:r>
      <w:r>
        <w:t xml:space="preserve">). Në vijim të shqyrtimit të çështjes, në kuptim dhe të nenit 4 të Kushtetutës së Republikës së Shqipërisë, Gjykata vlerëson se neni 147 pika 1, që ka sanksionuar kompetencën e Konferencës Gjyqësore Kombëtare për zgjedhjen e anëtarëve të Këshillit të Lartë të Drejtësisë nga gjyqtarët e të gjitha niveleve, mbetet një dispozitë e zbatueshme në mënyrë të drejtpërdrejtë. </w:t>
      </w:r>
    </w:p>
    <w:p w:rsidR="00E72920" w:rsidRDefault="00E72920" w:rsidP="00E72920">
      <w:pPr>
        <w:pStyle w:val="Paragrafi"/>
      </w:pPr>
      <w:r>
        <w:t xml:space="preserve">Mbi bazën e analizës së bërë, Gjykata arrin në përfundimin se ligji, objekt shqyrtimi, nuk ka respektuar procedurën e parashikuar nga neni 81 pika 2 shkronja “a” të Kushtetutës, si edhe parimin e ndarjes e balancimit ndërmjet pushteteve e, në veçanti, parimin e pavarësisë së gjyqësorit. </w:t>
      </w:r>
    </w:p>
    <w:p w:rsidR="00E72920" w:rsidRDefault="00E72920" w:rsidP="00E72920">
      <w:pPr>
        <w:pStyle w:val="Paragrafi"/>
      </w:pPr>
    </w:p>
    <w:p w:rsidR="00E72920" w:rsidRDefault="00E72920" w:rsidP="00E72920">
      <w:pPr>
        <w:pStyle w:val="Paragrafi"/>
        <w:jc w:val="center"/>
      </w:pPr>
      <w:r>
        <w:t>PËR KËTO ARSYE,</w:t>
      </w:r>
    </w:p>
    <w:p w:rsidR="00E72920" w:rsidRDefault="00E72920" w:rsidP="00E72920">
      <w:pPr>
        <w:pStyle w:val="Paragrafi"/>
      </w:pPr>
    </w:p>
    <w:p w:rsidR="00E72920" w:rsidRDefault="00E72920" w:rsidP="00E72920">
      <w:pPr>
        <w:pStyle w:val="Paragrafi"/>
      </w:pPr>
      <w:r>
        <w:t xml:space="preserve">Gjykata Kushtetuese e Republikës së Shqipërisë, duke u bazuar në nenet 131 shkronja “a” dhe 134 pika 2 shkronja “f” të Kushtetutës, si dhe në nenin 72 të ligjit nr.8577, datë 10.2.2000 “Për organizimin dhe funksionimin e Gjykatës Kushtetuese të Republikës së Shqipërisë”, me shumicë votash, për mosrespektim të procedurës së parashikuar nga neni 81 pika 2 shkronja “a” të Kushtetutës dhe, njëzëri, për shkelje të parimit të ndarjes dhe balancimit ndërmjet pushteteve e të pavarësisë së gjyqësorit, në kuptim të neneve 6 e 147 të Kushtetutës,  </w:t>
      </w:r>
    </w:p>
    <w:p w:rsidR="00E72920" w:rsidRDefault="00E72920" w:rsidP="00E72920">
      <w:pPr>
        <w:pStyle w:val="Paragrafi"/>
      </w:pPr>
    </w:p>
    <w:p w:rsidR="00E72920" w:rsidRDefault="00E72920" w:rsidP="00585708">
      <w:pPr>
        <w:pStyle w:val="VENDOSI"/>
      </w:pPr>
      <w:r>
        <w:t>VENDOSI:</w:t>
      </w:r>
    </w:p>
    <w:p w:rsidR="00E72920" w:rsidRDefault="00E72920" w:rsidP="00E72920">
      <w:pPr>
        <w:pStyle w:val="Paragrafi"/>
      </w:pPr>
    </w:p>
    <w:p w:rsidR="00E72920" w:rsidRDefault="00E72920" w:rsidP="00E72920">
      <w:pPr>
        <w:pStyle w:val="Paragrafi"/>
      </w:pPr>
      <w:r>
        <w:t xml:space="preserve">- Shfuqizimin si të papajtueshëm me Kushtetutën e Republikës së Shqipërisë të ligjit nr.9399, datë 12.5.2005 “Për organizimin dhe funksionimin e Konferencës Gjyqësore Kombëtare”. </w:t>
      </w:r>
    </w:p>
    <w:p w:rsidR="00E72920" w:rsidRDefault="00E72920" w:rsidP="00E72920">
      <w:pPr>
        <w:pStyle w:val="Paragrafi"/>
      </w:pPr>
      <w:r>
        <w:t>Ky vendim është përfundimtar, i formës së prerë dhe hyn në fuqi ditën e botimit në Fletoren Zyrtare.</w:t>
      </w:r>
    </w:p>
    <w:p w:rsidR="00E72920" w:rsidRDefault="00F05884" w:rsidP="000314FD">
      <w:pPr>
        <w:pStyle w:val="Paragrafi"/>
      </w:pPr>
      <w:r>
        <w:t>Anëtarë:</w:t>
      </w:r>
      <w:r w:rsidR="009C2147">
        <w:t xml:space="preserve"> </w:t>
      </w:r>
      <w:r w:rsidR="00E72920">
        <w:t>Vladimir Kristo</w:t>
      </w:r>
      <w:r>
        <w:t xml:space="preserve"> (kryetar)</w:t>
      </w:r>
      <w:r w:rsidR="000314FD">
        <w:t xml:space="preserve">, </w:t>
      </w:r>
      <w:r w:rsidR="00E72920">
        <w:t>Fehmi Abdiu, Gjergj Sauli, Petrit Plloçi, Xhezair Zaganjori, Kujtim Puto, Sokol Sadushi, Sokol Berberi, Vitore Tusha</w:t>
      </w:r>
    </w:p>
    <w:p w:rsidR="00E72920" w:rsidRDefault="00E72920" w:rsidP="00E72920">
      <w:pPr>
        <w:pStyle w:val="Paragrafi"/>
        <w:ind w:firstLine="0"/>
      </w:pPr>
    </w:p>
    <w:p w:rsidR="00907D02" w:rsidRDefault="00907D02" w:rsidP="00E72920">
      <w:pPr>
        <w:pStyle w:val="Paragrafi"/>
        <w:ind w:firstLine="0"/>
      </w:pPr>
    </w:p>
    <w:p w:rsidR="00907D02" w:rsidRDefault="00907D02" w:rsidP="00E72920">
      <w:pPr>
        <w:pStyle w:val="Paragrafi"/>
        <w:ind w:firstLine="0"/>
      </w:pPr>
    </w:p>
    <w:p w:rsidR="00907D02" w:rsidRDefault="00907D02" w:rsidP="00E72920">
      <w:pPr>
        <w:pStyle w:val="Paragrafi"/>
        <w:ind w:firstLine="0"/>
      </w:pPr>
    </w:p>
    <w:p w:rsidR="00907D02" w:rsidRDefault="00907D02" w:rsidP="00E72920">
      <w:pPr>
        <w:pStyle w:val="Paragrafi"/>
        <w:ind w:firstLine="0"/>
      </w:pPr>
    </w:p>
    <w:p w:rsidR="00907D02" w:rsidRDefault="00907D02" w:rsidP="00E72920">
      <w:pPr>
        <w:pStyle w:val="Paragrafi"/>
        <w:ind w:firstLine="0"/>
      </w:pPr>
    </w:p>
    <w:p w:rsidR="00907D02" w:rsidRDefault="00907D02" w:rsidP="00E72920">
      <w:pPr>
        <w:pStyle w:val="Paragrafi"/>
        <w:ind w:firstLine="0"/>
      </w:pPr>
    </w:p>
    <w:p w:rsidR="00E72920" w:rsidRDefault="00E72920" w:rsidP="00514139">
      <w:pPr>
        <w:pStyle w:val="TitulliTitull"/>
      </w:pPr>
      <w:r>
        <w:t>MENDIM PARALEL</w:t>
      </w:r>
    </w:p>
    <w:p w:rsidR="00E72920" w:rsidRDefault="00E72920" w:rsidP="00E72920">
      <w:pPr>
        <w:pStyle w:val="Paragrafi"/>
      </w:pPr>
    </w:p>
    <w:p w:rsidR="00E72920" w:rsidRDefault="00E72920" w:rsidP="00E72920">
      <w:pPr>
        <w:pStyle w:val="Paragrafi"/>
      </w:pPr>
      <w:r>
        <w:t>Jemi të të njëjtit mendim me shumicën lidhur me faktin se mënyra e përzgjedhjes së anëtarësisë së Konferencës Gjyqësore Kombëtare është në kundërshtim me nenin 147 të Kushtetutës dhe përbën cenim të pavarësisë së pushtetit gjyqësor. Megjithatë kemi mendim të ndryshëm sa i takon njërit prej shkaqeve, mbi të cilat shumica ka vendosur shfuqizimin si të papajtueshëm me Kushtetutën të ligjit për organizimin dhe funksionimin e Konferencës Gjyqësore Kombëtare.</w:t>
      </w:r>
    </w:p>
    <w:p w:rsidR="00E72920" w:rsidRDefault="00E72920" w:rsidP="00E72920">
      <w:pPr>
        <w:pStyle w:val="Paragrafi"/>
      </w:pPr>
      <w:r>
        <w:t>Konkretisht, kërkuesi pretendon, mes të tjerash, se nuk janë respektuar kërkesat për formën dhe procedurën e miratimit të ligjeve të parashikuara nga neni 81/2 shkronja “</w:t>
      </w:r>
      <w:r w:rsidR="000D37EC">
        <w:t>a”</w:t>
      </w:r>
      <w:r>
        <w:t xml:space="preserve"> të Kushtetutës, pasi ligji për Konferencën Gjyqësore Kombëtare duhej të ishte miratuar me shumicë prej 3/5, duke qenë se objekti i këtij ligji ka për qëllim rregullimin e veprimtarisë së një organi të parashikuar nga Kushtetuta. Shumica e ka pranuar si të bazuar këtë argument</w:t>
      </w:r>
      <w:r w:rsidR="00877A1F">
        <w:t>,</w:t>
      </w:r>
      <w:r>
        <w:t xml:space="preserve"> duke theksuar, mes të tjerave, se institucionet e parashikuara nga Kushtetuta janë organe ndihmëse, jothelbësore për strukturën e shtetit, por që kontribuojnë për përcaktimin e rregullimit demokratik të shtetit. Në këtë kuptim, sipas mendimit të shumicës, Konferenca Gjyqësore Kombëtare ka një funksion të veçantë që lidhet me zgjedhjen e 9 gjyqtarëve si anëtarë të Këshillit të Lartë të Drejtësisë dhe për këtë qëllim ligji për rregullimin e veprimtarisë së këtij organi duhet miratuar me shumicë të cilësuar.</w:t>
      </w:r>
    </w:p>
    <w:p w:rsidR="00E72920" w:rsidRDefault="00E72920" w:rsidP="00E72920">
      <w:pPr>
        <w:pStyle w:val="Paragrafi"/>
      </w:pPr>
      <w:r>
        <w:t>Nuk pajtohemi me argumentin e shumicës, për këto arsye:</w:t>
      </w:r>
    </w:p>
    <w:p w:rsidR="00E72920" w:rsidRDefault="00E72920" w:rsidP="00E72920">
      <w:pPr>
        <w:pStyle w:val="Paragrafi"/>
      </w:pPr>
      <w:r>
        <w:t xml:space="preserve">1. Së pari, nuk jemi të qëndrimit se gjatë kontrollit kushtetues që ushtron Gjykata Kushtetuese me qëllim verifikimin e respektimit të elementeve formale dhe materiale të parashikuara nga Kushtetuta për miratimin e një ligji, kjo Gjykatë mund të marrë përsipër përmendjen në mënyrë shterruese të organeve që do të konsiderohen “të parashikuara nga Kushtetuta” në kuptim të nenit 6 të saj. Ne përkrahim qëndrimin se është në vlerësimin ekskluziv të ligjvënësit, si i vetmi organ që ka si tagër të vetën plotësimin e kuadrit ligjor sipas formës dhe përmbajtjes që i takon çdo organi ose institucioni që do të ushtrojë veprimtarinë e vet në një shtet të së drejtës, të përcaktojë se cilat organe do të kenë mënyrë organizimi, funksione e kompetenca të tilla vendimmarrëse që do të kushtëzojnë miratimin e ligjeve me shumicë të cilësuar. Nëse ligjvënësi e ka parë të arsyeshme ta rregullojë me ligj të zakonshëm veprimtarinë e një organizmi, i cili ka për detyrë vetëm zgjedhjen e 9 anëtarëve të Këshillit të Lartë të Drejtësisë, atëherë kjo është shprehja e vullnetit të tij që nuk duhet të vihet në pikëpyetje gjatë kontrollit kushtetues. Në një situatë të ndryshme, nëse ligjvënësi nuk do të kishte vlerësuar si të nevojshëm rregullimin me ligj, Konferenca Gjyqësore Kombëtare do ta kishte ushtruar këtë funksion të saj në mungesë të një ligji, me një rregullim tjetër, që mund të ishte p.sh. statuti ose një rregullore e thjeshtë, mjafton që ajo të zgjidhte 9 anëtarët e Këshillit të Lartë të Drejtësisë, sipas nenit 147/1 të Kushtetutës. Në këtë rast, Gjykata Kushtetuese nuk mund ta detyrojë ligjvënësin që ta rregullojë domosdoshmërisht me ligj veprimtarinë e Konferencës Gjyqësore Kombëtare e për më tepër me ligj organik, pasi është në çmimin e vetë ligjvënësit të veprojë apo jo dhe në çdo rast të zgjedhë edhe procedurën përkatëse. </w:t>
      </w:r>
    </w:p>
    <w:p w:rsidR="00E72920" w:rsidRDefault="00E72920" w:rsidP="00E72920">
      <w:pPr>
        <w:pStyle w:val="Paragrafi"/>
      </w:pPr>
      <w:r>
        <w:t xml:space="preserve">2. Së dyti, pavarësisht faktit se Konferenca Gjyqësore Kombëtare zgjedh 9 anëtarë të Këshillit të Lartë të Drejtësisë, vetëm kjo nuk mjafton për t’i dhënë asaj statusin juridik të një institucioni në kuptim të nenit 81/2 të Kushtetutës apo të organit të parashikuar nga Kushtetuta në kuptim të nenit 6 të saj. Kushtetuta në parashikimin e institucioneve apo të organeve ka pasur si qëllim mbrojtjen e pavarësisë ose të autonomisë së tyre gjatë procesit të vendimmarrjes për shkak të rëndësisë së veçantë që ata kanë për organizimin shtetëror dhe funksionimin normal të shtetit të së drejtës. Gjithashtu, vetë Kushtetuta ka parashikuar se për disa organe dhe institucione të krijuara nga vetë ajo duhet të miratohen ligje organike, si akte që parashikojnë dispozitat përkatëse për funksionimin në përputhje me parimet kushtetuese të institucioneve që parashikohen nga Kushtetuta dhe që i nënshtrohen një procedure </w:t>
      </w:r>
      <w:r w:rsidR="00392CF0">
        <w:t>hartimi dhe miratimi të ndryshme</w:t>
      </w:r>
      <w:r>
        <w:t xml:space="preserve"> nga ajo që parashikohet për miratimin e ligjeve të zakonshme. </w:t>
      </w:r>
    </w:p>
    <w:p w:rsidR="00E72920" w:rsidRDefault="00E72920" w:rsidP="00E72920">
      <w:pPr>
        <w:pStyle w:val="Paragrafi"/>
      </w:pPr>
      <w:r>
        <w:t>Ligji organik është një instrument juridik që shërben për mbrojtjen e një ose disa sferave të caktuara nëpërmjet miratimit të kuadrit të tyre ligjor me një procedurë më komplekse se ajo që përdoret për ligjet e zakonshme.  Si ligjet organike (ose kushtetuese), ashtu edhe ligjet e thjeshta janë norma që burojnë nga Kushtetuta dhe të dyja këto akte janë produkt i organit ligjvënës. Ajo që i bën ato të dallueshme nga njëra-tjetra është objekti dhe fuqia juridike e secilit. Objekti i një ligji organik është i qenësishëm për organizimin shtetëror, pra ai merr përsipër të rregullojë një fushë ose çështje që ligjvënësi nuk dëshiron ta rregullojë me ligj të zakonshëm, pikërisht për t’i garantuar atij epërsinë ndaj akteve të tjera (vendimi i Gjykatës Kushtetuese nr.19, datë 3.5.2007). Referimi i drejtpërdrejt</w:t>
      </w:r>
      <w:r>
        <w:rPr>
          <w:rFonts w:ascii="Times New Roman" w:hAnsi="Times New Roman"/>
          <w:lang w:eastAsia="ja-JP"/>
        </w:rPr>
        <w:t>ë</w:t>
      </w:r>
      <w:r>
        <w:t xml:space="preserve"> te Kushtetuta për krijimin e këtyre akteve, s</w:t>
      </w:r>
      <w:r w:rsidR="008555EA">
        <w:t>ipas një procedure të caktuar, u</w:t>
      </w:r>
      <w:r>
        <w:t xml:space="preserve"> jep atyre fuqinë e veçantë juridike në krahasim me aktet e zakonshme të ligjvënësit, duke kërkuar një mbështetje më të gjerë në Kuvend dhe garanci më të mëdha për mbrojtjen nga ndryshimet, dhe për rrjedhojë një qëndrueshmëri më të madhe. </w:t>
      </w:r>
    </w:p>
    <w:p w:rsidR="00E72920" w:rsidRDefault="00E72920" w:rsidP="00E72920">
      <w:pPr>
        <w:pStyle w:val="Paragrafi"/>
      </w:pPr>
      <w:r>
        <w:t xml:space="preserve">Duke pasur parasysh sa më sipër, jemi të mendimit që vetëm fakti i përzgjedhjes së 9 gjyqtarëve nuk mund t’i japë Konferencës Gjyqësore Kombëtare funksionin e institucionit të parashikuar nga Kushtetuta, në kuptim të nenit 81/2 germa “a”. Për të fituar këtë status juridik, një organi ose institucioni i nevojitet parashikimi në </w:t>
      </w:r>
      <w:r w:rsidR="003F298E">
        <w:t>Kushtetutë i elementeve kryesore</w:t>
      </w:r>
      <w:r>
        <w:t xml:space="preserve"> që lidhen me organizimin dhe funksionimin e tij. Lind pyetja: çfarë roli dhe çfarë kompetence ka ky organ (Konferenca Gjyqësore Kombëtare), që duhet të konsiderohet si i parashikuar nga Kushtetuta me qëllim rregullimin e veprimtarisë së tij me ligj organik? Çfarë e bën Konferencën Gjyqësore Kombëtare të dallueshme nga Akademia e Shkencave (neni 92/g), Prefekti (neni 114), Këshilli i Sigurimit Kombëtar (neni 168), institucione të cilat parashikohen nga Kushtetuta? Këto organe, pavarësisht se përmenden në Kushtetutë, nga natyra e funksioneve dhe rolin që luajnë në funksionimin e shtetit nuk janë dhe nuk mund të konsiderohen të tilla që të diktojnë nevojën e rregullimit me ligj organik. I vetmi funksion që mund të rezultojë nga përmbajtja e nenit 147/1 është zgjedhja nga forumi i të gjithë gjyqtarëve i 9 prej tyre që do të bëjnë pjesë në një organ të parashikuar nga Kushtetua siç është Këshilli i Lartë i Drejtësisë. Ky i fundit ushtron kompetenca dhe funksione të tilla që, për nga natyra dhe rëndësia e tyre, plotësojnë kushtet e nenit 81/2 dhe për këtë qëllim justifikojnë edhe nxjerrjen e ligjit organik për këtë qëllim, ndërsa Konferenca Gjyqësore Kombëtare, si një bashkësi e të gjithë gjyqtarëve të vendit, nuk i përmbush kriteret</w:t>
      </w:r>
      <w:r w:rsidR="000A1BD4">
        <w:t xml:space="preserve"> e përmendura më lart për të pas</w:t>
      </w:r>
      <w:r>
        <w:t xml:space="preserve">ur të njëjtin rregullim kushtetues, si Këshilli i Lartë i Drejtësisë. Përmendja e Konferencës Gjyqësore Kombëtare në nenin 147/1 të Kushtetutës nuk është bërë për të garantuar pavarësinë e Këshillit të Lartë të Drejtësisë, por për të parashikuar mënyrën e formimit dhe përbërjes së tij. Shtrojmë pyetjen: </w:t>
      </w:r>
      <w:smartTag w:uri="urn:schemas-microsoft-com:office:smarttags" w:element="place">
        <w:r>
          <w:t>Po</w:t>
        </w:r>
      </w:smartTag>
      <w:r>
        <w:t xml:space="preserve"> nëse Kushtetuta do të kishte parashikuar që një ose më shumë anëtarë të Këshillit të Lartë të Drejtësisë, do të zgjidheshin nga Dhoma Kombëtare e Avokatisë ose nga Mbledhja e Përgjithshme e Avokatëve dhe Gjyqtarëve të Republikës së Shqipërisë? Atëherë edhe këto forume do të duhej të rregulloheshin me një ligj organik? E kemi të vështirë të përgjigjemi pozitivisht, pasi një qëndrim i tillë do të krijonte probleme përkufizimi ose dallimi në thelb dhe në formë midis organeve kushtetuese dhe organeve të tjera, të cilat sipas qëndrimit të shumicës duhet të miratohen me 3/5. Nëse do të pranonim këtë, atëherë shtrohet pyetja se çfarë qëllimi ka në vetvete dispozita e nenit 81/2 që ka përcaktuar miratimin me 3/5 të organeve kushtetuese, nëse kjo shumicë do të përdorej edhe për organet e tjera që nuk hyjnë në këtë grup?</w:t>
      </w:r>
    </w:p>
    <w:p w:rsidR="00E72920" w:rsidRDefault="00E72920" w:rsidP="00E72920">
      <w:pPr>
        <w:pStyle w:val="Paragrafi"/>
      </w:pPr>
      <w:r>
        <w:t>Përfundimisht, bazuar në argumentet e parashtruara më lart, jemi të mendimit se shumica nuk duhej ta kishte pranuar këtë argument si bazë për shfuqizimin e ligjit për Konferencën Gjyqësore Kombëtare.</w:t>
      </w:r>
    </w:p>
    <w:p w:rsidR="00E72920" w:rsidRDefault="00E72920" w:rsidP="00E72920">
      <w:pPr>
        <w:pStyle w:val="Paragrafi"/>
        <w:ind w:firstLine="0"/>
      </w:pPr>
    </w:p>
    <w:p w:rsidR="00E72920" w:rsidRDefault="00491E01" w:rsidP="00090906">
      <w:pPr>
        <w:pStyle w:val="Paragrafi"/>
      </w:pPr>
      <w:r>
        <w:t>Anëtarë:</w:t>
      </w:r>
      <w:r w:rsidR="002E4193">
        <w:t xml:space="preserve"> </w:t>
      </w:r>
      <w:r w:rsidR="00E72920">
        <w:t>Vladimir Kristo</w:t>
      </w:r>
      <w:r w:rsidR="00090906">
        <w:t xml:space="preserve"> (k</w:t>
      </w:r>
      <w:r>
        <w:t>ryetar)</w:t>
      </w:r>
      <w:r w:rsidR="00090906">
        <w:t xml:space="preserve">, </w:t>
      </w:r>
      <w:r w:rsidR="00E72920">
        <w:t>Xhezair Zaganjori, Kujtim Puto, Vitore Tusha</w:t>
      </w:r>
      <w:r w:rsidR="00E72920">
        <w:tab/>
      </w:r>
      <w:r w:rsidR="00E72920">
        <w:tab/>
      </w:r>
      <w:r w:rsidR="00E72920">
        <w:tab/>
      </w:r>
      <w:r w:rsidR="00E72920">
        <w:tab/>
      </w:r>
      <w:r w:rsidR="00E72920">
        <w:tab/>
      </w:r>
      <w:r w:rsidR="00E72920">
        <w:tab/>
        <w:t xml:space="preserve">          </w:t>
      </w:r>
      <w:r w:rsidR="00E72920">
        <w:tab/>
        <w:t xml:space="preserve">   </w:t>
      </w:r>
    </w:p>
    <w:p w:rsidR="00E72920" w:rsidRDefault="00E72920" w:rsidP="00E72920">
      <w:pPr>
        <w:pStyle w:val="Paragrafi"/>
      </w:pPr>
      <w:r>
        <w:tab/>
      </w:r>
    </w:p>
    <w:p w:rsidR="00F03655" w:rsidRDefault="00F03655" w:rsidP="00E72920">
      <w:pPr>
        <w:pStyle w:val="Paragrafi"/>
      </w:pPr>
    </w:p>
    <w:p w:rsidR="00F03655" w:rsidRDefault="00F03655" w:rsidP="00E72920">
      <w:pPr>
        <w:pStyle w:val="Paragrafi"/>
      </w:pPr>
    </w:p>
    <w:p w:rsidR="00F03655" w:rsidRDefault="00F03655" w:rsidP="00E72920">
      <w:pPr>
        <w:pStyle w:val="Paragrafi"/>
      </w:pPr>
    </w:p>
    <w:p w:rsidR="00F03655" w:rsidRDefault="00F03655" w:rsidP="00E72920">
      <w:pPr>
        <w:pStyle w:val="Paragrafi"/>
      </w:pPr>
    </w:p>
    <w:p w:rsidR="00F03655" w:rsidRDefault="00F03655" w:rsidP="00E72920">
      <w:pPr>
        <w:pStyle w:val="Paragrafi"/>
      </w:pPr>
    </w:p>
    <w:p w:rsidR="00F03655" w:rsidRDefault="00F03655" w:rsidP="00E72920">
      <w:pPr>
        <w:pStyle w:val="Paragrafi"/>
      </w:pPr>
    </w:p>
    <w:p w:rsidR="00F03655" w:rsidRDefault="00F03655" w:rsidP="00E72920">
      <w:pPr>
        <w:pStyle w:val="Paragrafi"/>
      </w:pPr>
    </w:p>
    <w:p w:rsidR="00F03655" w:rsidRDefault="00F03655" w:rsidP="00E72920">
      <w:pPr>
        <w:pStyle w:val="Paragrafi"/>
      </w:pPr>
    </w:p>
    <w:p w:rsidR="00F03655" w:rsidRDefault="00F03655" w:rsidP="00E72920">
      <w:pPr>
        <w:pStyle w:val="Paragrafi"/>
      </w:pPr>
    </w:p>
    <w:p w:rsidR="00F03655" w:rsidRDefault="00F03655" w:rsidP="00E72920">
      <w:pPr>
        <w:pStyle w:val="Paragrafi"/>
      </w:pPr>
    </w:p>
    <w:p w:rsidR="00E72920" w:rsidRDefault="00E72920" w:rsidP="00514139">
      <w:pPr>
        <w:pStyle w:val="Akti"/>
      </w:pPr>
      <w:r>
        <w:t>VENDIM</w:t>
      </w:r>
    </w:p>
    <w:p w:rsidR="00E72920" w:rsidRDefault="00E72920" w:rsidP="00514139">
      <w:pPr>
        <w:pStyle w:val="NumriData"/>
      </w:pPr>
      <w:r>
        <w:t>Nr.26, datë 15.12.2008</w:t>
      </w:r>
    </w:p>
    <w:p w:rsidR="00E72920" w:rsidRDefault="00E72920" w:rsidP="00E72920">
      <w:pPr>
        <w:pStyle w:val="Paragrafi"/>
      </w:pPr>
    </w:p>
    <w:p w:rsidR="00E72920" w:rsidRDefault="00E72920" w:rsidP="00514139">
      <w:pPr>
        <w:pStyle w:val="TitulliTitull"/>
      </w:pPr>
      <w:r>
        <w:t>NË EMËR TË REPUBLIKËS SË SHQIPËRISË</w:t>
      </w:r>
    </w:p>
    <w:p w:rsidR="00E72920" w:rsidRDefault="00E72920" w:rsidP="00E72920">
      <w:pPr>
        <w:pStyle w:val="Paragrafi"/>
      </w:pPr>
    </w:p>
    <w:p w:rsidR="00E72920" w:rsidRDefault="00E72920" w:rsidP="00E72920">
      <w:pPr>
        <w:pStyle w:val="Paragrafi"/>
      </w:pPr>
      <w:r>
        <w:t>Gjykata Kushtetuese e Republikës së Shqipërisë, e përbërë nga:</w:t>
      </w:r>
    </w:p>
    <w:p w:rsidR="00493E70" w:rsidRDefault="00493E70" w:rsidP="00E72920">
      <w:pPr>
        <w:pStyle w:val="Paragrafi"/>
      </w:pPr>
    </w:p>
    <w:p w:rsidR="00E72920" w:rsidRDefault="00E72920" w:rsidP="00E72920">
      <w:pPr>
        <w:pStyle w:val="Paragrafi"/>
      </w:pPr>
      <w:r>
        <w:t>Vladimir Kristo</w:t>
      </w:r>
      <w:r>
        <w:tab/>
      </w:r>
      <w:r>
        <w:tab/>
        <w:t>Kryetar  i Gjykatës Kushtetuese,</w:t>
      </w:r>
    </w:p>
    <w:p w:rsidR="00E72920" w:rsidRDefault="00E72920" w:rsidP="00E72920">
      <w:pPr>
        <w:pStyle w:val="Paragrafi"/>
      </w:pPr>
      <w:r>
        <w:t>Gjergji Sauli</w:t>
      </w:r>
      <w:r>
        <w:tab/>
      </w:r>
      <w:r>
        <w:tab/>
        <w:t>Anëtar   i</w:t>
      </w:r>
      <w:r>
        <w:tab/>
        <w:t>“</w:t>
      </w:r>
      <w:r>
        <w:tab/>
        <w:t xml:space="preserve">“ </w:t>
      </w:r>
      <w:r>
        <w:tab/>
      </w:r>
    </w:p>
    <w:p w:rsidR="00E72920" w:rsidRDefault="00E72920" w:rsidP="00E72920">
      <w:pPr>
        <w:pStyle w:val="Paragrafi"/>
      </w:pPr>
      <w:r>
        <w:t>Fehmi Abdiu</w:t>
      </w:r>
      <w:r>
        <w:tab/>
      </w:r>
      <w:r>
        <w:tab/>
        <w:t xml:space="preserve">Anëtar   i </w:t>
      </w:r>
      <w:r>
        <w:tab/>
        <w:t>“</w:t>
      </w:r>
      <w:r>
        <w:tab/>
        <w:t>“</w:t>
      </w:r>
      <w:r>
        <w:tab/>
      </w:r>
    </w:p>
    <w:p w:rsidR="00E72920" w:rsidRDefault="00E72920" w:rsidP="00E72920">
      <w:pPr>
        <w:pStyle w:val="Paragrafi"/>
      </w:pPr>
      <w:r>
        <w:t>Xhezair Zaganjori</w:t>
      </w:r>
      <w:r>
        <w:tab/>
        <w:t xml:space="preserve">Anëtar   i </w:t>
      </w:r>
      <w:r>
        <w:tab/>
        <w:t>“</w:t>
      </w:r>
      <w:r>
        <w:tab/>
        <w:t>“</w:t>
      </w:r>
    </w:p>
    <w:p w:rsidR="00E72920" w:rsidRDefault="00E72920" w:rsidP="00E72920">
      <w:pPr>
        <w:pStyle w:val="Paragrafi"/>
      </w:pPr>
      <w:r>
        <w:t>Petrit Plloçi</w:t>
      </w:r>
      <w:r>
        <w:tab/>
      </w:r>
      <w:r>
        <w:tab/>
        <w:t>Anëtar   i</w:t>
      </w:r>
      <w:r>
        <w:tab/>
        <w:t>“</w:t>
      </w:r>
      <w:r>
        <w:tab/>
        <w:t>“</w:t>
      </w:r>
      <w:r>
        <w:tab/>
      </w:r>
    </w:p>
    <w:p w:rsidR="00E72920" w:rsidRDefault="00E72920" w:rsidP="00E72920">
      <w:pPr>
        <w:pStyle w:val="Paragrafi"/>
      </w:pPr>
      <w:r>
        <w:t>Kristofor Peçi</w:t>
      </w:r>
      <w:r>
        <w:tab/>
      </w:r>
      <w:r>
        <w:tab/>
        <w:t>Anëtar   i</w:t>
      </w:r>
      <w:r>
        <w:tab/>
        <w:t>“</w:t>
      </w:r>
      <w:r>
        <w:tab/>
        <w:t>“</w:t>
      </w:r>
    </w:p>
    <w:p w:rsidR="00E72920" w:rsidRDefault="00E72920" w:rsidP="00E72920">
      <w:pPr>
        <w:pStyle w:val="Paragrafi"/>
      </w:pPr>
      <w:r>
        <w:t>Sokol Berberi</w:t>
      </w:r>
      <w:r>
        <w:tab/>
      </w:r>
      <w:r>
        <w:tab/>
        <w:t xml:space="preserve">Anëtar   i </w:t>
      </w:r>
      <w:r>
        <w:tab/>
        <w:t>“</w:t>
      </w:r>
      <w:r>
        <w:tab/>
        <w:t>“</w:t>
      </w:r>
      <w:r>
        <w:tab/>
        <w:t xml:space="preserve">  </w:t>
      </w:r>
    </w:p>
    <w:p w:rsidR="00E72920" w:rsidRDefault="00E72920" w:rsidP="00E72920">
      <w:pPr>
        <w:pStyle w:val="Paragrafi"/>
      </w:pPr>
      <w:r>
        <w:t>Kujtim Puto</w:t>
      </w:r>
      <w:r>
        <w:tab/>
      </w:r>
      <w:r>
        <w:tab/>
        <w:t xml:space="preserve">Anëtar   i </w:t>
      </w:r>
      <w:r>
        <w:tab/>
        <w:t>“</w:t>
      </w:r>
      <w:r>
        <w:tab/>
        <w:t>“</w:t>
      </w:r>
      <w:r>
        <w:tab/>
      </w:r>
      <w:r>
        <w:tab/>
      </w:r>
    </w:p>
    <w:p w:rsidR="00E72920" w:rsidRDefault="00E72920" w:rsidP="00E72920">
      <w:pPr>
        <w:pStyle w:val="Paragrafi"/>
      </w:pPr>
    </w:p>
    <w:p w:rsidR="00E72920" w:rsidRDefault="00E72920" w:rsidP="00E72920">
      <w:pPr>
        <w:pStyle w:val="Paragrafi"/>
      </w:pPr>
      <w:r>
        <w:t>me sekretare Brunilda Bara, në datën 13.3.2008, mori në shqyrtim në seancë gjyqësore me dyer të hapura çëshjen nr.4 Akti, që i përket:</w:t>
      </w:r>
    </w:p>
    <w:p w:rsidR="00E72920" w:rsidRDefault="00E72920" w:rsidP="00E72920">
      <w:pPr>
        <w:pStyle w:val="Paragrafi"/>
      </w:pPr>
      <w:r>
        <w:t xml:space="preserve">KËRKUES: </w:t>
      </w:r>
      <w:r w:rsidR="00476112">
        <w:t>Sindikata e P</w:t>
      </w:r>
      <w:r w:rsidR="00D64806">
        <w:t>avarur e T</w:t>
      </w:r>
      <w:r w:rsidR="00272AFA">
        <w:t>ransporteve të Shqipërisë</w:t>
      </w:r>
      <w:r>
        <w:t>, përfaqësuar nga avokatët Rustem Gjata dhe Gjergji Hysa, me deklarim.</w:t>
      </w:r>
    </w:p>
    <w:p w:rsidR="00E72920" w:rsidRDefault="00E72920" w:rsidP="00E72920">
      <w:pPr>
        <w:pStyle w:val="Paragrafi"/>
      </w:pPr>
      <w:r>
        <w:t>SUBJEKTE TË INTERESUARA: Drita Konomi, Alfred Konomi, Aida Hoxha, Aretushe Konomi, Arben Konomi, Viktor Konomi, Jorgo Konomi, Aneta Konomi, Melpomeni Konomi, Dhimitër Konomi, Harilla Konomi, Gjinovefa Konomi, Andrea Konomi, Lame Konomi, Astrit Konomi, Irini Konomi, Kleopatra Konomi, Anteo Konomi, në mungesë.</w:t>
      </w:r>
    </w:p>
    <w:p w:rsidR="00E72920" w:rsidRDefault="00E72920" w:rsidP="00E72920">
      <w:pPr>
        <w:pStyle w:val="Paragrafi"/>
      </w:pPr>
      <w:r>
        <w:t>Fatos Konomi, përfaqësuar nga Arjan Konomi dhe av.Dashamir Kore, me prokurë.</w:t>
      </w:r>
    </w:p>
    <w:p w:rsidR="00E72920" w:rsidRDefault="00E72920" w:rsidP="00E72920">
      <w:pPr>
        <w:pStyle w:val="Paragrafi"/>
      </w:pPr>
      <w:r>
        <w:t>Konfederata e Sindikatave të Pavar</w:t>
      </w:r>
      <w:r w:rsidR="001441E8">
        <w:t>u</w:t>
      </w:r>
      <w:r>
        <w:t>r</w:t>
      </w:r>
      <w:r w:rsidR="007E23DE">
        <w:t>a</w:t>
      </w:r>
      <w:r>
        <w:t xml:space="preserve"> të Shqipërisë, në mungesë.</w:t>
      </w:r>
    </w:p>
    <w:p w:rsidR="00E72920" w:rsidRDefault="00E72920" w:rsidP="00E72920">
      <w:pPr>
        <w:pStyle w:val="Paragrafi"/>
      </w:pPr>
      <w:r>
        <w:t>Bashkimi i Sindikatave</w:t>
      </w:r>
      <w:r w:rsidR="001441E8">
        <w:t xml:space="preserve"> të Pavaru</w:t>
      </w:r>
      <w:r>
        <w:t xml:space="preserve">ra të Shqipërisë, dega Vlorë, në mungesë. </w:t>
      </w:r>
    </w:p>
    <w:p w:rsidR="00E72920" w:rsidRDefault="00E72920" w:rsidP="00E72920">
      <w:pPr>
        <w:pStyle w:val="Paragrafi"/>
      </w:pPr>
      <w:r>
        <w:t>OBJEKTI: Shfuqizimi si i papajtueshëm me Kushtetutën i vendimeve nr.581,  datë 24.12.2003 të Gjykatës së Apelit Vlorë; nr.51, datë 17.3.2004 të Gjykatës së Apelit Vlorë  dhe nr.1666, datë 15.12.2007 të Kolegjit Civil të Gjykatës së Lartë.</w:t>
      </w:r>
    </w:p>
    <w:p w:rsidR="00E72920" w:rsidRDefault="00E72920" w:rsidP="00E72920">
      <w:pPr>
        <w:pStyle w:val="Paragrafi"/>
      </w:pPr>
      <w:r>
        <w:t xml:space="preserve">BAZA LIGJORE: Nenet 11, 42, 131/f e 141 të Kushtetutës, si dhe neni 6 i                                  </w:t>
      </w:r>
      <w:r>
        <w:tab/>
        <w:t>Konventës  Europiane për të Drejtat e Njeriut.</w:t>
      </w:r>
    </w:p>
    <w:p w:rsidR="00E72920" w:rsidRDefault="00E72920" w:rsidP="00E72920">
      <w:pPr>
        <w:pStyle w:val="Paragrafi"/>
      </w:pPr>
    </w:p>
    <w:p w:rsidR="00E72920" w:rsidRDefault="00E72920" w:rsidP="00514139">
      <w:pPr>
        <w:pStyle w:val="Institucioni"/>
      </w:pPr>
      <w:r>
        <w:t>GJYKATA KUSHTETUESE,</w:t>
      </w:r>
    </w:p>
    <w:p w:rsidR="00E72920" w:rsidRDefault="00E72920" w:rsidP="00E72920">
      <w:pPr>
        <w:pStyle w:val="Paragrafi"/>
      </w:pPr>
    </w:p>
    <w:p w:rsidR="00E72920" w:rsidRDefault="00E72920" w:rsidP="00E72920">
      <w:pPr>
        <w:pStyle w:val="Paragrafi"/>
      </w:pPr>
      <w:r>
        <w:t>pasi dëgjoi relatorin e çështjes, Kujtim Puto, përfaqësuesit e kërkuesit që kërkuan pranimin e kërkesës, përfaqësuesin e subjekteve të interesuara që kërkoi rrëzimin e kërkesës dhe pasi bisedoi çështjen në tërësi,</w:t>
      </w:r>
    </w:p>
    <w:p w:rsidR="00E72920" w:rsidRDefault="00E72920" w:rsidP="00E72920">
      <w:pPr>
        <w:pStyle w:val="Paragrafi"/>
      </w:pPr>
    </w:p>
    <w:p w:rsidR="00E72920" w:rsidRDefault="00E72920" w:rsidP="00514139">
      <w:pPr>
        <w:pStyle w:val="VENDOSI"/>
      </w:pPr>
      <w:r>
        <w:t>VËREN:</w:t>
      </w:r>
    </w:p>
    <w:p w:rsidR="00E72920" w:rsidRDefault="00E72920" w:rsidP="00E72920">
      <w:pPr>
        <w:pStyle w:val="Paragrafi"/>
      </w:pPr>
    </w:p>
    <w:p w:rsidR="00E72920" w:rsidRDefault="00E72920" w:rsidP="00E72920">
      <w:pPr>
        <w:pStyle w:val="Paragrafi"/>
      </w:pPr>
      <w:r>
        <w:t>Komisioni i Kthimit dhe Kompensimit të Pronave Vlorë, me vendimin nr.59, datë 21.11.1994</w:t>
      </w:r>
      <w:r w:rsidR="00A64D49">
        <w:t>,</w:t>
      </w:r>
      <w:r>
        <w:t xml:space="preserve"> ka njohur pronar trashëgimlënësin Dhimitër Konomi mbi një sipërfaqe trualli në bregdet prej 16 mijë m</w:t>
      </w:r>
      <w:r>
        <w:rPr>
          <w:vertAlign w:val="superscript"/>
        </w:rPr>
        <w:t>2</w:t>
      </w:r>
      <w:r>
        <w:t>, duke i kthyer trashëgimtarëve të tij, kërkuesve Konomi, një sipërfaqe trualli prej 10 mijë m</w:t>
      </w:r>
      <w:r>
        <w:rPr>
          <w:vertAlign w:val="superscript"/>
        </w:rPr>
        <w:t>2</w:t>
      </w:r>
      <w:r>
        <w:t>.</w:t>
      </w:r>
    </w:p>
    <w:p w:rsidR="00E72920" w:rsidRDefault="00E72920" w:rsidP="00E72920">
      <w:pPr>
        <w:pStyle w:val="Paragrafi"/>
      </w:pPr>
      <w:r>
        <w:t>Gjykata e Rrethit Vlorë, me vendimin nr.1318, datë 21.5.1996, ka rrëzuar kërkesëpadinë e subjekteve të interesuara (Konomi), me të cilën kërkohej t’i bëheshin shtesa e ndryshime vendimit të lartpërmendur të Komisionit, në mënyrë që t’u kthehej atyre gjithë sipërfaqja e lënë nga trashëgimlënësi Dhimitër Konomi, përfshirë dhe truallin ku ndodhen godinat e ish-shtëpive të pushimit të punëtorëve.</w:t>
      </w:r>
    </w:p>
    <w:p w:rsidR="00E72920" w:rsidRDefault="00E72920" w:rsidP="00E72920">
      <w:pPr>
        <w:pStyle w:val="Paragrafi"/>
      </w:pPr>
      <w:r>
        <w:t xml:space="preserve">  Gjykata e Apelit Vlorë, në rigjykim, me vendimin nr.581, datë 24.12.2003, ka vendosur ndryshimin e vendimit të Komisionit të Kthimit e të Kompensimit të Pronave, duke u njohur e kthyer subjekteve të interesuara edhe disa sipërfaqe trojesh. Për trojet me sipërfaqe 2140 m</w:t>
      </w:r>
      <w:r>
        <w:rPr>
          <w:vertAlign w:val="superscript"/>
        </w:rPr>
        <w:t>2</w:t>
      </w:r>
      <w:r>
        <w:t xml:space="preserve"> e 2060 m</w:t>
      </w:r>
      <w:r>
        <w:rPr>
          <w:vertAlign w:val="superscript"/>
        </w:rPr>
        <w:t>2</w:t>
      </w:r>
      <w:r>
        <w:t>, mbi të cilat ndodhen përkatësisht godinat e shtëpisë së vjetër dhe të re të punëtorëve, gjykata e apelit vendosi kthimin e tyre, duke e kushtëzuar këtë kthim me zgjidhjen paraprake të pr</w:t>
      </w:r>
      <w:r w:rsidR="00B0247E">
        <w:t>oblemit të pronësisë midis ish-</w:t>
      </w:r>
      <w:r>
        <w:t>pronarëve (kër</w:t>
      </w:r>
      <w:r w:rsidR="00B0247E">
        <w:t>kuesve) dhe pronarëve të rinj (</w:t>
      </w:r>
      <w:r>
        <w:t>sindikatave). Me kërkesën e subjekteve të interesuara (Konomi), gjykata e apelit, me vendimin nr.51, datë 17.3.2004, plotësoi dhe sqaroi vendimin e saj të mëparshëm, duke u kthyer në pronësi kërkuesve sipërfaqet e trojeve mbi të cilat ndodhen godinat e shtëpive të pushimit. Me këtë vendim plotësues është vendosur gjithashtu edhe kthimi subjekteve të interesuara, i godinave të shtëpive të pushimit të punonjësve, pa e kushtëzuar kthimin e tyre me zgjidhjen paraprake të mosmarrëveshjes së pronësisë me pronarët e rinj, Konfederatën e Sindikatave dhe Sindikatën e Pavarur të Transportit.</w:t>
      </w:r>
    </w:p>
    <w:p w:rsidR="00E72920" w:rsidRDefault="00E72920" w:rsidP="00E72920">
      <w:pPr>
        <w:pStyle w:val="Paragrafi"/>
      </w:pPr>
      <w:r>
        <w:t>Me rekursin e ushtruar nga disa prej palëve ndërgjyqëse, ndërmjet të cilave dhe kërkuesi, Kolegji Civil i Gjykatës së Lartë ka vendosur lënien në fuqi të vendimit të gjykatës së apelit (me gjithë plotësimet e bëra).</w:t>
      </w:r>
    </w:p>
    <w:p w:rsidR="00E72920" w:rsidRDefault="00E72920" w:rsidP="00E72920">
      <w:pPr>
        <w:pStyle w:val="Paragrafi"/>
      </w:pPr>
      <w:r>
        <w:t>Kërkuesi, duke pretenduar se Gjykata e Apelit Vlorë dhe Kolegji Civil i Gjykatës së Lartë kanë zhvilluar proces jo të rregullt ligjor, në kundërshtim me nenin 42 të Kushtetutës, ka parashtruar këto shkaqe për shfuqizimin e vendimeve të tyre:</w:t>
      </w:r>
    </w:p>
    <w:p w:rsidR="00E72920" w:rsidRDefault="00E72920" w:rsidP="00E72920">
      <w:pPr>
        <w:pStyle w:val="Paragrafi"/>
      </w:pPr>
      <w:r>
        <w:t>- Kërkesa e subjekteve të interesuara për plotësimin e vendimit nr.581, datë 24.12.2003 të gjykatës së apelit është paraqitur jashtë afatit 30-ditor që parashikon neni 313 i Kodit të Procedurës Civile dhe si rrjedhojë, gjykata e apelit nuk kishte tagër për ta marrë atë në shqyrtim.</w:t>
      </w:r>
    </w:p>
    <w:p w:rsidR="00E72920" w:rsidRDefault="00E72920" w:rsidP="00E72920">
      <w:pPr>
        <w:pStyle w:val="Paragrafi"/>
      </w:pPr>
      <w:r>
        <w:t>- Gjykata e Apelit Vlorë nuk ka thirrur kërkuesin në shqyrtimin e kërkesës së bërë nga paditësit për plotësim dhe sqarim vendimi dhe gjykimi i kësaj çështjeje është bërë në mungesë të tij.</w:t>
      </w:r>
    </w:p>
    <w:p w:rsidR="00E72920" w:rsidRDefault="00E72920" w:rsidP="00E72920">
      <w:pPr>
        <w:pStyle w:val="Paragrafi"/>
      </w:pPr>
      <w:r>
        <w:t xml:space="preserve">- Gjykata ka cenuar të drejtën e mbrojtjes së kërkuesit, sepse e zhveshi nga pronësia mbi godinën e shtëpisë së re të pushimit, pa e vënë në pozitën procedurale të të paditurit. </w:t>
      </w:r>
    </w:p>
    <w:p w:rsidR="00E72920" w:rsidRDefault="00E72920" w:rsidP="00E72920">
      <w:pPr>
        <w:pStyle w:val="Paragrafi"/>
      </w:pPr>
      <w:r>
        <w:t>- Vendimi nr.51, datë 17.3.2004 i Gjykatës së Apelit Vlorë, që ka plotësuar vendimin nr.581, datë 24.12.2003 të saj për disa probleme, si pronësia e truallit dhe kthimi i shtëpisë së re të pushimit të punëtorëve, ka vendosur në kundërshtim me vendimin kryesor.</w:t>
      </w:r>
    </w:p>
    <w:p w:rsidR="00E72920" w:rsidRDefault="00E72920" w:rsidP="00E72920">
      <w:pPr>
        <w:pStyle w:val="Paragrafi"/>
      </w:pPr>
      <w:r>
        <w:t>- Subjektet e interesuara kanë kërkuar bashkëpronësi me shtetin dhe jo njohje të plotë e kthim të shtëpisë së re të pushimit të punëtorëve. Si rrjedhojë, gjykata, duke vendosur kalimin e gjithë shtëpisë së re të pushimit në pronësi të subjekteve të interesuara (Konomi), ka dalë tej caqeve të objektit të padisë.</w:t>
      </w:r>
    </w:p>
    <w:p w:rsidR="00E72920" w:rsidRDefault="00E72920" w:rsidP="00E72920">
      <w:pPr>
        <w:pStyle w:val="Paragrafi"/>
      </w:pPr>
      <w:r>
        <w:t>- Gjykata e apelit dhe Gjykata e Lartë kanë vendosur kthimin e godinës së shtëpisë së re të pushimit subjekteve të interesuara, megjithëse kjo kërkesë nuk ishte pjesë e objektit të padisë së paraqitur në gjykatën e rrethit. Duke u gjykuar shtesa e o</w:t>
      </w:r>
      <w:r w:rsidR="0075427D">
        <w:t>bjektit të padisë drejtpërdrejt</w:t>
      </w:r>
      <w:r>
        <w:t xml:space="preserve"> në gj</w:t>
      </w:r>
      <w:r w:rsidR="00605CCD">
        <w:t>ykatën e apelit, kërkuesit nuk i</w:t>
      </w:r>
      <w:r>
        <w:t xml:space="preserve">u dha mundësia të organizojnë si duhet mbrojtjen dhe të bëjnë ankim për provueshmërinë e kësaj kërkese. </w:t>
      </w:r>
    </w:p>
    <w:p w:rsidR="00E72920" w:rsidRDefault="00E72920" w:rsidP="00E72920">
      <w:pPr>
        <w:pStyle w:val="Paragrafi"/>
      </w:pPr>
      <w:r>
        <w:t>- Gjykata e apelit ka vepruar në kundërshtim me nenin 185 të Kodit të Procedurës Civile, sepse ka pranuar si shtimin e objektit të padisë (pra, bashkëpronësinë mbi shtëpinë e re të pushimit), ashtu dhe ndryshimin e shkakut ligjor të padisë (referenca tek ligji nr.8340, datë 6.5.1998 “Për pasuritë e sindikatave”). Për mosmarrëveshjet me sindikatat, subjektet e interesuara duhej të ngrinin padi të re.</w:t>
      </w:r>
    </w:p>
    <w:p w:rsidR="00E72920" w:rsidRDefault="00E72920" w:rsidP="00E72920">
      <w:pPr>
        <w:pStyle w:val="Paragrafi"/>
      </w:pPr>
      <w:r>
        <w:t>Subjektet e interesuara, Konomi, kanë parashtruar:</w:t>
      </w:r>
    </w:p>
    <w:p w:rsidR="005B52CB" w:rsidRDefault="00E72920" w:rsidP="00F5254E">
      <w:pPr>
        <w:pStyle w:val="Paragrafi"/>
      </w:pPr>
      <w:r>
        <w:t>- Kërkuesi ka shterur mjetet juridike për mbrojtjen e të drejtave të tij kushtetuese dhe ligjore, sepse problemet e ngritura prej tij kanë të bëjnë në thelb me vendimin kryesor të gjykatës së apelit, ndaj të cilit kërkuesi nuk është ankuar brenda afatit ligjor.</w:t>
      </w:r>
    </w:p>
    <w:p w:rsidR="00E72920" w:rsidRDefault="00E72920" w:rsidP="00E72920">
      <w:pPr>
        <w:pStyle w:val="Paragrafi"/>
      </w:pPr>
      <w:r>
        <w:t>- Gjykatat nuk kanë bërë njëkohësisht ndryshimin si të objektit të padisë, ashtu dhe të shkakut të saj, sepse ky i fundit ka qenë i njëjtë gjatë gjithë gjykimit: e drejta e njohur me ligj për të realizuar njohjen dhe kthimin e pronës sipas ligjit nr.7698, datë 15.4.1993 “Për kthimin dhe kompensimin e pronave ish</w:t>
      </w:r>
      <w:r w:rsidR="00785E5D">
        <w:t>-</w:t>
      </w:r>
      <w:r>
        <w:t>pronarëve”.</w:t>
      </w:r>
    </w:p>
    <w:p w:rsidR="00E72920" w:rsidRDefault="00E72920" w:rsidP="00E72920">
      <w:pPr>
        <w:pStyle w:val="Paragrafi"/>
      </w:pPr>
      <w:r>
        <w:t>- Mosrespektimi i ligjit, zbatimi i keq i tij dhe shkeljet e ligjit procedural, që kanë ndikuar në dhënien e vendimit, janë shkaqe që ngrihen dhe shqyrtohen nga juridiksioni i zakonshëm gjyqësor dhe jo nga Gjykata Kushtetuese.</w:t>
      </w:r>
    </w:p>
    <w:p w:rsidR="00E72920" w:rsidRDefault="00E72920" w:rsidP="00E72920">
      <w:pPr>
        <w:pStyle w:val="Paragrafi"/>
      </w:pPr>
      <w:r>
        <w:t>- Pretendimet për vlerën e truallit e të godinës së ngritur mbi të dhe për raportin e ekspertëve kanë të bëjnë me themelin e çështjes dhe me vlerësimin e provave. Ato nuk janë elemente të procesit të rregullt ligjor.</w:t>
      </w:r>
    </w:p>
    <w:p w:rsidR="00E72920" w:rsidRDefault="00E72920" w:rsidP="00514139">
      <w:pPr>
        <w:pStyle w:val="Paragrafi"/>
        <w:jc w:val="center"/>
      </w:pPr>
      <w:r>
        <w:t>*</w:t>
      </w:r>
      <w:r>
        <w:tab/>
        <w:t>*</w:t>
      </w:r>
      <w:r>
        <w:tab/>
        <w:t>*</w:t>
      </w:r>
    </w:p>
    <w:p w:rsidR="002A7A7E" w:rsidRDefault="002A7A7E" w:rsidP="00514139">
      <w:pPr>
        <w:pStyle w:val="Paragrafi"/>
        <w:jc w:val="center"/>
      </w:pPr>
    </w:p>
    <w:p w:rsidR="00E72920" w:rsidRDefault="00E72920" w:rsidP="00E72920">
      <w:pPr>
        <w:pStyle w:val="Paragrafi"/>
      </w:pPr>
      <w:r>
        <w:t>Gjykata Kushtetuese konstaton se Gjykata e Apelit Vlorë, me vendimin nr.581, datë 24.12.2003, ka vendosur ndryshimin e vendimit të Komisionit për Kthimin dhe Kompensimin e Pronave, duke pranuar ndër të tjera, në pjesën arsyetuese, që sipërfaqet e trojeve prej 2140 m</w:t>
      </w:r>
      <w:r>
        <w:rPr>
          <w:vertAlign w:val="superscript"/>
        </w:rPr>
        <w:t>2</w:t>
      </w:r>
      <w:r>
        <w:t xml:space="preserve"> dhe 2060 m</w:t>
      </w:r>
      <w:r>
        <w:rPr>
          <w:vertAlign w:val="superscript"/>
        </w:rPr>
        <w:t>2</w:t>
      </w:r>
      <w:r>
        <w:t>, bashkë me godinat e Shtëpisë së Pushimit të Punëtorëve, t’u kthehen subjekteve të interesuara (Konomi). Në pjesën urdhëruese të vendimit të gjykatës së apelit, detyrimi për kthimin e trojeve dhe të godinave të pushimit është kushtëzuar me zgjidhjen e mosmarrëveshjes së pronësisë me pronarët e rinj, pra me sindikatat e pavarura, ndërsa në vendimin nr.51, datë 17.3.2004, duke sqaruar dhe plotësuar vendimin e mëparshëm, ka vendosur që kalimi i pronave të mësipërme subjekteve të interesuara të mos kushtëzohet me zgjidhjen e mosmarrëveshjeve midis pronarëve të vjetër dhe atyre të rinj.</w:t>
      </w:r>
    </w:p>
    <w:p w:rsidR="00E72920" w:rsidRDefault="00E72920" w:rsidP="00E72920">
      <w:pPr>
        <w:pStyle w:val="Paragrafi"/>
      </w:pPr>
      <w:r>
        <w:t xml:space="preserve">Kërkuesi pretendon se nuk është thirrur në gjykatën e apelit për gjykimin e kërkesës së subjekteve të interesuara për plotësim dhe </w:t>
      </w:r>
      <w:r w:rsidR="007E21B8">
        <w:t>sqarim vendimi dhe si rrjedhojë</w:t>
      </w:r>
      <w:r>
        <w:t xml:space="preserve"> gjykimi është bërë në mungesë të tij. </w:t>
      </w:r>
    </w:p>
    <w:p w:rsidR="00E72920" w:rsidRDefault="00E72920" w:rsidP="00E72920">
      <w:pPr>
        <w:pStyle w:val="Paragrafi"/>
      </w:pPr>
      <w:r>
        <w:t>Nga vendimi plotësues nr.51, datë 17.3.2004 i gjykatës së aplelit rezulton se kërkuesi nuk është përfaqësuar në gjykim. Mosnjoftimi nga gjykata i palëve pjesëmarrëse në proces përbën element të procesit jo të rregullt ligjor në kuptimin kushtetues. Por në rekursin e paraqitur kundër këtij vendimi në Gjykatën e Lartë nuk rezulton që ky pretendim të jetë ngritur në atë gjykatë.</w:t>
      </w:r>
    </w:p>
    <w:p w:rsidR="00E72920" w:rsidRDefault="00E72920" w:rsidP="00E72920">
      <w:pPr>
        <w:pStyle w:val="Paragrafi"/>
      </w:pPr>
      <w:r>
        <w:t>Sipas nenit 131/f të Kushtetutës, kërkuesi mund të vërë në lëvizje Gjykatën Kushtetuese për shqyrtimin e ankesës së tij për shkeljen e të drejtave kushtetuese për një proces të rregullt ligjor, por vetëm pasi të jenë shterur të gjitha mjetet juridike për mbrojtjen e këtyre të drejtave.</w:t>
      </w:r>
    </w:p>
    <w:p w:rsidR="00E72920" w:rsidRDefault="00E72920" w:rsidP="00E72920">
      <w:pPr>
        <w:pStyle w:val="Paragrafi"/>
      </w:pPr>
      <w:r>
        <w:t xml:space="preserve">Gjykata Kushtetuese e ka interpretuar kushtëzimin kushtetues të shterimit të mjeteve juridike jo vetëm për rastet kur individi nuk është ankuar kundër një vendimi gjyqësor në instancat e tjera gjyqësore apo administrative, por dhe për rastet kur, ndonëse ka kundërshtuar vendimin gjyqësor në tërësi, nuk ka ngritur pretendimin që parashtron në Gjykatën Kushtetuese.  </w:t>
      </w:r>
    </w:p>
    <w:p w:rsidR="00E72920" w:rsidRDefault="00E72920" w:rsidP="00E72920">
      <w:pPr>
        <w:pStyle w:val="Paragrafi"/>
      </w:pPr>
      <w:r>
        <w:t xml:space="preserve">Sipas kërkuesit, vendimi plotësues i Gjykatës së Apelit Vlorë ka dalë tej përmbajtjes së vendimit kryesor të lartpërmendur, përsa i përket kthimit, subjekteve të interesuara, të trojeve dhe të godinave të shtëpisë së pushimit, përderisa në vendimin kryesor ky kthim është i kushtëzuar me zgjidhjen e mosmarrëveshjeve me ta si pronarë të rinj. </w:t>
      </w:r>
      <w:smartTag w:uri="urn:schemas-microsoft-com:office:smarttags" w:element="place">
        <w:r>
          <w:t>Po</w:t>
        </w:r>
      </w:smartTag>
      <w:r>
        <w:t xml:space="preserve"> sipas tij, gjykata e apelit ka vendosur kthimin e gjithë godinës së re të pushimit kur është kërkuar vetëm njohja bashkëpronar në të. </w:t>
      </w:r>
    </w:p>
    <w:p w:rsidR="00E72920" w:rsidRDefault="00E72920" w:rsidP="00E72920">
      <w:pPr>
        <w:pStyle w:val="Paragrafi"/>
      </w:pPr>
      <w:r>
        <w:t>Subjektet e interesuara (Konomi) kanë pretenduar se vendimi plotësues ka bërë thjesht sqarimin dhe plotësimin e vendimit kryesor dhe problemet e ngrituara nga kërkuesi kanë të bëjnë në thelb me vendimin kryesor, ndaj të cilit kërkuesi nuk është ankuar brenda afatit ligjor dhe në Gjykatën e Lartë. Si rrjedhojë, kjo e fundit nuk ka pranuar t’i marrë ato në shqyrtim.</w:t>
      </w:r>
    </w:p>
    <w:p w:rsidR="00E72920" w:rsidRDefault="00E72920" w:rsidP="00E72920">
      <w:pPr>
        <w:pStyle w:val="Paragrafi"/>
      </w:pPr>
      <w:r>
        <w:t>Gjykata Kushtetuese, në çështjen në shqyrtim, nuk konstaton cenim të parimeve kushtetuese për proces të rregullt ligjor nga ana e Gjykatës së Apelit Vlorë. Gjykatat e sistemit gjyqësor kanë në kompetencë të shqyrtojnë e t’u japin përgjigje pretendimeve të palëve duke respektuar parimet dhe normat kushtetuese, si dhe duke interpretuar dhe zbatuar rregullat procedurale. Në rastin në shqyrtim, Gjykata e Apelit Vlorë, në vendimin plotësues, u ka dhënë përgjigje kërkesave të subjekteve të interesuara (Konomi) pa tejkaluar kompetencat e veta. Kështu, sipas dispoziatave të Kodi</w:t>
      </w:r>
      <w:r w:rsidR="0008305B">
        <w:t>t</w:t>
      </w:r>
      <w:r>
        <w:t xml:space="preserve"> </w:t>
      </w:r>
      <w:r w:rsidR="0008305B">
        <w:t>të</w:t>
      </w:r>
      <w:r>
        <w:t xml:space="preserve"> Procedurës Civile (nenet 313 e 314 të tij) gjykata ka të drejtë të japë sqarime ose të bëjë interpretimin e vendimit që ajo ka dhënë kur ky është i errët dhe e kërkojnë palët. Ajo gjithashtu mund të bëjë plotësimin e vendimit nëse ajo nuk është shprehur mbi të gjitha kërkesat për të cilat pala ka paraqitur prova.</w:t>
      </w:r>
    </w:p>
    <w:p w:rsidR="00E72920" w:rsidRDefault="00E72920" w:rsidP="00E72920">
      <w:pPr>
        <w:pStyle w:val="Paragrafi"/>
      </w:pPr>
      <w:r>
        <w:t>Gjykata e apelit, në vendimin plotësues, nuk ka dalë tej përmbajtjes së vendimit kryesor që ajo ka plotësuar dhe interpretuar. Duke shqyrtuar pretendimet e kërkuesit, të paraqituara në Gjykatën Kushtetuese, konstatohet se zgjidhja në atë vendim e kërkesave të paraqitura në gjykatën e apelit është kushtëzuar nga arsyetimi i vendimit kryesor të gjykatës së apelit. Kjo e fundit ka bërë plotësimin dhe interpretimin e atij vendimi, duke u bazuar në argumentet e shprehura në të. Kështu, kthimi i trojeve dhe godinave të shtëpisë së pushimit, të ngritura mbi to, bazohet në pjesën arsyetuese të vendimit kryesor, sipas të cilit “... sipërfaqet 2140 m</w:t>
      </w:r>
      <w:r>
        <w:rPr>
          <w:vertAlign w:val="superscript"/>
        </w:rPr>
        <w:t>2</w:t>
      </w:r>
      <w:r>
        <w:t xml:space="preserve"> dhe 2060 m</w:t>
      </w:r>
      <w:r>
        <w:rPr>
          <w:vertAlign w:val="superscript"/>
        </w:rPr>
        <w:t>2</w:t>
      </w:r>
      <w:r>
        <w:t xml:space="preserve"> të trojeve bashkë me godinën e re të Shtëpisë së Pushimit të Punëtorëve t’u kthehen ish</w:t>
      </w:r>
      <w:r w:rsidR="00706E35">
        <w:t>-</w:t>
      </w:r>
      <w:r>
        <w:t>pronarëve”, pa e kushtëzuar këtë kthim me zgjidhjen më parë të mosmarrëveshjeve për pronësinë midis këtyre të fundit dhe sindikatave. Zgjidhja e situatës juridike të trojeve e të godinës së re të pushimit ishte pjesë e domosdoshme e gjykimit dhe e thelbit të mosmarrëveshjes në gjykim dhe gjykata e apelit, duke u nisur nga përmbajtja dhe qëllimi i vendimit kryesor i shprehur në pjesën arsyetuese, sqaroi dhe plotësoi me vendimin plotësues përmbajtjen e  pjesës urdhëruese të atij vendimi. Ky korigjim është shprehje e bindjes së gjykatës dhe është ushtruar duke respektuar parimin e gjykatës kompetente. Si rrjedhojë, pretendimi i kërkuesit se vendimi plotësues i gjykatës së apelit, me këtë kalim pronësie ka dalë tej përmbajtjes së vendimit kryesor, nuk është i bazuar.</w:t>
      </w:r>
    </w:p>
    <w:p w:rsidR="00E72920" w:rsidRDefault="00E72920" w:rsidP="00E72920">
      <w:pPr>
        <w:pStyle w:val="Paragrafi"/>
      </w:pPr>
      <w:r>
        <w:t>Gjykata Kushtetuese, duke iu referuar jurisprudencës së saj kushtetuese</w:t>
      </w:r>
      <w:r>
        <w:rPr>
          <w:vertAlign w:val="superscript"/>
        </w:rPr>
        <w:footnoteReference w:id="1"/>
      </w:r>
      <w:r>
        <w:t xml:space="preserve"> dhe asaj të Gjykatës Europiane të të Drejtave të Njeriut, pranon se mbrojtja kushtetuese dhe ligjore e individit mund të realizohet vetëm kur e ushtron atë brenda afateve të përcaktuara në Kushtetutë dhe ligje. Por, në çështjen në shqyrtim, kërkuesi, ashtu siç e pranon dhe vetë, është ankuar brenda afatit procedural vetëm ndaj vendimit plotësues të gjykatës së apelit. E drejta e akcesit në gjykatë, ashtu si dhe e drejta e ankimit, si të drejta themelore u nënshtrohen kufizimeve të cilat, në thelb, nuk përbëjnë cenim të këtyre të drejtave. Në rastin në shqyrtim, ligjvënësi ka parashikuar afate për ushtrimin e tyre. Ky kufizim nuk përbën një qëllim në vetvete, por bëhet për mbrojtjen e të drejtave të të tjerëve dhe në funksion të parimit të sigurisë juridike. Prandaj, Gjykata e Lartë, me të drejtë, nuk ka pranuar të shqyrtojë pretendimet e bëra kundër vendimit kryesor të gjykatës së apelit, si të paraqituar jashtë afatit njëmujor të ankimit. Ajo është përqendruar vetëm te pretendimet e paraqitura kundër vendimit plotësues të asaj gjykate.</w:t>
      </w:r>
    </w:p>
    <w:p w:rsidR="00E72920" w:rsidRDefault="003B084C" w:rsidP="00E72920">
      <w:pPr>
        <w:pStyle w:val="Paragrafi"/>
      </w:pPr>
      <w:r>
        <w:t>- Kërkuesi pretendon gjithashtu</w:t>
      </w:r>
      <w:r w:rsidR="00E72920">
        <w:t xml:space="preserve"> se kërkesa e subjekteve të interesuara për plotësimin e vendimit kryesor të gjykatës së apelit është paraqitur jashtë afatit 30-ditor  të parashikuar në nenin 313 të Kodi</w:t>
      </w:r>
      <w:r>
        <w:t>t të</w:t>
      </w:r>
      <w:r w:rsidR="00E72920">
        <w:t xml:space="preserve"> Procedurës Civile dhe, si gjykata e apelit, ashtu dhe Gjykata e Lartë nuk i kanë dhënë përgjigje pretendimit të tij që kjo kërkesë nuk duhet të merrej në shqyrtim nga gjykata e apelit përderisa është paraqitur tej këtij afati.</w:t>
      </w:r>
    </w:p>
    <w:p w:rsidR="00E72920" w:rsidRDefault="00E72920" w:rsidP="00E72920">
      <w:pPr>
        <w:pStyle w:val="Paragrafi"/>
      </w:pPr>
      <w:r>
        <w:t>Gjykata Kushtetuese konstaton se pretendimi i kërkuesit ka të bëjë me afatin e paraqitjes së kërkesës për plotësimin e vendimit kryesor, që ka zgjidhur problemet thelbësore të çështjes dhe ky pretendim nuk mund të vlerësohet i një rëndësie të tillë sa të bëjë procesin të parregullt në kuptimin kushtetues.</w:t>
      </w:r>
    </w:p>
    <w:p w:rsidR="00E72920" w:rsidRDefault="00E72920" w:rsidP="00E72920">
      <w:pPr>
        <w:pStyle w:val="Paragrafi"/>
      </w:pPr>
      <w:r>
        <w:t>- Kërkuesi ka pretenduar gjithashtu se gjykata e apelit ka zhvilluar proces jo të rregullt ligjor, sepse në të njëjtin proces ka shtuar objektin e padisë dhe ka ndryshuar shkakun ligjor të saj, veprim i cili vjen në kundërshtim edhe me nenin 185 të Kodit të Procedurës Civile. Sipas këtij neni, gjykata, në të njëjtin proces, nuk mund të shtojë,  të pakësojë ose të ndryshojë si objektin e padisë, ashtu dhe shkakun ligjor të saj.</w:t>
      </w:r>
    </w:p>
    <w:p w:rsidR="00E72920" w:rsidRDefault="00E72920" w:rsidP="00E72920">
      <w:pPr>
        <w:pStyle w:val="Paragrafi"/>
      </w:pPr>
      <w:r>
        <w:t>Subjektet e interesuara (Konomi) pretendojnë se gjykata e apelit nuk ka ndryshuar shkakun e padisë, por vetëm ka shtuar, saktësuar dhe plotësuar objektin e padisë, veprime që  nuk vijnë në kundërshtim me përmbajtjen e nenit 185 të Kodit të Procedurës Civile.</w:t>
      </w:r>
    </w:p>
    <w:p w:rsidR="00E72920" w:rsidRDefault="00E72920" w:rsidP="00E72920">
      <w:pPr>
        <w:pStyle w:val="Paragrafi"/>
      </w:pPr>
      <w:r>
        <w:t xml:space="preserve">Gjykata Kushtetuese nuk konstaton cenim të së drejtës së mbrojtjes së kërkuesit dhe për këtë pretendim. Subjektet e interesuara, gjatë gjykimit në gjykatën e apelit, kanë bërë kërkesë vetëm për ndryshimin e objektit të padisë, duke e shtuar atë dhe me kërkimin për t’u njohur bashkëpronarë mbi godinën e Shtëpisë së re të Pushimit të Punëtorëve, por nuk kanë ndryshuar shkakun e padisë, pra faktin juridik se ata janë trashëgimtarë ligjorë të ish-pronarit të truallit dhe bazën ligjore ku bazohet kërkimi i tyre. Mbi bazën e këtyre kërkesave palët kanë bërë pretendimet dhe kanë paraqitur provat, duke pasur mundësi të barabarta për të organizuar mbrojtjen e tyre. Në këtë mënyrë, qëndrimi i gjykatës së apelit është në përputhje me Kodin e Procedurës Civile dhe nuk ka prekur të drejtën themelore të kërkuesit për një proces të rregullt ligjor.  </w:t>
      </w:r>
    </w:p>
    <w:p w:rsidR="00E72920" w:rsidRDefault="00E72920" w:rsidP="00E72920">
      <w:pPr>
        <w:pStyle w:val="Paragrafi"/>
      </w:pPr>
      <w:r>
        <w:t>- Përsa u përket pretendimeve të tjera të kërkuesit lidhur me vlerësimet e ekspertëve, Gjykata Kushtetuese thekson dhe një herë se këto pretendime nuk kanë të bëjnë me cenimin e elementeve të procesit të rregullt ligjor, por me themelin e çështjes dhe me kompetencat e gjykatave të sistemit gjyqësor për të çmuar provat. Konstatimi dhe vlerësimi i fakteve dhe interpertimi i ligjeve apo zbatimi tyre janë kompetenca të gjykatave të sistemit gjyqësor dhe nuk mund të shqyrtohen nga Gjykata Kushtetuese. Kjo e fundit e sheh kompetencën e saj në përcaktimin nëse gjykatat e sistemit gjyqësor kanë respektuar në mënyrë të rregullt të drejtat e palëve në gjykim dhe nëse ato u kanë dhënë kuptimin e duhur të drejtave kushtetuese që duhen respektuar në procesin e shqyrtimit të çështjes. Gjykata Kushtetuese nuk mund të bëjë vlerësim të provave dhe as të përcaktojë mënyrën e zgjidhjes së çështjes, sepse këto të fundit hyjnë në sferën e kompetencave të gjykatave të sistemit gjyqësor.</w:t>
      </w:r>
    </w:p>
    <w:p w:rsidR="00E72920" w:rsidRDefault="00E72920" w:rsidP="00E72920">
      <w:pPr>
        <w:pStyle w:val="Paragrafi"/>
      </w:pPr>
    </w:p>
    <w:p w:rsidR="00E72920" w:rsidRDefault="00E72920" w:rsidP="00514139">
      <w:pPr>
        <w:pStyle w:val="VENDOSI"/>
      </w:pPr>
      <w:r>
        <w:t>PËR KËTO ARSYE,</w:t>
      </w:r>
    </w:p>
    <w:p w:rsidR="00E72920" w:rsidRDefault="00E72920" w:rsidP="00E72920">
      <w:pPr>
        <w:pStyle w:val="Paragrafi"/>
      </w:pPr>
    </w:p>
    <w:p w:rsidR="00E72920" w:rsidRDefault="00E72920" w:rsidP="00E72920">
      <w:pPr>
        <w:pStyle w:val="Paragrafi"/>
      </w:pPr>
      <w:r>
        <w:t>Gjykata Kushtetuese e Republikës së Shqipërisë, në mbështetje të nenit 72 e v</w:t>
      </w:r>
      <w:r w:rsidR="00D543E7">
        <w:t>ijues të ligjit nr.85, datë 10.</w:t>
      </w:r>
      <w:r>
        <w:t>2.2000 “Për organizimin dhe funksionimin e Gjykatës Kushtetuese të Republikës së Shqipërisë”, me shumicë votash,</w:t>
      </w:r>
    </w:p>
    <w:p w:rsidR="00E72920" w:rsidRDefault="00E72920" w:rsidP="00E72920">
      <w:pPr>
        <w:pStyle w:val="Paragrafi"/>
      </w:pPr>
    </w:p>
    <w:p w:rsidR="00E72920" w:rsidRDefault="00E72920" w:rsidP="00D543E7">
      <w:pPr>
        <w:pStyle w:val="VENDOSI"/>
      </w:pPr>
      <w:r>
        <w:t>VENDOSI:</w:t>
      </w:r>
    </w:p>
    <w:p w:rsidR="00E72920" w:rsidRDefault="00E72920" w:rsidP="00E72920">
      <w:pPr>
        <w:pStyle w:val="Paragrafi"/>
      </w:pPr>
    </w:p>
    <w:p w:rsidR="00E72920" w:rsidRDefault="00E72920" w:rsidP="00E72920">
      <w:pPr>
        <w:pStyle w:val="Paragrafi"/>
      </w:pPr>
      <w:r>
        <w:t>- Rrëzimin i kërkesës.</w:t>
      </w:r>
    </w:p>
    <w:p w:rsidR="00E72920" w:rsidRDefault="00E72920" w:rsidP="00E72920">
      <w:pPr>
        <w:pStyle w:val="Paragrafi"/>
      </w:pPr>
      <w:r>
        <w:t>Ky vendim është përfundimtar, i formës së prerë dhe hyn në fuqi ditën e botimit në Fletoren Zyrtare.</w:t>
      </w:r>
    </w:p>
    <w:p w:rsidR="00E72920" w:rsidRDefault="008E136E" w:rsidP="006E3A60">
      <w:pPr>
        <w:pStyle w:val="Paragrafi"/>
      </w:pPr>
      <w:r>
        <w:t>Anëtar</w:t>
      </w:r>
      <w:r w:rsidR="00177256">
        <w:t>ë</w:t>
      </w:r>
      <w:r w:rsidR="00A16960">
        <w:t xml:space="preserve"> pro</w:t>
      </w:r>
      <w:r>
        <w:t>:Vladimir Kristo (krye</w:t>
      </w:r>
      <w:r w:rsidR="00E72920">
        <w:t>tar)</w:t>
      </w:r>
      <w:r w:rsidR="006E3A60">
        <w:t xml:space="preserve">, </w:t>
      </w:r>
      <w:r w:rsidR="00E72920">
        <w:t>Fehmi Abdiu, Gjergj Sauli, Petrit Plloçi, Xhezair Zaganjori, Kristofor Peçi, Sokol Berberi.</w:t>
      </w:r>
    </w:p>
    <w:p w:rsidR="00E72920" w:rsidRDefault="00E72920" w:rsidP="00E72920">
      <w:pPr>
        <w:pStyle w:val="Paragrafi"/>
      </w:pPr>
      <w:r>
        <w:t>Anëtar kundër: Kujtim Puto</w:t>
      </w:r>
      <w:r w:rsidR="006323F2">
        <w:t>.</w:t>
      </w:r>
    </w:p>
    <w:p w:rsidR="00E72920" w:rsidRDefault="00E72920" w:rsidP="00E72920">
      <w:pPr>
        <w:pStyle w:val="Paragrafi"/>
      </w:pPr>
    </w:p>
    <w:p w:rsidR="00E72920" w:rsidRDefault="00E72920" w:rsidP="00D543E7">
      <w:pPr>
        <w:pStyle w:val="TitulliTitull"/>
      </w:pPr>
      <w:r>
        <w:t>MENDIM PAKICE</w:t>
      </w:r>
    </w:p>
    <w:p w:rsidR="00E72920" w:rsidRDefault="00E72920" w:rsidP="00E72920">
      <w:pPr>
        <w:pStyle w:val="Paragrafi"/>
      </w:pPr>
    </w:p>
    <w:p w:rsidR="00E72920" w:rsidRDefault="00E72920" w:rsidP="00E72920">
      <w:pPr>
        <w:pStyle w:val="Paragrafi"/>
      </w:pPr>
      <w:r>
        <w:t>Jam i mendimit se Gjykata e Apelit Vlorë dhe Kolegji Civil i Gjykatës së Lartë kanë zhvilluar një proces jo të rregullt ligjor, në kundërshtim me nenin 42 të Kushtetutës dhe me nenin 6 të Konventës Europiane të të Drejtave të Njeriut.</w:t>
      </w:r>
    </w:p>
    <w:p w:rsidR="00E72920" w:rsidRDefault="00E72920" w:rsidP="00E72920">
      <w:pPr>
        <w:pStyle w:val="Paragrafi"/>
      </w:pPr>
      <w:r>
        <w:t>Kërkuesi, Sindikata e Pavarur e Transportit, pretendoi ndër të tjera se Gjykata e Apelit Vlorë, me vendimin e saj plotësues nr.51, datë 17.3.2004 i ka kaluar ish-pronarit (trashëgimtarëve Konomi) pronësinë e trojeve prej 2060 m</w:t>
      </w:r>
      <w:r>
        <w:rPr>
          <w:vertAlign w:val="superscript"/>
        </w:rPr>
        <w:t>2</w:t>
      </w:r>
      <w:r>
        <w:t xml:space="preserve"> e 2140 m</w:t>
      </w:r>
      <w:r>
        <w:rPr>
          <w:vertAlign w:val="superscript"/>
        </w:rPr>
        <w:t>2</w:t>
      </w:r>
      <w:r>
        <w:t xml:space="preserve"> si dhe të ish-shtëpive të pushimit të punëtorëve të ngritura mbi to, në kundërshtim me vendimin kryesor të asaj gjykate nr.581, datë 24.12.2003 që nuk kalonte pronësinë, por ia linte një gjykimi tjetër zgjidhjen e mosmarrëveshjeve të pronësisë midis subjekteve të interesuara (Konomi) dhe kërkuesit, Sindikatës së Pavarur të Transportit.</w:t>
      </w:r>
    </w:p>
    <w:p w:rsidR="00E72920" w:rsidRDefault="00E72920" w:rsidP="00E72920">
      <w:pPr>
        <w:pStyle w:val="Paragrafi"/>
      </w:pPr>
      <w:r>
        <w:t>Në vendimin e Gjykatës Kushtetuese, shumica e gjyqtarëve ka pranuar konkluzionin e Gjykatës së Lartë, sipas të cilit vendimi plotësues nuk ka bërë gjë tjetër vetëm se ka sqaruar përmbajtjen e vendimit kryesor për mënyrën e zgjidhje s së çështjes.</w:t>
      </w:r>
    </w:p>
    <w:p w:rsidR="00E72920" w:rsidRDefault="00E72920" w:rsidP="00E72920">
      <w:pPr>
        <w:pStyle w:val="Paragrafi"/>
      </w:pPr>
      <w:r>
        <w:t>Në kundërshtim me sa ka vendosur shumica, jam i mendimit se gjykata e apelit, në vendimin plotësues, nuk ka bërë thjesht sqarim dhe plotësim të vendimit kryesor, por zgjidhje të ndryshme të problemeve nga sa i ka bërë në vendimin kryesor. Ky qëndrim ka cenuar parimin e sigurisë juridike dhe të drejtën e mbrojtjes së kërkuesit sepse:</w:t>
      </w:r>
    </w:p>
    <w:p w:rsidR="00E72920" w:rsidRDefault="00E72920" w:rsidP="00E72920">
      <w:pPr>
        <w:pStyle w:val="Paragrafi"/>
      </w:pPr>
      <w:r>
        <w:t>- Në pjesën urdhëruese të vendimit kryesor të gjykatës së apelit, kërkuesi (Sindikata e Pavarur e Transportit) nuk është urdhëruar t’iu kalojë subjekteve të interesuara (Konomi) pronësinë e trojeve dhe godinave të s</w:t>
      </w:r>
      <w:r w:rsidR="00995BF8">
        <w:t>htëpive të pushimit. Gjykata e a</w:t>
      </w:r>
      <w:r>
        <w:t>pelit, në vendimin e saj kryesor, ka pranuar se pronar është kërkuesi, ndërsa ish-pronar trashëgimlënësit Konomi. Ajo gjithashtu arriti në përfundimin që, para se të vendoset kalimi i pronësisë tek ish-pronarët duhet të zgjidheshin disa probleme që lidheshin me kalimin e pronësisë nga shteti tek sindikatat, si dhe probeleme që kishin të bënin me raportin midis ish</w:t>
      </w:r>
      <w:r w:rsidR="00F05BB5">
        <w:t>-</w:t>
      </w:r>
      <w:r>
        <w:t xml:space="preserve">pronarit të tokës dhe shtetit, përsa i përket ndërtimeve të reja, shtesave e ndryshimeve. Duke u nisur nga këto, gjykata e apelit ka pranuar se ekziston mosmarrëveshje midis subjekteve të interesuara (Konomi) dhe kërkuesit. Sipas vendimit kryesor të gjykatës së apelit dhe praktikës gjyqësore, kjo mosmarrëveshje duhet të zgjidhej në gjykim të veçantë, pas dhënies prej saj të vendimit me objekt anulimi i vendimit të Komisionit të Kthimit dhe të Kompensimit të Pronave. Ky qëndrim është shprehur në pjesën urdhëruese të vendimit të gjykatës së apelit, sipas të cilit sipërfaqet mbi të cilat ndodhen godinat e shtëpive të pushimit “... t’u kthehen paditësve Konomi pasi të zgjidhen konfliktet për pronësinë e tyre midis ish-pronarëve (paditësve) dhe pronarëve të rinj. Konfederatës së Sindikatave dhe Sindikatave të Pavarura të Transporteve”. </w:t>
      </w:r>
    </w:p>
    <w:p w:rsidR="00E72920" w:rsidRDefault="00E72920" w:rsidP="00E72920">
      <w:pPr>
        <w:pStyle w:val="Paragrafi"/>
      </w:pPr>
      <w:r>
        <w:t>Shumica, në vendimin e saj, i referohet një fraze të paqartë të pjesës arsyetuese të vendimit, por nuk përmend që po në këtë pjesë gjykata e apelit shprehet se: “Gjithashtu do të rrëzohet padia dhe përsa i përket të drejtës së parablerjes mbi objektet e Kampit të ri dhe të vjetër, pasi në rrethanat e krijuara ajo nuk mund të realizohet sot”. Është e qartë se rrethanat e krijuara kishin të bënin me faktin që pronar i tyre në Zyrat e Regjistrimit të Pasurisë së Paluajtshme figuronte kërkuesi. Në të kun</w:t>
      </w:r>
      <w:r w:rsidR="00463751">
        <w:t>dërt, me qëndrimin e mësipërm, gjykata e a</w:t>
      </w:r>
      <w:r>
        <w:t>pelit, në vendimin plotësues</w:t>
      </w:r>
      <w:r w:rsidR="0059672C">
        <w:t>,</w:t>
      </w:r>
      <w:r>
        <w:t xml:space="preserve"> ka vendosur kalimin e pronësisë së parcelave dhe godinave të ngritura mbi to pa e kushtëzuar këtë kalim pronësie me zgjidhjen më parë të problemit të pronësisë midis pronarëve të vjetër e të rinj. Si rrjedhojë, ajo ka dalë tej caqeve të interpretimit apo plotësimit të vendimit kryesor. Veprime të tilla vinë në kundërshtim dhe me dispozitat e nenit 312 e vijues të Kodi</w:t>
      </w:r>
      <w:r w:rsidR="005650E2">
        <w:t>t të</w:t>
      </w:r>
      <w:r>
        <w:t xml:space="preserve"> Procedurës Civile, sipas të cilit pas dhënies së vendimit gjykata nuk mund ta anulojë ose ta ndryshojë atë. Ajo mund të ndreqë në çdo kohë vetëm gabimet e bëra në llogari, ta plotësojë atë ose të bëjë sqarim apo interpretim të tij, por nuk mund të zgjidhë çështjen në kundërshtim me zgjidhjen që ka bërë me vendimin kryesor. Duke vepruar si më sipër, ajo ka zhvilluar një proces jo të rregullt ligjor që ka cenuar të drejtën e pronësisë së kërkuesit, pa i dhënë këtij mundësinë të zhvillojë mbrojtjen në gjykim me objekt të veçantë.</w:t>
      </w:r>
    </w:p>
    <w:p w:rsidR="00E72920" w:rsidRDefault="00E72920" w:rsidP="00E72920">
      <w:pPr>
        <w:pStyle w:val="Paragrafi"/>
      </w:pPr>
      <w:r>
        <w:t>Gjykata e apelit cenoi dhe parimin e sigurisë juridike dhe të mbrojtjes, sepse pranoi për shqyrtim kërkesën për plotësim vendimi, të paraqitur nga subjektet e interesuara, megjithëse ajo ishte paraqitur jashtë afatit njëmujor të përcaktuar në Kodin e Procedurës Civile. Për më tëpër, gjykimi për marrjen e vendimit plotësues është bërë në mungesë të kërkuesit. Ky i fundit nuk ishte i detyruar të parashikonte se do të pranohej një kërkesë e bërë jashtë afatit ligjor dhe për më tepër që gjykata, në vendimin plotësues, do t’i zgjidhte problemet thelbësore të çështjes në kundërshtim me zgjidhjen që kishte bërë në vendimin kryesor.</w:t>
      </w:r>
    </w:p>
    <w:p w:rsidR="00E72920" w:rsidRDefault="00E72920" w:rsidP="00E72920">
      <w:pPr>
        <w:pStyle w:val="Paragrafi"/>
      </w:pPr>
      <w:r>
        <w:t>- Rezulton gjithashtu se padia e subjekteve të interesuara, e paraqitur në gjykatën e rrethit, ka pasur për objekt kthimin e trojeve, por jo të godinave të shtëpive të pushimit. Kur çështja u kthye nga Gjykata e Lartë për rigjykim në gjykatën e apelit, subjektet e interesuara kërkuan dhe njohjen bashkëpronar me shtetin të godinës së shtëpisë së re të pushimit. Gjykata e apelit pranoi shtesën e objektit të padisë për njohjen bashkëpronar në shtëpinë e re të pushimit dhe caktoi ekspert për vlerësimin e punimeve të bëra nga shteti, vlerësim nga i cili, sipas përqindjes, do të përcaktohej dhe pronësia e palëve mbi godinat dhe truallin. Pranimi i shtesës së objektit të padisë në gjykimin në apel dhe jo në gjykatën e rrethit, siç e për</w:t>
      </w:r>
      <w:r w:rsidR="00E96F16">
        <w:t>cakton Kodi i Procedurës Civile</w:t>
      </w:r>
      <w:r>
        <w:t xml:space="preserve"> cenoi të drejtën e ankimit të kërkuesit, sepse akti i ekspertimit, megjithëse ishte prova thelbësore ku u bazua gjykata e apelit dhe megjithëse u kundërshtua nga kërkuesi, nuk mund të vihej në diskutim në Gjykatën e Lartë. Kjo e fundit, në zbatim të nenit 472 të Kodit të Procedurës Civile, ka kompetencë të verifikojë zbatimin e interpretimin e ligjit, por jo të vlerësojë provat. Është e vërtetë që akti i ekspertimit është një provë dhe Gjykata Kushtetuese nuk ka kompetencë të shqyrtojë përmbajtjen dhe vlerësimin e provave që kanë bërë gjykatat e sistemit gjyqësor, por nëse do të zbatoheshin rregullat e Kodit të Procedurës Civile. dhe shtesa e objektit të padisë të pranohej në gjykatë</w:t>
      </w:r>
      <w:r w:rsidR="00326980">
        <w:t>n e shkallës së parë dhe jo në a</w:t>
      </w:r>
      <w:r>
        <w:t>pel, ankuesi do të kishte mundësi që kundërshtimet e tij për pranimin nga gjykata të ekspertëve e të aktit të ekspertimit t’i paraqiste e të shqyrtoheshin në një gjykatë më të lartë siç është apeli.</w:t>
      </w:r>
    </w:p>
    <w:p w:rsidR="00E72920" w:rsidRDefault="00E72920" w:rsidP="00E72920">
      <w:pPr>
        <w:pStyle w:val="Paragrafi"/>
      </w:pPr>
      <w:r>
        <w:t xml:space="preserve">- Gjykata e apelit ka dalë dhe tej kërkesave të parashtruara në objektin e padisë, pasi subjektet e interesuara kanë kërkuar që të jenë bashkëpronarë me shtetin në godinën e re të pushimit dhe jo pronarë të vetëm të saj. </w:t>
      </w:r>
      <w:r>
        <w:rPr>
          <w:i/>
        </w:rPr>
        <w:t>Tejkalimi i caqeve të objektit të padisë përbën cenim të parimit kushtetues të procesit të rregullt ligjor,</w:t>
      </w:r>
      <w:r>
        <w:t xml:space="preserve"> gjë që është pranuar nga jurisprudenca e Gjykatës Kushtetuese të Republikës së Shqipërisë. Në vendimin nr.8, datë 23.4.2004 kjo gjykatë është shprehur se: “Një formë tjetër e shkeljes së të drejtës themelore për proces të rregullt ligjor është dhe ajo e mosrespektimit nga ana e gjykatave të parimit të disponibilitetit të padisë... ato kanë ndryshuar kryesisht dhe pa pëlqimin e kërkuesve bazën juridike të padisë, duke e gjykuar atë jo si padi revendikimi ..., por si padi që rrjedh nga detyrimet e lindura nga kontrata e qirasë së banesave. Pra, në këtë rast, Gjykata e Rrethit Gjyqësor Tiranë i ka kaluar kufijtë e padisë, sepse ajo është shprehur dhe për gjëra që nuk i janë kërkuar, siç është vërtetimi nga ana e saj i ekzistencës së marrëdhënies juridike të qirasë së banesave midis pjesëmarrësve në proces, ose i detyrimit të subjekteve të interesuara t’u paguajnë kërkuesve çmim të reduktuar të qirasë së banesave dhe jo shpërblim për përdorimin e sendit”.</w:t>
      </w:r>
    </w:p>
    <w:p w:rsidR="00E72920" w:rsidRDefault="00E72920" w:rsidP="00E72920">
      <w:pPr>
        <w:pStyle w:val="Paragrafi"/>
      </w:pPr>
    </w:p>
    <w:p w:rsidR="00E72920" w:rsidRDefault="00E72920" w:rsidP="00E72920">
      <w:pPr>
        <w:pStyle w:val="Paragrafi"/>
      </w:pPr>
      <w:r>
        <w:t>Anëtar: Kujtim Puto</w:t>
      </w:r>
    </w:p>
    <w:p w:rsidR="00E72920" w:rsidRDefault="00E72920" w:rsidP="00E72920">
      <w:pPr>
        <w:pStyle w:val="Paragrafi"/>
      </w:pPr>
    </w:p>
    <w:p w:rsidR="00E72920" w:rsidRDefault="00E72920" w:rsidP="00F03D7A">
      <w:pPr>
        <w:pStyle w:val="Akti"/>
      </w:pPr>
      <w:r>
        <w:t>VENDIM</w:t>
      </w:r>
    </w:p>
    <w:p w:rsidR="00E72920" w:rsidRDefault="00E72920" w:rsidP="00F03D7A">
      <w:pPr>
        <w:pStyle w:val="NumriData"/>
      </w:pPr>
      <w:r>
        <w:t>Nr.27, datë 15.12.2008</w:t>
      </w:r>
    </w:p>
    <w:p w:rsidR="00E72920" w:rsidRDefault="00E72920" w:rsidP="00E72920">
      <w:pPr>
        <w:pStyle w:val="Paragrafi"/>
      </w:pPr>
    </w:p>
    <w:p w:rsidR="00E72920" w:rsidRDefault="00E72920" w:rsidP="00F03D7A">
      <w:pPr>
        <w:pStyle w:val="TitulliTitull"/>
      </w:pPr>
      <w:r>
        <w:t>NË EMËR TË REPUBLIKËS SË SHQIPËRISË</w:t>
      </w:r>
    </w:p>
    <w:p w:rsidR="00E72920" w:rsidRDefault="00E72920" w:rsidP="00E72920">
      <w:pPr>
        <w:pStyle w:val="Paragrafi"/>
      </w:pPr>
    </w:p>
    <w:p w:rsidR="00E72920" w:rsidRDefault="00E72920" w:rsidP="00E72920">
      <w:pPr>
        <w:pStyle w:val="Paragrafi"/>
      </w:pPr>
      <w:r>
        <w:t>Gjykata Kushtetuese e Republikës së Shqipërisë, e përbërë nga:</w:t>
      </w:r>
    </w:p>
    <w:p w:rsidR="00E72920" w:rsidRDefault="00E72920" w:rsidP="00E72920">
      <w:pPr>
        <w:pStyle w:val="Paragrafi"/>
        <w:ind w:firstLine="0"/>
      </w:pPr>
    </w:p>
    <w:p w:rsidR="00E72920" w:rsidRDefault="00E72920" w:rsidP="00E72920">
      <w:pPr>
        <w:pStyle w:val="Paragrafi"/>
      </w:pPr>
      <w:r>
        <w:t>Vladimir Kristo</w:t>
      </w:r>
      <w:r>
        <w:tab/>
      </w:r>
      <w:r>
        <w:tab/>
        <w:t>Kryetar i Gjykatës Kushtetuese</w:t>
      </w:r>
    </w:p>
    <w:p w:rsidR="00E72920" w:rsidRDefault="00E72920" w:rsidP="00E72920">
      <w:pPr>
        <w:pStyle w:val="Paragrafi"/>
      </w:pPr>
      <w:r>
        <w:t>Gjergj Sauli</w:t>
      </w:r>
      <w:r>
        <w:tab/>
      </w:r>
      <w:r>
        <w:tab/>
        <w:t xml:space="preserve">Anëtar  i </w:t>
      </w:r>
      <w:r>
        <w:tab/>
        <w:t>“</w:t>
      </w:r>
      <w:r>
        <w:tab/>
        <w:t>“</w:t>
      </w:r>
    </w:p>
    <w:p w:rsidR="00E72920" w:rsidRDefault="00E72920" w:rsidP="00E72920">
      <w:pPr>
        <w:pStyle w:val="Paragrafi"/>
      </w:pPr>
      <w:r>
        <w:t>Fehmi Abdiu</w:t>
      </w:r>
      <w:r>
        <w:tab/>
      </w:r>
      <w:r>
        <w:tab/>
        <w:t>Anëtar  i</w:t>
      </w:r>
      <w:r>
        <w:tab/>
        <w:t>“</w:t>
      </w:r>
      <w:r>
        <w:tab/>
        <w:t>“</w:t>
      </w:r>
    </w:p>
    <w:p w:rsidR="00E72920" w:rsidRDefault="00E72920" w:rsidP="00E72920">
      <w:pPr>
        <w:pStyle w:val="Paragrafi"/>
      </w:pPr>
      <w:r>
        <w:t>Kujtim Puto</w:t>
      </w:r>
      <w:r>
        <w:tab/>
      </w:r>
      <w:r>
        <w:tab/>
        <w:t>Anëtar  i</w:t>
      </w:r>
      <w:r>
        <w:tab/>
        <w:t>“</w:t>
      </w:r>
      <w:r>
        <w:tab/>
        <w:t>“</w:t>
      </w:r>
    </w:p>
    <w:p w:rsidR="00E72920" w:rsidRDefault="00E72920" w:rsidP="00E72920">
      <w:pPr>
        <w:pStyle w:val="Paragrafi"/>
      </w:pPr>
      <w:r>
        <w:t>Xhezair Zaganjori</w:t>
      </w:r>
      <w:r>
        <w:tab/>
        <w:t>Anëtar  i</w:t>
      </w:r>
      <w:r>
        <w:tab/>
        <w:t>“</w:t>
      </w:r>
      <w:r>
        <w:tab/>
        <w:t>“</w:t>
      </w:r>
    </w:p>
    <w:p w:rsidR="00E72920" w:rsidRDefault="00E72920" w:rsidP="00E72920">
      <w:pPr>
        <w:pStyle w:val="Paragrafi"/>
      </w:pPr>
      <w:r>
        <w:t>Vitore Tusha</w:t>
      </w:r>
      <w:r>
        <w:tab/>
      </w:r>
      <w:r>
        <w:tab/>
        <w:t xml:space="preserve">Anëtare e </w:t>
      </w:r>
      <w:r>
        <w:tab/>
        <w:t>“</w:t>
      </w:r>
      <w:r>
        <w:tab/>
        <w:t>“</w:t>
      </w:r>
    </w:p>
    <w:p w:rsidR="00E72920" w:rsidRDefault="00E72920" w:rsidP="00E72920">
      <w:pPr>
        <w:pStyle w:val="Paragrafi"/>
      </w:pPr>
      <w:r>
        <w:t>Sokol Sadushi</w:t>
      </w:r>
      <w:r>
        <w:tab/>
      </w:r>
      <w:r>
        <w:tab/>
        <w:t>Anëtar  i</w:t>
      </w:r>
      <w:r>
        <w:tab/>
        <w:t>“</w:t>
      </w:r>
      <w:r>
        <w:tab/>
        <w:t>“</w:t>
      </w:r>
    </w:p>
    <w:p w:rsidR="00E72920" w:rsidRDefault="00E72920" w:rsidP="00E72920">
      <w:pPr>
        <w:pStyle w:val="Paragrafi"/>
      </w:pPr>
      <w:r>
        <w:t>Sokol Berberi</w:t>
      </w:r>
      <w:r>
        <w:tab/>
      </w:r>
      <w:r>
        <w:tab/>
        <w:t>Anëtar  i</w:t>
      </w:r>
      <w:r>
        <w:tab/>
        <w:t>“</w:t>
      </w:r>
      <w:r>
        <w:tab/>
        <w:t>“</w:t>
      </w:r>
    </w:p>
    <w:p w:rsidR="00E72920" w:rsidRDefault="00E72920" w:rsidP="00E72920">
      <w:pPr>
        <w:pStyle w:val="Paragrafi"/>
      </w:pPr>
      <w:r>
        <w:t>Petrit Plloçi</w:t>
      </w:r>
      <w:r>
        <w:tab/>
      </w:r>
      <w:r>
        <w:tab/>
        <w:t>Anëtar  i</w:t>
      </w:r>
      <w:r>
        <w:tab/>
        <w:t>“</w:t>
      </w:r>
      <w:r>
        <w:tab/>
        <w:t>“</w:t>
      </w:r>
    </w:p>
    <w:p w:rsidR="00E72920" w:rsidRDefault="00E72920" w:rsidP="00E72920">
      <w:pPr>
        <w:pStyle w:val="Paragrafi"/>
      </w:pPr>
    </w:p>
    <w:p w:rsidR="00E72920" w:rsidRDefault="00E72920" w:rsidP="00E72920">
      <w:pPr>
        <w:pStyle w:val="Paragrafi"/>
      </w:pPr>
      <w:r>
        <w:t>me sekretare Blerina Çinari, në datën 2.12.2008, mori në shqyrtim në seancë gjyqësore me dyer të hapura çështjen nr.15 Akti, që i përket:</w:t>
      </w:r>
    </w:p>
    <w:p w:rsidR="00E72920" w:rsidRDefault="00E72920" w:rsidP="00E72920">
      <w:pPr>
        <w:pStyle w:val="Paragrafi"/>
      </w:pPr>
      <w:r>
        <w:t>KËRKUES: Mirjana Bekteshi, në mungesë.</w:t>
      </w:r>
      <w:r>
        <w:tab/>
      </w:r>
    </w:p>
    <w:p w:rsidR="00A03DC4" w:rsidRDefault="00E72920" w:rsidP="00E72920">
      <w:pPr>
        <w:pStyle w:val="Paragrafi"/>
      </w:pPr>
      <w:r>
        <w:t>Subje</w:t>
      </w:r>
      <w:r w:rsidR="00F60F02">
        <w:t>kte të i</w:t>
      </w:r>
      <w:r>
        <w:t xml:space="preserve">nteresuara: Ismet Bashli, në mungesë. </w:t>
      </w:r>
    </w:p>
    <w:p w:rsidR="00E72920" w:rsidRDefault="00E72920" w:rsidP="00E72920">
      <w:pPr>
        <w:pStyle w:val="Paragrafi"/>
      </w:pPr>
      <w:r>
        <w:t>Artan Bashli, përfaqësuar nga av.Artan Hajdari, me prokurë.</w:t>
      </w:r>
    </w:p>
    <w:p w:rsidR="00E72920" w:rsidRDefault="00E72920" w:rsidP="00E72920">
      <w:pPr>
        <w:pStyle w:val="Paragrafi"/>
      </w:pPr>
      <w:r>
        <w:t>OBJEKTI:</w:t>
      </w:r>
      <w:r w:rsidR="00F03D7A">
        <w:t xml:space="preserve"> </w:t>
      </w:r>
      <w:r>
        <w:t xml:space="preserve">Shfuqizimi si të papajtueshme me Kushtetutën të vendimeve nr.4859, datë 22.7.2005 të Gjykatës së Rrethit Gjyqësor Tiranë; nr.767, datë 21.6.2006 të Gjykatës së Apelit Tiranë dhe nr.00-2007-1022 (1019), datë 7.9.2007 të Kolegjit Civil të Gjykatës së Lartë. </w:t>
      </w:r>
    </w:p>
    <w:p w:rsidR="00E72920" w:rsidRDefault="00E72920" w:rsidP="00E72920">
      <w:pPr>
        <w:pStyle w:val="Paragrafi"/>
      </w:pPr>
      <w:r>
        <w:t xml:space="preserve">BAZA LIGJORE: Nenet 42, 131/f dhe 134/1/g të Kushtetutës së Republikës së Shqipërisë, neni 6 i Konventës Europiane për të Drejtat e Njeriut; ligji nr.8577, datë 10.2.2000 “Për organizimin dhe funksionimin e Gjykatës Kushtetuese të Republikës së Shqipërisë”, nenet 189, 190, 161, 31, 32 dhe 18 të Kodit të Procedurës Civile. </w:t>
      </w:r>
    </w:p>
    <w:p w:rsidR="00E72920" w:rsidRDefault="00E72920" w:rsidP="00E72920">
      <w:pPr>
        <w:pStyle w:val="Paragrafi"/>
      </w:pPr>
    </w:p>
    <w:p w:rsidR="00E72920" w:rsidRDefault="000B4155" w:rsidP="00A85137">
      <w:pPr>
        <w:pStyle w:val="Institucioni"/>
      </w:pPr>
      <w:r>
        <w:t>GJYKATA KUSHTETUESE</w:t>
      </w:r>
    </w:p>
    <w:p w:rsidR="00E72920" w:rsidRDefault="00E72920" w:rsidP="00E72920">
      <w:pPr>
        <w:pStyle w:val="Paragrafi"/>
      </w:pPr>
    </w:p>
    <w:p w:rsidR="00E72920" w:rsidRDefault="00E72920" w:rsidP="00A85137">
      <w:pPr>
        <w:pStyle w:val="VENDOSI"/>
      </w:pPr>
      <w:r>
        <w:t>VËREN:</w:t>
      </w:r>
    </w:p>
    <w:p w:rsidR="00E72920" w:rsidRDefault="00E72920" w:rsidP="00E72920">
      <w:pPr>
        <w:pStyle w:val="Paragrafi"/>
      </w:pPr>
    </w:p>
    <w:p w:rsidR="00E72920" w:rsidRDefault="00E72920" w:rsidP="00E72920">
      <w:pPr>
        <w:pStyle w:val="Paragrafi"/>
      </w:pPr>
      <w:r>
        <w:t xml:space="preserve">Kërkuesja Mirjana Bekteshi ka vënë në lëvizje Gjykatën Kushtetuese me një kërkesë për shfuqizimin e vendimeve e mësipërme gjyqësore si të papajtueshme me Kushtetutën. Mbledhja e gjyqtarëve vendosi kalimin e kësaj çështjeje për shqyrtim në seancë plenare, datë 28.11.2008. Në këtë seancë kërkuesja nuk u paraqit dhe Gjykata Kushtetuese vendosi të procedonte me njoftimin me shpallje në ambientet e saj dhe shtyrjen e seancën plenare më datë 2.12.2008. Edhe në këtë seancë plenare nuk është paraqitur as kërkuesja, dhe as përfaqësuesi i saj ligjor, si dhe nuk është paraqitur asnjë kërkesë apo njoftim për shtyrje të seancës apo arsyet e mosparaqitjes së tyre. </w:t>
      </w:r>
    </w:p>
    <w:p w:rsidR="00E72920" w:rsidRDefault="00E72920" w:rsidP="00E72920">
      <w:pPr>
        <w:pStyle w:val="Paragrafi"/>
      </w:pPr>
      <w:r>
        <w:t xml:space="preserve">Ligji nr.8577, datë 10.2.2000 “Për organizimin dhe funksionimin e Gjykatës Kushtetuese të Republikës së Shqipërisë”, në nenin 1, paragrafi i dytë, parashikon se “Për çështje që lidhen me procedura që nuk rregullohen nga ky ligj, Gjykata Kushtetuese merr parasysh edhe dispozitat ligjore që rregullojnë procedurat e tjera, duke marrë në konsideratë natyrën ligjore të çështjes.” Bazuar në këtë dispozitë, Gjykata Kushtetuese iu referua Kodit të Procedurës Civile, neni 179, i cili parashikon se “Nëse paditësi ose asnjë nga palët, pa ndonjë shkak të arsyeshëm, nuk paraqiten si në veprimet përgatitore, ashtu dhe seancën gjyqësore dhe rezulton se kanë dijeni rregullisht, gjykata vendos pushimin e gjykimit të çështjes.” </w:t>
      </w:r>
    </w:p>
    <w:p w:rsidR="00E72920" w:rsidRDefault="00E72920" w:rsidP="00E72920">
      <w:pPr>
        <w:pStyle w:val="Paragrafi"/>
      </w:pPr>
      <w:r>
        <w:t xml:space="preserve">Në kushtet e mësipërme, Gjykata Kushtetuese vlerëson se plotësohen kriteret për pushimin e gjykimit të çështjes në bazë të dispozitës së sipërcituar të Kodit të Procedurës Civile. Konkretisht, pala kërkuese është njoftuar për ditën e gjykimit në këtë Gjykatë, sipas procedurës që parashikon neni 38 pika 3 i ligjit nr.8577, datë 10.2.2000 “Për organizimin dhe funksionimin e Gjykatës Kushtetuese të Republikës së Shqipërisë”. Kështu, meqë kërkuesja është më vendqëndrim jashtë shtetit, Gjykata Kushtetuese ka proceduar me njoftimin e saj me shpallje në selinë e Gjykatës Kushtetuese. Përveç kësaj, në seancë rezultoi se kërkuesja nuk ka njoftuar për ndonjë shkak të arsyeshëm për  mosparaqitje. </w:t>
      </w:r>
    </w:p>
    <w:p w:rsidR="00E72920" w:rsidRDefault="00E72920" w:rsidP="00E72920">
      <w:pPr>
        <w:pStyle w:val="Paragrafi"/>
      </w:pPr>
      <w:r>
        <w:t>Në këto rrethana, Gjykata Kushtetuese konkludon se, përderisa njoftimi me shpallje prezumon dijeninë e kërkueses dhe përderisa kjo e fundit nuk është paraqitur në gjyq, pa ndonjë shkak të arsyeshëm, në bazë të nenit 179 të Kodit të Procedurës Civile, gjykimi i çështjes duhet të pushohet.</w:t>
      </w:r>
    </w:p>
    <w:p w:rsidR="00E72920" w:rsidRDefault="00E72920" w:rsidP="00E72920">
      <w:pPr>
        <w:pStyle w:val="Paragrafi"/>
      </w:pPr>
      <w:r>
        <w:t xml:space="preserve">  </w:t>
      </w:r>
    </w:p>
    <w:p w:rsidR="00E72920" w:rsidRDefault="00E72920" w:rsidP="00A85137">
      <w:pPr>
        <w:pStyle w:val="VENDOSI"/>
      </w:pPr>
      <w:r>
        <w:t>PËR KËTO ARSYE,</w:t>
      </w:r>
    </w:p>
    <w:p w:rsidR="00E72920" w:rsidRDefault="00E72920" w:rsidP="00E72920">
      <w:pPr>
        <w:pStyle w:val="Paragrafi"/>
      </w:pPr>
    </w:p>
    <w:p w:rsidR="00E72920" w:rsidRDefault="00E72920" w:rsidP="00E72920">
      <w:pPr>
        <w:pStyle w:val="Paragrafi"/>
      </w:pPr>
      <w:r>
        <w:t xml:space="preserve">Gjykata Kushtetuese e Republikës së Shqipërisë, bazuar në nenin 1 të ligjit nr.8577, datë 10.2.2000 “Për organizimin dhe funksionimin e Gjykatës Kushtetuese të Republikës së </w:t>
      </w:r>
      <w:r w:rsidR="00A85137">
        <w:t xml:space="preserve">Shqipërisë”, dhe nenin 179 të Kodit të Procedurës </w:t>
      </w:r>
      <w:r>
        <w:t>Civile, njëzëri,  </w:t>
      </w:r>
    </w:p>
    <w:p w:rsidR="00E72920" w:rsidRDefault="00E72920" w:rsidP="00E72920">
      <w:pPr>
        <w:pStyle w:val="Paragrafi"/>
      </w:pPr>
    </w:p>
    <w:p w:rsidR="00E72920" w:rsidRDefault="0028111A" w:rsidP="0028111A">
      <w:pPr>
        <w:pStyle w:val="VENDOSI"/>
      </w:pPr>
      <w:r>
        <w:t>VENDOS</w:t>
      </w:r>
      <w:r w:rsidR="00E72920">
        <w:t>I:</w:t>
      </w:r>
    </w:p>
    <w:p w:rsidR="00E72920" w:rsidRDefault="00E72920" w:rsidP="00E72920">
      <w:pPr>
        <w:pStyle w:val="Paragrafi"/>
      </w:pPr>
    </w:p>
    <w:p w:rsidR="00E72920" w:rsidRDefault="00E72920" w:rsidP="00E72920">
      <w:pPr>
        <w:pStyle w:val="Paragrafi"/>
      </w:pPr>
      <w:r>
        <w:t xml:space="preserve">- Pushimin e gjykimit të çështjes. </w:t>
      </w:r>
    </w:p>
    <w:p w:rsidR="00A8104A" w:rsidRDefault="00E72920" w:rsidP="00E72920">
      <w:pPr>
        <w:pStyle w:val="Paragrafi"/>
      </w:pPr>
      <w:r>
        <w:t>Ky vendim hyn në fuqi ditën e botimit në Fletoren Zyrtare.</w:t>
      </w:r>
    </w:p>
    <w:p w:rsidR="00E72920" w:rsidRDefault="00E72920" w:rsidP="00E72920">
      <w:pPr>
        <w:pStyle w:val="Paragrafi"/>
      </w:pPr>
      <w:r>
        <w:t xml:space="preserve"> </w:t>
      </w:r>
    </w:p>
    <w:p w:rsidR="00E72920" w:rsidRDefault="00A8104A" w:rsidP="00546341">
      <w:pPr>
        <w:pStyle w:val="Paragrafi"/>
      </w:pPr>
      <w:r>
        <w:t>Anëtarë: Vladimir Kristo (k</w:t>
      </w:r>
      <w:r w:rsidR="00E72920">
        <w:t>ryetar)</w:t>
      </w:r>
      <w:r w:rsidR="00546341">
        <w:t xml:space="preserve">, </w:t>
      </w:r>
      <w:r w:rsidR="00E72920">
        <w:t>Fehmi Abdiu, Gjergj Sauli, Vitore Tusha, Xhezair Zaganjori, Petrit Plloçi, Sokol Berberi, Sokol Sadushi</w:t>
      </w:r>
      <w:r w:rsidR="0080225F">
        <w:t>, Kujtim Puto</w:t>
      </w:r>
    </w:p>
    <w:p w:rsidR="00E72920" w:rsidRDefault="00E72920" w:rsidP="00E72920">
      <w:pPr>
        <w:pStyle w:val="Paragrafi"/>
      </w:pPr>
    </w:p>
    <w:p w:rsidR="00E72920" w:rsidRDefault="00F03D7A" w:rsidP="0028111A">
      <w:pPr>
        <w:pStyle w:val="Akti"/>
      </w:pPr>
      <w:r>
        <w:t>VENDI</w:t>
      </w:r>
      <w:r w:rsidR="00E72920">
        <w:t>M</w:t>
      </w:r>
    </w:p>
    <w:p w:rsidR="00E72920" w:rsidRDefault="00E72920" w:rsidP="0028111A">
      <w:pPr>
        <w:pStyle w:val="NumriData"/>
      </w:pPr>
      <w:r>
        <w:t>Nr.28, datë16.12.2008</w:t>
      </w:r>
    </w:p>
    <w:p w:rsidR="00E72920" w:rsidRDefault="00E72920" w:rsidP="00E72920">
      <w:pPr>
        <w:pStyle w:val="Paragrafi"/>
      </w:pPr>
    </w:p>
    <w:p w:rsidR="00E72920" w:rsidRDefault="00E72920" w:rsidP="0028111A">
      <w:pPr>
        <w:pStyle w:val="TitulliTitull"/>
      </w:pPr>
      <w:r>
        <w:t>NË EMËR TË REPUBLIKËS SË SHQIPËRISË</w:t>
      </w:r>
    </w:p>
    <w:p w:rsidR="00E72920" w:rsidRDefault="00E72920" w:rsidP="00E72920">
      <w:pPr>
        <w:pStyle w:val="Paragrafi"/>
      </w:pPr>
    </w:p>
    <w:p w:rsidR="00E72920" w:rsidRDefault="00E72920" w:rsidP="00E72920">
      <w:pPr>
        <w:pStyle w:val="Paragrafi"/>
      </w:pPr>
      <w:r>
        <w:t>Gjykata Kushtetuese e Republikës së Shqipërisë, e përbërë nga:</w:t>
      </w:r>
    </w:p>
    <w:p w:rsidR="00E72920" w:rsidRDefault="00E72920" w:rsidP="00E72920">
      <w:pPr>
        <w:pStyle w:val="Paragrafi"/>
      </w:pPr>
      <w:r>
        <w:tab/>
      </w:r>
    </w:p>
    <w:p w:rsidR="00E72920" w:rsidRDefault="00E72920" w:rsidP="00E72920">
      <w:pPr>
        <w:pStyle w:val="Paragrafi"/>
      </w:pPr>
      <w:r>
        <w:t>Vladimir Kristo</w:t>
      </w:r>
      <w:r>
        <w:tab/>
      </w:r>
      <w:r>
        <w:tab/>
        <w:t>Kryetar  i Gjykatës Kushtetuese,</w:t>
      </w:r>
    </w:p>
    <w:p w:rsidR="00E72920" w:rsidRDefault="00E72920" w:rsidP="00E72920">
      <w:pPr>
        <w:pStyle w:val="Paragrafi"/>
      </w:pPr>
      <w:r>
        <w:t>Gjergji Sauli</w:t>
      </w:r>
      <w:r>
        <w:tab/>
      </w:r>
      <w:r>
        <w:tab/>
        <w:t>Anëtar   i</w:t>
      </w:r>
      <w:r>
        <w:tab/>
        <w:t>“</w:t>
      </w:r>
      <w:r>
        <w:tab/>
        <w:t xml:space="preserve">“ </w:t>
      </w:r>
      <w:r>
        <w:tab/>
      </w:r>
    </w:p>
    <w:p w:rsidR="00E72920" w:rsidRDefault="00E72920" w:rsidP="00E72920">
      <w:pPr>
        <w:pStyle w:val="Paragrafi"/>
      </w:pPr>
      <w:r>
        <w:t>Fehmi Abdiu</w:t>
      </w:r>
      <w:r>
        <w:tab/>
      </w:r>
      <w:r>
        <w:tab/>
        <w:t xml:space="preserve">Anëtar   i </w:t>
      </w:r>
      <w:r>
        <w:tab/>
        <w:t>“</w:t>
      </w:r>
      <w:r>
        <w:tab/>
        <w:t>“</w:t>
      </w:r>
      <w:r>
        <w:tab/>
      </w:r>
    </w:p>
    <w:p w:rsidR="00E72920" w:rsidRDefault="00E72920" w:rsidP="00E72920">
      <w:pPr>
        <w:pStyle w:val="Paragrafi"/>
      </w:pPr>
      <w:r>
        <w:t>Xhezair Zaganjori</w:t>
      </w:r>
      <w:r>
        <w:tab/>
        <w:t xml:space="preserve">Anëtar   i </w:t>
      </w:r>
      <w:r>
        <w:tab/>
        <w:t>“</w:t>
      </w:r>
      <w:r>
        <w:tab/>
        <w:t>“</w:t>
      </w:r>
    </w:p>
    <w:p w:rsidR="00E72920" w:rsidRDefault="00E72920" w:rsidP="00E72920">
      <w:pPr>
        <w:pStyle w:val="Paragrafi"/>
      </w:pPr>
      <w:r>
        <w:t>Petrit Plloçi</w:t>
      </w:r>
      <w:r>
        <w:tab/>
      </w:r>
      <w:r>
        <w:tab/>
        <w:t>Anëtar   i</w:t>
      </w:r>
      <w:r>
        <w:tab/>
        <w:t>“</w:t>
      </w:r>
      <w:r>
        <w:tab/>
        <w:t>“</w:t>
      </w:r>
      <w:r>
        <w:tab/>
      </w:r>
    </w:p>
    <w:p w:rsidR="00E72920" w:rsidRDefault="00E72920" w:rsidP="00E72920">
      <w:pPr>
        <w:pStyle w:val="Paragrafi"/>
      </w:pPr>
      <w:r>
        <w:t>Vitore Tusha</w:t>
      </w:r>
      <w:r>
        <w:tab/>
      </w:r>
      <w:r>
        <w:tab/>
        <w:t>Anëtare e</w:t>
      </w:r>
      <w:r>
        <w:tab/>
        <w:t>“</w:t>
      </w:r>
      <w:r>
        <w:tab/>
        <w:t>“</w:t>
      </w:r>
    </w:p>
    <w:p w:rsidR="00E72920" w:rsidRDefault="00E72920" w:rsidP="00E72920">
      <w:pPr>
        <w:pStyle w:val="Paragrafi"/>
      </w:pPr>
      <w:r>
        <w:t>Sokol Sadushi</w:t>
      </w:r>
      <w:r>
        <w:tab/>
      </w:r>
      <w:r>
        <w:tab/>
        <w:t>Anëtar   i</w:t>
      </w:r>
      <w:r>
        <w:tab/>
        <w:t>“</w:t>
      </w:r>
      <w:r>
        <w:tab/>
        <w:t>“</w:t>
      </w:r>
      <w:r>
        <w:tab/>
      </w:r>
    </w:p>
    <w:p w:rsidR="00E72920" w:rsidRDefault="00E72920" w:rsidP="00E72920">
      <w:pPr>
        <w:pStyle w:val="Paragrafi"/>
      </w:pPr>
      <w:r>
        <w:t>Sokol Berberi</w:t>
      </w:r>
      <w:r>
        <w:tab/>
      </w:r>
      <w:r>
        <w:tab/>
        <w:t xml:space="preserve">Anëtar   i </w:t>
      </w:r>
      <w:r>
        <w:tab/>
        <w:t>“</w:t>
      </w:r>
      <w:r>
        <w:tab/>
        <w:t>“</w:t>
      </w:r>
      <w:r>
        <w:tab/>
        <w:t xml:space="preserve">   </w:t>
      </w:r>
    </w:p>
    <w:p w:rsidR="00E72920" w:rsidRDefault="00E72920" w:rsidP="00E72920">
      <w:pPr>
        <w:pStyle w:val="Paragrafi"/>
      </w:pPr>
      <w:r>
        <w:tab/>
      </w:r>
    </w:p>
    <w:p w:rsidR="00E72920" w:rsidRDefault="00E72920" w:rsidP="00E72920">
      <w:pPr>
        <w:pStyle w:val="Paragrafi"/>
      </w:pPr>
      <w:r>
        <w:t>me sekretare Brunilda Bara, në datë</w:t>
      </w:r>
      <w:r w:rsidR="00E94F34">
        <w:t>n</w:t>
      </w:r>
      <w:r>
        <w:t xml:space="preserve"> 26.6.2008, mori në shqyrtim në seancë gjyqësore me dyer të hapura çëshjen nr.11 Akti, që i përket:</w:t>
      </w:r>
    </w:p>
    <w:p w:rsidR="00E72920" w:rsidRDefault="00E72920" w:rsidP="00E72920">
      <w:pPr>
        <w:pStyle w:val="Paragrafi"/>
      </w:pPr>
    </w:p>
    <w:p w:rsidR="00E72920" w:rsidRDefault="00E72920" w:rsidP="00E72920">
      <w:pPr>
        <w:pStyle w:val="Paragrafi"/>
      </w:pPr>
      <w:r>
        <w:t>KËRKUES:</w:t>
      </w:r>
      <w:r w:rsidR="003C4601">
        <w:t xml:space="preserve"> </w:t>
      </w:r>
      <w:r w:rsidR="003C0493">
        <w:t>Viktor Nando</w:t>
      </w:r>
      <w:r>
        <w:t>, përfaqësuar nga avokat Sokol Puto, me prokurë.</w:t>
      </w:r>
    </w:p>
    <w:p w:rsidR="00E72920" w:rsidRDefault="00E72920" w:rsidP="00E72920">
      <w:pPr>
        <w:pStyle w:val="Paragrafi"/>
      </w:pPr>
      <w:r>
        <w:t>SUBJEKT I INTERESUAR:</w:t>
      </w:r>
      <w:r w:rsidR="003C0493">
        <w:t xml:space="preserve"> </w:t>
      </w:r>
      <w:r w:rsidR="00D0544F">
        <w:t>Bashkia e qytetit Korçë</w:t>
      </w:r>
      <w:r>
        <w:t>, në mungesë.</w:t>
      </w:r>
    </w:p>
    <w:p w:rsidR="00E72920" w:rsidRDefault="00E72920" w:rsidP="00E72920">
      <w:pPr>
        <w:pStyle w:val="Paragrafi"/>
      </w:pPr>
      <w:r>
        <w:t>OBJEKTI: Shfuqizimi si antikushtetues</w:t>
      </w:r>
      <w:r w:rsidR="00D66138">
        <w:t>e të</w:t>
      </w:r>
      <w:r>
        <w:t xml:space="preserve"> vendimeve nr.1096, datë 31.5.2005 të Gjykatës së Rrethit Gjyqësor Korçë; nr.180, datë 29.9.2005 të Gjykatës së Apelit Korçë; nr.1412, datë 26.12.2006 të Kolegjit Civil të Gjykatës së Lartë.</w:t>
      </w:r>
    </w:p>
    <w:p w:rsidR="00E72920" w:rsidRDefault="007A5C53" w:rsidP="00E72920">
      <w:pPr>
        <w:pStyle w:val="Paragrafi"/>
      </w:pPr>
      <w:r>
        <w:t>BAZA LIGJORE: Nenet 42/1, 131/f</w:t>
      </w:r>
      <w:r w:rsidR="00E72920">
        <w:t xml:space="preserve"> e 134/g të Kushtetutës, neni 6/1 i Konventës Europiane të të Drejtave të Njeriut dhe nenet 27, 28, 30 e</w:t>
      </w:r>
      <w:r>
        <w:t xml:space="preserve"> 45 të ligjit nr.8577, datë 10.</w:t>
      </w:r>
      <w:r w:rsidR="00E72920">
        <w:t>2.2000 “Për organizimin dhe funksionimin e Gjykatës Kushtetuese të Republikës së Shqipërisë”.</w:t>
      </w:r>
    </w:p>
    <w:p w:rsidR="00E72920" w:rsidRDefault="00E72920" w:rsidP="00E72920">
      <w:pPr>
        <w:pStyle w:val="Paragrafi"/>
      </w:pPr>
    </w:p>
    <w:p w:rsidR="00E72920" w:rsidRDefault="00E72920" w:rsidP="007A5C53">
      <w:pPr>
        <w:pStyle w:val="Institucioni"/>
      </w:pPr>
      <w:r>
        <w:t>GJYKATA KUSHTETUESE,</w:t>
      </w:r>
    </w:p>
    <w:p w:rsidR="007A5C53" w:rsidRPr="007A5C53" w:rsidRDefault="007A5C53" w:rsidP="007A5C53">
      <w:pPr>
        <w:rPr>
          <w:lang w:val="en-GB"/>
        </w:rPr>
      </w:pPr>
    </w:p>
    <w:p w:rsidR="00E72920" w:rsidRDefault="00E72920" w:rsidP="00E72920">
      <w:pPr>
        <w:pStyle w:val="Paragrafi"/>
      </w:pPr>
      <w:r>
        <w:t>pasi dëgjoi relatorin e çështjes, Sokol Berberi; përfaqësuesin e kërkuesit që u shpreh për pranimin e kërkesës; përfaqësuesin e subjektit të interesuar që kërkoi rrëzimin e kërkesës dhe bisedoi çështjen në tërësi,</w:t>
      </w:r>
    </w:p>
    <w:p w:rsidR="00E72920" w:rsidRDefault="00E72920" w:rsidP="00E72920">
      <w:pPr>
        <w:pStyle w:val="Paragrafi"/>
      </w:pPr>
    </w:p>
    <w:p w:rsidR="00E72920" w:rsidRDefault="007A5C53" w:rsidP="007A5C53">
      <w:pPr>
        <w:pStyle w:val="VENDOSI"/>
      </w:pPr>
      <w:r>
        <w:t>VËRE</w:t>
      </w:r>
      <w:r w:rsidR="00E72920">
        <w:t>N:</w:t>
      </w:r>
    </w:p>
    <w:p w:rsidR="00E72920" w:rsidRDefault="00E72920" w:rsidP="00E72920">
      <w:pPr>
        <w:pStyle w:val="Paragrafi"/>
      </w:pPr>
      <w:r>
        <w:t>I</w:t>
      </w:r>
    </w:p>
    <w:p w:rsidR="00E72920" w:rsidRDefault="00E72920" w:rsidP="00E72920">
      <w:pPr>
        <w:pStyle w:val="Paragrafi"/>
      </w:pPr>
      <w:r>
        <w:t xml:space="preserve">Kërkuesi Viktor Nando ka pasur në pronësi një banesë në qytetin e Korçës, e cila është blerë nga babai i tij në vitin 1979 me kontratë të lidhur sipas legjislacionit të kohës.  Kjo banesë është regjistruar në hipotekë. </w:t>
      </w:r>
    </w:p>
    <w:p w:rsidR="00E72920" w:rsidRDefault="00E72920" w:rsidP="00E72920">
      <w:pPr>
        <w:pStyle w:val="Paragrafi"/>
      </w:pPr>
      <w:r>
        <w:t>Me vendimin nr.529, datë 28.10.1994, Komisioni i Kthimit e Kompensimit të Pronave, Korçë, bazuar në nenin 10 të ligjit nr.7698, datë 15.4.1993 “Për kthimin dhe kompensimin e pronave ish-pronarëve”, e kalon të drejtën e pronësisë</w:t>
      </w:r>
      <w:r w:rsidR="00007A64">
        <w:t xml:space="preserve"> së banesës s</w:t>
      </w:r>
      <w:r>
        <w:t>ë përmendur më sipër, nga kërkuesi te ish-pronari i saj. Kërkuesi, sipas këtij vendimi, përfiton masën e shpërblimit me vleftën 308.000 lekë, në formë kompensimi.</w:t>
      </w:r>
    </w:p>
    <w:p w:rsidR="00E72920" w:rsidRDefault="00E72920" w:rsidP="00E72920">
      <w:pPr>
        <w:pStyle w:val="Paragrafi"/>
      </w:pPr>
      <w:r>
        <w:t>Gjykata Kushtetuese, me vendimin nr.12, datë 21.3.2000 ka shfuqizuar pjesërisht nenin</w:t>
      </w:r>
      <w:r w:rsidR="00565D49">
        <w:t xml:space="preserve"> 10 të ligjit nr.7698, datë 15.</w:t>
      </w:r>
      <w:r>
        <w:t>4.1993 “Për kthimin dhe kompensimin e pronave ish-pronarëve", si të papajtueshëm me Kushtetutën, duke arsyetuar, ndër të tjera, se “Rregulli për masën e shpërblimit, sipas nenit 10 paragrafi i I-rë (çmimi në kohën e blerjes i konvertuar me indeksin e rritjes së çmimeve, kur ky indeksim do të llogaritet sipas nenit 27 të ligjit në momentin e hyrjes në fuqi të tij), vjen në kundërshtim me parimin e barazisë dhe, pikërisht për k</w:t>
      </w:r>
      <w:r w:rsidR="00DE7A97">
        <w:t>ëtë shkak, kjo pjesë e nenit 10</w:t>
      </w:r>
      <w:r>
        <w:t xml:space="preserve"> duhet të shfuqizohet si antikushtetuese. Aq sa është e drejtë dhe kushtetuese kthimi i pronave ish-pronarëve, po aq e drejtë dhe kushtetuese është sigurimi nga shteti i një shpërblimi të drejtë e të plotë të personave të tretë, duke marrë për bazë çmimin e tregut</w:t>
      </w:r>
      <w:r w:rsidR="00DE7A97">
        <w:t>,</w:t>
      </w:r>
      <w:r w:rsidR="00D91B8E">
        <w:t xml:space="preserve"> d.m.th.</w:t>
      </w:r>
      <w:r>
        <w:t xml:space="preserve"> vlerën reale që ka ndërtesa në momentin e dorëzimit tek ish-pronari”. </w:t>
      </w:r>
    </w:p>
    <w:p w:rsidR="00E72920" w:rsidRDefault="00E72920" w:rsidP="00E72920">
      <w:pPr>
        <w:pStyle w:val="Paragrafi"/>
      </w:pPr>
      <w:r>
        <w:t>Në vitin 2005, kërkuesi bën padi kundër bashkisë Korçë</w:t>
      </w:r>
      <w:r w:rsidR="009C7ED7">
        <w:t>,</w:t>
      </w:r>
      <w:r>
        <w:t xml:space="preserve"> me objekt: Detyrimin e bashkisë Korçë për të paguar vlerën e plotë reale të banesës që i ka marrë kërkuesit në favor të palëve të treta, pagimin e shpenzimeve të kryera në këtë banesë, mbajtjen e banesës deri në momentin e pagimit të plotë të detyrimit.  </w:t>
      </w:r>
    </w:p>
    <w:p w:rsidR="00E72920" w:rsidRDefault="00E72920" w:rsidP="00E72920">
      <w:pPr>
        <w:pStyle w:val="Paragrafi"/>
      </w:pPr>
      <w:r>
        <w:t>Gjykata e Rrethit Gjyqësor Korçë, me vendimin nr.1096, datë 31.5.2005, ka vendosur rrëzimin e padisë së kërkuesit. Kundër këtij vendimi ka bërë ankim kërkuesi. Gjykata e Apelit Korçë, me vendimin nr.180, datë 29.9.2005, ka vendosur prishjen e vendimit të gjykatës së shkallës së parë dhe pushimin e gjykimit të çështjes. Mbi rekursin e kërkuesit, Kolegji Civil i Gjykatës së Lartë, me vendimin nr.1412, datë 26.12.2006, ka vendosur mospranimin e rekursit për mungesë shkaqesh</w:t>
      </w:r>
      <w:r w:rsidR="007D469B">
        <w:t>,</w:t>
      </w:r>
      <w:r>
        <w:t xml:space="preserve"> sipas parashikimeve të nenit 472 të Kodit të Procedurës Civile.</w:t>
      </w:r>
    </w:p>
    <w:p w:rsidR="00E72920" w:rsidRDefault="007D469B" w:rsidP="00E72920">
      <w:pPr>
        <w:pStyle w:val="Paragrafi"/>
      </w:pPr>
      <w:r>
        <w:t>Kërkuesi pretendon</w:t>
      </w:r>
      <w:r w:rsidR="00E72920">
        <w:t xml:space="preserve"> se vendimet e mësipërme të tri gjykatave të juridiksionit të zakonshëm janë rezultat i një procesi jo të rregullt ligjor</w:t>
      </w:r>
      <w:r>
        <w:t>,</w:t>
      </w:r>
      <w:r w:rsidR="00E72920">
        <w:t xml:space="preserve"> duke dhënë këto shkaqe:</w:t>
      </w:r>
    </w:p>
    <w:p w:rsidR="00E72920" w:rsidRDefault="00E72920" w:rsidP="00E72920">
      <w:pPr>
        <w:pStyle w:val="Paragrafi"/>
      </w:pPr>
      <w:r>
        <w:t>- Gjykata e Apelit Korçë, me vendimin e pushimit, cenon të drejtën e aksesit në gjykatë.  Shprehja në vendimin e gjykatës  se “…padia e ngritur nga paditësi nuk mund të ngrihet, aq më shumë kundër bashkisë” është e pabazuar në ligj. Vendimi i Komisionit të Kthimit të Pronave parashikonte se bashkia Korçë ishte autoriteti përgjegjës për pagimin e detyrimit financiar për kompensimin e vlerës së banesës. Vendimi për pushimin e gjykimit nga gjykata e apelit është një konkluzion i gabuar për shkak të interpretimit të gabuar të ligjit.</w:t>
      </w:r>
    </w:p>
    <w:p w:rsidR="00E72920" w:rsidRDefault="00E72920" w:rsidP="00E72920">
      <w:pPr>
        <w:pStyle w:val="Paragrafi"/>
      </w:pPr>
      <w:r>
        <w:t>- Gjykata e Rrethit Gjyqësor Korçë ka rrëzuar pretendimin e kërkuesit për kërkimin e shpërblimit real për shkak të heqjes së të drejtës së pronësisë</w:t>
      </w:r>
      <w:r w:rsidR="0007600F">
        <w:t>,</w:t>
      </w:r>
      <w:r w:rsidR="00DD3DCE">
        <w:t xml:space="preserve"> me arsyetimin</w:t>
      </w:r>
      <w:r>
        <w:t xml:space="preserve"> se shfuqizimi i nenit 10 të ligjit nr.7698, datë 15.4.1993 “Për kthimin dhe kompensimin e pronave ish-pronarëve” është bërë nga Gjykata Kushtetuese në një kohë të mëvonshme nga data e marrjes së vendimit nr.529 të Komisionit dhe, për këtë arsye, nuk ka fuqi prapavepruese. Ky është një interpretim i gabuar i ligjit nga gjykata e faktit.</w:t>
      </w:r>
    </w:p>
    <w:p w:rsidR="00E72920" w:rsidRDefault="00E72920" w:rsidP="00E72920">
      <w:pPr>
        <w:pStyle w:val="Paragrafi"/>
      </w:pPr>
      <w:r>
        <w:t>- Vendimi i Gjykatës së Lartë, i cili ka vendosur mospranimin e rekursit, është i padrejtë dhe i ka mohuar të drejtën e aksesit në gjykatë.</w:t>
      </w:r>
    </w:p>
    <w:p w:rsidR="00E72920" w:rsidRDefault="00E72920" w:rsidP="00E72920">
      <w:pPr>
        <w:pStyle w:val="Paragrafi"/>
      </w:pPr>
      <w:r>
        <w:t xml:space="preserve"> Përfaqësuesi i subjektit të interesuar kërkoi rrëzimin e kërkesës</w:t>
      </w:r>
      <w:r w:rsidR="00181DF2">
        <w:t>,</w:t>
      </w:r>
      <w:r>
        <w:t xml:space="preserve"> duke parashtruar:</w:t>
      </w:r>
    </w:p>
    <w:p w:rsidR="00E72920" w:rsidRDefault="00E72920" w:rsidP="00E72920">
      <w:pPr>
        <w:pStyle w:val="Paragrafi"/>
      </w:pPr>
      <w:r>
        <w:t>- Pretendimet e kërkuesit janë të pambështetura në ligj dhe në një shkak ligjor pasi në asnjë shkallë të gjykimit nuk janë shkelur të drejtat për një proces të rregullt ligjor.</w:t>
      </w:r>
    </w:p>
    <w:p w:rsidR="00E72920" w:rsidRDefault="00E72920" w:rsidP="00E72920">
      <w:pPr>
        <w:pStyle w:val="Paragrafi"/>
      </w:pPr>
      <w:r>
        <w:t>- Gjatë gjykimit janë respektuar elementet e procesit të rregullt</w:t>
      </w:r>
      <w:r w:rsidR="007F1667">
        <w:t>,</w:t>
      </w:r>
      <w:r>
        <w:t xml:space="preserve"> si parimi i barazisë së palëve dhe zhvillimi i seancës me dyer të hapura.</w:t>
      </w:r>
    </w:p>
    <w:p w:rsidR="00E72920" w:rsidRDefault="00E72920" w:rsidP="00E72920">
      <w:pPr>
        <w:pStyle w:val="Paragrafi"/>
      </w:pPr>
      <w:r>
        <w:t>- Pavarësisht faktit se Gjykata Kushtetuese</w:t>
      </w:r>
      <w:r w:rsidR="007F1667">
        <w:t>,</w:t>
      </w:r>
      <w:r>
        <w:t xml:space="preserve"> me vendimin nr.12 të vitit 2000</w:t>
      </w:r>
      <w:r w:rsidR="00AD71CA">
        <w:t>,</w:t>
      </w:r>
      <w:r>
        <w:t xml:space="preserve"> ka shfuqizuar pjesërisht nenin 10 të ligjit nr.7698, datë 15.4.1993 “Për kthimin dhe kompensimin e pronave ish-pronarëve”, dhënia e shpërblimit ëshë bazuar në një dispozitë, e cila ka qenë në fuqi në kohën kur është dhënë shpërblimi. Kërkuesi nuk mund të përdorë si referencë ligjore një akt, i cili nuk ka fuqi prapavepruese dhe si rrjedhojë, nuk i shtrin efektet në marrëdhëniet juridike të lindura dhe të rregulluara më parë.</w:t>
      </w:r>
    </w:p>
    <w:p w:rsidR="00E72920" w:rsidRDefault="00E72920" w:rsidP="008A79DC">
      <w:pPr>
        <w:pStyle w:val="Paragrafi"/>
        <w:ind w:firstLine="0"/>
      </w:pPr>
    </w:p>
    <w:p w:rsidR="00E72920" w:rsidRDefault="00E72920" w:rsidP="00E72920">
      <w:pPr>
        <w:pStyle w:val="Paragrafi"/>
      </w:pPr>
      <w:r>
        <w:t>II</w:t>
      </w:r>
    </w:p>
    <w:p w:rsidR="00E72920" w:rsidRDefault="00E72920" w:rsidP="00E72920">
      <w:pPr>
        <w:pStyle w:val="Paragrafi"/>
      </w:pPr>
      <w:r>
        <w:t>A. Lidhur me pretendimin se vendimi i Gjykatës së Apelit Korçë i ka cenuar  të drejtën e aksesit në gjykatë</w:t>
      </w:r>
    </w:p>
    <w:p w:rsidR="00E72920" w:rsidRDefault="00E72920" w:rsidP="00E72920">
      <w:pPr>
        <w:pStyle w:val="Paragrafi"/>
      </w:pPr>
      <w:r>
        <w:t>Kërkuesi pretendon se Gjykata e Apelit Korçë, me vendimin e pushimit,  cenon të drejtën e aksesit në gjykatë.  Përfundimi në vendimin e gjykatës  se “…padia e ngritur nga paditësi nuk mund të ngrihet, aq më shumë kundër bashkisë” është i pabazuar në ligj. Vendimi i Komisionit të Kthimit të Pronave parashikonte se bashkia Korçë ishte autoriteti përgjegjës për pagimin e detyrimit financiar për kompensimin e vlerës së banesës. Vendimi për p</w:t>
      </w:r>
      <w:r w:rsidR="00866A6C">
        <w:t>ushimin e gjykimit nga gjykata e a</w:t>
      </w:r>
      <w:r>
        <w:t>pelit është një konkluzion i gabuar për shkak të interpretimit të gabuar të ligjit.</w:t>
      </w:r>
    </w:p>
    <w:p w:rsidR="00E72920" w:rsidRPr="00FA2271" w:rsidRDefault="00E72920" w:rsidP="00E72920">
      <w:pPr>
        <w:pStyle w:val="Paragrafi"/>
        <w:rPr>
          <w:i/>
        </w:rPr>
      </w:pPr>
      <w:r>
        <w:t>Gjykata ripërsërit qëndrimin se mohimi i të</w:t>
      </w:r>
      <w:r w:rsidR="00FA2271">
        <w:t xml:space="preserve"> drejtës së aksesit, d.m.th. i s</w:t>
      </w:r>
      <w:r>
        <w:t>ë drejtës për t’iu drejtuar gjykatës dhe për të marrë një përgjigje përfundimtare nga ajo lidhur me pretendimet e ngritura, përbën cenim të së drejtës themelore për një proces të rregullt ligjor, të parashikuar nga neni 42 i Kushtetutës dhe neni 6/1 i Konventës Europiane për të Drejtat e Njeriut (KEDNJ) (</w:t>
      </w:r>
      <w:r w:rsidRPr="00FA2271">
        <w:rPr>
          <w:i/>
        </w:rPr>
        <w:t>shih vendimet e Gjykatës Kushtetuese nr.8, datë 13.3.2008, nr.7, datë 11.3.2008, nr.10, datë 11.5.2006).</w:t>
      </w:r>
    </w:p>
    <w:p w:rsidR="00E72920" w:rsidRDefault="00E72920" w:rsidP="00E72920">
      <w:pPr>
        <w:pStyle w:val="Paragrafi"/>
      </w:pPr>
      <w:r>
        <w:t>Gjykata Europiane e të Drejtave të Njeriut (GJEDNJ) është shprehur se neni 6 paragrafi 1 i KEDNJ i siguron çdokujt të drejtën për të pretenduar të drejtat dhe detyrimet civile para një gjykate ose tribunali. Në këtë kuptim ky standard përfshin të drejtën për gjykim, ku e drejta e aksesit, që është e drejta për të filluar një proces para gjykatave për çështje civile, përbën një aspekt të saj. E drejta e aksesit në një organ gjyqësor duhet të jetë një e drejtë që lidhet me themelin dhe jo një e drejtë e pastër formale. E drejta për t’iu drejtuar gjykatës nuk ka karakter absolut; ajo mund të ketë kufizime, por ato nuk duhet të kufizojnë hapësirën e aksesit për individin në një mënyrë të tillë sa e drejta të preket në thelbin e saj (</w:t>
      </w:r>
      <w:r>
        <w:rPr>
          <w:i/>
        </w:rPr>
        <w:t>Le Compte, Van Leuven dhe De Meyere, vendim i 23 qershor 1981; Sporrong dhe Lönnroth, vendim i 23 shtator 1982</w:t>
      </w:r>
      <w:r>
        <w:t>).</w:t>
      </w:r>
    </w:p>
    <w:p w:rsidR="00E72920" w:rsidRDefault="00E72920" w:rsidP="00E72920">
      <w:pPr>
        <w:pStyle w:val="Paragrafi"/>
      </w:pPr>
      <w:r>
        <w:t>Në çështjen në shqyrtim, Gjykata e Apelit Korçë, me vendimin nr.180, datë 29.9.2005, ka vendosur prishjen e vendimit të gjykatës së shkallës së parë dhe pushimin e gjykimit të çështjes. Në vendimin e saj, gjyka</w:t>
      </w:r>
      <w:r w:rsidR="008B1EB8">
        <w:t>ta, ndër të tjera, shprehet  se</w:t>
      </w:r>
      <w:r>
        <w:t xml:space="preserve"> “… padia e ngritur nga paditësi nuk mund </w:t>
      </w:r>
      <w:r w:rsidR="00FA2271">
        <w:t>të ngrihet, aq më shumë kundër b</w:t>
      </w:r>
      <w:r>
        <w:t>ashkisë Korçë, ...”. Me këtë arsyetim</w:t>
      </w:r>
      <w:r w:rsidR="00FA2271">
        <w:t>,</w:t>
      </w:r>
      <w:r>
        <w:t xml:space="preserve"> j</w:t>
      </w:r>
      <w:r w:rsidR="00A67291">
        <w:t>o të plotë dhe të dykuptimshëm, gjykata e a</w:t>
      </w:r>
      <w:r>
        <w:t>pelit ka vënë në diskutim të drejtën e kërkuesit për t’iu drejtuar gjykatës dhe për të marrë një përgjigje për themelin e pretendimit të tij dhe ka lënë të nënkuptohet që ai nuk ka një bazë ligjore ku mund ta mbështesë padinë e tij.</w:t>
      </w:r>
    </w:p>
    <w:p w:rsidR="00E72920" w:rsidRDefault="00E72920" w:rsidP="00E72920">
      <w:pPr>
        <w:pStyle w:val="Paragrafi"/>
      </w:pPr>
      <w:r>
        <w:t>Gjykata e vlerëson të lidhur me të drejtën e aksesit parimin e deklaruar nga neni 1 i Kodit të Procedurës Civle (KPC): “Gjykata nuk mund të refuzojë të shqyrtojë dhe të japë vendime për çështjet që i paraqiten për shqyrtim, me arsyetimin se ligji mungon, nuk është i plotë, ka kundërthënie ose është i paqartë.”.</w:t>
      </w:r>
    </w:p>
    <w:p w:rsidR="00F5254E" w:rsidRDefault="00F5254E" w:rsidP="00E72920">
      <w:pPr>
        <w:pStyle w:val="Paragrafi"/>
      </w:pPr>
    </w:p>
    <w:p w:rsidR="00F5254E" w:rsidRDefault="00F5254E" w:rsidP="00E72920">
      <w:pPr>
        <w:pStyle w:val="Paragrafi"/>
      </w:pPr>
    </w:p>
    <w:p w:rsidR="00E72920" w:rsidRDefault="00E72920" w:rsidP="00E72920">
      <w:pPr>
        <w:pStyle w:val="Paragrafi"/>
      </w:pPr>
      <w:r>
        <w:t>Në bazë të këtij parimi</w:t>
      </w:r>
      <w:r w:rsidR="00D1672B">
        <w:t>,</w:t>
      </w:r>
      <w:r>
        <w:t xml:space="preserve">  gjykata duhet të kërkojë gjithmonë brenda rendit juridik të shtetit shqiptar normën që rregullon një rast konkret. Ajo duhet të mbështetet në një autoritet që ka forcën e ligjit dhe që zgjidh mosmarrëveshjen konkrete. Në rast se një normë e tillë nuk ekziston</w:t>
      </w:r>
      <w:r w:rsidR="00900C26">
        <w:t>,</w:t>
      </w:r>
      <w:r>
        <w:t xml:space="preserve"> ajo duhet të kërkojë edhe norma të tjera që rregullojnë rastet analoge. Gjykata, për zgjidhjen e një mosmarrëveshjeje</w:t>
      </w:r>
      <w:r w:rsidR="00FF350B">
        <w:t>,</w:t>
      </w:r>
      <w:r>
        <w:t xml:space="preserve"> ka detyrën funksionale për të kryer interpretime të ndryshme në lidhje me kuptimin e normave, me kërkimin e normave që rregullojnë rastet analoge apo me identifikimin e parimeve të përgjithshme dhe të  jurisprudencës kushtetuese.</w:t>
      </w:r>
    </w:p>
    <w:p w:rsidR="00E72920" w:rsidRDefault="00E72920" w:rsidP="00E72920">
      <w:pPr>
        <w:pStyle w:val="Paragrafi"/>
      </w:pPr>
      <w:r>
        <w:t>Gjykata çmon se, në rastin në shqyrtim, Gjykata e Apelit Korçë nuk ka respektuar detyrimet e evidentuara më sipër, që rrjedhin nga parimi i parashikuar në nenin 1 të Kodit të Procedurës Civile dhe nga e drejta e kushtetuese për t’iu drejtuar gjykatës. Ajo është mjaftuar duke u shprehur se padia e kërkuesit nuk mund të ngrihet ..., duke i cenuar këtij të fundit të drejtën për t’u dëgjuar dhe për të marrë një përgjigje nga gjykata për themelin e pretendimit të tij.</w:t>
      </w:r>
    </w:p>
    <w:p w:rsidR="00E72920" w:rsidRDefault="00E72920" w:rsidP="00E72920">
      <w:pPr>
        <w:pStyle w:val="Paragrafi"/>
      </w:pPr>
      <w:bookmarkStart w:id="1" w:name="01000001"/>
      <w:bookmarkEnd w:id="1"/>
      <w:r>
        <w:t xml:space="preserve">Për sa më sipër, Gjykata arrin në përfundimin se pretendimi për cenimin e të drejtës së akcesit në gjykatë nga Gjykata e Apelit Korçë me vendimin e pushimit, është i mbështetur.  </w:t>
      </w:r>
    </w:p>
    <w:p w:rsidR="00E72920" w:rsidRDefault="00E72920" w:rsidP="00E72920">
      <w:pPr>
        <w:pStyle w:val="Paragrafi"/>
      </w:pPr>
      <w:r>
        <w:t xml:space="preserve">Gjykata çmon se vendimi nr.1412, datë 26.12.2006 i Kolegji Civil i Gjykatës së Lartë, në të cilin është vendosur mospranimi i rekursit që kundërshtonte vendimin e mësipërm të Gjykatës së Apelit,  për rrjedhojë duhet të shfuqizohet. </w:t>
      </w:r>
    </w:p>
    <w:p w:rsidR="00E72920" w:rsidRDefault="00E72920" w:rsidP="00E72920">
      <w:pPr>
        <w:pStyle w:val="Paragrafi"/>
      </w:pPr>
      <w:r>
        <w:t>Lidhur me pretendimin se vendimi i Gjykatës së Rrethit Gjyqësor Korçë përmban një interpretim të gabuar të ligjit.</w:t>
      </w:r>
    </w:p>
    <w:p w:rsidR="00E72920" w:rsidRDefault="00E72920" w:rsidP="00E72920">
      <w:pPr>
        <w:pStyle w:val="Paragrafi"/>
      </w:pPr>
      <w:r>
        <w:t>Kërkuesi pretendon se</w:t>
      </w:r>
      <w:r w:rsidR="00F6604B">
        <w:t xml:space="preserve"> vendimi i Gjykatës së Rrethit G</w:t>
      </w:r>
      <w:r>
        <w:t>jyqësor Kor</w:t>
      </w:r>
      <w:r w:rsidR="00F6604B">
        <w:t>ç</w:t>
      </w:r>
      <w:r>
        <w:t xml:space="preserve">ë përmban një interpretim të gabuar të ligjit.  Sipas kërkuesit, gjykata e faktit duhej të zbatonte në mënyrë të drejtpërdrejtë vendimin e Gjykatës Kushtetuese nr.12 të vitit 2000, i cili ka fuqi detyruese të përgjithshme dhe ka fuqi prapavepruese ndaj pasojave ende të paezauruara të ligjit të shfuqizuar. </w:t>
      </w:r>
    </w:p>
    <w:p w:rsidR="00E72920" w:rsidRDefault="004F7A84" w:rsidP="00E72920">
      <w:pPr>
        <w:pStyle w:val="Paragrafi"/>
      </w:pPr>
      <w:r>
        <w:t xml:space="preserve">B. </w:t>
      </w:r>
      <w:r w:rsidR="00E72920">
        <w:t>Lidhur me interpretimin e ligjit nga gjykatat, Gjykata Kushtetuese (Gjyka</w:t>
      </w:r>
      <w:r w:rsidR="00AC7CBA">
        <w:t>ta) është shprehur edhe më parë</w:t>
      </w:r>
      <w:r w:rsidR="00E72920">
        <w:t xml:space="preserve"> se interpretimi i dispozitave ligjore për shkakun juridik dhe objektin e padive që duhen ngritur për zgjidhjen e mosmarrëveshjes</w:t>
      </w:r>
      <w:r w:rsidR="00AC7CBA">
        <w:t>,</w:t>
      </w:r>
      <w:r w:rsidR="00E72920">
        <w:t xml:space="preserve"> si dhe vlerësimi juridik i rrethanave dhe provave të parashtruara nga palët është në kompetencën e gjykatave të juridiksionit të zakonshëm. Kjo Gjykatë nuk vlerëson nëse interpretimi i kuadrit ligjor në fuqi nga gjykatat e juridiksionit të zakonshëm është i drejtë nga pikëpamja ligjore, por nëse interpre</w:t>
      </w:r>
      <w:r w:rsidR="00AC7CBA">
        <w:t>timi sjell si pasojë cenimin e s</w:t>
      </w:r>
      <w:r w:rsidR="00E72920">
        <w:t>ë drejtës për një proces të rregullt ligjor, bazuar në nenet 42 dhe 131/f  të Kushtetutës (</w:t>
      </w:r>
      <w:r w:rsidR="00E72920">
        <w:rPr>
          <w:i/>
        </w:rPr>
        <w:t>shih vendimet e Gjykatës Kushtetuese nr.8, datë 13.3.2008; nr.6, datë 15.4.2005; nr.36, datë 19.12.2003</w:t>
      </w:r>
      <w:r w:rsidR="00E72920">
        <w:t>).</w:t>
      </w:r>
    </w:p>
    <w:p w:rsidR="00E72920" w:rsidRDefault="00E72920" w:rsidP="00E72920">
      <w:pPr>
        <w:pStyle w:val="Paragrafi"/>
      </w:pPr>
      <w:r>
        <w:t>Gjykata rithekson se vendimet e Gjykatës Kushtetuese kanë fuqi detyruese të përgjithshme dhe janë përfundimtare. Ato përbëjnë jurisprudencë kushtetuese dhe, për rrjedhojë, kanë efektet e forcës së ligjit (</w:t>
      </w:r>
      <w:r>
        <w:rPr>
          <w:i/>
        </w:rPr>
        <w:t>shih vendimin e Gjykatës Kushtetuese nr.5, datë 7.2.2001</w:t>
      </w:r>
      <w:r>
        <w:t>).</w:t>
      </w:r>
    </w:p>
    <w:p w:rsidR="00E72920" w:rsidRDefault="00E72920" w:rsidP="00E72920">
      <w:pPr>
        <w:pStyle w:val="Paragrafi"/>
      </w:pPr>
      <w:r>
        <w:t xml:space="preserve">Në çështjen në shqyrtim, Gjykata e Rrethit Gjyqësor Korçë, në vendimin e saj, shprehet se </w:t>
      </w:r>
      <w:r w:rsidRPr="004770BE">
        <w:rPr>
          <w:i/>
        </w:rPr>
        <w:t>“...vendimi nr.12, datë 21.3.2000 i Gjykatës Kushtetuese, i cili ka shfuqizuar paragrafin e parë të nenit 10 të ligjit nr.7698, datë 15.4.1993 “Për kthimin dhe kompesimin e pronave ish-pronarëve” nuk ka fuqi prapavepruese. Kjo nënkupton faktin se ky vendim, i cili ka fuqi erga omnes nuk i shtrin efektet për marrëdhënie juridike të lindura dhe rregulluara më parë</w:t>
      </w:r>
      <w:r>
        <w:t>. “Pra, gjykata e faktit nuk ka vënë në diskutim fuqinë detyruese të përgjithshme të vendimit të Gjykatës Kushtetuese.</w:t>
      </w:r>
      <w:r w:rsidR="000322EF">
        <w:t>”.</w:t>
      </w:r>
      <w:r>
        <w:t xml:space="preserve"> </w:t>
      </w:r>
    </w:p>
    <w:p w:rsidR="00E72920" w:rsidRDefault="00E72920" w:rsidP="00E72920">
      <w:pPr>
        <w:pStyle w:val="Paragrafi"/>
      </w:pPr>
      <w:r>
        <w:t xml:space="preserve">Gjykata, bazuar në standardet e evidentuara më sipër, çmon se nuk është në kompetencën e saj të vlerësojë nëse Gjykata e Rrethit Gjyqësor Korçë ka identifikuar dhe ka interpretuar drejt ligjin e zbatueshëm dhe veprimin e ligjit në kohë në çështjen konkrete, përderisa kjo Gjykatë nuk konstaton cenimin e ndonjë aspekti të së drejtës për një proces të rregullt ligjor.   </w:t>
      </w:r>
    </w:p>
    <w:p w:rsidR="00E72920" w:rsidRDefault="00E72920" w:rsidP="00E72920">
      <w:pPr>
        <w:pStyle w:val="Paragrafi"/>
      </w:pPr>
      <w:r>
        <w:t>Për sa më sipër, Gjykata nuk e gjen të mbështetur  pretendimin për cenim të procesit të rregullt ligjor</w:t>
      </w:r>
      <w:r w:rsidR="00D20B58">
        <w:t>,</w:t>
      </w:r>
      <w:r>
        <w:t xml:space="preserve"> për shkak të interpretimit të gabuar të ligjit nga Gjykata e Rrethit Gjyqësor Korçë.</w:t>
      </w:r>
    </w:p>
    <w:p w:rsidR="00E72920" w:rsidRDefault="00E72920" w:rsidP="00E72920">
      <w:pPr>
        <w:pStyle w:val="Paragrafi"/>
        <w:ind w:firstLine="0"/>
      </w:pPr>
    </w:p>
    <w:p w:rsidR="00E72920" w:rsidRDefault="00E72920" w:rsidP="008A79DC">
      <w:pPr>
        <w:pStyle w:val="VENDOSI"/>
      </w:pPr>
      <w:r>
        <w:t>PËR KËTO ARSYE,</w:t>
      </w:r>
    </w:p>
    <w:p w:rsidR="00E72920" w:rsidRDefault="00E72920" w:rsidP="00E72920">
      <w:pPr>
        <w:pStyle w:val="Paragrafi"/>
      </w:pPr>
    </w:p>
    <w:p w:rsidR="00E72920" w:rsidRDefault="00E72920" w:rsidP="00E72920">
      <w:pPr>
        <w:pStyle w:val="Paragrafi"/>
      </w:pPr>
      <w:r>
        <w:t>Gjykata Kushtetuese e Republikës së Shqipërisë, në mbështetje të nenit 131/f të Kushtetutës dhe nenit 72 të ligjit nr.8577, datë 10.2.2000 “Për organizimin dhe funksionimin e Gjykatës Kushtetuese të Republikës së Shqipërisë”, njëzëri,</w:t>
      </w:r>
    </w:p>
    <w:p w:rsidR="00E72920" w:rsidRDefault="00E72920" w:rsidP="00E72920">
      <w:pPr>
        <w:pStyle w:val="Paragrafi"/>
      </w:pPr>
    </w:p>
    <w:p w:rsidR="00E72920" w:rsidRDefault="00E72920" w:rsidP="008A79DC">
      <w:pPr>
        <w:pStyle w:val="VENDOSI"/>
      </w:pPr>
      <w:r>
        <w:t>VENDOSI:</w:t>
      </w:r>
    </w:p>
    <w:p w:rsidR="00E72920" w:rsidRDefault="00E72920" w:rsidP="00E72920">
      <w:pPr>
        <w:pStyle w:val="Paragrafi"/>
      </w:pPr>
    </w:p>
    <w:p w:rsidR="00E72920" w:rsidRDefault="00E72920" w:rsidP="00E72920">
      <w:pPr>
        <w:pStyle w:val="Paragrafi"/>
      </w:pPr>
      <w:r>
        <w:t>- Shfuqizimin e vendimit nr.180, datë 29.9.2005 të Gjykatës së Apelit Kor</w:t>
      </w:r>
      <w:r w:rsidR="00344E99">
        <w:t>çë dhe të</w:t>
      </w:r>
      <w:r>
        <w:t xml:space="preserve"> ve</w:t>
      </w:r>
      <w:r w:rsidR="00344E99">
        <w:t>ndimit nr.1412, datë 26.12.2006</w:t>
      </w:r>
      <w:r>
        <w:t xml:space="preserve"> të Kolegjit Civil të Gjykatës së Lartë.</w:t>
      </w:r>
    </w:p>
    <w:p w:rsidR="00E72920" w:rsidRDefault="00E72920" w:rsidP="00E72920">
      <w:pPr>
        <w:pStyle w:val="Paragrafi"/>
      </w:pPr>
      <w:r>
        <w:t>- Dërgimin e çështjes për shqyrtim në Gjykatën e Apelit Korçë.</w:t>
      </w:r>
    </w:p>
    <w:p w:rsidR="00E72920" w:rsidRDefault="00E72920" w:rsidP="00E72920">
      <w:pPr>
        <w:pStyle w:val="Paragrafi"/>
      </w:pPr>
      <w:r>
        <w:t>Ky vendim është përfundimtar, i formës së prerë dhe hyn në fuqi ditën e botimit në Fletoren Zyrtare.</w:t>
      </w:r>
    </w:p>
    <w:p w:rsidR="00E72920" w:rsidRDefault="00E72920" w:rsidP="00840790">
      <w:pPr>
        <w:pStyle w:val="Paragrafi"/>
      </w:pPr>
      <w:r>
        <w:t>Anëtar</w:t>
      </w:r>
      <w:r w:rsidR="00E50762">
        <w:t>ë</w:t>
      </w:r>
      <w:r w:rsidR="00FE0BDC">
        <w:t>: Vladimir Kristo (k</w:t>
      </w:r>
      <w:r>
        <w:t>ryetar)</w:t>
      </w:r>
      <w:r w:rsidR="00840790">
        <w:t xml:space="preserve">, </w:t>
      </w:r>
      <w:r>
        <w:t>Fehmi Abdiu, Gjergj Sauli, Vitore Tusha, Petrit Plloçi, Xhezair Zaganjori, Sokol Berberi, Sokol Sadushi</w:t>
      </w:r>
    </w:p>
    <w:p w:rsidR="00E72920" w:rsidRDefault="00E72920" w:rsidP="00E72920">
      <w:pPr>
        <w:pStyle w:val="Paragrafi"/>
      </w:pPr>
    </w:p>
    <w:p w:rsidR="00E72920" w:rsidRDefault="00E72920" w:rsidP="00E72920"/>
    <w:p w:rsidR="00E72920" w:rsidRDefault="00E72920" w:rsidP="00E72920"/>
    <w:p w:rsidR="00E72920" w:rsidRDefault="00E72920" w:rsidP="00E72920">
      <w:pPr>
        <w:pStyle w:val="Paragrafi"/>
      </w:pPr>
    </w:p>
    <w:p w:rsidR="008D3C50" w:rsidRPr="00E72920" w:rsidRDefault="008D3C50" w:rsidP="00E72920"/>
    <w:sectPr w:rsidR="008D3C50" w:rsidRPr="00E72920" w:rsidSect="00B65287">
      <w:footerReference w:type="even" r:id="rId7"/>
      <w:footerReference w:type="default" r:id="rId8"/>
      <w:footnotePr>
        <w:numRestart w:val="eachSect"/>
      </w:footnotePr>
      <w:pgSz w:w="11907" w:h="16840" w:code="9"/>
      <w:pgMar w:top="1418" w:right="1418" w:bottom="1418" w:left="1418" w:header="0" w:footer="1134" w:gutter="0"/>
      <w:pgNumType w:start="918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7A85" w:rsidRDefault="007C7A85">
      <w:r>
        <w:separator/>
      </w:r>
    </w:p>
  </w:endnote>
  <w:endnote w:type="continuationSeparator" w:id="0">
    <w:p w:rsidR="007C7A85" w:rsidRDefault="007C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ngravers MT">
    <w:panose1 w:val="0209070708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12D3" w:rsidRDefault="00E712D3" w:rsidP="00AE065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712D3" w:rsidRDefault="00E712D3" w:rsidP="00AE065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12D3" w:rsidRDefault="00E712D3" w:rsidP="00AE065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7A85" w:rsidRDefault="007C7A85">
      <w:r>
        <w:separator/>
      </w:r>
    </w:p>
  </w:footnote>
  <w:footnote w:type="continuationSeparator" w:id="0">
    <w:p w:rsidR="007C7A85" w:rsidRDefault="007C7A85">
      <w:r>
        <w:continuationSeparator/>
      </w:r>
    </w:p>
  </w:footnote>
  <w:footnote w:id="1">
    <w:p w:rsidR="00E712D3" w:rsidRDefault="00E712D3" w:rsidP="00E72920">
      <w:pPr>
        <w:pStyle w:val="FootnoteText"/>
        <w:rPr>
          <w:rFonts w:ascii="CG Times" w:hAnsi="CG Times"/>
          <w:sz w:val="16"/>
          <w:szCs w:val="16"/>
        </w:rPr>
      </w:pPr>
      <w:r>
        <w:rPr>
          <w:rStyle w:val="FootnoteReference"/>
          <w:rFonts w:ascii="CG Times" w:hAnsi="CG Times"/>
        </w:rPr>
        <w:footnoteRef/>
      </w:r>
      <w:r>
        <w:rPr>
          <w:rFonts w:ascii="CG Times" w:hAnsi="CG Times"/>
        </w:rPr>
        <w:t xml:space="preserve"> </w:t>
      </w:r>
      <w:r>
        <w:rPr>
          <w:rFonts w:ascii="CG Times" w:hAnsi="CG Times"/>
          <w:sz w:val="16"/>
          <w:szCs w:val="16"/>
        </w:rPr>
        <w:t>Vendimet nr.19, datë 23.12.2004 dhe 25, datë 10.11.2006 të Gjykatës Kushtetuese të Republikës së Shqipërisë.</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5D4451E0"/>
    <w:lvl w:ilvl="0">
      <w:start w:val="1"/>
      <w:numFmt w:val="bullet"/>
      <w:pStyle w:val="ListBulletCharChar"/>
      <w:lvlText w:val=""/>
      <w:lvlJc w:val="left"/>
      <w:pPr>
        <w:tabs>
          <w:tab w:val="num" w:pos="643"/>
        </w:tabs>
        <w:ind w:left="643" w:hanging="360"/>
      </w:pPr>
      <w:rPr>
        <w:rFonts w:ascii="Symbol" w:hAnsi="Symbol" w:hint="default"/>
      </w:rPr>
    </w:lvl>
  </w:abstractNum>
  <w:abstractNum w:abstractNumId="1">
    <w:nsid w:val="018F6F2D"/>
    <w:multiLevelType w:val="multilevel"/>
    <w:tmpl w:val="BE541958"/>
    <w:lvl w:ilvl="0">
      <w:start w:val="1"/>
      <w:numFmt w:val="upperLetter"/>
      <w:pStyle w:val="PDSHeading1"/>
      <w:lvlText w:val="%1."/>
      <w:lvlJc w:val="left"/>
      <w:pPr>
        <w:tabs>
          <w:tab w:val="num" w:pos="360"/>
        </w:tabs>
        <w:ind w:left="360" w:hanging="360"/>
      </w:pPr>
      <w:rPr>
        <w:rFonts w:hint="default"/>
      </w:rPr>
    </w:lvl>
    <w:lvl w:ilvl="1">
      <w:start w:val="1"/>
      <w:numFmt w:val="decimal"/>
      <w:pStyle w:val="PDSHeading2"/>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Bullet"/>
      <w:lvlText w:val="%2."/>
      <w:lvlJc w:val="left"/>
      <w:pPr>
        <w:tabs>
          <w:tab w:val="num" w:pos="720"/>
        </w:tabs>
        <w:ind w:left="720" w:hanging="720"/>
      </w:pPr>
      <w:rPr>
        <w:rFonts w:hint="default"/>
      </w:rPr>
    </w:lvl>
    <w:lvl w:ilvl="2">
      <w:start w:val="1"/>
      <w:numFmt w:val="lowerLetter"/>
      <w:pStyle w:val="Sub-Para1underX"/>
      <w:lvlText w:val="(%3)"/>
      <w:lvlJc w:val="left"/>
      <w:pPr>
        <w:tabs>
          <w:tab w:val="num" w:pos="1080"/>
        </w:tabs>
        <w:ind w:left="720" w:hanging="360"/>
      </w:pPr>
      <w:rPr>
        <w:rFonts w:hint="default"/>
      </w:rPr>
    </w:lvl>
    <w:lvl w:ilvl="3">
      <w:start w:val="1"/>
      <w:numFmt w:val="lowerRoman"/>
      <w:pStyle w:val="Sub-Para2underX"/>
      <w:lvlText w:val="(%4)"/>
      <w:lvlJc w:val="left"/>
      <w:pPr>
        <w:tabs>
          <w:tab w:val="num" w:pos="1800"/>
        </w:tabs>
        <w:ind w:left="1080" w:hanging="360"/>
      </w:pPr>
      <w:rPr>
        <w:rFonts w:hint="default"/>
      </w:rPr>
    </w:lvl>
    <w:lvl w:ilvl="4">
      <w:start w:val="1"/>
      <w:numFmt w:val="lowerLetter"/>
      <w:pStyle w:val="Sub-Para3underX"/>
      <w:lvlText w:val="%5."/>
      <w:lvlJc w:val="left"/>
      <w:pPr>
        <w:tabs>
          <w:tab w:val="num" w:pos="1440"/>
        </w:tabs>
        <w:ind w:left="1440" w:hanging="360"/>
      </w:pPr>
      <w:rPr>
        <w:rFonts w:hint="default"/>
      </w:rPr>
    </w:lvl>
    <w:lvl w:ilvl="5">
      <w:start w:val="1"/>
      <w:numFmt w:val="lowerRoman"/>
      <w:pStyle w:val="Sub-Para4underX"/>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nsid w:val="41D60224"/>
    <w:multiLevelType w:val="hybridMultilevel"/>
    <w:tmpl w:val="6D92EAA8"/>
    <w:lvl w:ilvl="0" w:tplc="BC40783E">
      <w:start w:val="4"/>
      <w:numFmt w:val="bullet"/>
      <w:lvlText w:val="-"/>
      <w:lvlJc w:val="left"/>
      <w:pPr>
        <w:tabs>
          <w:tab w:val="num" w:pos="1440"/>
        </w:tabs>
        <w:ind w:left="1440" w:hanging="720"/>
      </w:pPr>
      <w:rPr>
        <w:rFonts w:ascii="CG Times" w:eastAsia="Times New Roman" w:hAnsi="CG Time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MainParanoChapter"/>
      <w:lvlText w:val="%1.%2"/>
      <w:lvlJc w:val="left"/>
      <w:pPr>
        <w:tabs>
          <w:tab w:val="num" w:pos="720"/>
        </w:tabs>
        <w:ind w:left="720" w:hanging="720"/>
      </w:pPr>
      <w:rPr>
        <w:rFonts w:hint="default"/>
      </w:rPr>
    </w:lvl>
    <w:lvl w:ilvl="2">
      <w:start w:val="1"/>
      <w:numFmt w:val="lowerLetter"/>
      <w:pStyle w:val="Sub-Para1underXY"/>
      <w:lvlText w:val="(%3)"/>
      <w:lvlJc w:val="left"/>
      <w:pPr>
        <w:tabs>
          <w:tab w:val="num" w:pos="1440"/>
        </w:tabs>
        <w:ind w:left="1080" w:hanging="360"/>
      </w:pPr>
      <w:rPr>
        <w:rFonts w:hint="default"/>
      </w:rPr>
    </w:lvl>
    <w:lvl w:ilvl="3">
      <w:start w:val="1"/>
      <w:numFmt w:val="lowerRoman"/>
      <w:pStyle w:val="Sub-Para2underXY"/>
      <w:lvlText w:val="(%4)"/>
      <w:lvlJc w:val="left"/>
      <w:pPr>
        <w:tabs>
          <w:tab w:val="num" w:pos="2160"/>
        </w:tabs>
        <w:ind w:left="1440" w:hanging="360"/>
      </w:pPr>
      <w:rPr>
        <w:rFonts w:hint="default"/>
      </w:rPr>
    </w:lvl>
    <w:lvl w:ilvl="4">
      <w:start w:val="1"/>
      <w:numFmt w:val="lowerLetter"/>
      <w:pStyle w:val="Sub-Para3underXY"/>
      <w:lvlText w:val="%5."/>
      <w:lvlJc w:val="left"/>
      <w:pPr>
        <w:tabs>
          <w:tab w:val="num" w:pos="1800"/>
        </w:tabs>
        <w:ind w:left="1800" w:hanging="360"/>
      </w:pPr>
      <w:rPr>
        <w:rFonts w:hint="default"/>
      </w:rPr>
    </w:lvl>
    <w:lvl w:ilvl="5">
      <w:start w:val="1"/>
      <w:numFmt w:val="lowerRoman"/>
      <w:pStyle w:val="Sub-Para4underXY"/>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7">
    <w:nsid w:val="7FE30505"/>
    <w:multiLevelType w:val="hybridMultilevel"/>
    <w:tmpl w:val="25E07446"/>
    <w:lvl w:ilvl="0" w:tplc="EA9852A8">
      <w:start w:val="1"/>
      <w:numFmt w:val="bullet"/>
      <w:pStyle w:val="bazligjpropozues"/>
      <w:lvlText w:val=""/>
      <w:lvlJc w:val="left"/>
      <w:pPr>
        <w:tabs>
          <w:tab w:val="num" w:pos="1440"/>
        </w:tabs>
        <w:ind w:left="1440" w:hanging="720"/>
      </w:pPr>
      <w:rPr>
        <w:rFonts w:ascii="Symbol" w:hAnsi="Symbol" w:hint="default"/>
      </w:rPr>
    </w:lvl>
    <w:lvl w:ilvl="1" w:tplc="041F0001" w:tentative="1">
      <w:start w:val="1"/>
      <w:numFmt w:val="bullet"/>
      <w:lvlText w:val="o"/>
      <w:lvlJc w:val="left"/>
      <w:pPr>
        <w:tabs>
          <w:tab w:val="num" w:pos="1440"/>
        </w:tabs>
        <w:ind w:left="1440" w:hanging="360"/>
      </w:pPr>
      <w:rPr>
        <w:rFonts w:ascii="Courier New" w:hAnsi="Courier New" w:hint="default"/>
      </w:rPr>
    </w:lvl>
    <w:lvl w:ilvl="2" w:tplc="BE2AD3DE"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5"/>
  </w:num>
  <w:num w:numId="3">
    <w:abstractNumId w:val="3"/>
  </w:num>
  <w:num w:numId="4">
    <w:abstractNumId w:val="4"/>
  </w:num>
  <w:num w:numId="5">
    <w:abstractNumId w:val="7"/>
  </w:num>
  <w:num w:numId="6">
    <w:abstractNumId w:val="2"/>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57"/>
  <w:displayVerticalDrawingGridEvery w:val="2"/>
  <w:noPunctuationKerning/>
  <w:characterSpacingControl w:val="doNotCompress"/>
  <w:footnotePr>
    <w:numRestart w:val="eachSect"/>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D18BF"/>
    <w:rsid w:val="00004643"/>
    <w:rsid w:val="00007A64"/>
    <w:rsid w:val="00014F50"/>
    <w:rsid w:val="00022C85"/>
    <w:rsid w:val="00030114"/>
    <w:rsid w:val="000314FD"/>
    <w:rsid w:val="000322EF"/>
    <w:rsid w:val="00032BBA"/>
    <w:rsid w:val="00041A95"/>
    <w:rsid w:val="00044ECD"/>
    <w:rsid w:val="0004540B"/>
    <w:rsid w:val="00047AE2"/>
    <w:rsid w:val="000527A6"/>
    <w:rsid w:val="00066F13"/>
    <w:rsid w:val="0007600F"/>
    <w:rsid w:val="00077F1D"/>
    <w:rsid w:val="00080D09"/>
    <w:rsid w:val="0008305B"/>
    <w:rsid w:val="00090906"/>
    <w:rsid w:val="00093069"/>
    <w:rsid w:val="0009388C"/>
    <w:rsid w:val="00093C74"/>
    <w:rsid w:val="00093E34"/>
    <w:rsid w:val="000972B1"/>
    <w:rsid w:val="000A198F"/>
    <w:rsid w:val="000A1BD4"/>
    <w:rsid w:val="000A3A85"/>
    <w:rsid w:val="000A42DD"/>
    <w:rsid w:val="000B0453"/>
    <w:rsid w:val="000B0927"/>
    <w:rsid w:val="000B0C17"/>
    <w:rsid w:val="000B0C82"/>
    <w:rsid w:val="000B2F66"/>
    <w:rsid w:val="000B4155"/>
    <w:rsid w:val="000B68CB"/>
    <w:rsid w:val="000C77FB"/>
    <w:rsid w:val="000D0D78"/>
    <w:rsid w:val="000D2763"/>
    <w:rsid w:val="000D27E9"/>
    <w:rsid w:val="000D37EC"/>
    <w:rsid w:val="000D6B5D"/>
    <w:rsid w:val="000D78E1"/>
    <w:rsid w:val="000E2482"/>
    <w:rsid w:val="000E7224"/>
    <w:rsid w:val="000F050C"/>
    <w:rsid w:val="000F18E5"/>
    <w:rsid w:val="000F7D04"/>
    <w:rsid w:val="00101EF8"/>
    <w:rsid w:val="001027BD"/>
    <w:rsid w:val="00103BDC"/>
    <w:rsid w:val="001064E9"/>
    <w:rsid w:val="00114EFB"/>
    <w:rsid w:val="00116AC2"/>
    <w:rsid w:val="00122156"/>
    <w:rsid w:val="0012641E"/>
    <w:rsid w:val="00131E85"/>
    <w:rsid w:val="001325A8"/>
    <w:rsid w:val="00135B8B"/>
    <w:rsid w:val="00137B5B"/>
    <w:rsid w:val="00137DE7"/>
    <w:rsid w:val="001441E8"/>
    <w:rsid w:val="0014692D"/>
    <w:rsid w:val="001520E6"/>
    <w:rsid w:val="00154C6D"/>
    <w:rsid w:val="00156B5D"/>
    <w:rsid w:val="00160978"/>
    <w:rsid w:val="00163457"/>
    <w:rsid w:val="00173439"/>
    <w:rsid w:val="00174744"/>
    <w:rsid w:val="0017642E"/>
    <w:rsid w:val="00176C6B"/>
    <w:rsid w:val="00177256"/>
    <w:rsid w:val="00180ECE"/>
    <w:rsid w:val="00181DF2"/>
    <w:rsid w:val="001874DD"/>
    <w:rsid w:val="001879B9"/>
    <w:rsid w:val="001924C7"/>
    <w:rsid w:val="001936F0"/>
    <w:rsid w:val="001969FC"/>
    <w:rsid w:val="00197A40"/>
    <w:rsid w:val="001A202F"/>
    <w:rsid w:val="001A252D"/>
    <w:rsid w:val="001A5B4D"/>
    <w:rsid w:val="001B6FEF"/>
    <w:rsid w:val="001C6941"/>
    <w:rsid w:val="001C6DC9"/>
    <w:rsid w:val="001D2101"/>
    <w:rsid w:val="001D218C"/>
    <w:rsid w:val="001E0290"/>
    <w:rsid w:val="001E3C99"/>
    <w:rsid w:val="001E5EDF"/>
    <w:rsid w:val="001E6298"/>
    <w:rsid w:val="001E7809"/>
    <w:rsid w:val="001F60D4"/>
    <w:rsid w:val="001F72AB"/>
    <w:rsid w:val="00201694"/>
    <w:rsid w:val="00203BB5"/>
    <w:rsid w:val="00203D58"/>
    <w:rsid w:val="002062FA"/>
    <w:rsid w:val="002114F6"/>
    <w:rsid w:val="0021209C"/>
    <w:rsid w:val="00212C79"/>
    <w:rsid w:val="00220697"/>
    <w:rsid w:val="0023327F"/>
    <w:rsid w:val="00235633"/>
    <w:rsid w:val="002379D9"/>
    <w:rsid w:val="00237D7D"/>
    <w:rsid w:val="00243027"/>
    <w:rsid w:val="00244CAC"/>
    <w:rsid w:val="002453C4"/>
    <w:rsid w:val="00252197"/>
    <w:rsid w:val="00253BBB"/>
    <w:rsid w:val="00254BC3"/>
    <w:rsid w:val="00266CFD"/>
    <w:rsid w:val="0027006F"/>
    <w:rsid w:val="00271968"/>
    <w:rsid w:val="00272AFA"/>
    <w:rsid w:val="00280421"/>
    <w:rsid w:val="00280E6A"/>
    <w:rsid w:val="0028111A"/>
    <w:rsid w:val="0028444D"/>
    <w:rsid w:val="002910D4"/>
    <w:rsid w:val="00291389"/>
    <w:rsid w:val="002A79A0"/>
    <w:rsid w:val="002A79B1"/>
    <w:rsid w:val="002A7A7E"/>
    <w:rsid w:val="002B07B2"/>
    <w:rsid w:val="002B1A2B"/>
    <w:rsid w:val="002B52F8"/>
    <w:rsid w:val="002B6EBE"/>
    <w:rsid w:val="002C3714"/>
    <w:rsid w:val="002D0B37"/>
    <w:rsid w:val="002D0EBE"/>
    <w:rsid w:val="002D1467"/>
    <w:rsid w:val="002D1849"/>
    <w:rsid w:val="002D38CB"/>
    <w:rsid w:val="002D5A6E"/>
    <w:rsid w:val="002E02B5"/>
    <w:rsid w:val="002E28F8"/>
    <w:rsid w:val="002E4193"/>
    <w:rsid w:val="002F0C47"/>
    <w:rsid w:val="002F74E7"/>
    <w:rsid w:val="00312075"/>
    <w:rsid w:val="00315BA1"/>
    <w:rsid w:val="00323E28"/>
    <w:rsid w:val="00326980"/>
    <w:rsid w:val="003323D2"/>
    <w:rsid w:val="003346B7"/>
    <w:rsid w:val="00334A85"/>
    <w:rsid w:val="00336E68"/>
    <w:rsid w:val="00344E99"/>
    <w:rsid w:val="00345115"/>
    <w:rsid w:val="00346F6C"/>
    <w:rsid w:val="003629BD"/>
    <w:rsid w:val="00363411"/>
    <w:rsid w:val="00371092"/>
    <w:rsid w:val="00371884"/>
    <w:rsid w:val="00381692"/>
    <w:rsid w:val="00383D0F"/>
    <w:rsid w:val="00390C41"/>
    <w:rsid w:val="00392425"/>
    <w:rsid w:val="00392CF0"/>
    <w:rsid w:val="003A03B8"/>
    <w:rsid w:val="003A6AA4"/>
    <w:rsid w:val="003B084C"/>
    <w:rsid w:val="003B78B2"/>
    <w:rsid w:val="003C0493"/>
    <w:rsid w:val="003C103A"/>
    <w:rsid w:val="003C4601"/>
    <w:rsid w:val="003D0899"/>
    <w:rsid w:val="003D203A"/>
    <w:rsid w:val="003E34A3"/>
    <w:rsid w:val="003E6349"/>
    <w:rsid w:val="003F298E"/>
    <w:rsid w:val="003F6B34"/>
    <w:rsid w:val="003F7857"/>
    <w:rsid w:val="003F7BFE"/>
    <w:rsid w:val="00410BD4"/>
    <w:rsid w:val="004131C1"/>
    <w:rsid w:val="004153F4"/>
    <w:rsid w:val="00415686"/>
    <w:rsid w:val="0041784C"/>
    <w:rsid w:val="00423A12"/>
    <w:rsid w:val="00424903"/>
    <w:rsid w:val="004255C2"/>
    <w:rsid w:val="00425717"/>
    <w:rsid w:val="0044268B"/>
    <w:rsid w:val="00443D32"/>
    <w:rsid w:val="0045061A"/>
    <w:rsid w:val="00450B8E"/>
    <w:rsid w:val="00455D0A"/>
    <w:rsid w:val="00455EA3"/>
    <w:rsid w:val="00463751"/>
    <w:rsid w:val="00467BA8"/>
    <w:rsid w:val="00471D68"/>
    <w:rsid w:val="0047546B"/>
    <w:rsid w:val="00476112"/>
    <w:rsid w:val="004769E8"/>
    <w:rsid w:val="004770BE"/>
    <w:rsid w:val="00481ED4"/>
    <w:rsid w:val="004827E7"/>
    <w:rsid w:val="00485048"/>
    <w:rsid w:val="004860FA"/>
    <w:rsid w:val="00491E01"/>
    <w:rsid w:val="00493E70"/>
    <w:rsid w:val="00496174"/>
    <w:rsid w:val="004A1680"/>
    <w:rsid w:val="004A636D"/>
    <w:rsid w:val="004B2E3E"/>
    <w:rsid w:val="004C0311"/>
    <w:rsid w:val="004C1A86"/>
    <w:rsid w:val="004C203D"/>
    <w:rsid w:val="004C3D69"/>
    <w:rsid w:val="004C42D6"/>
    <w:rsid w:val="004C5F63"/>
    <w:rsid w:val="004C7953"/>
    <w:rsid w:val="004D07EF"/>
    <w:rsid w:val="004D18BF"/>
    <w:rsid w:val="004D30D6"/>
    <w:rsid w:val="004D37C2"/>
    <w:rsid w:val="004D792A"/>
    <w:rsid w:val="004E2C74"/>
    <w:rsid w:val="004E3AB6"/>
    <w:rsid w:val="004F7A84"/>
    <w:rsid w:val="004F7CB7"/>
    <w:rsid w:val="00500E51"/>
    <w:rsid w:val="0050285D"/>
    <w:rsid w:val="0050757F"/>
    <w:rsid w:val="00507C60"/>
    <w:rsid w:val="00514139"/>
    <w:rsid w:val="00532D42"/>
    <w:rsid w:val="00536133"/>
    <w:rsid w:val="005373DB"/>
    <w:rsid w:val="005375FF"/>
    <w:rsid w:val="00544B95"/>
    <w:rsid w:val="00546341"/>
    <w:rsid w:val="00547CAC"/>
    <w:rsid w:val="00563346"/>
    <w:rsid w:val="005650E2"/>
    <w:rsid w:val="005656DC"/>
    <w:rsid w:val="00565D49"/>
    <w:rsid w:val="00566480"/>
    <w:rsid w:val="00567699"/>
    <w:rsid w:val="005704EC"/>
    <w:rsid w:val="00571BFF"/>
    <w:rsid w:val="00573B1B"/>
    <w:rsid w:val="00575492"/>
    <w:rsid w:val="00585708"/>
    <w:rsid w:val="0058676E"/>
    <w:rsid w:val="0059161B"/>
    <w:rsid w:val="0059218D"/>
    <w:rsid w:val="0059394D"/>
    <w:rsid w:val="00594317"/>
    <w:rsid w:val="00594BA0"/>
    <w:rsid w:val="00594F5F"/>
    <w:rsid w:val="0059672C"/>
    <w:rsid w:val="005A3C6A"/>
    <w:rsid w:val="005A5336"/>
    <w:rsid w:val="005A618F"/>
    <w:rsid w:val="005B167C"/>
    <w:rsid w:val="005B35C8"/>
    <w:rsid w:val="005B35CC"/>
    <w:rsid w:val="005B52CB"/>
    <w:rsid w:val="005B71D7"/>
    <w:rsid w:val="005C555D"/>
    <w:rsid w:val="005C56B1"/>
    <w:rsid w:val="005C69B0"/>
    <w:rsid w:val="005D1259"/>
    <w:rsid w:val="005D34F6"/>
    <w:rsid w:val="005D7E92"/>
    <w:rsid w:val="005E2218"/>
    <w:rsid w:val="005E5264"/>
    <w:rsid w:val="005F1C9C"/>
    <w:rsid w:val="005F3550"/>
    <w:rsid w:val="00601167"/>
    <w:rsid w:val="00603A91"/>
    <w:rsid w:val="00605268"/>
    <w:rsid w:val="00605CCD"/>
    <w:rsid w:val="006113F1"/>
    <w:rsid w:val="006156C8"/>
    <w:rsid w:val="00622A8B"/>
    <w:rsid w:val="00623B14"/>
    <w:rsid w:val="006323F2"/>
    <w:rsid w:val="00635A4D"/>
    <w:rsid w:val="006372A2"/>
    <w:rsid w:val="00637377"/>
    <w:rsid w:val="006408A2"/>
    <w:rsid w:val="00641A54"/>
    <w:rsid w:val="0065109A"/>
    <w:rsid w:val="0066053B"/>
    <w:rsid w:val="00660C1B"/>
    <w:rsid w:val="0066342F"/>
    <w:rsid w:val="00667BD2"/>
    <w:rsid w:val="00670342"/>
    <w:rsid w:val="006759E5"/>
    <w:rsid w:val="00682171"/>
    <w:rsid w:val="0069543E"/>
    <w:rsid w:val="006A068E"/>
    <w:rsid w:val="006A52EB"/>
    <w:rsid w:val="006A5B2C"/>
    <w:rsid w:val="006A7047"/>
    <w:rsid w:val="006B0F97"/>
    <w:rsid w:val="006B11AA"/>
    <w:rsid w:val="006B2718"/>
    <w:rsid w:val="006B4F84"/>
    <w:rsid w:val="006B6AEB"/>
    <w:rsid w:val="006C022A"/>
    <w:rsid w:val="006C18B5"/>
    <w:rsid w:val="006C57A3"/>
    <w:rsid w:val="006D2908"/>
    <w:rsid w:val="006D369E"/>
    <w:rsid w:val="006D6762"/>
    <w:rsid w:val="006E3A60"/>
    <w:rsid w:val="006E728B"/>
    <w:rsid w:val="006F57C6"/>
    <w:rsid w:val="00703AB9"/>
    <w:rsid w:val="00706E35"/>
    <w:rsid w:val="00710D1D"/>
    <w:rsid w:val="007150C0"/>
    <w:rsid w:val="00722E74"/>
    <w:rsid w:val="007235C4"/>
    <w:rsid w:val="00747049"/>
    <w:rsid w:val="0075427D"/>
    <w:rsid w:val="00760558"/>
    <w:rsid w:val="0076209C"/>
    <w:rsid w:val="00763A3B"/>
    <w:rsid w:val="00771D66"/>
    <w:rsid w:val="00773041"/>
    <w:rsid w:val="00775B61"/>
    <w:rsid w:val="00783490"/>
    <w:rsid w:val="00784582"/>
    <w:rsid w:val="00785E5D"/>
    <w:rsid w:val="00791ADB"/>
    <w:rsid w:val="00794C91"/>
    <w:rsid w:val="007953EC"/>
    <w:rsid w:val="007A053B"/>
    <w:rsid w:val="007A2BD1"/>
    <w:rsid w:val="007A5C53"/>
    <w:rsid w:val="007B0DFB"/>
    <w:rsid w:val="007B4F80"/>
    <w:rsid w:val="007C411B"/>
    <w:rsid w:val="007C588A"/>
    <w:rsid w:val="007C6CAC"/>
    <w:rsid w:val="007C7A85"/>
    <w:rsid w:val="007D0180"/>
    <w:rsid w:val="007D05BA"/>
    <w:rsid w:val="007D23B9"/>
    <w:rsid w:val="007D469B"/>
    <w:rsid w:val="007D6C2E"/>
    <w:rsid w:val="007E21B8"/>
    <w:rsid w:val="007E22EF"/>
    <w:rsid w:val="007E23DE"/>
    <w:rsid w:val="007E5659"/>
    <w:rsid w:val="007E5727"/>
    <w:rsid w:val="007F1667"/>
    <w:rsid w:val="007F1B56"/>
    <w:rsid w:val="008000B7"/>
    <w:rsid w:val="0080089C"/>
    <w:rsid w:val="00801A00"/>
    <w:rsid w:val="0080225F"/>
    <w:rsid w:val="008023B3"/>
    <w:rsid w:val="008025BE"/>
    <w:rsid w:val="008038D4"/>
    <w:rsid w:val="0081370C"/>
    <w:rsid w:val="00814F2A"/>
    <w:rsid w:val="008377CA"/>
    <w:rsid w:val="00840790"/>
    <w:rsid w:val="0085151D"/>
    <w:rsid w:val="008517C1"/>
    <w:rsid w:val="00853DFA"/>
    <w:rsid w:val="0085501C"/>
    <w:rsid w:val="008555EA"/>
    <w:rsid w:val="0085561A"/>
    <w:rsid w:val="008575C0"/>
    <w:rsid w:val="00857E5A"/>
    <w:rsid w:val="00866A6C"/>
    <w:rsid w:val="00867FE7"/>
    <w:rsid w:val="0087029C"/>
    <w:rsid w:val="00870E58"/>
    <w:rsid w:val="008715CA"/>
    <w:rsid w:val="008717A9"/>
    <w:rsid w:val="008731DB"/>
    <w:rsid w:val="008749A6"/>
    <w:rsid w:val="00875E3C"/>
    <w:rsid w:val="00877A1F"/>
    <w:rsid w:val="0088014E"/>
    <w:rsid w:val="00884B24"/>
    <w:rsid w:val="00891C60"/>
    <w:rsid w:val="00892036"/>
    <w:rsid w:val="008959EC"/>
    <w:rsid w:val="008A3056"/>
    <w:rsid w:val="008A32BB"/>
    <w:rsid w:val="008A4487"/>
    <w:rsid w:val="008A79DC"/>
    <w:rsid w:val="008B153A"/>
    <w:rsid w:val="008B1EB8"/>
    <w:rsid w:val="008B2911"/>
    <w:rsid w:val="008B5412"/>
    <w:rsid w:val="008B6654"/>
    <w:rsid w:val="008B7BE6"/>
    <w:rsid w:val="008C7A99"/>
    <w:rsid w:val="008D38B1"/>
    <w:rsid w:val="008D3C50"/>
    <w:rsid w:val="008D591F"/>
    <w:rsid w:val="008E02A9"/>
    <w:rsid w:val="008E136E"/>
    <w:rsid w:val="008E3F74"/>
    <w:rsid w:val="008E6AA7"/>
    <w:rsid w:val="008E7541"/>
    <w:rsid w:val="008F4470"/>
    <w:rsid w:val="009002A7"/>
    <w:rsid w:val="00900C26"/>
    <w:rsid w:val="009010C0"/>
    <w:rsid w:val="009036D8"/>
    <w:rsid w:val="00903CB5"/>
    <w:rsid w:val="00907D02"/>
    <w:rsid w:val="0091013B"/>
    <w:rsid w:val="00915A9E"/>
    <w:rsid w:val="00920921"/>
    <w:rsid w:val="00920DC7"/>
    <w:rsid w:val="00924F3F"/>
    <w:rsid w:val="00926CB7"/>
    <w:rsid w:val="00926E88"/>
    <w:rsid w:val="00931DA8"/>
    <w:rsid w:val="009358F6"/>
    <w:rsid w:val="00937AF5"/>
    <w:rsid w:val="00940E90"/>
    <w:rsid w:val="0094302E"/>
    <w:rsid w:val="00944C16"/>
    <w:rsid w:val="009478D4"/>
    <w:rsid w:val="009539AA"/>
    <w:rsid w:val="009565D0"/>
    <w:rsid w:val="009633CB"/>
    <w:rsid w:val="0096428E"/>
    <w:rsid w:val="009648C2"/>
    <w:rsid w:val="00965401"/>
    <w:rsid w:val="00965D03"/>
    <w:rsid w:val="00974B90"/>
    <w:rsid w:val="00974E1E"/>
    <w:rsid w:val="00975B54"/>
    <w:rsid w:val="009774A6"/>
    <w:rsid w:val="009843C7"/>
    <w:rsid w:val="00984E91"/>
    <w:rsid w:val="009850A5"/>
    <w:rsid w:val="009858DD"/>
    <w:rsid w:val="00992824"/>
    <w:rsid w:val="0099297D"/>
    <w:rsid w:val="009955A5"/>
    <w:rsid w:val="00995BF8"/>
    <w:rsid w:val="009A3237"/>
    <w:rsid w:val="009B125F"/>
    <w:rsid w:val="009B1D5F"/>
    <w:rsid w:val="009B29F3"/>
    <w:rsid w:val="009B7081"/>
    <w:rsid w:val="009B71F2"/>
    <w:rsid w:val="009B7E5E"/>
    <w:rsid w:val="009C0D28"/>
    <w:rsid w:val="009C1311"/>
    <w:rsid w:val="009C2147"/>
    <w:rsid w:val="009C7ED7"/>
    <w:rsid w:val="009D23F0"/>
    <w:rsid w:val="009D36CC"/>
    <w:rsid w:val="009D4845"/>
    <w:rsid w:val="009D4C13"/>
    <w:rsid w:val="009E1BFA"/>
    <w:rsid w:val="009E4811"/>
    <w:rsid w:val="009E48C6"/>
    <w:rsid w:val="009E77D9"/>
    <w:rsid w:val="009F6352"/>
    <w:rsid w:val="009F7EE3"/>
    <w:rsid w:val="00A03DC4"/>
    <w:rsid w:val="00A0424A"/>
    <w:rsid w:val="00A07AD6"/>
    <w:rsid w:val="00A07B1B"/>
    <w:rsid w:val="00A12409"/>
    <w:rsid w:val="00A16960"/>
    <w:rsid w:val="00A20B0C"/>
    <w:rsid w:val="00A375AE"/>
    <w:rsid w:val="00A37EA4"/>
    <w:rsid w:val="00A41536"/>
    <w:rsid w:val="00A42273"/>
    <w:rsid w:val="00A42904"/>
    <w:rsid w:val="00A44E08"/>
    <w:rsid w:val="00A45CB8"/>
    <w:rsid w:val="00A47520"/>
    <w:rsid w:val="00A50E23"/>
    <w:rsid w:val="00A570EE"/>
    <w:rsid w:val="00A64D49"/>
    <w:rsid w:val="00A65D59"/>
    <w:rsid w:val="00A66DDB"/>
    <w:rsid w:val="00A67279"/>
    <w:rsid w:val="00A67291"/>
    <w:rsid w:val="00A7234F"/>
    <w:rsid w:val="00A74979"/>
    <w:rsid w:val="00A8104A"/>
    <w:rsid w:val="00A84BA6"/>
    <w:rsid w:val="00A85137"/>
    <w:rsid w:val="00A854EA"/>
    <w:rsid w:val="00A87AB8"/>
    <w:rsid w:val="00A9557E"/>
    <w:rsid w:val="00A95A35"/>
    <w:rsid w:val="00A97942"/>
    <w:rsid w:val="00AA0361"/>
    <w:rsid w:val="00AA036D"/>
    <w:rsid w:val="00AA663A"/>
    <w:rsid w:val="00AC11C6"/>
    <w:rsid w:val="00AC60B2"/>
    <w:rsid w:val="00AC7623"/>
    <w:rsid w:val="00AC7CBA"/>
    <w:rsid w:val="00AD025D"/>
    <w:rsid w:val="00AD4CC8"/>
    <w:rsid w:val="00AD67C2"/>
    <w:rsid w:val="00AD71CA"/>
    <w:rsid w:val="00AE0651"/>
    <w:rsid w:val="00AE4E43"/>
    <w:rsid w:val="00AE618C"/>
    <w:rsid w:val="00AE6753"/>
    <w:rsid w:val="00AF5AF6"/>
    <w:rsid w:val="00AF5EF4"/>
    <w:rsid w:val="00AF7D7E"/>
    <w:rsid w:val="00B0247E"/>
    <w:rsid w:val="00B07AC6"/>
    <w:rsid w:val="00B07EF1"/>
    <w:rsid w:val="00B17B85"/>
    <w:rsid w:val="00B20940"/>
    <w:rsid w:val="00B21DE2"/>
    <w:rsid w:val="00B25738"/>
    <w:rsid w:val="00B27566"/>
    <w:rsid w:val="00B40A20"/>
    <w:rsid w:val="00B4480A"/>
    <w:rsid w:val="00B47724"/>
    <w:rsid w:val="00B526F6"/>
    <w:rsid w:val="00B536C7"/>
    <w:rsid w:val="00B53A39"/>
    <w:rsid w:val="00B55AF3"/>
    <w:rsid w:val="00B63A56"/>
    <w:rsid w:val="00B65287"/>
    <w:rsid w:val="00B77869"/>
    <w:rsid w:val="00B77EA3"/>
    <w:rsid w:val="00B77F34"/>
    <w:rsid w:val="00B85C5D"/>
    <w:rsid w:val="00B8798B"/>
    <w:rsid w:val="00B913B3"/>
    <w:rsid w:val="00B915AD"/>
    <w:rsid w:val="00B928C5"/>
    <w:rsid w:val="00BA15B9"/>
    <w:rsid w:val="00BA426D"/>
    <w:rsid w:val="00BB2136"/>
    <w:rsid w:val="00BC1165"/>
    <w:rsid w:val="00BC2291"/>
    <w:rsid w:val="00BD2BF9"/>
    <w:rsid w:val="00BD335F"/>
    <w:rsid w:val="00BD3DF2"/>
    <w:rsid w:val="00BD41AA"/>
    <w:rsid w:val="00BD4FF0"/>
    <w:rsid w:val="00BE0905"/>
    <w:rsid w:val="00BF108B"/>
    <w:rsid w:val="00BF3B26"/>
    <w:rsid w:val="00C023F9"/>
    <w:rsid w:val="00C02A1D"/>
    <w:rsid w:val="00C03AFC"/>
    <w:rsid w:val="00C06D94"/>
    <w:rsid w:val="00C1249B"/>
    <w:rsid w:val="00C229E4"/>
    <w:rsid w:val="00C25A06"/>
    <w:rsid w:val="00C2717B"/>
    <w:rsid w:val="00C504D1"/>
    <w:rsid w:val="00C5581A"/>
    <w:rsid w:val="00C622CF"/>
    <w:rsid w:val="00C63A06"/>
    <w:rsid w:val="00C75E66"/>
    <w:rsid w:val="00C760B6"/>
    <w:rsid w:val="00C85289"/>
    <w:rsid w:val="00C90B9B"/>
    <w:rsid w:val="00C92B46"/>
    <w:rsid w:val="00C93D23"/>
    <w:rsid w:val="00CA0825"/>
    <w:rsid w:val="00CA17FE"/>
    <w:rsid w:val="00CA4AB6"/>
    <w:rsid w:val="00CA65DF"/>
    <w:rsid w:val="00CB1716"/>
    <w:rsid w:val="00CB70AF"/>
    <w:rsid w:val="00CD569F"/>
    <w:rsid w:val="00CD5D58"/>
    <w:rsid w:val="00CD710F"/>
    <w:rsid w:val="00CD77C9"/>
    <w:rsid w:val="00CE0B35"/>
    <w:rsid w:val="00CF2F22"/>
    <w:rsid w:val="00CF667B"/>
    <w:rsid w:val="00CF6C32"/>
    <w:rsid w:val="00D0544F"/>
    <w:rsid w:val="00D0545D"/>
    <w:rsid w:val="00D1672B"/>
    <w:rsid w:val="00D20B58"/>
    <w:rsid w:val="00D25079"/>
    <w:rsid w:val="00D31C0A"/>
    <w:rsid w:val="00D372AA"/>
    <w:rsid w:val="00D40EE2"/>
    <w:rsid w:val="00D42569"/>
    <w:rsid w:val="00D446AE"/>
    <w:rsid w:val="00D462D6"/>
    <w:rsid w:val="00D46957"/>
    <w:rsid w:val="00D52588"/>
    <w:rsid w:val="00D543E7"/>
    <w:rsid w:val="00D63167"/>
    <w:rsid w:val="00D64389"/>
    <w:rsid w:val="00D64806"/>
    <w:rsid w:val="00D66138"/>
    <w:rsid w:val="00D6645D"/>
    <w:rsid w:val="00D77EA4"/>
    <w:rsid w:val="00D801DD"/>
    <w:rsid w:val="00D81C65"/>
    <w:rsid w:val="00D84A16"/>
    <w:rsid w:val="00D91922"/>
    <w:rsid w:val="00D91B8E"/>
    <w:rsid w:val="00D94D0A"/>
    <w:rsid w:val="00DA0BD6"/>
    <w:rsid w:val="00DA0FED"/>
    <w:rsid w:val="00DA4D35"/>
    <w:rsid w:val="00DA5BAA"/>
    <w:rsid w:val="00DA631E"/>
    <w:rsid w:val="00DB0C06"/>
    <w:rsid w:val="00DC342C"/>
    <w:rsid w:val="00DC3A32"/>
    <w:rsid w:val="00DC5F31"/>
    <w:rsid w:val="00DD3DCE"/>
    <w:rsid w:val="00DD59F2"/>
    <w:rsid w:val="00DD7562"/>
    <w:rsid w:val="00DE3742"/>
    <w:rsid w:val="00DE4AEE"/>
    <w:rsid w:val="00DE6DFC"/>
    <w:rsid w:val="00DE7A97"/>
    <w:rsid w:val="00DF7684"/>
    <w:rsid w:val="00E04EFE"/>
    <w:rsid w:val="00E062DC"/>
    <w:rsid w:val="00E07FE0"/>
    <w:rsid w:val="00E13053"/>
    <w:rsid w:val="00E167C8"/>
    <w:rsid w:val="00E175D3"/>
    <w:rsid w:val="00E25B69"/>
    <w:rsid w:val="00E2768C"/>
    <w:rsid w:val="00E27875"/>
    <w:rsid w:val="00E35B4C"/>
    <w:rsid w:val="00E35C8C"/>
    <w:rsid w:val="00E36ADA"/>
    <w:rsid w:val="00E403CE"/>
    <w:rsid w:val="00E412D6"/>
    <w:rsid w:val="00E43EB9"/>
    <w:rsid w:val="00E50762"/>
    <w:rsid w:val="00E57C3C"/>
    <w:rsid w:val="00E60592"/>
    <w:rsid w:val="00E61950"/>
    <w:rsid w:val="00E66FB1"/>
    <w:rsid w:val="00E712D3"/>
    <w:rsid w:val="00E72920"/>
    <w:rsid w:val="00E73210"/>
    <w:rsid w:val="00E75BF1"/>
    <w:rsid w:val="00E9029C"/>
    <w:rsid w:val="00E93863"/>
    <w:rsid w:val="00E94F34"/>
    <w:rsid w:val="00E96F16"/>
    <w:rsid w:val="00EA1D4B"/>
    <w:rsid w:val="00EA1F52"/>
    <w:rsid w:val="00EA6B0D"/>
    <w:rsid w:val="00EA7F16"/>
    <w:rsid w:val="00EB061A"/>
    <w:rsid w:val="00EB0630"/>
    <w:rsid w:val="00EB2040"/>
    <w:rsid w:val="00EC02C5"/>
    <w:rsid w:val="00EC1330"/>
    <w:rsid w:val="00EC1514"/>
    <w:rsid w:val="00EC1A6E"/>
    <w:rsid w:val="00EC376C"/>
    <w:rsid w:val="00EC3D74"/>
    <w:rsid w:val="00EC4341"/>
    <w:rsid w:val="00ED4D75"/>
    <w:rsid w:val="00EE0045"/>
    <w:rsid w:val="00EE2082"/>
    <w:rsid w:val="00EE6E27"/>
    <w:rsid w:val="00EE76B9"/>
    <w:rsid w:val="00EF49A7"/>
    <w:rsid w:val="00F00443"/>
    <w:rsid w:val="00F00EF3"/>
    <w:rsid w:val="00F02F12"/>
    <w:rsid w:val="00F03655"/>
    <w:rsid w:val="00F03D7A"/>
    <w:rsid w:val="00F04448"/>
    <w:rsid w:val="00F05884"/>
    <w:rsid w:val="00F05BB5"/>
    <w:rsid w:val="00F12D64"/>
    <w:rsid w:val="00F1512F"/>
    <w:rsid w:val="00F20DFB"/>
    <w:rsid w:val="00F2168D"/>
    <w:rsid w:val="00F245F0"/>
    <w:rsid w:val="00F32706"/>
    <w:rsid w:val="00F33286"/>
    <w:rsid w:val="00F5254E"/>
    <w:rsid w:val="00F57AF4"/>
    <w:rsid w:val="00F60AAD"/>
    <w:rsid w:val="00F60F02"/>
    <w:rsid w:val="00F632B6"/>
    <w:rsid w:val="00F64AC1"/>
    <w:rsid w:val="00F6604B"/>
    <w:rsid w:val="00F717EA"/>
    <w:rsid w:val="00F736A6"/>
    <w:rsid w:val="00F73C54"/>
    <w:rsid w:val="00F82F45"/>
    <w:rsid w:val="00F849AC"/>
    <w:rsid w:val="00F86461"/>
    <w:rsid w:val="00F9252E"/>
    <w:rsid w:val="00F92AB3"/>
    <w:rsid w:val="00F9518F"/>
    <w:rsid w:val="00F959DB"/>
    <w:rsid w:val="00F9702B"/>
    <w:rsid w:val="00F97B34"/>
    <w:rsid w:val="00FA2189"/>
    <w:rsid w:val="00FA2271"/>
    <w:rsid w:val="00FA725D"/>
    <w:rsid w:val="00FB0069"/>
    <w:rsid w:val="00FB0E8A"/>
    <w:rsid w:val="00FB7FA5"/>
    <w:rsid w:val="00FC4B10"/>
    <w:rsid w:val="00FC7B14"/>
    <w:rsid w:val="00FD0EA1"/>
    <w:rsid w:val="00FD57A9"/>
    <w:rsid w:val="00FD64B1"/>
    <w:rsid w:val="00FE0BDC"/>
    <w:rsid w:val="00FE25E2"/>
    <w:rsid w:val="00FE485A"/>
    <w:rsid w:val="00FE71C3"/>
    <w:rsid w:val="00FF350B"/>
    <w:rsid w:val="00FF3538"/>
    <w:rsid w:val="00FF3B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5412502D-CA77-46A9-93A9-846DFFFF5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2920"/>
    <w:rPr>
      <w:rFonts w:eastAsia="MS Mincho"/>
      <w:sz w:val="24"/>
      <w:szCs w:val="24"/>
      <w:lang w:val="en-US" w:eastAsia="en-US"/>
    </w:rPr>
  </w:style>
  <w:style w:type="paragraph" w:styleId="Heading1">
    <w:name w:val="heading 1"/>
    <w:basedOn w:val="Normal"/>
    <w:next w:val="Normal"/>
    <w:qFormat/>
    <w:rsid w:val="00163457"/>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C56B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C56B1"/>
    <w:pPr>
      <w:keepNext/>
      <w:spacing w:before="240" w:after="60"/>
      <w:outlineLvl w:val="2"/>
    </w:pPr>
    <w:rPr>
      <w:rFonts w:ascii="Arial" w:hAnsi="Arial" w:cs="Arial"/>
      <w:b/>
      <w:bCs/>
      <w:sz w:val="26"/>
      <w:szCs w:val="26"/>
    </w:rPr>
  </w:style>
  <w:style w:type="paragraph" w:styleId="Heading4">
    <w:name w:val="heading 4"/>
    <w:basedOn w:val="Normal"/>
    <w:next w:val="Normal"/>
    <w:qFormat/>
    <w:rsid w:val="005C56B1"/>
    <w:pPr>
      <w:keepNext/>
      <w:tabs>
        <w:tab w:val="left" w:pos="5103"/>
      </w:tabs>
      <w:ind w:firstLine="567"/>
      <w:outlineLvl w:val="3"/>
    </w:pPr>
    <w:rPr>
      <w:szCs w:val="20"/>
    </w:rPr>
  </w:style>
  <w:style w:type="paragraph" w:styleId="Heading5">
    <w:name w:val="heading 5"/>
    <w:basedOn w:val="Normal"/>
    <w:next w:val="Normal"/>
    <w:qFormat/>
    <w:rsid w:val="005C56B1"/>
    <w:pPr>
      <w:spacing w:before="240" w:after="60"/>
      <w:outlineLvl w:val="4"/>
    </w:pPr>
    <w:rPr>
      <w:b/>
      <w:bCs/>
      <w:i/>
      <w:iCs/>
      <w:sz w:val="26"/>
      <w:szCs w:val="26"/>
    </w:rPr>
  </w:style>
  <w:style w:type="paragraph" w:styleId="Heading6">
    <w:name w:val="heading 6"/>
    <w:basedOn w:val="Normal"/>
    <w:next w:val="Normal"/>
    <w:qFormat/>
    <w:rsid w:val="005C56B1"/>
    <w:pPr>
      <w:spacing w:before="240" w:after="60"/>
      <w:outlineLvl w:val="5"/>
    </w:pPr>
    <w:rPr>
      <w:b/>
      <w:bCs/>
      <w:sz w:val="22"/>
      <w:szCs w:val="22"/>
    </w:rPr>
  </w:style>
  <w:style w:type="paragraph" w:styleId="Heading8">
    <w:name w:val="heading 8"/>
    <w:basedOn w:val="Normal"/>
    <w:next w:val="Normal"/>
    <w:qFormat/>
    <w:rsid w:val="005C56B1"/>
    <w:pPr>
      <w:spacing w:before="240" w:after="60"/>
      <w:outlineLvl w:val="7"/>
    </w:pPr>
    <w:rPr>
      <w:i/>
      <w:iCs/>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Char"/>
    <w:basedOn w:val="Normal"/>
    <w:link w:val="DefaultParagraphFont"/>
    <w:rsid w:val="0058676E"/>
    <w:pPr>
      <w:spacing w:after="160" w:line="240" w:lineRule="exact"/>
    </w:pPr>
    <w:rPr>
      <w:rFonts w:ascii="Tahoma" w:hAnsi="Tahoma"/>
      <w:sz w:val="20"/>
      <w:szCs w:val="20"/>
      <w:lang w:val="en-GB" w:eastAsia="en-GB"/>
    </w:rPr>
  </w:style>
  <w:style w:type="paragraph" w:customStyle="1" w:styleId="Char0">
    <w:name w:val=" Char"/>
    <w:basedOn w:val="Normal"/>
    <w:rsid w:val="00163457"/>
    <w:pPr>
      <w:widowControl w:val="0"/>
      <w:spacing w:after="160" w:line="240" w:lineRule="exact"/>
      <w:jc w:val="both"/>
    </w:pPr>
    <w:rPr>
      <w:rFonts w:ascii="Tahoma" w:hAnsi="Tahoma"/>
      <w:sz w:val="22"/>
      <w:szCs w:val="22"/>
    </w:rPr>
  </w:style>
  <w:style w:type="character" w:customStyle="1" w:styleId="CharChar1">
    <w:name w:val=" Char Char1"/>
    <w:rsid w:val="00163457"/>
    <w:rPr>
      <w:rFonts w:ascii="Trebuchet MS" w:eastAsia="MS Mincho" w:hAnsi="Trebuchet MS"/>
      <w:lang w:val="en-GB" w:eastAsia="en-US" w:bidi="ar-SA"/>
    </w:rPr>
  </w:style>
  <w:style w:type="paragraph" w:customStyle="1" w:styleId="ADDRESS">
    <w:name w:val="ADDRESS"/>
    <w:basedOn w:val="Normal"/>
    <w:rsid w:val="0016345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link w:val="AktiChar"/>
    <w:rsid w:val="00163457"/>
    <w:pPr>
      <w:keepNext/>
      <w:widowControl w:val="0"/>
      <w:jc w:val="center"/>
      <w:outlineLvl w:val="0"/>
    </w:pPr>
    <w:rPr>
      <w:rFonts w:ascii="CG Times" w:hAnsi="CG Times"/>
      <w:b/>
      <w:caps/>
      <w:color w:val="000000"/>
      <w:sz w:val="22"/>
      <w:szCs w:val="22"/>
      <w:lang w:eastAsia="en-US"/>
    </w:rPr>
  </w:style>
  <w:style w:type="character" w:customStyle="1" w:styleId="AktiChar">
    <w:name w:val="Akti Char"/>
    <w:link w:val="Akti"/>
    <w:rsid w:val="005C56B1"/>
    <w:rPr>
      <w:rFonts w:ascii="CG Times" w:hAnsi="CG Times"/>
      <w:b/>
      <w:caps/>
      <w:color w:val="000000"/>
      <w:sz w:val="22"/>
      <w:szCs w:val="22"/>
      <w:lang w:val="en-GB" w:eastAsia="en-US" w:bidi="ar-SA"/>
    </w:rPr>
  </w:style>
  <w:style w:type="paragraph" w:customStyle="1" w:styleId="Aneksi">
    <w:name w:val="Aneksi"/>
    <w:next w:val="Normal"/>
    <w:rsid w:val="00163457"/>
    <w:rPr>
      <w:rFonts w:ascii="CG Times" w:hAnsi="CG Times"/>
      <w:sz w:val="22"/>
      <w:lang w:eastAsia="en-US"/>
    </w:rPr>
  </w:style>
  <w:style w:type="paragraph" w:customStyle="1" w:styleId="AneksiNr">
    <w:name w:val="Aneksi_Nr"/>
    <w:next w:val="Normal"/>
    <w:rsid w:val="00163457"/>
    <w:pPr>
      <w:keepNext/>
      <w:widowControl w:val="0"/>
      <w:jc w:val="center"/>
    </w:pPr>
    <w:rPr>
      <w:rFonts w:ascii="CG Times" w:hAnsi="CG Times"/>
      <w:caps/>
      <w:sz w:val="22"/>
      <w:szCs w:val="22"/>
      <w:lang w:eastAsia="en-US"/>
    </w:rPr>
  </w:style>
  <w:style w:type="paragraph" w:customStyle="1" w:styleId="AneksiTitull">
    <w:name w:val="Aneksi_Titull"/>
    <w:next w:val="Normal"/>
    <w:rsid w:val="00163457"/>
    <w:pPr>
      <w:jc w:val="center"/>
    </w:pPr>
    <w:rPr>
      <w:rFonts w:ascii="CG Times" w:hAnsi="CG Times"/>
      <w:sz w:val="24"/>
      <w:szCs w:val="24"/>
      <w:lang w:eastAsia="en-US"/>
    </w:rPr>
  </w:style>
  <w:style w:type="paragraph" w:customStyle="1" w:styleId="Autoriteti">
    <w:name w:val="Autoriteti"/>
    <w:next w:val="Normal"/>
    <w:rsid w:val="00163457"/>
    <w:pPr>
      <w:keepNext/>
      <w:widowControl w:val="0"/>
      <w:jc w:val="right"/>
    </w:pPr>
    <w:rPr>
      <w:rFonts w:ascii="CG Times" w:hAnsi="CG Times"/>
      <w:caps/>
      <w:sz w:val="22"/>
      <w:szCs w:val="22"/>
      <w:lang w:eastAsia="en-US"/>
    </w:rPr>
  </w:style>
  <w:style w:type="paragraph" w:customStyle="1" w:styleId="AutoritetiEmer">
    <w:name w:val="Autoriteti_Emer"/>
    <w:next w:val="Normal"/>
    <w:rsid w:val="00163457"/>
    <w:pPr>
      <w:widowControl w:val="0"/>
      <w:jc w:val="right"/>
    </w:pPr>
    <w:rPr>
      <w:rFonts w:ascii="CG Times" w:hAnsi="CG Times"/>
      <w:b/>
      <w:sz w:val="22"/>
      <w:szCs w:val="22"/>
      <w:lang w:eastAsia="en-US"/>
    </w:rPr>
  </w:style>
  <w:style w:type="character" w:customStyle="1" w:styleId="AutoritetiEmerCharChar">
    <w:name w:val="Autoriteti_Emer Char Char"/>
    <w:rsid w:val="00163457"/>
    <w:rPr>
      <w:rFonts w:ascii="CG Times" w:eastAsia="MS Mincho" w:hAnsi="CG Times"/>
      <w:b/>
      <w:sz w:val="22"/>
      <w:szCs w:val="22"/>
      <w:lang w:val="en-GB" w:eastAsia="en-US" w:bidi="ar-SA"/>
    </w:rPr>
  </w:style>
  <w:style w:type="paragraph" w:customStyle="1" w:styleId="BazLigjPropozues0">
    <w:name w:val="Baz_Ligj_Propozues"/>
    <w:rsid w:val="00163457"/>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163457"/>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163457"/>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163457"/>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163457"/>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163457"/>
    <w:pPr>
      <w:jc w:val="center"/>
    </w:pPr>
    <w:rPr>
      <w:rFonts w:ascii="CG Times" w:hAnsi="CG Times"/>
      <w:caps/>
      <w:sz w:val="22"/>
      <w:szCs w:val="22"/>
      <w:lang w:eastAsia="en-US"/>
    </w:rPr>
  </w:style>
  <w:style w:type="paragraph" w:customStyle="1" w:styleId="BoxText">
    <w:name w:val="Box Text"/>
    <w:basedOn w:val="Normal"/>
    <w:rsid w:val="00163457"/>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163457"/>
    <w:pPr>
      <w:widowControl w:val="0"/>
      <w:spacing w:before="240" w:after="240"/>
      <w:jc w:val="both"/>
    </w:pPr>
    <w:rPr>
      <w:rFonts w:ascii="Trebuchet MS" w:hAnsi="Trebuchet MS"/>
      <w:sz w:val="20"/>
      <w:szCs w:val="22"/>
    </w:rPr>
  </w:style>
  <w:style w:type="character" w:customStyle="1" w:styleId="bulletmenumraChar">
    <w:name w:val="bullet me numra Char"/>
    <w:rsid w:val="00163457"/>
    <w:rPr>
      <w:rFonts w:ascii="Trebuchet MS" w:eastAsia="MS Mincho" w:hAnsi="Trebuchet MS"/>
      <w:szCs w:val="22"/>
      <w:lang w:val="en-GB" w:eastAsia="en-US" w:bidi="ar-SA"/>
    </w:rPr>
  </w:style>
  <w:style w:type="paragraph" w:customStyle="1" w:styleId="bulletmeshkronja">
    <w:name w:val="bullet me shkronja"/>
    <w:basedOn w:val="Normal"/>
    <w:rsid w:val="00163457"/>
    <w:pPr>
      <w:widowControl w:val="0"/>
      <w:spacing w:before="60" w:after="60"/>
      <w:jc w:val="both"/>
    </w:pPr>
    <w:rPr>
      <w:rFonts w:ascii="Trebuchet MS" w:hAnsi="Trebuchet MS"/>
      <w:sz w:val="22"/>
      <w:szCs w:val="22"/>
    </w:rPr>
  </w:style>
  <w:style w:type="paragraph" w:customStyle="1" w:styleId="BULLETUDHEZIM">
    <w:name w:val="BULLET UDHEZIM"/>
    <w:basedOn w:val="Normal"/>
    <w:rsid w:val="00163457"/>
    <w:pPr>
      <w:widowControl w:val="0"/>
      <w:tabs>
        <w:tab w:val="num" w:pos="360"/>
      </w:tabs>
      <w:spacing w:before="120" w:after="120"/>
      <w:jc w:val="both"/>
    </w:pPr>
    <w:rPr>
      <w:rFonts w:ascii="Book Antiqua" w:hAnsi="Book Antiqua"/>
      <w:sz w:val="22"/>
      <w:szCs w:val="22"/>
    </w:rPr>
  </w:style>
  <w:style w:type="character" w:customStyle="1" w:styleId="CharChar">
    <w:name w:val="Char Char"/>
    <w:locked/>
    <w:rsid w:val="00163457"/>
    <w:rPr>
      <w:rFonts w:ascii="Trebuchet MS" w:eastAsia="MS Mincho" w:hAnsi="Trebuchet MS"/>
      <w:sz w:val="22"/>
      <w:lang w:val="en-GB" w:eastAsia="en-US" w:bidi="ar-SA"/>
    </w:rPr>
  </w:style>
  <w:style w:type="paragraph" w:customStyle="1" w:styleId="Default">
    <w:name w:val="Default"/>
    <w:rsid w:val="00163457"/>
    <w:pPr>
      <w:autoSpaceDE w:val="0"/>
      <w:autoSpaceDN w:val="0"/>
      <w:adjustRightInd w:val="0"/>
    </w:pPr>
    <w:rPr>
      <w:color w:val="000000"/>
      <w:sz w:val="24"/>
      <w:szCs w:val="24"/>
      <w:lang w:val="en-US" w:eastAsia="en-US"/>
    </w:rPr>
  </w:style>
  <w:style w:type="paragraph" w:customStyle="1" w:styleId="extraclauses">
    <w:name w:val="extra_clauses"/>
    <w:basedOn w:val="Normal"/>
    <w:rsid w:val="00163457"/>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163457"/>
    <w:pPr>
      <w:widowControl w:val="0"/>
      <w:outlineLvl w:val="2"/>
    </w:pPr>
    <w:rPr>
      <w:rFonts w:ascii="CG Times" w:hAnsi="CG Times"/>
      <w:sz w:val="22"/>
      <w:lang w:val="en-US" w:eastAsia="en-US"/>
    </w:rPr>
  </w:style>
  <w:style w:type="paragraph" w:customStyle="1" w:styleId="footnote">
    <w:name w:val="footnote"/>
    <w:basedOn w:val="Normal"/>
    <w:rsid w:val="0016345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rsid w:val="00163457"/>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163457"/>
    <w:rPr>
      <w:rFonts w:ascii="Trebuchet MS" w:eastAsia="MS Mincho" w:hAnsi="Trebuchet MS"/>
      <w:sz w:val="18"/>
      <w:lang w:val="en-GB" w:eastAsia="en-US" w:bidi="ar-SA"/>
    </w:rPr>
  </w:style>
  <w:style w:type="character" w:customStyle="1" w:styleId="Heading1CharChar">
    <w:name w:val="Heading 1 Char Char"/>
    <w:rsid w:val="00163457"/>
    <w:rPr>
      <w:rFonts w:ascii="Trebuchet MS" w:eastAsia="MS Mincho" w:hAnsi="Trebuchet MS" w:cs="Arial"/>
      <w:b/>
      <w:bCs/>
      <w:kern w:val="32"/>
      <w:sz w:val="36"/>
      <w:szCs w:val="36"/>
      <w:lang w:val="en-US" w:eastAsia="en-US" w:bidi="ar-SA"/>
    </w:rPr>
  </w:style>
  <w:style w:type="character" w:customStyle="1" w:styleId="Heading2Char">
    <w:name w:val="Heading 2 Char"/>
    <w:rsid w:val="00163457"/>
    <w:rPr>
      <w:rFonts w:ascii="Trebuchet MS" w:eastAsia="MS Mincho" w:hAnsi="Trebuchet MS" w:cs="Arial"/>
      <w:b/>
      <w:bCs/>
      <w:iCs/>
      <w:sz w:val="28"/>
      <w:szCs w:val="28"/>
      <w:lang w:val="en-US" w:eastAsia="en-US" w:bidi="ar-SA"/>
    </w:rPr>
  </w:style>
  <w:style w:type="character" w:customStyle="1" w:styleId="Heading3Char">
    <w:name w:val="Heading 3 Char"/>
    <w:rsid w:val="00163457"/>
    <w:rPr>
      <w:rFonts w:ascii="Trebuchet MS" w:eastAsia="MS Mincho" w:hAnsi="Trebuchet MS" w:cs="Arial"/>
      <w:b/>
      <w:bCs/>
      <w:sz w:val="24"/>
      <w:szCs w:val="24"/>
      <w:lang w:val="en-US" w:eastAsia="en-US" w:bidi="ar-SA"/>
    </w:rPr>
  </w:style>
  <w:style w:type="paragraph" w:customStyle="1" w:styleId="hyrje">
    <w:name w:val="hyrje"/>
    <w:basedOn w:val="Heading1"/>
    <w:rsid w:val="00163457"/>
    <w:pPr>
      <w:pageBreakBefore/>
      <w:spacing w:before="360" w:after="360"/>
      <w:jc w:val="both"/>
    </w:pPr>
    <w:rPr>
      <w:rFonts w:ascii="Trebuchet MS" w:hAnsi="Trebuchet MS"/>
      <w:sz w:val="36"/>
      <w:szCs w:val="36"/>
    </w:rPr>
  </w:style>
  <w:style w:type="paragraph" w:customStyle="1" w:styleId="Institucioni">
    <w:name w:val="Institucioni"/>
    <w:next w:val="Normal"/>
    <w:rsid w:val="00163457"/>
    <w:pPr>
      <w:keepNext/>
      <w:widowControl w:val="0"/>
      <w:jc w:val="center"/>
    </w:pPr>
    <w:rPr>
      <w:rFonts w:ascii="CG Times" w:hAnsi="CG Times"/>
      <w:caps/>
      <w:sz w:val="22"/>
      <w:szCs w:val="22"/>
      <w:lang w:eastAsia="en-US"/>
    </w:rPr>
  </w:style>
  <w:style w:type="paragraph" w:customStyle="1" w:styleId="Kapakufund">
    <w:name w:val="Kapaku_fund"/>
    <w:next w:val="Normal"/>
    <w:rsid w:val="00163457"/>
    <w:pPr>
      <w:pageBreakBefore/>
    </w:pPr>
    <w:rPr>
      <w:rFonts w:ascii="CG Times" w:hAnsi="CG Times"/>
      <w:b/>
      <w:sz w:val="22"/>
      <w:szCs w:val="22"/>
      <w:lang w:val="en-US" w:eastAsia="en-US"/>
    </w:rPr>
  </w:style>
  <w:style w:type="paragraph" w:customStyle="1" w:styleId="KapitulliNr">
    <w:name w:val="Kapitulli_Nr"/>
    <w:rsid w:val="00163457"/>
    <w:pPr>
      <w:keepNext/>
      <w:widowControl w:val="0"/>
      <w:jc w:val="center"/>
    </w:pPr>
    <w:rPr>
      <w:rFonts w:ascii="CG Times" w:hAnsi="CG Times"/>
      <w:caps/>
      <w:sz w:val="22"/>
      <w:szCs w:val="22"/>
      <w:lang w:eastAsia="en-US"/>
    </w:rPr>
  </w:style>
  <w:style w:type="paragraph" w:customStyle="1" w:styleId="KapitulliTitull">
    <w:name w:val="Kapitulli_Titull"/>
    <w:rsid w:val="00163457"/>
    <w:pPr>
      <w:keepNext/>
      <w:widowControl w:val="0"/>
      <w:jc w:val="center"/>
    </w:pPr>
    <w:rPr>
      <w:rFonts w:ascii="CG Times" w:hAnsi="CG Times"/>
      <w:caps/>
      <w:sz w:val="22"/>
      <w:szCs w:val="22"/>
      <w:lang w:eastAsia="en-US"/>
    </w:rPr>
  </w:style>
  <w:style w:type="paragraph" w:customStyle="1" w:styleId="KreuNr">
    <w:name w:val="Kreu_Nr"/>
    <w:rsid w:val="00163457"/>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63457"/>
    <w:pPr>
      <w:keepNext/>
      <w:widowControl w:val="0"/>
      <w:jc w:val="center"/>
    </w:pPr>
    <w:rPr>
      <w:rFonts w:ascii="CG Times" w:hAnsi="CG Times"/>
      <w:caps/>
      <w:sz w:val="22"/>
      <w:szCs w:val="22"/>
      <w:lang w:val="en-US" w:eastAsia="en-US"/>
    </w:rPr>
  </w:style>
  <w:style w:type="paragraph" w:customStyle="1" w:styleId="Level11">
    <w:name w:val="Level 1.1"/>
    <w:basedOn w:val="Normal"/>
    <w:rsid w:val="00163457"/>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163457"/>
    <w:pPr>
      <w:widowControl w:val="0"/>
      <w:spacing w:after="120"/>
    </w:pPr>
    <w:rPr>
      <w:rFonts w:ascii="Trebuchet MS" w:hAnsi="Trebuchet MS"/>
      <w:sz w:val="22"/>
      <w:szCs w:val="20"/>
      <w:lang w:eastAsia="zh-CN"/>
    </w:rPr>
  </w:style>
  <w:style w:type="character" w:customStyle="1" w:styleId="ListBullet2Char">
    <w:name w:val="List Bullet 2 Char"/>
    <w:aliases w:val="List me numra Char"/>
    <w:rsid w:val="00163457"/>
    <w:rPr>
      <w:rFonts w:ascii="Trebuchet MS" w:eastAsia="MS Mincho" w:hAnsi="Trebuchet MS"/>
      <w:sz w:val="22"/>
      <w:szCs w:val="22"/>
      <w:lang w:val="en-US" w:eastAsia="en-US" w:bidi="ar-SA"/>
    </w:rPr>
  </w:style>
  <w:style w:type="character" w:customStyle="1" w:styleId="ListBulletCharChar">
    <w:name w:val="List Bullet Char Char"/>
    <w:rsid w:val="00163457"/>
    <w:rPr>
      <w:rFonts w:ascii="Trebuchet MS" w:eastAsia="MS Mincho" w:hAnsi="Trebuchet MS"/>
      <w:sz w:val="22"/>
      <w:szCs w:val="22"/>
      <w:lang w:val="en-US" w:eastAsia="en-US" w:bidi="ar-SA"/>
    </w:rPr>
  </w:style>
  <w:style w:type="paragraph" w:customStyle="1" w:styleId="listmenumra">
    <w:name w:val="list me numra"/>
    <w:basedOn w:val="ListBullet2"/>
    <w:rsid w:val="00163457"/>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autoRedefine/>
    <w:rsid w:val="00163457"/>
    <w:pPr>
      <w:numPr>
        <w:numId w:val="1"/>
      </w:numPr>
    </w:pPr>
  </w:style>
  <w:style w:type="character" w:customStyle="1" w:styleId="listmenumraCharChar">
    <w:name w:val="list me numra Char Char"/>
    <w:basedOn w:val="ListBullet2Char"/>
    <w:rsid w:val="00163457"/>
    <w:rPr>
      <w:rFonts w:ascii="Trebuchet MS" w:eastAsia="MS Mincho" w:hAnsi="Trebuchet MS"/>
      <w:sz w:val="22"/>
      <w:szCs w:val="22"/>
      <w:lang w:val="en-US" w:eastAsia="en-US" w:bidi="ar-SA"/>
    </w:rPr>
  </w:style>
  <w:style w:type="paragraph" w:customStyle="1" w:styleId="Ndryshimet">
    <w:name w:val="Ndryshimet"/>
    <w:next w:val="Normal"/>
    <w:rsid w:val="00163457"/>
    <w:pPr>
      <w:keepNext/>
      <w:widowControl w:val="0"/>
      <w:jc w:val="center"/>
    </w:pPr>
    <w:rPr>
      <w:rFonts w:ascii="CG Times" w:hAnsi="CG Times"/>
      <w:i/>
      <w:sz w:val="22"/>
      <w:lang w:val="en-US" w:eastAsia="en-US"/>
    </w:rPr>
  </w:style>
  <w:style w:type="paragraph" w:customStyle="1" w:styleId="NeniNr">
    <w:name w:val="Neni_Nr"/>
    <w:next w:val="Normal"/>
    <w:link w:val="NeniNrChar"/>
    <w:rsid w:val="00163457"/>
    <w:pPr>
      <w:keepNext/>
      <w:widowControl w:val="0"/>
      <w:jc w:val="center"/>
    </w:pPr>
    <w:rPr>
      <w:rFonts w:ascii="CG Times" w:hAnsi="CG Times"/>
      <w:sz w:val="22"/>
      <w:lang w:eastAsia="en-US"/>
    </w:rPr>
  </w:style>
  <w:style w:type="character" w:customStyle="1" w:styleId="NeniNrChar">
    <w:name w:val="Neni_Nr Char"/>
    <w:link w:val="NeniNr"/>
    <w:rsid w:val="00E403CE"/>
    <w:rPr>
      <w:rFonts w:ascii="CG Times" w:hAnsi="CG Times"/>
      <w:sz w:val="22"/>
      <w:lang w:val="en-GB" w:eastAsia="en-US" w:bidi="ar-SA"/>
    </w:rPr>
  </w:style>
  <w:style w:type="paragraph" w:customStyle="1" w:styleId="NeniTitull">
    <w:name w:val="Neni_Titull"/>
    <w:next w:val="Normal"/>
    <w:rsid w:val="00163457"/>
    <w:pPr>
      <w:keepNext/>
      <w:widowControl w:val="0"/>
      <w:jc w:val="center"/>
      <w:outlineLvl w:val="2"/>
    </w:pPr>
    <w:rPr>
      <w:rFonts w:ascii="CG Times" w:hAnsi="CG Times"/>
      <w:b/>
      <w:sz w:val="22"/>
      <w:lang w:eastAsia="en-US"/>
    </w:rPr>
  </w:style>
  <w:style w:type="paragraph" w:customStyle="1" w:styleId="NenkreuNr">
    <w:name w:val="Nenkreu_Nr"/>
    <w:rsid w:val="00163457"/>
    <w:pPr>
      <w:keepNext/>
      <w:widowControl w:val="0"/>
      <w:jc w:val="center"/>
    </w:pPr>
    <w:rPr>
      <w:rFonts w:ascii="CG Times" w:hAnsi="CG Times"/>
      <w:caps/>
      <w:sz w:val="22"/>
      <w:szCs w:val="22"/>
      <w:lang w:eastAsia="en-US"/>
    </w:rPr>
  </w:style>
  <w:style w:type="paragraph" w:customStyle="1" w:styleId="NenkreuTitull">
    <w:name w:val="Nenkreu_Titull"/>
    <w:rsid w:val="00163457"/>
    <w:pPr>
      <w:jc w:val="center"/>
    </w:pPr>
    <w:rPr>
      <w:rFonts w:ascii="CG Times" w:hAnsi="CG Times"/>
      <w:caps/>
      <w:sz w:val="22"/>
      <w:szCs w:val="22"/>
      <w:lang w:eastAsia="en-US"/>
    </w:rPr>
  </w:style>
  <w:style w:type="paragraph" w:customStyle="1" w:styleId="Nenpika">
    <w:name w:val="Nenpika"/>
    <w:next w:val="Normal"/>
    <w:autoRedefine/>
    <w:rsid w:val="00163457"/>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163457"/>
    <w:pPr>
      <w:spacing w:after="120"/>
      <w:jc w:val="both"/>
    </w:pPr>
    <w:rPr>
      <w:rFonts w:ascii="Bookman Old Style" w:hAnsi="Bookman Old Style"/>
      <w:sz w:val="20"/>
      <w:szCs w:val="20"/>
      <w:lang w:val="en-GB"/>
    </w:rPr>
  </w:style>
  <w:style w:type="paragraph" w:customStyle="1" w:styleId="numberedindent">
    <w:name w:val="numberedindent"/>
    <w:rsid w:val="00163457"/>
    <w:pPr>
      <w:tabs>
        <w:tab w:val="num" w:pos="1800"/>
      </w:tabs>
      <w:spacing w:after="120"/>
      <w:jc w:val="both"/>
    </w:pPr>
    <w:rPr>
      <w:rFonts w:ascii="Arial" w:hAnsi="Arial"/>
      <w:lang w:eastAsia="en-US"/>
    </w:rPr>
  </w:style>
  <w:style w:type="paragraph" w:customStyle="1" w:styleId="NumriData">
    <w:name w:val="Numri_Data"/>
    <w:next w:val="Normal"/>
    <w:link w:val="NumriDataChar"/>
    <w:rsid w:val="00163457"/>
    <w:pPr>
      <w:keepNext/>
      <w:widowControl w:val="0"/>
      <w:jc w:val="center"/>
      <w:outlineLvl w:val="0"/>
    </w:pPr>
    <w:rPr>
      <w:rFonts w:ascii="CG Times" w:hAnsi="CG Times"/>
      <w:b/>
      <w:sz w:val="22"/>
      <w:lang w:eastAsia="en-US"/>
    </w:rPr>
  </w:style>
  <w:style w:type="character" w:customStyle="1" w:styleId="NumriDataChar">
    <w:name w:val="Numri_Data Char"/>
    <w:link w:val="NumriData"/>
    <w:rsid w:val="005C56B1"/>
    <w:rPr>
      <w:rFonts w:ascii="CG Times" w:hAnsi="CG Times"/>
      <w:b/>
      <w:sz w:val="22"/>
      <w:lang w:val="en-GB" w:eastAsia="en-US" w:bidi="ar-SA"/>
    </w:rPr>
  </w:style>
  <w:style w:type="paragraph" w:customStyle="1" w:styleId="para">
    <w:name w:val="para"/>
    <w:basedOn w:val="Normal"/>
    <w:rsid w:val="00163457"/>
    <w:pPr>
      <w:widowControl w:val="0"/>
      <w:spacing w:before="120" w:after="240"/>
      <w:jc w:val="both"/>
    </w:pPr>
    <w:rPr>
      <w:rFonts w:ascii="Trebuchet MS" w:hAnsi="Trebuchet MS"/>
      <w:sz w:val="22"/>
      <w:szCs w:val="22"/>
    </w:rPr>
  </w:style>
  <w:style w:type="character" w:customStyle="1" w:styleId="paraChar">
    <w:name w:val="para Char"/>
    <w:rsid w:val="00163457"/>
    <w:rPr>
      <w:rFonts w:ascii="Arial" w:eastAsia="MS Mincho" w:hAnsi="Arial"/>
      <w:sz w:val="22"/>
      <w:szCs w:val="24"/>
      <w:lang w:val="en-US" w:eastAsia="en-US" w:bidi="ar-SA"/>
    </w:rPr>
  </w:style>
  <w:style w:type="paragraph" w:customStyle="1" w:styleId="Paragrafi">
    <w:name w:val="Paragrafi"/>
    <w:rsid w:val="00163457"/>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163457"/>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163457"/>
    <w:pPr>
      <w:ind w:left="720"/>
    </w:pPr>
  </w:style>
  <w:style w:type="paragraph" w:customStyle="1" w:styleId="Pas">
    <w:name w:val="Pas"/>
    <w:basedOn w:val="Normal"/>
    <w:rsid w:val="00163457"/>
    <w:pPr>
      <w:widowControl w:val="0"/>
    </w:pPr>
    <w:rPr>
      <w:rFonts w:ascii="CG Times" w:hAnsi="CG Times"/>
      <w:sz w:val="22"/>
      <w:szCs w:val="22"/>
    </w:rPr>
  </w:style>
  <w:style w:type="paragraph" w:customStyle="1" w:styleId="Pika">
    <w:name w:val="Pika"/>
    <w:next w:val="Normal"/>
    <w:autoRedefine/>
    <w:rsid w:val="00163457"/>
    <w:pPr>
      <w:ind w:firstLine="720"/>
    </w:pPr>
    <w:rPr>
      <w:rFonts w:ascii="CG Times" w:hAnsi="CG Times"/>
      <w:sz w:val="22"/>
      <w:lang w:val="en-US" w:eastAsia="en-US"/>
    </w:rPr>
  </w:style>
  <w:style w:type="paragraph" w:customStyle="1" w:styleId="PikeKreu">
    <w:name w:val="Pike_Kreu"/>
    <w:basedOn w:val="Heading1"/>
    <w:rsid w:val="00163457"/>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163457"/>
    <w:pPr>
      <w:keepNext/>
      <w:widowControl w:val="0"/>
      <w:jc w:val="center"/>
    </w:pPr>
    <w:rPr>
      <w:rFonts w:ascii="CG Times" w:hAnsi="CG Times"/>
      <w:caps/>
      <w:sz w:val="22"/>
      <w:szCs w:val="22"/>
      <w:lang w:eastAsia="en-US"/>
    </w:rPr>
  </w:style>
  <w:style w:type="paragraph" w:customStyle="1" w:styleId="PjesaTitull">
    <w:name w:val="Pjesa_Titull"/>
    <w:rsid w:val="00163457"/>
    <w:pPr>
      <w:keepNext/>
      <w:widowControl w:val="0"/>
      <w:jc w:val="center"/>
    </w:pPr>
    <w:rPr>
      <w:rFonts w:ascii="CG Times" w:hAnsi="CG Times"/>
      <w:caps/>
      <w:sz w:val="22"/>
      <w:szCs w:val="22"/>
      <w:lang w:eastAsia="en-US"/>
    </w:rPr>
  </w:style>
  <w:style w:type="paragraph" w:customStyle="1" w:styleId="Section">
    <w:name w:val="Section"/>
    <w:rsid w:val="00163457"/>
    <w:rPr>
      <w:rFonts w:ascii="Arial" w:hAnsi="Arial" w:cs="Arial"/>
      <w:bCs/>
      <w:kern w:val="32"/>
      <w:sz w:val="48"/>
      <w:szCs w:val="32"/>
      <w:lang w:val="en-US" w:eastAsia="en-US"/>
    </w:rPr>
  </w:style>
  <w:style w:type="paragraph" w:customStyle="1" w:styleId="SectionNUM">
    <w:name w:val="Section NUM"/>
    <w:next w:val="Heading1"/>
    <w:rsid w:val="00163457"/>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163457"/>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163457"/>
    <w:pPr>
      <w:keepNext/>
      <w:widowControl w:val="0"/>
      <w:spacing w:before="240" w:after="60"/>
      <w:jc w:val="both"/>
    </w:pPr>
    <w:rPr>
      <w:rFonts w:ascii="Trebuchet MS" w:hAnsi="Trebuchet MS"/>
      <w:sz w:val="18"/>
      <w:szCs w:val="18"/>
    </w:rPr>
  </w:style>
  <w:style w:type="character" w:customStyle="1" w:styleId="StyleCaptionChar">
    <w:name w:val="Style Caption Char"/>
    <w:rsid w:val="00163457"/>
    <w:rPr>
      <w:rFonts w:ascii="Trebuchet MS" w:eastAsia="MS Mincho" w:hAnsi="Trebuchet MS"/>
      <w:sz w:val="18"/>
      <w:szCs w:val="18"/>
      <w:lang w:val="en-US" w:eastAsia="en-US" w:bidi="ar-SA"/>
    </w:rPr>
  </w:style>
  <w:style w:type="paragraph" w:customStyle="1" w:styleId="sub-list">
    <w:name w:val="sub-list"/>
    <w:rsid w:val="00163457"/>
    <w:pPr>
      <w:spacing w:before="60" w:after="120"/>
    </w:pPr>
    <w:rPr>
      <w:rFonts w:ascii="Arial" w:hAnsi="Arial"/>
      <w:sz w:val="22"/>
      <w:szCs w:val="24"/>
      <w:lang w:val="en-US" w:eastAsia="en-US"/>
    </w:rPr>
  </w:style>
  <w:style w:type="paragraph" w:customStyle="1" w:styleId="tabela">
    <w:name w:val="tabela"/>
    <w:basedOn w:val="Normal"/>
    <w:rsid w:val="00163457"/>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163457"/>
    <w:rPr>
      <w:rFonts w:ascii="CG Times" w:hAnsi="CG Times"/>
      <w:sz w:val="22"/>
      <w:lang w:eastAsia="en-US"/>
    </w:rPr>
  </w:style>
  <w:style w:type="paragraph" w:customStyle="1" w:styleId="Table">
    <w:name w:val="Table"/>
    <w:basedOn w:val="Normal"/>
    <w:next w:val="BodyText"/>
    <w:autoRedefine/>
    <w:rsid w:val="00163457"/>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styleId="BodyText">
    <w:name w:val="Body Text"/>
    <w:basedOn w:val="Normal"/>
    <w:rsid w:val="00163457"/>
    <w:pPr>
      <w:spacing w:after="120"/>
    </w:pPr>
  </w:style>
  <w:style w:type="paragraph" w:customStyle="1" w:styleId="TableFootnote">
    <w:name w:val="Table Footnote"/>
    <w:basedOn w:val="Normal"/>
    <w:rsid w:val="00163457"/>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163457"/>
    <w:pPr>
      <w:spacing w:before="40" w:after="40"/>
      <w:jc w:val="both"/>
    </w:pPr>
    <w:rPr>
      <w:rFonts w:ascii="Trebuchet MS" w:hAnsi="Trebuchet MS"/>
      <w:sz w:val="18"/>
      <w:szCs w:val="22"/>
      <w:lang w:val="it-IT"/>
    </w:rPr>
  </w:style>
  <w:style w:type="paragraph" w:customStyle="1" w:styleId="text">
    <w:name w:val="text"/>
    <w:basedOn w:val="Normal"/>
    <w:rsid w:val="00163457"/>
    <w:pPr>
      <w:widowControl w:val="0"/>
      <w:ind w:left="709"/>
      <w:jc w:val="both"/>
    </w:pPr>
    <w:rPr>
      <w:rFonts w:ascii="Arial" w:hAnsi="Arial"/>
      <w:sz w:val="20"/>
      <w:szCs w:val="20"/>
      <w:lang w:val="fr-FR"/>
    </w:rPr>
  </w:style>
  <w:style w:type="paragraph" w:customStyle="1" w:styleId="Titulli">
    <w:name w:val="Titulli"/>
    <w:next w:val="Normal"/>
    <w:link w:val="TitulliChar"/>
    <w:rsid w:val="00163457"/>
    <w:pPr>
      <w:keepNext/>
      <w:widowControl w:val="0"/>
      <w:jc w:val="center"/>
      <w:outlineLvl w:val="1"/>
    </w:pPr>
    <w:rPr>
      <w:rFonts w:ascii="CG Times" w:hAnsi="CG Times"/>
      <w:b/>
      <w:caps/>
      <w:sz w:val="22"/>
      <w:szCs w:val="22"/>
      <w:lang w:eastAsia="en-US"/>
    </w:rPr>
  </w:style>
  <w:style w:type="character" w:customStyle="1" w:styleId="TitulliCharChar">
    <w:name w:val="Titulli Char Char"/>
    <w:rsid w:val="00163457"/>
    <w:rPr>
      <w:rFonts w:ascii="CG Times" w:eastAsia="MS Mincho" w:hAnsi="CG Times"/>
      <w:b/>
      <w:caps/>
      <w:sz w:val="22"/>
      <w:szCs w:val="22"/>
      <w:lang w:val="en-GB" w:eastAsia="en-US" w:bidi="ar-SA"/>
    </w:rPr>
  </w:style>
  <w:style w:type="paragraph" w:customStyle="1" w:styleId="TitulliNr">
    <w:name w:val="Titulli_Nr"/>
    <w:rsid w:val="00163457"/>
    <w:pPr>
      <w:keepNext/>
      <w:widowControl w:val="0"/>
      <w:jc w:val="center"/>
    </w:pPr>
    <w:rPr>
      <w:rFonts w:ascii="CG Times" w:hAnsi="CG Times"/>
      <w:caps/>
      <w:sz w:val="22"/>
      <w:szCs w:val="22"/>
      <w:lang w:eastAsia="en-US"/>
    </w:rPr>
  </w:style>
  <w:style w:type="paragraph" w:customStyle="1" w:styleId="TitulliTitull">
    <w:name w:val="Titulli_Titull"/>
    <w:rsid w:val="00163457"/>
    <w:pPr>
      <w:keepNext/>
      <w:widowControl w:val="0"/>
      <w:jc w:val="center"/>
      <w:outlineLvl w:val="0"/>
    </w:pPr>
    <w:rPr>
      <w:rFonts w:ascii="CG Times" w:hAnsi="CG Times"/>
      <w:caps/>
      <w:sz w:val="22"/>
      <w:szCs w:val="22"/>
      <w:lang w:eastAsia="en-US"/>
    </w:rPr>
  </w:style>
  <w:style w:type="paragraph" w:customStyle="1" w:styleId="VENDOSI">
    <w:name w:val="VENDOSI"/>
    <w:next w:val="Normal"/>
    <w:rsid w:val="00163457"/>
    <w:pPr>
      <w:keepNext/>
      <w:widowControl w:val="0"/>
      <w:jc w:val="center"/>
    </w:pPr>
    <w:rPr>
      <w:rFonts w:ascii="CG Times" w:hAnsi="CG Times"/>
      <w:caps/>
      <w:sz w:val="22"/>
      <w:szCs w:val="22"/>
      <w:lang w:eastAsia="en-US"/>
    </w:rPr>
  </w:style>
  <w:style w:type="paragraph" w:customStyle="1" w:styleId="xl22">
    <w:name w:val="xl22"/>
    <w:basedOn w:val="Normal"/>
    <w:rsid w:val="00163457"/>
    <w:pPr>
      <w:spacing w:before="100" w:beforeAutospacing="1" w:after="100" w:afterAutospacing="1"/>
    </w:pPr>
    <w:rPr>
      <w:rFonts w:ascii="Book Antiqua" w:hAnsi="Book Antiqua"/>
      <w:b/>
      <w:bCs/>
      <w:sz w:val="20"/>
      <w:szCs w:val="20"/>
    </w:rPr>
  </w:style>
  <w:style w:type="paragraph" w:customStyle="1" w:styleId="xl23">
    <w:name w:val="xl23"/>
    <w:basedOn w:val="Normal"/>
    <w:rsid w:val="00163457"/>
    <w:pPr>
      <w:spacing w:before="100" w:beforeAutospacing="1" w:after="100" w:afterAutospacing="1"/>
    </w:pPr>
    <w:rPr>
      <w:rFonts w:ascii="Book Antiqua" w:hAnsi="Book Antiqua"/>
      <w:sz w:val="20"/>
      <w:szCs w:val="20"/>
    </w:rPr>
  </w:style>
  <w:style w:type="paragraph" w:customStyle="1" w:styleId="xl24">
    <w:name w:val="xl24"/>
    <w:basedOn w:val="Normal"/>
    <w:rsid w:val="00163457"/>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16345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16345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16345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16345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163457"/>
    <w:pPr>
      <w:pBdr>
        <w:right w:val="single" w:sz="4" w:space="0" w:color="auto"/>
      </w:pBdr>
      <w:spacing w:before="100" w:beforeAutospacing="1" w:after="100" w:afterAutospacing="1"/>
    </w:pPr>
    <w:rPr>
      <w:sz w:val="20"/>
      <w:szCs w:val="20"/>
    </w:rPr>
  </w:style>
  <w:style w:type="paragraph" w:customStyle="1" w:styleId="xl30">
    <w:name w:val="xl30"/>
    <w:basedOn w:val="Normal"/>
    <w:rsid w:val="0016345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163457"/>
    <w:pPr>
      <w:pBdr>
        <w:bottom w:val="single" w:sz="4" w:space="0" w:color="auto"/>
      </w:pBdr>
      <w:spacing w:before="100" w:beforeAutospacing="1" w:after="100" w:afterAutospacing="1"/>
    </w:pPr>
    <w:rPr>
      <w:sz w:val="20"/>
      <w:szCs w:val="20"/>
    </w:rPr>
  </w:style>
  <w:style w:type="paragraph" w:customStyle="1" w:styleId="xl32">
    <w:name w:val="xl32"/>
    <w:basedOn w:val="Normal"/>
    <w:rsid w:val="0016345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163457"/>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163457"/>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163457"/>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163457"/>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163457"/>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163457"/>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16345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16345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16345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16345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16345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16345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16345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163457"/>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16345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066F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5C56B1"/>
    <w:pPr>
      <w:spacing w:before="100" w:beforeAutospacing="1" w:after="100" w:afterAutospacing="1"/>
    </w:pPr>
  </w:style>
  <w:style w:type="paragraph" w:styleId="Footer">
    <w:name w:val="footer"/>
    <w:basedOn w:val="Normal"/>
    <w:rsid w:val="00AE0651"/>
    <w:pPr>
      <w:tabs>
        <w:tab w:val="center" w:pos="4320"/>
        <w:tab w:val="right" w:pos="8640"/>
      </w:tabs>
    </w:pPr>
  </w:style>
  <w:style w:type="character" w:styleId="PageNumber">
    <w:name w:val="page number"/>
    <w:basedOn w:val="DefaultParagraphFont"/>
    <w:rsid w:val="00AE0651"/>
  </w:style>
  <w:style w:type="character" w:styleId="FootnoteReference">
    <w:name w:val="footnote reference"/>
    <w:semiHidden/>
    <w:rsid w:val="00EC1514"/>
    <w:rPr>
      <w:vertAlign w:val="superscript"/>
    </w:rPr>
  </w:style>
  <w:style w:type="paragraph" w:styleId="FootnoteText">
    <w:name w:val="footnote text"/>
    <w:aliases w:val="Footnote Text Char,Footnote Text Char1 Char Char Char,Footnote Text Char Char Char Char Char"/>
    <w:basedOn w:val="Normal"/>
    <w:semiHidden/>
    <w:rsid w:val="00EC1514"/>
    <w:rPr>
      <w:sz w:val="20"/>
      <w:szCs w:val="20"/>
    </w:rPr>
  </w:style>
  <w:style w:type="paragraph" w:styleId="Title">
    <w:name w:val="Title"/>
    <w:basedOn w:val="Normal"/>
    <w:qFormat/>
    <w:rsid w:val="00A42904"/>
    <w:pPr>
      <w:widowControl w:val="0"/>
      <w:shd w:val="clear" w:color="auto" w:fill="FFFFFF"/>
      <w:tabs>
        <w:tab w:val="left" w:pos="8064"/>
      </w:tabs>
      <w:autoSpaceDE w:val="0"/>
      <w:autoSpaceDN w:val="0"/>
      <w:adjustRightInd w:val="0"/>
      <w:spacing w:line="302" w:lineRule="exact"/>
      <w:ind w:right="-16" w:hanging="49"/>
      <w:jc w:val="center"/>
    </w:pPr>
    <w:rPr>
      <w:rFonts w:eastAsia="Times New Roman"/>
      <w:b/>
      <w:bCs/>
      <w:color w:val="323232"/>
      <w:sz w:val="28"/>
      <w:szCs w:val="28"/>
      <w:lang w:val="sq-AL"/>
    </w:rPr>
  </w:style>
  <w:style w:type="paragraph" w:styleId="BodyTextIndent">
    <w:name w:val="Body Text Indent"/>
    <w:basedOn w:val="Normal"/>
    <w:rsid w:val="00FF3B8C"/>
    <w:pPr>
      <w:widowControl w:val="0"/>
      <w:autoSpaceDE w:val="0"/>
      <w:autoSpaceDN w:val="0"/>
      <w:adjustRightInd w:val="0"/>
      <w:ind w:firstLine="600"/>
    </w:pPr>
    <w:rPr>
      <w:rFonts w:eastAsia="Times New Roman"/>
      <w:sz w:val="20"/>
      <w:szCs w:val="20"/>
      <w:lang w:val="sq-AL"/>
    </w:rPr>
  </w:style>
  <w:style w:type="paragraph" w:styleId="BodyTextIndent2">
    <w:name w:val="Body Text Indent 2"/>
    <w:basedOn w:val="Normal"/>
    <w:rsid w:val="00FF3B8C"/>
    <w:pPr>
      <w:widowControl w:val="0"/>
      <w:autoSpaceDE w:val="0"/>
      <w:autoSpaceDN w:val="0"/>
      <w:adjustRightInd w:val="0"/>
      <w:ind w:firstLine="600"/>
      <w:jc w:val="both"/>
    </w:pPr>
    <w:rPr>
      <w:rFonts w:eastAsia="Times New Roman"/>
      <w:sz w:val="20"/>
      <w:szCs w:val="20"/>
      <w:lang w:val="sq-AL"/>
    </w:rPr>
  </w:style>
  <w:style w:type="paragraph" w:styleId="BodyTextIndent3">
    <w:name w:val="Body Text Indent 3"/>
    <w:basedOn w:val="Normal"/>
    <w:rsid w:val="00FF3B8C"/>
    <w:pPr>
      <w:widowControl w:val="0"/>
      <w:autoSpaceDE w:val="0"/>
      <w:autoSpaceDN w:val="0"/>
      <w:adjustRightInd w:val="0"/>
      <w:ind w:firstLine="600"/>
      <w:jc w:val="both"/>
    </w:pPr>
    <w:rPr>
      <w:rFonts w:eastAsia="Times New Roman"/>
      <w:szCs w:val="20"/>
      <w:lang w:val="sq-AL"/>
    </w:rPr>
  </w:style>
  <w:style w:type="paragraph" w:customStyle="1" w:styleId="CharCharCharCharCharChar">
    <w:name w:val=" Char Char Char Char Char Char"/>
    <w:basedOn w:val="Normal"/>
    <w:rsid w:val="00E403CE"/>
    <w:pPr>
      <w:widowControl w:val="0"/>
      <w:adjustRightInd w:val="0"/>
      <w:spacing w:line="360" w:lineRule="atLeast"/>
      <w:jc w:val="both"/>
      <w:textAlignment w:val="baseline"/>
    </w:pPr>
    <w:rPr>
      <w:lang w:val="pl-PL" w:eastAsia="pl-PL"/>
    </w:rPr>
  </w:style>
  <w:style w:type="paragraph" w:customStyle="1" w:styleId="CharCharCharCharCharCharCharChar1CharCharCharChar">
    <w:name w:val=" Char Char Char Char Char Char Char Char1 Char Char Char Char"/>
    <w:basedOn w:val="Normal"/>
    <w:rsid w:val="00E403CE"/>
    <w:pPr>
      <w:spacing w:after="160" w:line="240" w:lineRule="exact"/>
    </w:pPr>
    <w:rPr>
      <w:rFonts w:ascii="Tahoma" w:hAnsi="Tahoma"/>
      <w:sz w:val="20"/>
      <w:szCs w:val="20"/>
      <w:lang w:val="sq-AL"/>
    </w:rPr>
  </w:style>
  <w:style w:type="paragraph" w:customStyle="1" w:styleId="autoriteti0">
    <w:name w:val="autoriteti"/>
    <w:basedOn w:val="Normal"/>
    <w:rsid w:val="00E403CE"/>
    <w:pPr>
      <w:spacing w:before="100" w:beforeAutospacing="1" w:after="100" w:afterAutospacing="1"/>
    </w:pPr>
    <w:rPr>
      <w:lang w:val="en-GB" w:eastAsia="en-GB"/>
    </w:rPr>
  </w:style>
  <w:style w:type="paragraph" w:customStyle="1" w:styleId="autoritetiemer0">
    <w:name w:val="autoritetiemer"/>
    <w:basedOn w:val="Normal"/>
    <w:rsid w:val="00E403CE"/>
    <w:pPr>
      <w:spacing w:before="100" w:beforeAutospacing="1" w:after="100" w:afterAutospacing="1"/>
    </w:pPr>
    <w:rPr>
      <w:lang w:val="en-GB" w:eastAsia="en-GB"/>
    </w:rPr>
  </w:style>
  <w:style w:type="paragraph" w:customStyle="1" w:styleId="AZSectionHeading2">
    <w:name w:val="AZ Section Heading 2"/>
    <w:basedOn w:val="Normal"/>
    <w:rsid w:val="00E403CE"/>
    <w:pPr>
      <w:spacing w:after="180"/>
      <w:ind w:left="2160" w:hanging="720"/>
    </w:pPr>
    <w:rPr>
      <w:b/>
      <w:iCs/>
      <w:lang w:val="sq-AL"/>
    </w:rPr>
  </w:style>
  <w:style w:type="paragraph" w:customStyle="1" w:styleId="BankNormal">
    <w:name w:val="BankNormal"/>
    <w:basedOn w:val="Normal"/>
    <w:rsid w:val="00E403CE"/>
    <w:pPr>
      <w:spacing w:after="240"/>
    </w:pPr>
    <w:rPr>
      <w:szCs w:val="20"/>
      <w:lang w:val="sq-AL"/>
    </w:rPr>
  </w:style>
  <w:style w:type="paragraph" w:customStyle="1" w:styleId="bazligjpropozues">
    <w:name w:val="bazligjpropozues"/>
    <w:basedOn w:val="Normal"/>
    <w:rsid w:val="00E403CE"/>
    <w:pPr>
      <w:spacing w:before="100" w:beforeAutospacing="1" w:after="100" w:afterAutospacing="1"/>
    </w:pPr>
    <w:rPr>
      <w:lang w:val="en-GB" w:eastAsia="en-GB"/>
    </w:rPr>
  </w:style>
  <w:style w:type="paragraph" w:customStyle="1" w:styleId="Bullet">
    <w:name w:val="Bullet"/>
    <w:basedOn w:val="Normal"/>
    <w:rsid w:val="00E403CE"/>
    <w:pPr>
      <w:numPr>
        <w:numId w:val="5"/>
      </w:numPr>
    </w:pPr>
    <w:rPr>
      <w:lang w:val="sq-AL"/>
    </w:rPr>
  </w:style>
  <w:style w:type="paragraph" w:customStyle="1" w:styleId="MainParanoChapter">
    <w:name w:val="Main Para no Chapter #"/>
    <w:basedOn w:val="Normal"/>
    <w:rsid w:val="00E403CE"/>
    <w:pPr>
      <w:numPr>
        <w:ilvl w:val="1"/>
        <w:numId w:val="6"/>
      </w:numPr>
      <w:spacing w:after="240"/>
      <w:outlineLvl w:val="1"/>
    </w:pPr>
    <w:rPr>
      <w:lang w:val="sq-AL"/>
    </w:rPr>
  </w:style>
  <w:style w:type="paragraph" w:customStyle="1" w:styleId="MainParawithChapter">
    <w:name w:val="Main Para with Chapter#"/>
    <w:basedOn w:val="Normal"/>
    <w:rsid w:val="00E403CE"/>
    <w:pPr>
      <w:numPr>
        <w:ilvl w:val="1"/>
        <w:numId w:val="7"/>
      </w:numPr>
      <w:spacing w:after="240"/>
      <w:outlineLvl w:val="1"/>
    </w:pPr>
    <w:rPr>
      <w:lang w:val="sq-AL"/>
    </w:rPr>
  </w:style>
  <w:style w:type="paragraph" w:customStyle="1" w:styleId="MainParagraph">
    <w:name w:val="Main Paragraph"/>
    <w:basedOn w:val="Normal"/>
    <w:rsid w:val="00E403CE"/>
    <w:pPr>
      <w:jc w:val="both"/>
    </w:pPr>
    <w:rPr>
      <w:sz w:val="22"/>
      <w:lang w:val="sq-AL"/>
    </w:rPr>
  </w:style>
  <w:style w:type="paragraph" w:customStyle="1" w:styleId="Paratable">
    <w:name w:val="Para_table"/>
    <w:basedOn w:val="Normal"/>
    <w:rsid w:val="00E403CE"/>
    <w:pPr>
      <w:spacing w:before="60" w:after="60"/>
    </w:pPr>
    <w:rPr>
      <w:rFonts w:ascii="Arial" w:eastAsia="Times" w:hAnsi="Arial" w:cs="Arial"/>
      <w:sz w:val="20"/>
      <w:szCs w:val="20"/>
      <w:lang w:val="en-GB"/>
    </w:rPr>
  </w:style>
  <w:style w:type="paragraph" w:customStyle="1" w:styleId="paragrafi0">
    <w:name w:val="paragrafi"/>
    <w:basedOn w:val="Normal"/>
    <w:rsid w:val="00E403CE"/>
    <w:pPr>
      <w:spacing w:before="100" w:beforeAutospacing="1" w:after="100" w:afterAutospacing="1"/>
    </w:pPr>
    <w:rPr>
      <w:lang w:val="en-GB" w:eastAsia="en-GB"/>
    </w:rPr>
  </w:style>
  <w:style w:type="paragraph" w:customStyle="1" w:styleId="PDSAnnexHeading">
    <w:name w:val="PDS Annex Heading"/>
    <w:next w:val="Normal"/>
    <w:rsid w:val="00E403CE"/>
    <w:pPr>
      <w:keepNext/>
      <w:spacing w:after="120"/>
      <w:jc w:val="center"/>
    </w:pPr>
    <w:rPr>
      <w:rFonts w:eastAsia="MS Mincho"/>
      <w:b/>
      <w:sz w:val="24"/>
      <w:lang w:val="en-US" w:eastAsia="en-US"/>
    </w:rPr>
  </w:style>
  <w:style w:type="paragraph" w:customStyle="1" w:styleId="PDSHeading1">
    <w:name w:val="PDS Heading 1"/>
    <w:next w:val="Normal"/>
    <w:rsid w:val="00E403CE"/>
    <w:pPr>
      <w:keepNext/>
      <w:numPr>
        <w:numId w:val="8"/>
      </w:numPr>
      <w:outlineLvl w:val="0"/>
    </w:pPr>
    <w:rPr>
      <w:rFonts w:eastAsia="MS Mincho"/>
      <w:b/>
      <w:caps/>
      <w:sz w:val="24"/>
      <w:lang w:val="en-US" w:eastAsia="en-US"/>
    </w:rPr>
  </w:style>
  <w:style w:type="paragraph" w:customStyle="1" w:styleId="PDSHeading2">
    <w:name w:val="PDS Heading 2"/>
    <w:next w:val="Normal"/>
    <w:rsid w:val="00E403CE"/>
    <w:pPr>
      <w:keepNext/>
      <w:numPr>
        <w:ilvl w:val="1"/>
        <w:numId w:val="8"/>
      </w:numPr>
    </w:pPr>
    <w:rPr>
      <w:rFonts w:eastAsia="MS Mincho"/>
      <w:b/>
      <w:sz w:val="24"/>
      <w:lang w:val="en-US" w:eastAsia="en-US"/>
    </w:rPr>
  </w:style>
  <w:style w:type="paragraph" w:customStyle="1" w:styleId="Stil1">
    <w:name w:val="Stil1"/>
    <w:basedOn w:val="Heading1"/>
    <w:rsid w:val="00E403CE"/>
    <w:pPr>
      <w:tabs>
        <w:tab w:val="left" w:pos="540"/>
      </w:tabs>
      <w:spacing w:before="0" w:after="240"/>
    </w:pPr>
    <w:rPr>
      <w:rFonts w:ascii="Times New Roman" w:hAnsi="Times New Roman" w:cs="Times New Roman"/>
      <w:kern w:val="0"/>
      <w:szCs w:val="24"/>
      <w:lang w:val="sq-AL" w:eastAsia="tr-TR"/>
    </w:rPr>
  </w:style>
  <w:style w:type="paragraph" w:customStyle="1" w:styleId="Style1">
    <w:name w:val="Style1"/>
    <w:basedOn w:val="BodyText"/>
    <w:rsid w:val="00E403CE"/>
    <w:pPr>
      <w:widowControl w:val="0"/>
      <w:tabs>
        <w:tab w:val="left" w:pos="-720"/>
        <w:tab w:val="right" w:leader="dot" w:pos="8910"/>
      </w:tabs>
      <w:suppressAutoHyphens/>
      <w:spacing w:before="120" w:after="0"/>
      <w:jc w:val="both"/>
    </w:pPr>
    <w:rPr>
      <w:snapToGrid w:val="0"/>
      <w:szCs w:val="20"/>
      <w:lang w:val="en-GB"/>
    </w:rPr>
  </w:style>
  <w:style w:type="paragraph" w:customStyle="1" w:styleId="Sub-Para1underX">
    <w:name w:val="Sub-Para 1 under X."/>
    <w:basedOn w:val="Normal"/>
    <w:rsid w:val="00E403CE"/>
    <w:pPr>
      <w:numPr>
        <w:ilvl w:val="2"/>
        <w:numId w:val="6"/>
      </w:numPr>
      <w:spacing w:after="240"/>
      <w:outlineLvl w:val="2"/>
    </w:pPr>
    <w:rPr>
      <w:lang w:val="sq-AL"/>
    </w:rPr>
  </w:style>
  <w:style w:type="paragraph" w:customStyle="1" w:styleId="Sub-Para1underXY">
    <w:name w:val="Sub-Para 1 under X.Y"/>
    <w:basedOn w:val="Normal"/>
    <w:rsid w:val="00E403CE"/>
    <w:pPr>
      <w:numPr>
        <w:ilvl w:val="2"/>
        <w:numId w:val="7"/>
      </w:numPr>
      <w:spacing w:after="240"/>
      <w:outlineLvl w:val="2"/>
    </w:pPr>
    <w:rPr>
      <w:lang w:val="sq-AL"/>
    </w:rPr>
  </w:style>
  <w:style w:type="paragraph" w:customStyle="1" w:styleId="Sub-Para2underX">
    <w:name w:val="Sub-Para 2 under X."/>
    <w:basedOn w:val="Normal"/>
    <w:rsid w:val="00E403CE"/>
    <w:pPr>
      <w:numPr>
        <w:ilvl w:val="3"/>
        <w:numId w:val="6"/>
      </w:numPr>
      <w:spacing w:after="240"/>
      <w:outlineLvl w:val="3"/>
    </w:pPr>
    <w:rPr>
      <w:lang w:val="sq-AL"/>
    </w:rPr>
  </w:style>
  <w:style w:type="paragraph" w:customStyle="1" w:styleId="Sub-Para2underXY">
    <w:name w:val="Sub-Para 2 under X.Y"/>
    <w:basedOn w:val="Normal"/>
    <w:rsid w:val="00E403CE"/>
    <w:pPr>
      <w:numPr>
        <w:ilvl w:val="3"/>
        <w:numId w:val="7"/>
      </w:numPr>
      <w:spacing w:after="240"/>
      <w:outlineLvl w:val="3"/>
    </w:pPr>
    <w:rPr>
      <w:lang w:val="sq-AL"/>
    </w:rPr>
  </w:style>
  <w:style w:type="paragraph" w:customStyle="1" w:styleId="Sub-Para3underX">
    <w:name w:val="Sub-Para 3 under X."/>
    <w:basedOn w:val="Normal"/>
    <w:rsid w:val="00E403CE"/>
    <w:pPr>
      <w:numPr>
        <w:ilvl w:val="4"/>
        <w:numId w:val="6"/>
      </w:numPr>
      <w:spacing w:after="240"/>
      <w:outlineLvl w:val="4"/>
    </w:pPr>
    <w:rPr>
      <w:lang w:val="sq-AL"/>
    </w:rPr>
  </w:style>
  <w:style w:type="paragraph" w:customStyle="1" w:styleId="Sub-Para3underXY">
    <w:name w:val="Sub-Para 3 under X.Y"/>
    <w:basedOn w:val="Normal"/>
    <w:rsid w:val="00E403CE"/>
    <w:pPr>
      <w:numPr>
        <w:ilvl w:val="4"/>
        <w:numId w:val="7"/>
      </w:numPr>
      <w:spacing w:after="240"/>
      <w:outlineLvl w:val="4"/>
    </w:pPr>
    <w:rPr>
      <w:lang w:val="sq-AL"/>
    </w:rPr>
  </w:style>
  <w:style w:type="paragraph" w:customStyle="1" w:styleId="Sub-Para4underX">
    <w:name w:val="Sub-Para 4 under X."/>
    <w:basedOn w:val="Normal"/>
    <w:rsid w:val="00E403CE"/>
    <w:pPr>
      <w:numPr>
        <w:ilvl w:val="5"/>
        <w:numId w:val="6"/>
      </w:numPr>
      <w:spacing w:after="240"/>
      <w:outlineLvl w:val="5"/>
    </w:pPr>
    <w:rPr>
      <w:lang w:val="sq-AL"/>
    </w:rPr>
  </w:style>
  <w:style w:type="paragraph" w:customStyle="1" w:styleId="Sub-Para4underXY">
    <w:name w:val="Sub-Para 4 under X.Y"/>
    <w:basedOn w:val="Normal"/>
    <w:rsid w:val="00E403CE"/>
    <w:pPr>
      <w:numPr>
        <w:ilvl w:val="5"/>
        <w:numId w:val="7"/>
      </w:numPr>
      <w:spacing w:after="240"/>
      <w:outlineLvl w:val="5"/>
    </w:pPr>
    <w:rPr>
      <w:lang w:val="sq-AL"/>
    </w:rPr>
  </w:style>
  <w:style w:type="paragraph" w:customStyle="1" w:styleId="titulli0">
    <w:name w:val="titulli"/>
    <w:basedOn w:val="Normal"/>
    <w:rsid w:val="00E403CE"/>
    <w:pPr>
      <w:spacing w:before="100" w:beforeAutospacing="1" w:after="100" w:afterAutospacing="1"/>
    </w:pPr>
    <w:rPr>
      <w:lang w:val="en-GB" w:eastAsia="en-GB"/>
    </w:rPr>
  </w:style>
  <w:style w:type="paragraph" w:customStyle="1" w:styleId="vendosi0">
    <w:name w:val="vendosi"/>
    <w:basedOn w:val="Normal"/>
    <w:rsid w:val="00E403CE"/>
    <w:pPr>
      <w:spacing w:before="100" w:beforeAutospacing="1" w:after="100" w:afterAutospacing="1"/>
    </w:pPr>
    <w:rPr>
      <w:lang w:val="en-GB" w:eastAsia="en-GB"/>
    </w:rPr>
  </w:style>
  <w:style w:type="paragraph" w:customStyle="1" w:styleId="xl48">
    <w:name w:val="xl48"/>
    <w:basedOn w:val="Normal"/>
    <w:rsid w:val="00E403CE"/>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E403CE"/>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E403CE"/>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E403CE"/>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E403CE"/>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E403CE"/>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E403CE"/>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E403CE"/>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E403CE"/>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E403CE"/>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E403CE"/>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E403CE"/>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E403CE"/>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E403CE"/>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E403CE"/>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E403CE"/>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E403CE"/>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E403CE"/>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E403CE"/>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E403CE"/>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E403CE"/>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E403CE"/>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E403CE"/>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E403CE"/>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E403CE"/>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E403CE"/>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E403CE"/>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E403CE"/>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E403CE"/>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customStyle="1" w:styleId="TitulliChar">
    <w:name w:val="Titulli Char"/>
    <w:link w:val="Titulli"/>
    <w:rsid w:val="00F92AB3"/>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069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20364</Words>
  <Characters>116079</Characters>
  <Application>Microsoft Office Word</Application>
  <DocSecurity>0</DocSecurity>
  <Lines>967</Lines>
  <Paragraphs>272</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136171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MiraD</dc:creator>
  <cp:keywords/>
  <dc:description/>
  <cp:lastModifiedBy>Inida Noga</cp:lastModifiedBy>
  <cp:revision>2</cp:revision>
  <cp:lastPrinted>2008-12-23T13:37:00Z</cp:lastPrinted>
  <dcterms:created xsi:type="dcterms:W3CDTF">2019-02-15T15:21:00Z</dcterms:created>
  <dcterms:modified xsi:type="dcterms:W3CDTF">2019-02-15T15:21:00Z</dcterms:modified>
</cp:coreProperties>
</file>