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92C" w:rsidRPr="00AD3BBF" w:rsidRDefault="00AA792C" w:rsidP="007121B1">
      <w:pPr>
        <w:pStyle w:val="Akti"/>
        <w:keepNext w:val="0"/>
        <w:rPr>
          <w:rFonts w:eastAsia="MS Mincho"/>
          <w:sz w:val="21"/>
          <w:szCs w:val="21"/>
          <w:lang w:eastAsia="en-GB"/>
        </w:rPr>
      </w:pPr>
      <w:bookmarkStart w:id="0" w:name="_GoBack"/>
      <w:bookmarkEnd w:id="0"/>
      <w:r w:rsidRPr="00AD3BBF">
        <w:rPr>
          <w:rFonts w:eastAsia="MS Mincho"/>
          <w:sz w:val="21"/>
          <w:szCs w:val="21"/>
          <w:lang w:eastAsia="en-GB"/>
        </w:rPr>
        <w:t>LIGJ</w:t>
      </w:r>
    </w:p>
    <w:p w:rsidR="00AA792C" w:rsidRPr="00AD3BBF" w:rsidRDefault="00AA792C" w:rsidP="007121B1">
      <w:pPr>
        <w:pStyle w:val="NumriData"/>
        <w:keepNext w:val="0"/>
        <w:rPr>
          <w:rFonts w:eastAsia="MS Mincho"/>
          <w:sz w:val="21"/>
          <w:szCs w:val="21"/>
          <w:lang w:eastAsia="en-GB"/>
        </w:rPr>
      </w:pPr>
      <w:r w:rsidRPr="00AD3BBF">
        <w:rPr>
          <w:rFonts w:eastAsia="MS Mincho"/>
          <w:sz w:val="21"/>
          <w:szCs w:val="21"/>
          <w:lang w:eastAsia="en-GB"/>
        </w:rPr>
        <w:t>Nr.10 029, datë 11.12.2008</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Titulli"/>
        <w:keepNext w:val="0"/>
        <w:rPr>
          <w:rFonts w:eastAsia="MS Mincho"/>
          <w:sz w:val="21"/>
          <w:szCs w:val="21"/>
          <w:lang w:eastAsia="en-GB"/>
        </w:rPr>
      </w:pPr>
      <w:r w:rsidRPr="00AD3BBF">
        <w:rPr>
          <w:rFonts w:eastAsia="MS Mincho"/>
          <w:sz w:val="21"/>
          <w:szCs w:val="21"/>
          <w:lang w:eastAsia="en-GB"/>
        </w:rPr>
        <w:t>PËR DISA NDRYSHIME NË LIGJIN NR.9630, DATË 30.10.2006 “PËR FAKTORINGUN”</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7121B1">
      <w:pPr>
        <w:pStyle w:val="BazLigjPropozues"/>
        <w:keepNext w:val="0"/>
        <w:rPr>
          <w:rFonts w:eastAsia="MS Mincho"/>
          <w:sz w:val="21"/>
          <w:szCs w:val="21"/>
          <w:lang w:eastAsia="en-GB"/>
        </w:rPr>
      </w:pPr>
      <w:r w:rsidRPr="00AD3BBF">
        <w:rPr>
          <w:rFonts w:eastAsia="MS Mincho"/>
          <w:sz w:val="21"/>
          <w:szCs w:val="21"/>
          <w:lang w:eastAsia="en-GB"/>
        </w:rPr>
        <w:t xml:space="preserve">Në mbështetje të neneve 78 dhe 83 pika 1 të Kushtetutës, me propozimin e Këshillit të Ministrave,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Institucioni"/>
        <w:rPr>
          <w:rFonts w:eastAsia="MS Mincho"/>
          <w:sz w:val="21"/>
          <w:szCs w:val="21"/>
          <w:lang w:eastAsia="en-GB"/>
        </w:rPr>
      </w:pPr>
      <w:r w:rsidRPr="00AD3BBF">
        <w:rPr>
          <w:rFonts w:eastAsia="MS Mincho"/>
          <w:sz w:val="21"/>
          <w:szCs w:val="21"/>
          <w:lang w:eastAsia="en-GB"/>
        </w:rPr>
        <w:t xml:space="preserve">KUVENDI </w:t>
      </w:r>
    </w:p>
    <w:p w:rsidR="00AA792C" w:rsidRPr="00AD3BBF" w:rsidRDefault="00AA792C" w:rsidP="00BB5C7B">
      <w:pPr>
        <w:pStyle w:val="Institucioni"/>
        <w:rPr>
          <w:rFonts w:eastAsia="MS Mincho"/>
          <w:sz w:val="21"/>
          <w:szCs w:val="21"/>
          <w:lang w:eastAsia="en-GB"/>
        </w:rPr>
      </w:pPr>
      <w:r w:rsidRPr="00AD3BBF">
        <w:rPr>
          <w:rFonts w:eastAsia="MS Mincho"/>
          <w:sz w:val="21"/>
          <w:szCs w:val="21"/>
          <w:lang w:eastAsia="en-GB"/>
        </w:rPr>
        <w:t>I REPUBLIKËS SË SHQIPËRISË</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VENDOSI"/>
        <w:rPr>
          <w:rFonts w:eastAsia="MS Mincho"/>
          <w:sz w:val="21"/>
          <w:szCs w:val="21"/>
          <w:lang w:eastAsia="en-GB"/>
        </w:rPr>
      </w:pPr>
      <w:r w:rsidRPr="00AD3BBF">
        <w:rPr>
          <w:rFonts w:eastAsia="MS Mincho"/>
          <w:sz w:val="21"/>
          <w:szCs w:val="21"/>
          <w:lang w:eastAsia="en-GB"/>
        </w:rPr>
        <w:t>VENDOSI: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Në ligjin nr.9630, datë 30.10.2006 “Për faktoringun”, bëhen këto ndryshime: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Neni 28 ndryshohet si më poshtë: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NeniNr"/>
        <w:keepNext w:val="0"/>
        <w:rPr>
          <w:rFonts w:eastAsia="MS Mincho"/>
          <w:sz w:val="21"/>
          <w:szCs w:val="21"/>
          <w:lang w:eastAsia="en-GB"/>
        </w:rPr>
      </w:pPr>
      <w:r w:rsidRPr="00AD3BBF">
        <w:rPr>
          <w:rFonts w:eastAsia="MS Mincho"/>
          <w:sz w:val="21"/>
          <w:szCs w:val="21"/>
          <w:lang w:eastAsia="en-GB"/>
        </w:rPr>
        <w:t xml:space="preserve">“Neni 28 </w:t>
      </w:r>
    </w:p>
    <w:p w:rsidR="00AA792C" w:rsidRPr="00AD3BBF" w:rsidRDefault="00AA792C" w:rsidP="007121B1">
      <w:pPr>
        <w:pStyle w:val="NeniTitull"/>
        <w:keepNext w:val="0"/>
        <w:rPr>
          <w:rFonts w:eastAsia="MS Mincho"/>
          <w:sz w:val="21"/>
          <w:szCs w:val="21"/>
          <w:lang w:eastAsia="en-GB"/>
        </w:rPr>
      </w:pPr>
      <w:r w:rsidRPr="00AD3BBF">
        <w:rPr>
          <w:rFonts w:eastAsia="MS Mincho"/>
          <w:sz w:val="21"/>
          <w:szCs w:val="21"/>
          <w:lang w:eastAsia="en-GB"/>
        </w:rPr>
        <w:t>Mbikëqyrja bankare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Veprimtaria faktoring, sipas përcaktimit të nenit 2 të këtij ligji, e kryer nga subjektet e parashikuara në nenin 10, përveç sa parashikohet në këtë ligj, mbikëqyret dhe rregullohet nga Banka e Shqipërisë, në përputhje me dispozitat e ligjit “Për bankat në Republikën e Shqipërisë” dhe aktet nënligjore, të nxjerra prej saj për këtë qëllim.”.</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NeniNr"/>
        <w:keepNext w:val="0"/>
        <w:rPr>
          <w:rFonts w:eastAsia="MS Mincho"/>
          <w:sz w:val="21"/>
          <w:szCs w:val="21"/>
          <w:lang w:eastAsia="en-GB"/>
        </w:rPr>
      </w:pPr>
      <w:r w:rsidRPr="00AD3BBF">
        <w:rPr>
          <w:rFonts w:eastAsia="MS Mincho"/>
          <w:sz w:val="21"/>
          <w:szCs w:val="21"/>
          <w:lang w:eastAsia="en-GB"/>
        </w:rPr>
        <w:t>Neni 2</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Neni 29 shfuqizohet.</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Ky ligj hyn në fuqi 15 ditë pas botimit në Fletoren Zyrtare.</w:t>
      </w:r>
    </w:p>
    <w:p w:rsidR="00AA792C" w:rsidRPr="00AD3BBF" w:rsidRDefault="00AA792C" w:rsidP="007121B1">
      <w:pPr>
        <w:pStyle w:val="Paragrafi"/>
        <w:rPr>
          <w:rFonts w:eastAsia="MS Mincho"/>
          <w:sz w:val="23"/>
          <w:szCs w:val="23"/>
          <w:lang w:val="en-GB" w:eastAsia="en-GB"/>
        </w:rPr>
      </w:pPr>
    </w:p>
    <w:p w:rsidR="00BD56C0" w:rsidRPr="00AD3BBF" w:rsidRDefault="00BD56C0" w:rsidP="007121B1">
      <w:pPr>
        <w:pStyle w:val="Shpallja"/>
        <w:rPr>
          <w:sz w:val="23"/>
          <w:szCs w:val="23"/>
        </w:rPr>
      </w:pPr>
      <w:r w:rsidRPr="00AD3BBF">
        <w:rPr>
          <w:sz w:val="23"/>
          <w:szCs w:val="23"/>
        </w:rPr>
        <w:t xml:space="preserve">Shpallur me dekretin nr.5980, datë 29.12.2008 të Presidentit të Republikës së Shqipërisë, </w:t>
      </w:r>
    </w:p>
    <w:p w:rsidR="00BD56C0" w:rsidRPr="00AD3BBF" w:rsidRDefault="00BD56C0" w:rsidP="007121B1">
      <w:pPr>
        <w:pStyle w:val="Shpallja"/>
        <w:rPr>
          <w:sz w:val="23"/>
          <w:szCs w:val="23"/>
        </w:rPr>
      </w:pPr>
      <w:r w:rsidRPr="00AD3BBF">
        <w:rPr>
          <w:sz w:val="23"/>
          <w:szCs w:val="23"/>
        </w:rPr>
        <w:t>Bamir Topi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7121B1" w:rsidRDefault="007121B1" w:rsidP="007121B1">
      <w:pPr>
        <w:pStyle w:val="Paragrafi"/>
        <w:rPr>
          <w:rFonts w:eastAsia="MS Mincho"/>
          <w:sz w:val="21"/>
          <w:szCs w:val="21"/>
          <w:lang w:val="en-GB" w:eastAsia="en-GB"/>
        </w:rPr>
      </w:pPr>
    </w:p>
    <w:p w:rsidR="003E22BE" w:rsidRDefault="003E22BE" w:rsidP="007121B1">
      <w:pPr>
        <w:pStyle w:val="Paragrafi"/>
        <w:rPr>
          <w:rFonts w:eastAsia="MS Mincho"/>
          <w:sz w:val="21"/>
          <w:szCs w:val="21"/>
          <w:lang w:val="en-GB" w:eastAsia="en-GB"/>
        </w:rPr>
      </w:pPr>
    </w:p>
    <w:p w:rsidR="003E22BE" w:rsidRDefault="003E22BE" w:rsidP="007121B1">
      <w:pPr>
        <w:pStyle w:val="Paragrafi"/>
        <w:rPr>
          <w:rFonts w:eastAsia="MS Mincho"/>
          <w:sz w:val="21"/>
          <w:szCs w:val="21"/>
          <w:lang w:val="en-GB" w:eastAsia="en-GB"/>
        </w:rPr>
      </w:pPr>
    </w:p>
    <w:p w:rsidR="003E22BE" w:rsidRPr="00AD3BBF" w:rsidRDefault="003E22BE" w:rsidP="007121B1">
      <w:pPr>
        <w:pStyle w:val="Paragrafi"/>
        <w:rPr>
          <w:rFonts w:eastAsia="MS Mincho"/>
          <w:sz w:val="21"/>
          <w:szCs w:val="21"/>
          <w:lang w:val="en-GB" w:eastAsia="en-GB"/>
        </w:rPr>
      </w:pPr>
    </w:p>
    <w:p w:rsidR="007121B1" w:rsidRPr="00AD3BBF" w:rsidRDefault="007121B1"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8A006D" w:rsidRDefault="008A006D" w:rsidP="008A006D">
      <w:pPr>
        <w:pStyle w:val="Akti"/>
        <w:keepNext w:val="0"/>
        <w:rPr>
          <w:rFonts w:eastAsia="MS Mincho"/>
          <w:sz w:val="21"/>
          <w:szCs w:val="21"/>
          <w:lang w:eastAsia="en-GB"/>
        </w:rPr>
      </w:pPr>
    </w:p>
    <w:p w:rsidR="00AA792C" w:rsidRPr="00AD3BBF" w:rsidRDefault="007121B1" w:rsidP="007121B1">
      <w:pPr>
        <w:pStyle w:val="Akti"/>
        <w:rPr>
          <w:rFonts w:eastAsia="MS Mincho"/>
          <w:sz w:val="21"/>
          <w:szCs w:val="21"/>
          <w:lang w:eastAsia="en-GB"/>
        </w:rPr>
      </w:pPr>
      <w:r w:rsidRPr="00AD3BBF">
        <w:rPr>
          <w:rFonts w:eastAsia="MS Mincho"/>
          <w:sz w:val="21"/>
          <w:szCs w:val="21"/>
          <w:lang w:eastAsia="en-GB"/>
        </w:rPr>
        <w:t>LIG</w:t>
      </w:r>
      <w:r w:rsidR="00AA792C" w:rsidRPr="00AD3BBF">
        <w:rPr>
          <w:rFonts w:eastAsia="MS Mincho"/>
          <w:sz w:val="21"/>
          <w:szCs w:val="21"/>
          <w:lang w:eastAsia="en-GB"/>
        </w:rPr>
        <w:t>J</w:t>
      </w:r>
    </w:p>
    <w:p w:rsidR="00AA792C" w:rsidRPr="00AD3BBF" w:rsidRDefault="00AA792C" w:rsidP="007121B1">
      <w:pPr>
        <w:pStyle w:val="NumriData"/>
        <w:rPr>
          <w:rFonts w:eastAsia="MS Mincho"/>
          <w:sz w:val="21"/>
          <w:szCs w:val="21"/>
          <w:lang w:eastAsia="en-GB"/>
        </w:rPr>
      </w:pPr>
      <w:r w:rsidRPr="00AD3BBF">
        <w:rPr>
          <w:rFonts w:eastAsia="MS Mincho"/>
          <w:sz w:val="21"/>
          <w:szCs w:val="21"/>
          <w:lang w:eastAsia="en-GB"/>
        </w:rPr>
        <w:t>Nr.10 033, datë 11.12.2008</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Titulli"/>
        <w:rPr>
          <w:rFonts w:eastAsia="MS Mincho"/>
          <w:sz w:val="21"/>
          <w:szCs w:val="21"/>
          <w:lang w:eastAsia="en-GB"/>
        </w:rPr>
      </w:pPr>
      <w:r w:rsidRPr="00AD3BBF">
        <w:rPr>
          <w:rFonts w:eastAsia="MS Mincho"/>
          <w:sz w:val="21"/>
          <w:szCs w:val="21"/>
          <w:lang w:eastAsia="en-GB"/>
        </w:rPr>
        <w:lastRenderedPageBreak/>
        <w:t>PËR LOJËRAT E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Në mbështetje të neneve 78 dhe 83 pika 1 të Kushtetutës, me propozimin e Këshillit të Ministrave, </w:t>
      </w:r>
    </w:p>
    <w:p w:rsidR="00AA792C" w:rsidRPr="00AD3BBF" w:rsidRDefault="00AA792C" w:rsidP="007121B1">
      <w:pPr>
        <w:pStyle w:val="Paragrafi"/>
        <w:rPr>
          <w:rFonts w:eastAsia="MS Mincho"/>
          <w:sz w:val="21"/>
          <w:szCs w:val="21"/>
          <w:lang w:val="en-GB" w:eastAsia="en-GB"/>
        </w:rPr>
      </w:pPr>
    </w:p>
    <w:p w:rsidR="00AA792C" w:rsidRPr="00AD3BBF" w:rsidRDefault="007121B1" w:rsidP="00BB5C7B">
      <w:pPr>
        <w:pStyle w:val="Institucioni"/>
        <w:rPr>
          <w:rFonts w:eastAsia="MS Mincho"/>
          <w:sz w:val="21"/>
          <w:szCs w:val="21"/>
          <w:lang w:eastAsia="en-GB"/>
        </w:rPr>
      </w:pPr>
      <w:r w:rsidRPr="00AD3BBF">
        <w:rPr>
          <w:rFonts w:eastAsia="MS Mincho"/>
          <w:sz w:val="21"/>
          <w:szCs w:val="21"/>
          <w:lang w:eastAsia="en-GB"/>
        </w:rPr>
        <w:t>KUVEN</w:t>
      </w:r>
      <w:r w:rsidR="00AA792C" w:rsidRPr="00AD3BBF">
        <w:rPr>
          <w:rFonts w:eastAsia="MS Mincho"/>
          <w:sz w:val="21"/>
          <w:szCs w:val="21"/>
          <w:lang w:eastAsia="en-GB"/>
        </w:rPr>
        <w:t xml:space="preserve">DI </w:t>
      </w:r>
    </w:p>
    <w:p w:rsidR="00AA792C" w:rsidRPr="00AD3BBF" w:rsidRDefault="00AA792C" w:rsidP="00BB5C7B">
      <w:pPr>
        <w:pStyle w:val="Institucioni"/>
        <w:rPr>
          <w:rFonts w:eastAsia="MS Mincho"/>
          <w:sz w:val="21"/>
          <w:szCs w:val="21"/>
          <w:lang w:eastAsia="en-GB"/>
        </w:rPr>
      </w:pPr>
      <w:r w:rsidRPr="00AD3BBF">
        <w:rPr>
          <w:rFonts w:eastAsia="MS Mincho"/>
          <w:sz w:val="21"/>
          <w:szCs w:val="21"/>
          <w:lang w:eastAsia="en-GB"/>
        </w:rPr>
        <w:t>I REPUBLIKËS SË SHQIPËRISË</w:t>
      </w:r>
    </w:p>
    <w:p w:rsidR="00AA792C" w:rsidRPr="00AD3BBF" w:rsidRDefault="00AA792C" w:rsidP="00BB5C7B">
      <w:pPr>
        <w:pStyle w:val="Institucioni"/>
        <w:rPr>
          <w:rFonts w:eastAsia="MS Mincho"/>
          <w:sz w:val="21"/>
          <w:szCs w:val="21"/>
          <w:lang w:eastAsia="en-GB"/>
        </w:rPr>
      </w:pPr>
    </w:p>
    <w:p w:rsidR="00AA792C" w:rsidRPr="00AD3BBF" w:rsidRDefault="007121B1" w:rsidP="00BB5C7B">
      <w:pPr>
        <w:pStyle w:val="VENDOSI"/>
        <w:rPr>
          <w:rFonts w:eastAsia="MS Mincho"/>
          <w:sz w:val="21"/>
          <w:szCs w:val="21"/>
          <w:lang w:eastAsia="en-GB"/>
        </w:rPr>
      </w:pPr>
      <w:r w:rsidRPr="00AD3BBF">
        <w:rPr>
          <w:rFonts w:eastAsia="MS Mincho"/>
          <w:sz w:val="21"/>
          <w:szCs w:val="21"/>
          <w:lang w:eastAsia="en-GB"/>
        </w:rPr>
        <w:t>VENDOS</w:t>
      </w:r>
      <w:r w:rsidR="00AA792C" w:rsidRPr="00AD3BBF">
        <w:rPr>
          <w:rFonts w:eastAsia="MS Mincho"/>
          <w:sz w:val="21"/>
          <w:szCs w:val="21"/>
          <w:lang w:eastAsia="en-GB"/>
        </w:rPr>
        <w:t>I:</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KapitulliNr"/>
        <w:rPr>
          <w:rFonts w:eastAsia="MS Mincho"/>
          <w:sz w:val="21"/>
          <w:szCs w:val="21"/>
          <w:lang w:eastAsia="en-GB"/>
        </w:rPr>
      </w:pPr>
      <w:r w:rsidRPr="00AD3BBF">
        <w:rPr>
          <w:rFonts w:eastAsia="MS Mincho"/>
          <w:sz w:val="21"/>
          <w:szCs w:val="21"/>
          <w:lang w:eastAsia="en-GB"/>
        </w:rPr>
        <w:t>KREU I</w:t>
      </w:r>
    </w:p>
    <w:p w:rsidR="00AA792C" w:rsidRPr="00AD3BBF" w:rsidRDefault="00AA792C" w:rsidP="00BB5C7B">
      <w:pPr>
        <w:pStyle w:val="KreuTitull"/>
        <w:rPr>
          <w:rFonts w:eastAsia="MS Mincho"/>
          <w:sz w:val="21"/>
          <w:szCs w:val="21"/>
          <w:lang w:val="en-GB" w:eastAsia="en-GB"/>
        </w:rPr>
      </w:pPr>
      <w:r w:rsidRPr="00AD3BBF">
        <w:rPr>
          <w:rFonts w:eastAsia="MS Mincho"/>
          <w:sz w:val="21"/>
          <w:szCs w:val="21"/>
          <w:lang w:val="en-GB" w:eastAsia="en-GB"/>
        </w:rPr>
        <w:t>DISPOZITA TË PËRGJITHSHME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Qëllimi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Qëllimi i këtij ligji është të krijojë kuadrin e nevojshëm ligjor për mënyrën e organizimit dhe të funksionimit të lojërave të fatit, lejimin e organizatorëve dhe licencimin e tyre për ushtrimin e veprimtarisë së lojërave të fatit, si dhe mbikëqyrjen e kësaj veprimtarie.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Objekti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Ky ligj përcakton llojet e lojërave të fatit, kushtet, kriteret dhe procedurat, që rregullojnë këtë veprimtari në Republikën e Shqipërisë, si dhe detyrat, përgjegjësitë dhe bashkëpunimin e strukturave përgjegjëse për monitorimin dhe mbikëqyrjen e veprimtarisë në fushën e lojërave të fatit.</w:t>
      </w:r>
    </w:p>
    <w:p w:rsidR="00AA792C" w:rsidRPr="00AD3BBF" w:rsidRDefault="00AA792C" w:rsidP="00BB5C7B">
      <w:pPr>
        <w:pStyle w:val="Paragrafi"/>
        <w:ind w:firstLine="0"/>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Fusha e zbatimit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Fusha e zbatimit të këtij ligji përfshin subjektet, që ushtrojnë veprimtarinë sipas kategorive të lojërave të fatit, të parashikuara në nenin 5 të këtij ligji dhe autoritetin e mbikëqyrjes dhe të kontrollit të tyre.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4</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Përkufizime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Në këtë ligj termat e mëposhtëm kanë këto kuptime: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“Lojëra fati” janë lojërat e përcaktuara në këtë ligj, ku pjesëmarrësit paguajnë një shumë të caktuar dhe u jepet mundësia e fitimit në para, sende apo të drejta të tjera, ku faktori fat ka ndikim të drejtpërdrejtë si në fitimin, ashtu edhe në humbjen e pjesëmarrësve në secilën lojë.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Nuk vlerësohen lojëra fati: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konkurset, që zhvillohen në bazë të njohurive të pjesëmarrësve, ku fituesi merr një çmim të caktuar, të vendosur për këtë qëllim;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pagesat, që bëhen nga sigurimi i jetës ose llojet e tjera të sigurimit, nëpërmjet tërheqjes me short të biletave, të emetuara për këtë qëllim.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“Organizator” është personi juridik, i cili lejohet të ushtrojë veprimtari në fushën e lojërave të fatit, në zbatim të dispozitave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“Mjetet e lojërave” janë mjetet elektrike, elektronike ose mekanike, që përdoren ose synohet të përdoren për të luajtur lojëra fati dhe funksionimi i të cilave ka një ndikim në rezultatin e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4. “Publicitet” është çdo formë njoftimi për promovimin e lojërave të fatit, qëllimi i dukshëm i së cilës është dhënia e informacionit publikut në medien e shkruar dhe audiovizive.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“Miratimi për dhënien e lejes për ushtrimin e veprimtarisë në fushën e lojërave të fatit” (më poshtë Miratim) është akti administrativ, me anë të të cilit organizatori i lojërave të fatit ka të drejtë të ushtrojë veprimtarinë në këtë fushë: kazino elektronike, bingo tradicionale, bingo televizive, baste sportive dhe baste për gara në pistë.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6. “Licencë” është akti administrativ, i lëshuar nga autoriteti i parashikuar në ligj, me anë të të cilit organizatori i lojërave të fatit ka të drejtë të ushtrojë veprimtarinë e lojërave për kazino dhe lotari </w:t>
      </w:r>
      <w:r w:rsidRPr="00AD3BBF">
        <w:rPr>
          <w:rFonts w:eastAsia="MS Mincho"/>
          <w:sz w:val="21"/>
          <w:szCs w:val="21"/>
          <w:lang w:val="en-GB" w:eastAsia="en-GB"/>
        </w:rPr>
        <w:lastRenderedPageBreak/>
        <w:t>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7. “Lojtar” është personi që merr pjesë në lojërat e fatit, sipas rregullave të përcaktuara në lojën e fatit.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8. “Rregullore e lojës së fatit” është tërësia e rregullave të propozuara nga organizatori i lejuar/licencuar i lojës, ku përcaktohen të drejtat dhe detyrimet e organizuesit dhe të pjesëmarrësit në lojën e fatit, si dhe kushtet për ushtrimin e lojës së caktuar dhe rregullat e lojës.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9. “Aplikim” është kërkesa që i drejtohet autoritetit të parashikuar në ligj për t’u pajisur me licencë për organizimin e lojërave të fatit, sipas dispozitave të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10. “Fondi i ngurtësimit” është shuma, e cila ngurtësohet nga organizatorët e lojërave të fatit, në një bankë të caktuar, me seli në Republikën e Shqipërisë, në favor të Ministrisë së Financave, si garanci për fituesit e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11. “Lojë fati promocionale” është loja, që promovon produkte ose shërbime, në të cilën pjesëmarrësit mund të konkurrojnë për çmime apo bonuse.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12. “Bast” është vendosja e një çmimi ose para nga një lojtar për rezultatin e një ngjarjeje.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13. “Pajisje basti” janë pajisjet kompjuterike, bileta ose çdo gjë tjetër, e përdorur për zhvillimin e lojërave për baste.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14. “Hipodrom” është një vend apo një stadium për organizimin e garave në pistë.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15. “Baste për gara në pistë” është vendosja e basteve për rezultatin e garave me kuaj ose me qen, të administruara në hipodrom.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16. “Baste sportive” janë bastet e vendosura jo për garat e pistave.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17. “Lotari kombëtare” janë të gjitha lojërat e lotarisë, që mund të ofrohen vetëm nga mbajtësi i licencës për lotari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18. “Videolotari” (më poshtë VLT) është lotaria e luajtur nëpërmjet videoterminaleve, të lidhura me një sistem rrjetesh elektronike, ku rezultati i lojës mbështetet në shansin e prodhuar nga serveri, bazuar në gjenerimin e numrave të rastësishëm.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19. “Pajisje lotarie” janë pajisje kompjuterike, përfshirë terminalin e VLT-së, bileta ose çdo gjë tjetër, të përdorura për zhvillimin e lojërave të lotarisë.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20. “Kredit” është mundësia që i jepet një personi të paguajë, pasi shërbimi të jetë kryer, nëpërmjet dhënies hua të parave ose ekuivalentit të parave, por nuk përfshin përdorimin e parapagimit me kartë në vend të parave cash.</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21. “Kazino elektronike” është mjedisi, ku lojtarëve u ofrohet mundësia për të luajtur me makina elektronike të tipit slot dhe makina elektronike me shumë lojtarë dhe videolotari.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22. “Kazino” është mjedisi ku lojtarëve u ofrohet mundësia për të luajtur me mjetet e lojërave të fatit, si makina të tipit slot, videolotari ose makina elektronike, me shume lojtarë, si dhe tryeza loje, sipas përkufizimit përkatës të dhënë.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23. “Makina elektronike” është pajisja, e cila lejon një ose më shumë lojtarë të luajnë pa ndërhyrjen e njeriut.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24. “Makinë slot” është një makinë loje, nëpërmjet së cilës vetëm një lojtar mund të lejohet të luajë, në të njëjtën kohë, e cila ka një mekanizëm gjenerues të numrave të rastësishëm, të instaluar në makinë, që përcakton rezultatin e lojës.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25.“Makinë elektronike me shumë lojtarë” është makina e lojës, nëpërmjet së cilës mund të luajnë, në të njëjtën kohë, më shumë se një lojtar, e cila ka një mekanizëm gjenerues të numrave të rastësishëm, të instaluar në makinë, që përcakton rezultatin e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26. “Tryezë loje” është pajisje loje, ku një ose më shumë lojtarë mund të luajnë, në të njëjtën kohë, së bashku me shpërndarësin e letrave dhe/ose zareve, që më poshtë do të quhet “kupjer”.</w:t>
      </w:r>
    </w:p>
    <w:p w:rsidR="00AA792C"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27. “Bingo tradicionale” është loja ku, nga hedhja e shortit, dalin aq numra sa nevojiten për të pasur një fitues. Në këtë lojë pjesëmarrësit luajnë brenda një salle dhe pajisen me bileta të caktuara, të cilat përmbajnë një grup numrash, pjesë përbërëse të një grupi tjetër të caktuar numrash. </w:t>
      </w:r>
    </w:p>
    <w:p w:rsidR="000A2FD8" w:rsidRPr="00AD3BBF" w:rsidRDefault="000A2FD8"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28. “Bingo televizive” është bingo tradicionale, e luajtur jashtë sallave, e cila e bën publike hedhjen e shortit nëpërmjet medies televizive.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29. “Njësia e Mbikëqyrjes së Lojërave të Fatit”(NJMLF) është person juridik publik, në varësi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30. “QKR” është Qendra Kombëtare e Regjistrimit.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lastRenderedPageBreak/>
        <w:t>Neni 5</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Kategoritë e lojërave të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Kategoritë e lojërave të fatit, që zhvillohen në Republikën e Shqipërisë, janë: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Baste sportive;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Baste për gara në pistë;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Kazino elektronike;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Lotari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6. Bingo tradicionale;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7. Bingo televizive.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6</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Mbrojtja e të miturve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Organizatorit i ndalohet të punësojë persona nën moshën 18 vjeç, si dhe të lejojë personat nën moshën 18 vjeç të futen apo të luajnë në mjediset e lojërave të fatit.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7</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Mbrojtja e lojtarit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Në mjedisin ku luhen lojërat e fatit duhet të ekspozohet gjithmonë një tabelë e dukshme, paralajmëruese për lojtarët, për të treguar mundësinë e ndikimit negativ nga lojërat e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Ndalohet ndërtimi/marrja me qira e mjediseve, me fushë veprimtarie lojëra fati, të ekspozuara pranë institucioneve fetare, arsimore dhe shëndetësore.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Përmbajtja e paralajmërimeve, sipas pikës 1 të këtij neni dhe largësia ndaj institucioneve, sipas pikës 2 të këtij neni, përcaktohen me udhëzim të Ministrit të Financave.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8</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Ndalimi i nxitjes për të marrë pjesë në lojërat e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Ndalohet ofrimi, ndihma ose nxitja e një loje apo e lojërave të fatit në Republikën e Shqipërisë, në kundërshtim me dispozitat e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Ndalohet zhvillimi i lojërave </w:t>
      </w:r>
      <w:r w:rsidRPr="000417AC">
        <w:rPr>
          <w:rFonts w:eastAsia="MS Mincho"/>
          <w:i/>
          <w:sz w:val="21"/>
          <w:szCs w:val="21"/>
          <w:lang w:val="en-GB" w:eastAsia="en-GB"/>
        </w:rPr>
        <w:t>on-line</w:t>
      </w:r>
      <w:r w:rsidRPr="00AD3BBF">
        <w:rPr>
          <w:rFonts w:eastAsia="MS Mincho"/>
          <w:sz w:val="21"/>
          <w:szCs w:val="21"/>
          <w:lang w:val="en-GB" w:eastAsia="en-GB"/>
        </w:rPr>
        <w:t xml:space="preserve">, nëpërmjet internetit, nga shoqëritë e miratuara dhe të licencuara, sipas këtij ligji, përjashtuar shoqëritë e basteve sportive. NJMLF-ja ka të drejtë të kërkojë bllokimin e faqeve të internetit të shoqërive që ofrojnë zhvillimin e lojërave </w:t>
      </w:r>
      <w:r w:rsidRPr="000417AC">
        <w:rPr>
          <w:rFonts w:eastAsia="MS Mincho"/>
          <w:i/>
          <w:sz w:val="21"/>
          <w:szCs w:val="21"/>
          <w:lang w:val="en-GB" w:eastAsia="en-GB"/>
        </w:rPr>
        <w:t>on-line</w:t>
      </w:r>
      <w:r w:rsidRPr="00AD3BBF">
        <w:rPr>
          <w:rFonts w:eastAsia="MS Mincho"/>
          <w:sz w:val="21"/>
          <w:szCs w:val="21"/>
          <w:lang w:val="en-GB" w:eastAsia="en-GB"/>
        </w:rPr>
        <w:t xml:space="preserve">.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9</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Publiciteti i lojërave të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Ndalohet publiciteti për lojëra fati në një mënyrë që shfaqet veçanërisht për të miturit,  ose që i paraqet lojërat e fatit si zgjidhje të problemeve financiare.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Ndalohet publiciteti në medien e shkruar dhe audiovizive, me përjashtim të buletineve informative të vetë organizatorit të lojës. Njoftimet e shoqërive në teletekstet e medieve vizive dhe shpërndarja e buletineve informative janë vetëm për lojtarët dhe jo për publikun.</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BB5C7B">
      <w:pPr>
        <w:pStyle w:val="KapitulliNr"/>
        <w:rPr>
          <w:rFonts w:eastAsia="MS Mincho"/>
          <w:sz w:val="21"/>
          <w:szCs w:val="21"/>
        </w:rPr>
      </w:pPr>
      <w:r w:rsidRPr="00AD3BBF">
        <w:rPr>
          <w:rFonts w:eastAsia="MS Mincho"/>
          <w:sz w:val="21"/>
          <w:szCs w:val="21"/>
        </w:rPr>
        <w:t>KREU II</w:t>
      </w:r>
    </w:p>
    <w:p w:rsidR="00AA792C" w:rsidRPr="00AD3BBF" w:rsidRDefault="00AA792C" w:rsidP="00BB5C7B">
      <w:pPr>
        <w:pStyle w:val="KapitulliTitull"/>
        <w:rPr>
          <w:rFonts w:eastAsia="MS Mincho"/>
          <w:sz w:val="21"/>
          <w:szCs w:val="21"/>
          <w:lang w:eastAsia="en-GB"/>
        </w:rPr>
      </w:pPr>
      <w:r w:rsidRPr="00AD3BBF">
        <w:rPr>
          <w:rFonts w:eastAsia="MS Mincho"/>
          <w:sz w:val="21"/>
          <w:szCs w:val="21"/>
          <w:lang w:eastAsia="en-GB"/>
        </w:rPr>
        <w:t xml:space="preserve">LEJIMI I USHTRIMIT TË VEPRIMTARISË SË LOJËRAVE TË FATIT, KRIJIMI ORGANIZIMI DHE FUNKSIONIMI I NJËSISË SË MBIKËQYRJES SË </w:t>
      </w:r>
      <w:smartTag w:uri="urn:schemas-microsoft-com:office:smarttags" w:element="City">
        <w:smartTag w:uri="urn:schemas-microsoft-com:office:smarttags" w:element="place">
          <w:r w:rsidRPr="00AD3BBF">
            <w:rPr>
              <w:rFonts w:eastAsia="MS Mincho"/>
              <w:sz w:val="21"/>
              <w:szCs w:val="21"/>
              <w:lang w:eastAsia="en-GB"/>
            </w:rPr>
            <w:t>TYRE</w:t>
          </w:r>
        </w:smartTag>
      </w:smartTag>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10</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Rregulla të përgjithshme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Bastet sportive, bastet për garat në pistë, kazinotë elektronike, bingot tradicionale dhe bingot televizive lejohen të organizohen nga çdo subjekt, që përmbush kriteret e përcaktuara në këtë ligj dhe aktet nënligjore, në zbatim të tij, pasi ka marrë miratimin e Njësisë së Mbikëqyrjes së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Autoriteti i autorizuar për dhënien e licencave, pranë Këshillit të Ministrave, i jep licencë për </w:t>
      </w:r>
      <w:r w:rsidRPr="00AD3BBF">
        <w:rPr>
          <w:rFonts w:eastAsia="MS Mincho"/>
          <w:sz w:val="21"/>
          <w:szCs w:val="21"/>
          <w:lang w:val="en-GB" w:eastAsia="en-GB"/>
        </w:rPr>
        <w:lastRenderedPageBreak/>
        <w:t xml:space="preserve">kazino dhe për lotari kombëtare aplikantit, që shpallet fitues në një procedurë gare, e cila zhvillohet në përputhje me rregullat e përcaktuara në këtë ligj dhe në aktet nënligjore, të dala në zbatim të tij.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Ministri i Financave u jep autorizim subjekteve publike ose private, për të organizuar lojëra fati promocionale, nëpërmjet shitjes dhe tregtimit të mallrave apo në ndonjë mënyrë tjetër gjatë ushtrimit të veprimtarisë së tyre, për efekt promovimi ose publiciteti të mallit. Mënyrat, format, kriteret dhe rregullat shtesë për organizimin e lojërave të fatit promocionale përcaktohen me vendim të Këshillit të Ministrave.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Shoqëria për organizimin e basteve sportive, basteve për garat në pistë, kazinosë elektronike, bingos apo bingos televizive regjistrohet në Qendrën Kombëtare të Regjistrimit dhe në organet tatimore, në përputhje me legjislacionin, për regjistrimin e subjekteve dhe procedurat tatimore në Republikën e Shqipërisë: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brenda 30 ditëve përpara hapjes së veprimtarisë, shoqëria duhet ta paraqesë të gjithë dokumentacion e kërkuar, sipas nenit 19 dhe dispozitave të këtij ligji për miratim te NJMLF-ja;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shoqëria për organizimin e basteve sportive, të basteve për garat në pistë, kazinosë elektronike, bingos apo bingos televizive mund ta ushtrojë veprimtarinë në të gjithë territorin e Republikës së Shqipërisë;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për hapjen e çdo salle, ku do të ushtrohet veprimtaria, organizatori (shoqëria) është i detyruar të njoftojë NJMLF-në 30 ditë përpara hapjes së veprimtarisë dhe të pajiset me NIPT-in sekondar për çdo vendndodhje dytësore të biznesit;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organizatori (shoqëria) duhet të njoftojë NJMLF-në, brenda 30 ditëve për mbylljen e çdo salle, ndryshimin e selisë, të personelit apo të numrit të mjeteve të lojërave për çdo sallë, në përputhje me miratimin që zotëron;</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 në sallën e lojërave të fatit mund të ushtrohet veprimtari nga më shumë se një organizator, i lejuar për lojëra fati;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procedura për hapjen dhe mbylljen e sallave/kazinove elektronike, ku zhvillohet veprimtaria e lojërave të fatit, përcaktohet me udhëzim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Shitja, lënia peng dhe çdo formë tjetër e disponimit të aksioneve të organizatorit të lejuar për zhvillimin e lojërave të fatit, bëhen me njoftim të NJMLF-së. Kjo procedurë përcaktohet me udhëzim të Ministrit të Financave.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11</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Rregullorja e lojërave të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Rregullorja e lojës së fatit propozohet nga organizatori i lojës dhe miratohet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Rregullorja detyrimisht duhet të përmbajë: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emrin dhe selinë e organizuesit;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emrin, përshkrimin dhe kohëzgjatjen e lojës së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kushtet për pjesëmarrje në lojën e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vendin, ku organizohet loja, përkatësisht, territorin, ku bëhet shitja e biletave;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çmimin individual të biletës, përkatësisht kombinacionet;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afatin e fundit për pjesëmarrje në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sasinë dhe vlerën monetare të biletave të shitura;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fondin e fitimit dhe llojin e fitimeve;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përshkrimin e biletës dhe të fletëpagesës;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mënyrën, procedurën dhe mbikëqyrjen e tërheqjes, përkatësisht mënyrën e verifikimit të fitimeve;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mënyrën e publikimit të shumave të fondit fitues dhe të rezultateve të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h) mënyrën dhe afatin e pagesës së fitimeve monetare;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 mënyrën e njohjes së pjesëmarrësit në lojë me rregullat;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j) procedurat në rastin e revokimit të tërheqjes;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 çdo dokumentacion të kërkuar nga NJMLF-ja.</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12</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Krijimi dhe statusi i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Për mbikëqyrjen dhe kontrollin e zbatimit të ligjshmërisë në ushtrimin e veprimtarisë së organizatorëve të licencuar në fushën e lojërave të fatit, krijohet Njësia e Mbikëqyrjes së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NJMLF-ja është person juridik publik, me seli në Tiranë, në varësi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lastRenderedPageBreak/>
        <w:t>3. NJMLF-ja financohet nga të ardhurat e veta.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Shoqëritë e miratuara dhe të licencuara në fushën e lojërave të fatit derdhin në Buxhetin e Shtetit 0,5 për qind të xhiros vjetore, por jo më pak se:</w:t>
      </w:r>
    </w:p>
    <w:p w:rsidR="00AA792C" w:rsidRPr="00AD3BBF" w:rsidRDefault="00B6759E" w:rsidP="007121B1">
      <w:pPr>
        <w:pStyle w:val="Paragrafi"/>
        <w:rPr>
          <w:rFonts w:eastAsia="MS Mincho"/>
          <w:sz w:val="21"/>
          <w:szCs w:val="21"/>
          <w:lang w:val="en-GB" w:eastAsia="en-GB"/>
        </w:rPr>
      </w:pPr>
      <w:r>
        <w:rPr>
          <w:rFonts w:eastAsia="MS Mincho"/>
          <w:sz w:val="21"/>
          <w:szCs w:val="21"/>
          <w:lang w:val="en-GB" w:eastAsia="en-GB"/>
        </w:rPr>
        <w:t xml:space="preserve">a) </w:t>
      </w:r>
      <w:r w:rsidR="00AA792C" w:rsidRPr="00AD3BBF">
        <w:rPr>
          <w:rFonts w:eastAsia="MS Mincho"/>
          <w:sz w:val="21"/>
          <w:szCs w:val="21"/>
          <w:lang w:val="en-GB" w:eastAsia="en-GB"/>
        </w:rPr>
        <w:t>2 000 000 (dy milionë) lekë në vit për shoqëritë e licencuara për kazino dhe lotari kombëtare;</w:t>
      </w:r>
    </w:p>
    <w:p w:rsidR="00AA792C" w:rsidRPr="00AD3BBF" w:rsidRDefault="00B6759E" w:rsidP="007121B1">
      <w:pPr>
        <w:pStyle w:val="Paragrafi"/>
        <w:rPr>
          <w:rFonts w:eastAsia="MS Mincho"/>
          <w:sz w:val="21"/>
          <w:szCs w:val="21"/>
          <w:lang w:val="en-GB" w:eastAsia="en-GB"/>
        </w:rPr>
      </w:pPr>
      <w:r>
        <w:rPr>
          <w:rFonts w:eastAsia="MS Mincho"/>
          <w:sz w:val="21"/>
          <w:szCs w:val="21"/>
          <w:lang w:val="en-GB" w:eastAsia="en-GB"/>
        </w:rPr>
        <w:t xml:space="preserve">b) </w:t>
      </w:r>
      <w:r w:rsidR="00AA792C" w:rsidRPr="00AD3BBF">
        <w:rPr>
          <w:rFonts w:eastAsia="MS Mincho"/>
          <w:sz w:val="21"/>
          <w:szCs w:val="21"/>
          <w:lang w:val="en-GB" w:eastAsia="en-GB"/>
        </w:rPr>
        <w:t xml:space="preserve">1 500 000 (një milion e pesëqind mijë) lekë në vit për shoqëritë që organizojnë kazino elektronike; </w:t>
      </w:r>
    </w:p>
    <w:p w:rsidR="00AA792C" w:rsidRPr="00AD3BBF" w:rsidRDefault="00B6759E" w:rsidP="007121B1">
      <w:pPr>
        <w:pStyle w:val="Paragrafi"/>
        <w:rPr>
          <w:rFonts w:eastAsia="MS Mincho"/>
          <w:sz w:val="21"/>
          <w:szCs w:val="21"/>
          <w:lang w:val="en-GB" w:eastAsia="en-GB"/>
        </w:rPr>
      </w:pPr>
      <w:r>
        <w:rPr>
          <w:rFonts w:eastAsia="MS Mincho"/>
          <w:sz w:val="21"/>
          <w:szCs w:val="21"/>
          <w:lang w:val="en-GB" w:eastAsia="en-GB"/>
        </w:rPr>
        <w:t xml:space="preserve">c) </w:t>
      </w:r>
      <w:r w:rsidR="00AA792C" w:rsidRPr="00AD3BBF">
        <w:rPr>
          <w:rFonts w:eastAsia="MS Mincho"/>
          <w:sz w:val="21"/>
          <w:szCs w:val="21"/>
          <w:lang w:val="en-GB" w:eastAsia="en-GB"/>
        </w:rPr>
        <w:t>1 000 000 (një milion) lekë në vit për shoqëritë që organizojnë baste sportive dhe baste për gara në pistë;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300 000 (treqind mijë) lekë në vit për shoqëritë që organizojnë bingo tradicionale e televizive.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Mënyra dhe afatet e kryerjes së pagesës përcaktohen me udhëzim të Ministrit të Financave.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13</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Funksionet e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Njësia e Mbikëqyrjes së Lojërave të Fatit  ushtron këto funksione: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mbikëqyr dhe kontrollon veprimtarinë e subjekteve, që organizojnë lojëra fati, në të gjithë territorin e Republikës së Shqipërisë, në përputhje me legjislacionin për këtë veprimtari dhe aktet nënligjore në fuqi;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vendos masën e gjobës në rastet kur vëren shkelje të dispozitave të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kontrollon dhe verifikon nëse mjetet e lojërave të fatit janë të certifikuara nga trupa të akredituar, në përputhje me rregullat e përcaktuara në këtë ligj. Certifikon pajisjet e basteve, sipas specifikimeve teknike, të përcaktuara me udhëzim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mbikëqyr dhe kontrollon subjektet e pajisura me autorizim nga Ministri i Financave, për luajtjen e lojërave promocionale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mban regjistrin për subjektet, që ushtrojnë këtë veprimtari dhe të sallave të hapura prej tyre, në të gjithë territorin e vendit, për numrin e automateve/pajisjeve për çdo sallë loje dhe karakteristikat specifike të tyre, numrin e punonjësve dhe kualifikimin përkatës të tyre, numrin e biletave të lotarisë kombëtare të hedhura në treg dhe ato të shitura, numrin e shorteve të hedhura nga organizatori i lotarisë kombëtare dhe organizatorët e bingos televizive;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kontrollon dhe verifikon të ardhurat dhe fitimin e subjekteve të licencuara në lojërat e fatit, si dhe shlyerjen e detyrimeve tatimore prej tyre, të rakorduara në bashkëpunim me Drejtorinë e Përgjithshme të Tatimeve dhe degët e saj në rrethe.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Shtypja dhe prodhimi i biletave bëhen çdo muaj, sipas procedurave të përcaktuara me udhëzim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NJMLF-ja njofton Drejtorinë e Përgjithshme të Tatimeve për të gjitha të dhënat, që kanë lidhje me tatim-taksat.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Kur një person fizik apo juridik e zhvillon veprimtarinë në fushën e lojërave të fatit në kundërshtim me dispozitat e këtij ligji ose pa licencën përkatëse, të lëshuar nga autoriteti i autorizuar për dhënien e saj, inspektorët e NJMLF-së vendosin gjobë, bllokojnë veprimtarinë dhe sekuestrojnë pajisjet e lojërave të fatit, sipas dispozitave të kreut IX të këtij ligji.</w:t>
      </w: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14</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Struktura dhe organika e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Struktura dhe organika e NJMLF-së miratohen nga Kryeministri, me propozimin e Ministrit të Financave, në përputhje me legjislacionin në fuqi.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Titullari i NJMLF-së emërohet nga Ministri Financave, në përputhje me legjislacionin në fuqi.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NJMLF-ja përbëhet nga inspektorë kontrolli, inspektorë certifikimi për mjetet e lojërave dhe inspektorë të zbatimit të masave shtrënguese.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Marrëdhëniet e punës për punonjësit e NJMLF-së rregullohen me Kodin e Punës dhe me aktet e tjera nënligjore, të nxjerra në zbatim të tij.</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15</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Raportimi i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NJMLF-ja raporton për veprimtarinë e saj te Ministri i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NJMLF-ja raporton në afate të përcaktuara dhe sa herë i kërkohet, para Ministrit të Financave për rregullsinë e zhvillimit të veprimtarisë së subjekteve të licencuara në fushën e lojërave të fatit, për kontrollet e ushtruara, rezultatet e tyre, si dhe për sanksionet e vendosura.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NJMLF-ja paraqet te Ministri i Financave, brenda tremujorit të parë të çdo viti, raportin vjetor të veprimtarisë për vitin pararendës.</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16</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Inspektimi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Inspektimi i veprimtarisë së çdo personi juridik, që zhvillon veprimtari në fushën e lojërave të fatit, kryhet nga inspektorët e NJMLF-së.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Inspektorët e NJMLF-së pajisen me dokument të posaçëm identifikimi. Ata kryejnë inspektim në mjediset, ku personi fizik apo juridik zhvillon veprimtarinë pa e njoftuar paraprakisht, për të verifikuar zbatimin e dispozitave të këtij ligji dhe të akteve nënligjore, të nxjerra në zbatim të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Çdo person juridik, që zhvillon veprimtari në fushën e lojërave të fatit, është i detyruar t’i lejojë inspektorët të kryejnë inspektimin kudo ku ka pajisje të lojërave të fatit, si dhe t’u ofrojë inspektorëve të gjitha të dhënat dhe dokumentacionin e kërkuar prej tyre.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KapitulliNr"/>
        <w:rPr>
          <w:rFonts w:eastAsia="MS Mincho"/>
          <w:sz w:val="21"/>
          <w:szCs w:val="21"/>
          <w:lang w:eastAsia="en-GB"/>
        </w:rPr>
      </w:pPr>
      <w:r w:rsidRPr="00AD3BBF">
        <w:rPr>
          <w:rFonts w:eastAsia="MS Mincho"/>
          <w:sz w:val="21"/>
          <w:szCs w:val="21"/>
          <w:lang w:eastAsia="en-GB"/>
        </w:rPr>
        <w:t>KREU III</w:t>
      </w:r>
    </w:p>
    <w:p w:rsidR="00AA792C" w:rsidRPr="00AD3BBF" w:rsidRDefault="00AA792C" w:rsidP="00BB5C7B">
      <w:pPr>
        <w:pStyle w:val="KapitulliTitull"/>
        <w:rPr>
          <w:rFonts w:eastAsia="MS Mincho"/>
          <w:sz w:val="21"/>
          <w:szCs w:val="21"/>
          <w:lang w:eastAsia="en-GB"/>
        </w:rPr>
      </w:pPr>
      <w:r w:rsidRPr="00AD3BBF">
        <w:rPr>
          <w:rFonts w:eastAsia="MS Mincho"/>
          <w:sz w:val="21"/>
          <w:szCs w:val="21"/>
          <w:lang w:eastAsia="en-GB"/>
        </w:rPr>
        <w:t>ORGANIZIMI I BASTEVE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17</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Kërkesat për të lejuar ushtrimin e veprimtarisë së basteve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Asnjë person nuk mund të organizojë ose të zhvillojë baste, në qoftë se nuk plotëson detyrimet e përcaktuara në këtë ligj dhe në aktet nënligjore, në zbatim të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Të gjitha bastet, të cilat nuk vendosen në kohë reale në serverin qendror të organizatorit për ngjarje sportive të papërsëritshme apo të zhvilluara në kohën, kur rezultati i ngjarjeve sportive është pothuajse i vendosur dhe i përcaktuar, janë të ndaluara.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18</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Pagesa për ushtrim veprimtarie për bastet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Personi juridik, i cili ushtron veprimtarinë për lojërat e fatit për baste dhe ka plotësuar kriteret e përcaktuara në nenin 19 të këtij ligji, duhet të bëjë pagesat e mëposhtme vjetore: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 ushtrim veprimtarie për baste sportive, 2 000 000 (dy milionë) lekë për shoqërinë, pranë organit tatimor, ku është regjistruar subjekti juridik. Pagesa bëhet një herë në vit, brenda muajit janar, në njërën nga bankat e vendit, për llogari të organit tatimor. Nëse organizatori e fillon veprimtarinë në gjashtëmujorin e parë të vitit, pagesa bëhet e plotë, ndërsa nëse veprimtaria fillohet në gjashtëmujorin e dytë të vitit paguhen 1 000 000 (një milion )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ushtrim veprimtarie për baste për garat në pistë, 2 000 000 (dy milionë) lekë për shoqërinë, pranë organit tatimor, ku është regjistruar subjekti juridik. Pagesa bëhet një herë në vit brenda muajit janar, në njërën nga bankat e vendit, për llogari të organit tatimor. Nëse organizatori e fillon veprimtarinë në gjashtëmujorin e parë të vitit, pagesa bëhet e plotë, ndërsa nëse veprimtaria fillohet në gjashtëmujorin e dytë të vitit paguhen 1 000 000 (një milion) lekë.</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19</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Kriteret për lejimin e organizimit të basteve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Kriteret për organizimin dhe ushtrimin e lojërave të fatit për baste sportive dhe/ose baste për gara në pistë, janë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jetë shoqëri anonime, me seli në territorin e Republikës së Shqipërisë, ku në objektin e veprimtarisë të pasqyrohet veprimtaria për lojëra fati, sipas llojit të lojës që kërkohet;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ketë NIPT-in e shoqërisë;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ketë kapitalin themeltar të shoqërisë jo më i vogël se 20 000 000 (njëzet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të vetëdeklarojë aksionarët e shoqërisë, ata që kontrollojnë paketën kryesore të aksioneve, si dhe të japë informacion për kapitalet dhe interesat e aksionarëve në shoqëri të tjera të përbashkëta ose jo të përbashkëta;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të deklarojë burime të mjaftueshme financiare për të organizuar lojëra fati;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dh) të paraqesë rregulloren e lojës, sipas nenit 20 të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të këtë një marrëveshje paraprake për të bashkëpunuar me njërën nga bankat me seli në territorin e Republikës së Shqipërisë, për arkëtimin, depozitimin dhe transferimin e pagesave;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të paraqesë ekstraktin nga QKR-ja, ku të vërtetohet se shoqëria nuk është në proces falimentimi apo likuidimi, nuk është dënuar për shkelje penale, si dhe nuk është dënuar me vendim gjykate të formës së prerë, që lidhet me veprimtarinë profesionale;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të ketë dokumentin e certifikimit të mjeteve të lojërave, sipas dispozitave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të bëjë pagesën për fondin e ngurtësimit për fituesit e lojërave të fatit menjëherë, përpara paraqitjes së dokumentacionit administrativo-ligjor, sipas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Përveç NIPT-it, kriteret e mësipërme vërtetohen nëpërmjet dokumenteve të lëshuara brenda 3 muajve të fundit nga data miratimit të tyre nga organet përgjegjëse shtetërore, si dhe duhet të jenë origjinale apo të noterizuara.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Nëse aplikanti është person juridik i huaj, dokumentacioni i mësipërm paraqitet në formën e deklaratës me shkrim, nën përgjegjësinë e tij, nëse këto vërtetime nuk lëshohen në shtetin e tyre të origjinës.</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20</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Rregullorja e lojërave të fatit për bastet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Rregullorja e lojës së fatit propozohet nga organizatori dhe miratohet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Rregullorja detyrimisht duhet të përmbajë: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emrin dhe selinë e organizuesit;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emrin, përshkrimin dhe kohëzgjatjen e lojës së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kushtet për pjesëmarrje në lojën e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vendin, ku organizohet loja, përkatësisht territorin, ku bëhet shitja e biletave;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çmimin individual të biletës, përkatësisht kombinacionet;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afatin e fundit për pjesëmarrje në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sasinë dhe vlerën monetare të biletave të shitura;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fondin e fitimit dhe llojin e fitimeve;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përshkrimin e biletës dhe të fletëpagesës;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mënyrën, procedurën dhe mbikëqyrjen e tërheqjes, përkatësisht mënyrën e verifikimit të fitimeve;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mënyrën e publikimit të shumave të fondit fitues dhe rezultateve të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h) mënyrën dhe afatin e pagesës së fitimeve monetare;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 mënyrën e njohjes me rregullat të pjesëmarrësit në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j) procedura, në rastin e revokimit të tërheqjes;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 çdo dokumentacion të kërkuar nga NJMLF-ja.</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21</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 xml:space="preserve">Organizimi i basteve </w:t>
      </w:r>
      <w:r w:rsidRPr="00A6064E">
        <w:rPr>
          <w:rFonts w:eastAsia="MS Mincho"/>
          <w:i/>
          <w:sz w:val="21"/>
          <w:szCs w:val="21"/>
          <w:lang w:eastAsia="en-GB"/>
        </w:rPr>
        <w:t>on-line</w:t>
      </w:r>
      <w:r w:rsidRPr="00AD3BBF">
        <w:rPr>
          <w:rFonts w:eastAsia="MS Mincho"/>
          <w:sz w:val="21"/>
          <w:szCs w:val="21"/>
          <w:lang w:eastAsia="en-GB"/>
        </w:rPr>
        <w:t xml:space="preserve">, në servera të dedikuar, të certifikuar, të njohur </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dhe të monitorueshëm nga NJMLF-ja</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Organizatori i basteve sportive, për komunikimin </w:t>
      </w:r>
      <w:r w:rsidRPr="00A6064E">
        <w:rPr>
          <w:rFonts w:eastAsia="MS Mincho"/>
          <w:i/>
          <w:sz w:val="21"/>
          <w:szCs w:val="21"/>
          <w:lang w:val="en-GB" w:eastAsia="en-GB"/>
        </w:rPr>
        <w:t>on-line</w:t>
      </w:r>
      <w:r w:rsidRPr="00AD3BBF">
        <w:rPr>
          <w:rFonts w:eastAsia="MS Mincho"/>
          <w:sz w:val="21"/>
          <w:szCs w:val="21"/>
          <w:lang w:val="en-GB" w:eastAsia="en-GB"/>
        </w:rPr>
        <w:t xml:space="preserve"> ose jo, duhet të instalojë pajisje bastesh me një siguri të lartë, që të përputhen minimalisht me këto kërkesa: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zona qendrore ku mbahen serverat e ku përpunohen kuotat dhe informacionet e tjera duhet të jetë e pajisur me një sistem kontrolli, që të regjistrojë çdo person, që hyn dhe </w:t>
      </w:r>
      <w:smartTag w:uri="urn:schemas-microsoft-com:office:smarttags" w:element="place">
        <w:smartTag w:uri="urn:schemas-microsoft-com:office:smarttags" w:element="State">
          <w:r w:rsidRPr="00AD3BBF">
            <w:rPr>
              <w:rFonts w:eastAsia="MS Mincho"/>
              <w:sz w:val="21"/>
              <w:szCs w:val="21"/>
              <w:lang w:val="en-GB" w:eastAsia="en-GB"/>
            </w:rPr>
            <w:t>del</w:t>
          </w:r>
        </w:smartTag>
      </w:smartTag>
      <w:r w:rsidRPr="00AD3BBF">
        <w:rPr>
          <w:rFonts w:eastAsia="MS Mincho"/>
          <w:sz w:val="21"/>
          <w:szCs w:val="21"/>
          <w:lang w:val="en-GB" w:eastAsia="en-GB"/>
        </w:rPr>
        <w:t xml:space="preserve"> në këtë zonë, datën, orën dhe identifikimin e personit dhe ta ruajë regjistrimin për të paktën një periudhë 3- mujore;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zona duhet të ketë kamera, të tipit CCTV, ku të gjitha pajisjet e lidhura të jenë të dukshme, në mënyrë të qartë;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zona duhet të jetë e ruajtur gjatë të gjithë kohës;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zona duhet të ketë një rrjet pajisjesh monitoruese që mund të kontrollohen nga NJMLF-ja ose inspektorët e saj.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Për bastet që zhvillohen </w:t>
      </w:r>
      <w:r w:rsidRPr="00A6064E">
        <w:rPr>
          <w:rFonts w:eastAsia="MS Mincho"/>
          <w:i/>
          <w:sz w:val="21"/>
          <w:szCs w:val="21"/>
          <w:lang w:val="en-GB" w:eastAsia="en-GB"/>
        </w:rPr>
        <w:t>on-line</w:t>
      </w:r>
      <w:r w:rsidRPr="00AD3BBF">
        <w:rPr>
          <w:rFonts w:eastAsia="MS Mincho"/>
          <w:sz w:val="21"/>
          <w:szCs w:val="21"/>
          <w:lang w:val="en-GB" w:eastAsia="en-GB"/>
        </w:rPr>
        <w:t>, i gjithë sistemi duhet të operojë mbi një server të dedikuar, autorizuar për administrimin e basteve, të monitorueshëm nëpërmjet kredencialeve përkatëse të NJMLF-së. Serveri në fjalë duhet të përmbushë të gjitha kushtet e nivelit të lartë të sigurisë, të sistemeve mbrojtëse, kundrejt ndërhyrjeve të rrezikshme nga elementë të rrezikshëm për dëmtimin e të dhënave dhe daljen jashtë pune të këtyre serverave.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Administratori i basteve sportive të luajtura on-line ose jo duhet: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ofrojë të drejta hyrëse për përfaqësuesit e NJMLF-së dhe të strukturës përgjegjëse për lojërat e fatit në zonën, ku janë vendosur pajisjet e basteve;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marrë më parë miratimin paraprak nga struktura përgjegjëse për lojërat e fatit, për çdo ndryshim material të sistemit, përpara se ky ndryshim të bëhet fakt nga organizatorët;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sigurojë që vetëm personat e autorizuar prej tij do të kenë të drejta hyrëse në zonën, ku janë të vendosura pajisjet e basteve;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të sigurojë që nuk do të ketë asnjë ndërhyrje në të dhënat e sistemit;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të regjistrojë, paraprakisht, çdo lojtar që do të marrë pjesë në baste, për shuma të luajtura ose të fituara që kalojnë vlerën 200 000 (dyqind mijë) lekë, si dhe të marrë të dhëna për identitetin e tyre;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dh) nuk duhet të pranojë nga lojtarët para </w:t>
      </w:r>
      <w:r w:rsidRPr="00A6064E">
        <w:rPr>
          <w:rFonts w:eastAsia="MS Mincho"/>
          <w:i/>
          <w:sz w:val="21"/>
          <w:szCs w:val="21"/>
          <w:lang w:val="en-GB" w:eastAsia="en-GB"/>
        </w:rPr>
        <w:t>cash</w:t>
      </w:r>
      <w:r w:rsidRPr="00AD3BBF">
        <w:rPr>
          <w:rFonts w:eastAsia="MS Mincho"/>
          <w:sz w:val="21"/>
          <w:szCs w:val="21"/>
          <w:lang w:val="en-GB" w:eastAsia="en-GB"/>
        </w:rPr>
        <w:t>, por pagesa duhet bërë vetëm nga llogaria bankare, me kartë krediti a debiti ose nga portofoli elektronik, i regjistruar nga klienti në një institucion financiar të njohur;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duhet t’i paguajë lojtarët fitues sa më shpejt të jetë e mundur, vetëm nga llogaria, ku janë depozituar pagesat dhe vetëm në llogarinë në emër të fituesit;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nuk duhet të lejojë asnjë lojtar të mbajë më shumë se një llogari me administratorin;</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duhet të mbajë në një llogari bankare fondet e lojtarëve, të ndara nga fondet e tjera të pronësisë së shoqërisë dhe me kusht që kjo llogari të jetë në një institucion të pranueshëm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duhet t’u ofrojë lojtarëve mbështetje, të paktën nëp</w:t>
      </w:r>
      <w:r w:rsidR="00A6064E">
        <w:rPr>
          <w:rFonts w:eastAsia="MS Mincho"/>
          <w:sz w:val="21"/>
          <w:szCs w:val="21"/>
          <w:lang w:val="en-GB" w:eastAsia="en-GB"/>
        </w:rPr>
        <w:t xml:space="preserve">ërmjet telefonit ose </w:t>
      </w:r>
      <w:r w:rsidRPr="00A6064E">
        <w:rPr>
          <w:rFonts w:eastAsia="MS Mincho"/>
          <w:i/>
          <w:sz w:val="21"/>
          <w:szCs w:val="21"/>
          <w:lang w:val="en-GB" w:eastAsia="en-GB"/>
        </w:rPr>
        <w:t>e-mail</w:t>
      </w:r>
      <w:r w:rsidRPr="00AD3BBF">
        <w:rPr>
          <w:rFonts w:eastAsia="MS Mincho"/>
          <w:sz w:val="21"/>
          <w:szCs w:val="21"/>
          <w:lang w:val="en-GB" w:eastAsia="en-GB"/>
        </w:rPr>
        <w: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duhet t’i paraqesë NJMLF-së një raport mujor të shumave apo të pagesave të bëra nga klientët, si dhe të detyrimeve a pagesave të fituesve;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h) duhet të zbatojë procedura dhe masa siç mund të kërkohen nga NJMLF-ja.</w:t>
      </w:r>
    </w:p>
    <w:p w:rsidR="00AA792C" w:rsidRPr="00AD3BBF" w:rsidRDefault="00AA792C" w:rsidP="00BB5C7B">
      <w:pPr>
        <w:pStyle w:val="Paragrafi"/>
        <w:ind w:firstLine="0"/>
        <w:rPr>
          <w:rFonts w:eastAsia="MS Mincho"/>
          <w:sz w:val="21"/>
          <w:szCs w:val="21"/>
          <w:lang w:val="en-GB" w:eastAsia="en-GB"/>
        </w:rPr>
      </w:pPr>
    </w:p>
    <w:p w:rsidR="00AA792C" w:rsidRPr="00AD3BBF" w:rsidRDefault="00AA792C" w:rsidP="00BB5C7B">
      <w:pPr>
        <w:pStyle w:val="KapitulliNr"/>
        <w:rPr>
          <w:rFonts w:eastAsia="MS Mincho"/>
          <w:sz w:val="21"/>
          <w:szCs w:val="21"/>
          <w:lang w:eastAsia="en-GB"/>
        </w:rPr>
      </w:pPr>
      <w:r w:rsidRPr="00AD3BBF">
        <w:rPr>
          <w:rFonts w:eastAsia="MS Mincho"/>
          <w:sz w:val="21"/>
          <w:szCs w:val="21"/>
          <w:lang w:eastAsia="en-GB"/>
        </w:rPr>
        <w:t>KREU IV</w:t>
      </w:r>
    </w:p>
    <w:p w:rsidR="00AA792C" w:rsidRPr="00AD3BBF" w:rsidRDefault="00AA792C" w:rsidP="00BB5C7B">
      <w:pPr>
        <w:pStyle w:val="KapitulliTitull"/>
        <w:rPr>
          <w:rFonts w:eastAsia="MS Mincho"/>
          <w:sz w:val="21"/>
          <w:szCs w:val="21"/>
          <w:lang w:eastAsia="en-GB"/>
        </w:rPr>
      </w:pPr>
      <w:r w:rsidRPr="00AD3BBF">
        <w:rPr>
          <w:rFonts w:eastAsia="MS Mincho"/>
          <w:sz w:val="21"/>
          <w:szCs w:val="21"/>
          <w:lang w:eastAsia="en-GB"/>
        </w:rPr>
        <w:t>ORGANIZIMI I LOJËRAVE NË KAZINO ELEKTRONIKE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22</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Lejimi i mjeteve elektronike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Asnjë shoqëri nuk mund të organizojë ose të përdorë mjete elektronike në kazino elektronike, në qoftë se nuk plotëson detyrimet e përcaktuara nga ky ligj dhe aktet nënligjore, në zbatim të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Në një kazino elektronike duhet të ketë jo më pak se 10 mjete elektronike për çdo sallë.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Për ushtrimin e veprimtarisë në kazino elektronike, shoqëria duhet të ketë paguar shumën 1 000 000 (një milion) lekë pranë organit tatimor, ku është regjistruar subjekti juridik. Pagesa bëhet një herë në vit brenda muajit janar. Në rast se shoqëria e fillon veprimtarinë brenda gjashtëmujorit të parë të vitit, pagesa bëhet e plotë, 1 000 000 (një milion) lekë. Në rast se shoqëria e fillon veprimtarinë në gjashtëmujorin e dytë të vitit, pagesa është 500 000 (pesëqind mijë)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Vetëm organizatori, që ka plotësuar kriteret për kazino elektronike, duhet të përdorë tabelë me emërtimin “Kazino elektronike” në mjediset ku i zhvillon këto lojëra.</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23</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Kriteret e lejimit për zhvillimin e lojës “Kazino elektronike”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Kriteret për organizimin dhe ushtrimin e lojërave të fatit në kazinonë elektronike janë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jetë shoqëri anonime, me seli në territorin e Republikës së Shqipërisë, ku në objektin e veprimtarisë të pasqyrohet veprimtaria për lojëra fati, sipas llojit të lojës që kërkohet;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ketë NIPT-in e shoqërisë;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kapitali themeltar i shoqërisë të jetë jo më i vogël se 10 000 000 (dhjetë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të vetëdeklarojë aksionarët e shoqërisë, ata që kontrollojnë paketën kryesore të aksioneve, si dhe të japë të dhëna për kapitalet dhe interesat e aksionarëve në shoqëri të tjera, të përbashkëta ose jo të përbashkëta;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të deklarojë burime të mjaftueshme financiare për të organizuar lojëra fati;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dh) të paraqesë rregulloren e lojës, sipas nenit 20 të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të ketë një marrëveshje paraprake për të bashkëpunuar me njërën nga bankat, me seli në territorin e Republikës së Shqipërisë, për arkëtimin, depozitimin dhe transferimin e pagesave;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të paraqesë ekstraktin nga QKR-ja, ku të vërtetohet se shoqëria nuk është në proces falimentimi apo likuidimi, nuk është dënuar për shkelje penale, si dhe nuk është dënuar me vendim gjykate të formës së prerë, që lidhet me veprimtarinë profesionale. Vërtetimi të jetë edhe për secilin aksionar të shoqërisë;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f) të bëjë pagesën për fondin e ngurtësimit për fituesit e lojës, përpara paraqitjes së dokumentacionit administrativo-ligjor, në përputhje me dispozitat e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të deklarojë adresën, ku do të hapet kazinoja elektronike, si dhe numrin e mjeteve elektronike;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të paraqesë dokumentin e certifikimit të mjeteve elektronike, në përputhje me nenin 24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Përveç NIPT-it, kriteret e mësipërme vërtetohen nëpërmjet dokumenteve të lëshuara brenda 3 muajve të fundit nga data miratimit të tyre, nga organet përgjegjëse shtetërore, si dhe duhet të jenë origjinal apo të noterizuara.</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24</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Specifikimet teknike të makinave elektronike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Çdo makinë elektronike duhet: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jetë në përputhje me rregullat/direktivat e zbatueshme të sigurisë së BE-së.(EC Safety regulations);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jetë në përputhje me standardet e BE-së;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jetë e pajisur me deklaratën e përputhshmërisë së BE-së;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të jetë e pajisur me certifikatën e prodhimit, certifikatën e origjinës dhe dokumentet e zhdoganimit;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 të përmbajë lojëra në përputhje me kërkesat e pikës 2 të këtij neni;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të ketë një gjenerues rastësor numrash (random number generator) (RNG), të instaluar në të, i cili duhet të plotësojë kërkesat e kësaj dispozite;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të jetë e plumbosur nga NJMLF-ja me vulën përkatëse;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të ketë memorie fiskale për transferimin e të dhënave të xhiros on-line tek organet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Çdo lojë e një makine elektronike: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duhet të ketë përshkrimin e duhur, i cili duhet të përfshijë: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i) titullin e lojës;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ii) numrin serial;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iii) rregullat e luajtjes së saj;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duhet të ketë rezultate të rastësishëm, të përcaktuara nga një gjenerator numrash të rastësishëm, të vendosur në makinën elektronike.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Gjeneruesi rastësor i numrave (RNG), i instaluar në të, duhet të jetë i miratuar nga një laborator testues, ndërkombëtar ose kombëtar, (pjesë e piramidës/hierarkisë së sistemit të cilësisë), i akredituar për software-t e lojërave, në bashkëpunim me  NJMLF-në dhe Drejtorinë e Përgjithshme të Akreditimit/Standardeve. Ky laborator duhet të jetë i certifikuar, sipas standardeve ndërkombëtare ISO EN 17025 ose ISO EN 17020. Duhet të jetë lëshuar një certifikatë miratimi nga laboratori i sipërpërmendur, e cila duhet të përmbajë përshkrimin e RNG-së dhe të funksionimit të tij, përfshirë rastësinë dhe normativën e pagesës.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Çdo makinë e certifikuar dhe e miratuar duhet të ketë të ngjitur, në një vend të dukshëm, pullën e rregullsisë, e cila duhet të përmbajë elementet e sigurisë së këtyre pajisjeve, përfshirë: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numrin unik serial;</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hologramën;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emrin ose kodin e certifikatës/licencës për vënien në funksionim të makinave të lojërave të fatit;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formën dhe ngjyrën e saj origjinale, e cila mund të ndryshojë çdo 3 muaj apo pas çdo kohe të vendosur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Pullat e rregullsisë lëshohen dhe vendosen te çdo makinë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6. Pulla është e vlefshme për një periudhë njëvjeçare nga data e miratimit.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7. Ekstremitetet e pullës së rregullsisë përcaktohen me udhëzim të Ministrit të Financave.</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25</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Certifikimi dhe miratimi i video-lotari-terminaleve (VLT)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Asnjë shoqëri nuk mund të vendosë apo të ofrojë lojëra sipas konceptit/funksionimit të VLT-së, deri në çastin që VLT-ja të certifikohet dhe të miratohet (nëse kjo VLT përmbush specifikimet teknike të tipit të saj) nga NJMLF-ja, në bashkëpunim me Drejtorinë e Akreditimit, e cila afishon në një vend të dukshëm, kërkesat sipas përcaktimit të pikës 5 të këtij neni.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Çdo VLT duhet: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të jetë e shoqëruar me certifikatën e plotë dhe korrente dhe me deklaratën e konformitetit;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ketë certifikatën e prodhimit, certifikatën e origjinës dhe dokumentet e zhdoganimit;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jetë e plumbosur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ç) të ketë memorie fiskale për transferimin e të dhënave të xhiros </w:t>
      </w:r>
      <w:r w:rsidRPr="008252B8">
        <w:rPr>
          <w:rFonts w:eastAsia="MS Mincho"/>
          <w:i/>
          <w:sz w:val="21"/>
          <w:szCs w:val="21"/>
          <w:lang w:val="en-GB" w:eastAsia="en-GB"/>
        </w:rPr>
        <w:t>on-line</w:t>
      </w:r>
      <w:r w:rsidRPr="00AD3BBF">
        <w:rPr>
          <w:rFonts w:eastAsia="MS Mincho"/>
          <w:sz w:val="21"/>
          <w:szCs w:val="21"/>
          <w:lang w:val="en-GB" w:eastAsia="en-GB"/>
        </w:rPr>
        <w:t xml:space="preserve"> tek organet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të jetë në përputhje me rregullat e direktivat e BE-së, të zbatueshme për sigurinë (EC Safety regulations);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të jetë në përputhje me standardet e BE-së;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të jetë e pajisur me deklaratën e konformitetit të BE-së;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të jetë i pajisur me certifikatën e prodhimit dhe certifikatën e origjinës, si dhe me dokumentet e zhdoganimit;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f) të përmbajë lojëra, në përputhje me kërkesat e pikës 3 të këtij neni;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të jetë e plumbosur nga NJMLF-ja me vulën përkatëse;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gj) të ketë memorie fiskale për transferimin e të dhënave të xhiros </w:t>
      </w:r>
      <w:r w:rsidRPr="008252B8">
        <w:rPr>
          <w:rFonts w:eastAsia="MS Mincho"/>
          <w:i/>
          <w:sz w:val="21"/>
          <w:szCs w:val="21"/>
          <w:lang w:val="en-GB" w:eastAsia="en-GB"/>
        </w:rPr>
        <w:t>on-line</w:t>
      </w:r>
      <w:r w:rsidRPr="00AD3BBF">
        <w:rPr>
          <w:rFonts w:eastAsia="MS Mincho"/>
          <w:sz w:val="21"/>
          <w:szCs w:val="21"/>
          <w:lang w:val="en-GB" w:eastAsia="en-GB"/>
        </w:rPr>
        <w:t xml:space="preserve"> tek organet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Çdo lojë në një VLT duhet të ketë: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përshkrimin e duhur, ku përfshihen:</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i) titulli i lojës;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ii) numri serial;</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iii) rregullat e luajtjes së saj;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rezultate të rastësishme të përcaktuara nga një gjenerator numrash të rastësishëm, të vendosur në serverin qendror, tek i cili VLT-ja në fjalë së bashku me VLT-të e tjera të përdorura për videolotari janë të lidhura (</w:t>
      </w:r>
      <w:r w:rsidRPr="008252B8">
        <w:rPr>
          <w:rFonts w:eastAsia="MS Mincho"/>
          <w:i/>
          <w:sz w:val="21"/>
          <w:szCs w:val="21"/>
          <w:lang w:val="en-GB" w:eastAsia="en-GB"/>
        </w:rPr>
        <w:t>connected</w:t>
      </w:r>
      <w:r w:rsidRPr="00AD3BBF">
        <w:rPr>
          <w:rFonts w:eastAsia="MS Mincho"/>
          <w:sz w:val="21"/>
          <w:szCs w:val="21"/>
          <w:lang w:val="en-GB" w:eastAsia="en-GB"/>
        </w:rPr>
        <w:t xml:space="preserv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të paktën normativën e pagesës 80 për qind  (të përcaktuar mbi një cikël minimal prej 200 000 lojërash, të luajtura ose të simuluara, për t’u luajtur).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4. Një gjenerator numrash të rastësishëm (RNG) në serverin qendror, kur VLT-të e përdorura në videolotaritë janë të lidhura: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duhet të jetë i miratuar nga një laborator testues ndërkombëtar ose kombëtar (pjesë e piramidës së sistemit të cilësisë), i akredituar për </w:t>
      </w:r>
      <w:r w:rsidRPr="008252B8">
        <w:rPr>
          <w:rFonts w:eastAsia="MS Mincho"/>
          <w:i/>
          <w:sz w:val="21"/>
          <w:szCs w:val="21"/>
          <w:lang w:val="en-GB" w:eastAsia="en-GB"/>
        </w:rPr>
        <w:t>software-t</w:t>
      </w:r>
      <w:r w:rsidRPr="00AD3BBF">
        <w:rPr>
          <w:rFonts w:eastAsia="MS Mincho"/>
          <w:sz w:val="21"/>
          <w:szCs w:val="21"/>
          <w:lang w:val="en-GB" w:eastAsia="en-GB"/>
        </w:rPr>
        <w:t xml:space="preserve"> e lojërave, në bashkëpunim me NJMLF-në dhe Drejtorinë e Përgjithshme të Akreditimit/Standardeve. Ky laborator duhet të jetë i certifikuar, në bazë të standardeve ndërkombëtare ISO EN 17025 ose ISO EN 17020;</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duhet të ketë një certifikatë miratimi, dhënë nga laboratori i sipërpërmendur, e cila duhet të përmbajë përshkrimin e RNG-së dhe funksionimin e tij, përfshirë rastësinë dhe normativën e pagesës.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Çdo VLT, e certifikuar dhe e miratuar, duhet të ketë gjatë të gjithë kohës, të afishuar (të ngjitur) në një vend të dukshëm “Pullën e rregullsisë”, të vlefshme, e cila duhet: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përmbajë elementet e sigurisë së këtyre pajisjeve, përfshirë: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 numrin unik serial;</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ii) hologramën;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iii) emrin ose kodin e certifikatës/licencës për operimin e makinave të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iv) formën dhe ngjyrën e saj orgjinale, e cila mund të ndryshojë çdo 3 muaj apo pas çdo kohe, të vendosur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sigurohet dhe të fiksohet në çdo pajisje të lojërave të fatit, të certifikuar/miratuar ekskluzivisht,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jetë e vlefshme për një periudhë 3-mujore ose për aq kohë, sa vendoset nga NJMLF-ja.</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BB5C7B">
      <w:pPr>
        <w:pStyle w:val="KapitulliNr"/>
        <w:rPr>
          <w:rFonts w:eastAsia="MS Mincho"/>
          <w:sz w:val="21"/>
          <w:szCs w:val="21"/>
          <w:lang w:eastAsia="en-GB"/>
        </w:rPr>
      </w:pPr>
      <w:r w:rsidRPr="00AD3BBF">
        <w:rPr>
          <w:rFonts w:eastAsia="MS Mincho"/>
          <w:sz w:val="21"/>
          <w:szCs w:val="21"/>
          <w:lang w:eastAsia="en-GB"/>
        </w:rPr>
        <w:t>KREU V</w:t>
      </w:r>
    </w:p>
    <w:p w:rsidR="00AA792C" w:rsidRPr="00AD3BBF" w:rsidRDefault="00AA792C" w:rsidP="00BB5C7B">
      <w:pPr>
        <w:pStyle w:val="KapitulliTitull"/>
        <w:rPr>
          <w:rFonts w:eastAsia="MS Mincho"/>
          <w:sz w:val="21"/>
          <w:szCs w:val="21"/>
          <w:lang w:eastAsia="en-GB"/>
        </w:rPr>
      </w:pPr>
      <w:r w:rsidRPr="00AD3BBF">
        <w:rPr>
          <w:rFonts w:eastAsia="MS Mincho"/>
          <w:sz w:val="21"/>
          <w:szCs w:val="21"/>
          <w:lang w:eastAsia="en-GB"/>
        </w:rPr>
        <w:t>ORGANIZIMI I LOTARISË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26</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Lejimi i luajtjes së lojërave të lotarisë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Autoriteti i parashikuar nga ligji ka të drejtë të japë licencën “Lotari kombëtare” për një periudhë 10-vjeçare. Kjo licencë është një e vetme dhe i jepet aplikantit, i cili përzgjidhet i pari në procesin e konkurrimit, të zhvilluar sipas procedurave të përcaktuara në ligj dhe në aktet nënligjore, dalë në zbatim të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Licenca e lotarisë kombëtare përfshin: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gjitha lojërat numerike, ku një numër është tërhequr nga një radhë e paracaktuar numrash;</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“Keno”, si në formën tradicionale, ashtu edhe në atë elektronike;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lotari, për të cilat hidhet short, ku lojtari synon të fitojë një shumë të caktuar, nëse nga hedhja e shortit, që bëhet në mënyrë publike, fiton numri, që shënohet në biletën e zgjedhur prej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lotari e çastit, ku lojtarit i ofrohet mundësia të bëjë vetë fshirjen e shiritit mbulues të numrit të shënuar, brenda një intervali kohor të caktuar, gjatë të cilit është e vlefshme seria e biletës së lotarisë.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Aplikanti, për marrjen e licencës për lotarinë kombëtare duhet të paguajë menjëherë një shumë prej jo më pak se 300 000 000 (treqind milionë) lekësh, në njërën nga bankat e vendit, për llogari të organeve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Organizatori për lotari kombëtare duhet të njoftojë NJMLF-në për të gjitha lojërat që do të ofrohen, si të përcaktuara në këtë nen për çdo ndryshim të rëndësishëm të ndonjë loje, për çdo vend ku ai ushtron veprimtarinë për lojëra lotarie, si dhe për çdo pagesë të fituesve.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27</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Procedura e hapjes së garës për lotarinë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Autoriteti i autorizuar nga ligji shpall hapjen e garës për dhënien e licencës për lotarinë kombëtare, pas autorizimit të dhënë me vendim të Këshillit të Ministrave.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2. Këshilli i Ministrave miraton kriteret e vlerësimit të garës, dokumentet standarde, strukturën e Komisionit të Vlerësimit të Ofertave.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Autoriteti i autorizuar nga ligji publikon njoftimin për konkurrim në lojërat e fatit për lotari kombëtare, të paktën në një gazetë të huaj, me qarkullim ndërkombëtar, në dy gazeta, që botohen në vendin tonë, në dy numra radhazi, si dhe në Buletinin e Njoftimeve Publike.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Njoftimi duhet të përmbajë: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vendin, datën dhe orën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gjuhën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mënyrën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vendin, orën dhe datën e shqyrtimit të dokumenteve.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28</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Kriteret e licencimit për lotarinë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Çdo person juridik apo bashkim personash juridikë, </w:t>
      </w:r>
      <w:smartTag w:uri="urn:schemas-microsoft-com:office:smarttags" w:element="place">
        <w:smartTag w:uri="urn:schemas-microsoft-com:office:smarttags" w:element="country-region">
          <w:r w:rsidRPr="00AD3BBF">
            <w:rPr>
              <w:rFonts w:eastAsia="MS Mincho"/>
              <w:sz w:val="21"/>
              <w:szCs w:val="21"/>
              <w:lang w:val="en-GB" w:eastAsia="en-GB"/>
            </w:rPr>
            <w:t>vendas</w:t>
          </w:r>
        </w:smartTag>
      </w:smartTag>
      <w:r w:rsidRPr="00AD3BBF">
        <w:rPr>
          <w:rFonts w:eastAsia="MS Mincho"/>
          <w:sz w:val="21"/>
          <w:szCs w:val="21"/>
          <w:lang w:val="en-GB" w:eastAsia="en-GB"/>
        </w:rPr>
        <w:t xml:space="preserve"> ose të huaj, pas shpalljes së ftesës për ofertë, nga autoriteti i autorizuar nga ligji ka të drejtë të aplikojë pranë kësaj strukture, për t’u pajisur me licencë për lotari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Kërkesa për licencën për lotari kombëtare shoqërohet me dokumentet e mëposhtme, me kushtin që këto dokumente të jenë brenda 3 muajve nga data e miratimit nga organet përgjegjëse shtetërore: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dokumentet origjinale apo të noterizuara, që vërtetojnë se aplikanti është i organizuar në formë shoqërie aksionare apo bashkim shoqërish, si dhe aktin e themelimit të shoqërisë dhe statutin;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kapitali i shoqërisë të jetë jo më i vogël se 1 200 000 000 (një miliard e dyqind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vetëdeklarimin se nuk është në proces falimentimi apo likuidimi;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një kopje të noterizuar të lejes për ushtrimin e veprimtarisë në fushën e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dokumentin, ku të shënohet se ka një përvojë në këtë veprimtari jo më pak se 3 vjet, të dhënë nga organi përkatës i vendit, ku aplikanti ka selinë qendrore;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deklaratën për burimin e kapitalit, që do të investohet për ushtrimin e veprimtarisë në fushën e lotarisë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vërtetimin nga organet tatimore, për shlyerjen, si nga shoqëria që aplikon, ashtu edhe nga çdo subjekt juridik, në rast bashkimi shoqërish, të detyrimeve ndaj shtetit;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vërtetimin se ka personel të kualifikuar në ushtrimin e veprimtarisë së lojërave të fatit, të vërtetuara me dokumentacionin përkatës, i cili dorëzohet në çastin e aplikimit në ministrinë përgjegjëse për ekonominë;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rregulloren përkatëse për rregullat dhe mënyrën e funksionimit të lojës, për të cilën kërkon të licencohet;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plan-biznesin për zhvillimin e veprimtarisë lotari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Kërkesa për licencë për lotari kombëtare përfshin, gjithashtu: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të dhëna personale për aksionarët kryesorë të shoqërisë, që kontrollojnë paketën kryesore të aksioneve dhe pronarët kryesorë përfitues;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të dhëna për organet drejtuese të aplikantit;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të dhëna financiare për kryerjen e biznesit të aksionarëve të aplikantit, për 3 vitet e fundit, përpara paraqitjes së kërkesës;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vetëdeklarimin nga aksionarët e shoqërisë dhe përfaqësuesit në organet drejtuese të saj se nuk janë në ndjekje penale;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një marrëveshje paraprake, të paktën me njërën nga bankat, me seli në territorin e Republikës së Shqipërisë, për arkëtimin, depozitimin dhe transferimin e pagesave;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çdo informacion tjetër, që mund t’i kërkohet aplikantit nga Komisioni i Vlerësimit të Ofertave dhe që gjykohet i nevojshëm për veprimtarinë që do të ushtrohet.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Kundërshtimi, refuzimi, si dhe privilegjet e kërkuara nga aplikanti, në kundërshtim me përcaktimet e parashikuara në shkronjën “d” të pikës 3 të këtij neni, përbëjnë shkak ligjor për refuzimin e kërkesës nga Komisioni i Vlerësimit të Ofertave.</w:t>
      </w:r>
    </w:p>
    <w:p w:rsidR="00AA792C" w:rsidRPr="00C05F60" w:rsidRDefault="00AA792C" w:rsidP="007121B1">
      <w:pPr>
        <w:pStyle w:val="Paragrafi"/>
        <w:rPr>
          <w:rFonts w:eastAsia="MS Mincho"/>
          <w:sz w:val="16"/>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29</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Përzgjedhja e subjektit</w:t>
      </w:r>
    </w:p>
    <w:p w:rsidR="00AA792C" w:rsidRPr="00C05F60" w:rsidRDefault="00AA792C" w:rsidP="007121B1">
      <w:pPr>
        <w:pStyle w:val="Paragrafi"/>
        <w:rPr>
          <w:rFonts w:eastAsia="MS Mincho"/>
          <w:sz w:val="16"/>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Përzgjedhja e subjektit për lojërat e fatit lotari kombëtare bëhet nga autoriteti i autorizuar nga ligji, në përputhje me kriteret e vlerësimit, të përcaktuara me vendim të Këshillit të Ministrave.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Anëtarët e Komisionit të Vlerësimit të Ofertave duhet të vetëdeklarojnë, nën përgjegjësinë tyre, se pjesëmarrja në këtë komision nuk përbën shkak për lindjen e një konflikti interesi me subjektet pjesëmarrëse në konkurrim. Për mosdeklarim zbatohen masat e parashikuara në ligjin nr.9367, datë 7.4.2005 “Për parandalimin e konfliktit të interesave në ushtrimin e funksioneve publike”.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Komisioni i Vlerësimit të Ofertave, në përfundim, shpall listën e pjesëmarrësve në konkurrim, duke filluar renditjen nga aplikanti, që ka marrë numrin më të madh të pikëve. Kandidati, që ka marrë numrin më të madh të pikëve, shpallet fitues.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Kur aplikanti, i renditur i pari në listë, nuk vazhdon procedurat për marrjen e licencës, brenda 30 ditëve nga data e shpalljes së tij fitues, skualifikohet dhe shpallet fitues konkurrenti i renditur i dyti, sipas listës së miratuar.</w:t>
      </w:r>
    </w:p>
    <w:p w:rsidR="00AA792C" w:rsidRDefault="00AA792C" w:rsidP="007121B1">
      <w:pPr>
        <w:pStyle w:val="Paragrafi"/>
        <w:rPr>
          <w:rFonts w:eastAsia="MS Mincho"/>
          <w:sz w:val="21"/>
          <w:szCs w:val="21"/>
          <w:lang w:val="en-GB" w:eastAsia="en-GB"/>
        </w:rPr>
      </w:pPr>
      <w:r w:rsidRPr="00AD3BBF">
        <w:rPr>
          <w:rFonts w:eastAsia="MS Mincho"/>
          <w:sz w:val="21"/>
          <w:szCs w:val="21"/>
          <w:lang w:val="en-GB" w:eastAsia="en-GB"/>
        </w:rPr>
        <w:t>Në rast se edhe konkurrenti i dytë nuk vazhdon procedurën për marrjen e lejes, autoriteti i autorizuar nga ligji urdhëron përsëritjen e garës.</w:t>
      </w:r>
    </w:p>
    <w:p w:rsidR="00DC3E38" w:rsidRPr="00AD3BBF" w:rsidRDefault="00DC3E38"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30</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Njoftimi i fituesit për lotarinë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Pas miratimit të listës së pjesëmarrësve në konkurrim, autoriteti i autorizuar nga ligji urdhëron publikimin e njoftimit të fituesit në faqen zyrtare të internetit. Brenda 30 ditëve nga data e shpalljes së njoftimit, aplikanti ka të drejtë të paraqesë çdo ankesë, pranë autoritetit të autorizuar nga ligji, për procedurën e zhvilluar.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Autoriteti i autorizuar, brenda 30 ditëve nga data e paraqitjes së ankesës, përfundon shqyrtimin administrativ dhe njofton ankuesin për vendimin e marrë.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Me përfundimin e afatit për paraqitjen e ankesave, autoriteti i autorizuar nga ligji miraton dhënien e licencës për lotari kombëtare, pasi aplikanti i shpallur fitues të ketë plotësuar kushtet e mëposhtme: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aplikanti, vendas apo i huaj, i shpallur i pari në listë, brenda 30 ditëve, duhet të bëjë pagesën për marrjen e licencës, në shumën e përcaktuar në këtë ligj, të paraqesë fondin e garancisë, të lëshuar nga një bankë, me seli në territorin e Republikës së Shqipërisë, në favor të Ministrisë së Financave, si garanci për fituesit e lojërave;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aplikanti i huaj, i shpallur i pari në listë, brenda 30 ditëve duhet të regjistrohet si person juridik shqiptar, sipas legjislacionit shqiptar në fuqi. </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31</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Certifikimi i pajisjeve të lotarisë kombëtare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Asnjë pajisje nuk do të përdoret nga i licencuari për lotari kombëtare, nëse ajo nuk është certifikuar dhe miratuar si pajisje lotarie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Këshilli i Ministrave vendos minimumin e specifikimeve teknike, që duhet të kenë pajisjet e lotarive, për t’u vlerësuar të ligjshme për përdorim në administrimin e lojërave.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I licencuari për lotari duhet të njoftojë NJMLF-në për secilën dhe për çdo tip të pajisjeve, që do të përdoren, për çdo lojë lotarie, duke siguruar të gjithë informacionin e nevojshëm që kjo njësi të verifikojë dhe të konfirmojë të gjitha specifikimet teknike dhe standardet e çdo pajisjeje të lotarive.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4. Një pajisje lotarie vlerësohet e certifikuar dhe e miratuar, nëse përmbush specifikimet teknike, të vendosura nga Këshilli i Ministrave.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Nëse një tip i veçantë pajisjeje është i certifikuar, atëherë të gjitha pajisjet e këtij lloji duhet të certifikohen.</w:t>
      </w:r>
    </w:p>
    <w:p w:rsidR="00AA792C" w:rsidRPr="00DC3E38" w:rsidRDefault="00AA792C" w:rsidP="007121B1">
      <w:pPr>
        <w:pStyle w:val="Paragrafi"/>
        <w:rPr>
          <w:rFonts w:eastAsia="MS Mincho"/>
          <w:sz w:val="16"/>
          <w:szCs w:val="21"/>
          <w:lang w:val="en-GB" w:eastAsia="en-GB"/>
        </w:rPr>
      </w:pPr>
    </w:p>
    <w:p w:rsidR="00AA792C" w:rsidRPr="00AD3BBF" w:rsidRDefault="00AA792C" w:rsidP="00BB5C7B">
      <w:pPr>
        <w:pStyle w:val="KapitulliNr"/>
        <w:rPr>
          <w:rFonts w:eastAsia="MS Mincho"/>
          <w:sz w:val="21"/>
          <w:szCs w:val="21"/>
          <w:lang w:eastAsia="en-GB"/>
        </w:rPr>
      </w:pPr>
      <w:r w:rsidRPr="00AD3BBF">
        <w:rPr>
          <w:rFonts w:eastAsia="MS Mincho"/>
          <w:sz w:val="21"/>
          <w:szCs w:val="21"/>
          <w:lang w:eastAsia="en-GB"/>
        </w:rPr>
        <w:t>KREU VI</w:t>
      </w:r>
    </w:p>
    <w:p w:rsidR="00AA792C" w:rsidRPr="00AD3BBF" w:rsidRDefault="00AA792C" w:rsidP="00BB5C7B">
      <w:pPr>
        <w:pStyle w:val="KapitulliTitull"/>
        <w:rPr>
          <w:rFonts w:eastAsia="MS Mincho"/>
          <w:sz w:val="21"/>
          <w:szCs w:val="21"/>
          <w:lang w:eastAsia="en-GB"/>
        </w:rPr>
      </w:pPr>
      <w:r w:rsidRPr="00AD3BBF">
        <w:rPr>
          <w:rFonts w:eastAsia="MS Mincho"/>
          <w:sz w:val="21"/>
          <w:szCs w:val="21"/>
          <w:lang w:eastAsia="en-GB"/>
        </w:rPr>
        <w:t>ORGANIZIMI I KAZINOSË</w:t>
      </w:r>
    </w:p>
    <w:p w:rsidR="00AA792C" w:rsidRPr="00DC3E38" w:rsidRDefault="00AA792C" w:rsidP="007121B1">
      <w:pPr>
        <w:pStyle w:val="Paragrafi"/>
        <w:rPr>
          <w:rFonts w:eastAsia="MS Mincho"/>
          <w:sz w:val="16"/>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32</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Lejimi i luajtjes së lojërave në kazino</w:t>
      </w:r>
    </w:p>
    <w:p w:rsidR="00AA792C" w:rsidRPr="00DC3E38" w:rsidRDefault="00AA792C" w:rsidP="007121B1">
      <w:pPr>
        <w:pStyle w:val="Paragrafi"/>
        <w:rPr>
          <w:rFonts w:eastAsia="MS Mincho"/>
          <w:sz w:val="18"/>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Autoriteti i autorizuar ka të drejtë të japë licencën për kazino për një periudhë 10-vjeçare.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Licenca i jepet aplikantit, i cili përzgjidhet i pari në procesin e garës, të zhvilluar sipas procedurave të përcaktuara në këtë ligj dhe në aktet nënligjore, në zbatim të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marrjen e licencës, aplikanti duhet të përmbushë kriteret e përcaktuara në dispozitat e këtij ligji, si dhe të paguajë menjëherë shumën 1 000 000 000 (një miliard) lekë, për Tiranën dhe 300 000 000 (treqind milionë) lekë për kazinotë në zonat turistike, në njërën nga bankat e vendit, për llogari të organeve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Autoriteti i autorizuar ka të drejtë t’i japë licencën për kazino, për një periudhë 10-vjeçare, pa procedurë gare, aplikantit, që plotëson kriteret e përcaktuara në nenin 34 të këtij ligji dhe kundrejt pagesës, kur kazinoja është pjesë e një resorti apo projekti të rëndësishëm turistik, i miratuar si pjesë e masterplanit për zhvillimin e turizmit, ndërtimi i të cilit është miratuar nga organet përkatëse.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33</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Procedura e hapjes së garës për kazino</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Këshilli i Ministrave, me vendim, përcakton zonat, ku mund të hapen kazinotë dhe numrin e kazinove, për çdo zonë. Organizatori i pajisur me licencë nuk mund të hapë më shumë se një kazino.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Autoriteti i autorizuar publikon hapjen e garës për dhënien e licencës për kazino, pas autorizimit me vendim të Këshillit të Ministrave, i cili miraton kriteret e vlerësimit të garës, dokumentet standarde dhe strukturën e Komisionit të Vlerësimit të Ofertave.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Autoriteti i autorizuar publikon njoftimin për konkurrim në lojërat e fatit për kazino, të paktën në një gazetë të huaj, me qarkullim ndërkombëtar, në dy gazeta, që botohen në vendin tonë, në dy numra radhazi, si dhe në Buletinin e Njoftimeve Publike.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Njoftimi duhet të përmbajë: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vendin, datën dhe orën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gjuhën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mënyrën e paraqitjes së dokumenteve;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vendin, orën dhe datën e shqyrtimit të dokumenteve.</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34</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Kriteret e licencimit për kazino</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Çdo person juridik apo bashkim personash juridikë, </w:t>
      </w:r>
      <w:smartTag w:uri="urn:schemas-microsoft-com:office:smarttags" w:element="place">
        <w:smartTag w:uri="urn:schemas-microsoft-com:office:smarttags" w:element="country-region">
          <w:r w:rsidRPr="00AD3BBF">
            <w:rPr>
              <w:rFonts w:eastAsia="MS Mincho"/>
              <w:sz w:val="21"/>
              <w:szCs w:val="21"/>
              <w:lang w:val="en-GB" w:eastAsia="en-GB"/>
            </w:rPr>
            <w:t>vendas</w:t>
          </w:r>
        </w:smartTag>
      </w:smartTag>
      <w:r w:rsidRPr="00AD3BBF">
        <w:rPr>
          <w:rFonts w:eastAsia="MS Mincho"/>
          <w:sz w:val="21"/>
          <w:szCs w:val="21"/>
          <w:lang w:val="en-GB" w:eastAsia="en-GB"/>
        </w:rPr>
        <w:t xml:space="preserve"> ose të huaj, pas shpalljes, nga autoriteti i autorizuar, ka të drejtë të aplikojë pranë kësaj strukture, për t’u pajisur me licencë për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Kërkesa për licencën për kazino duhet të shoqërohet me dokumentet e mëposhtme, me kushtin që këto dokumente të jenë marrë brenda 3 muajve nga data e miratimit nga organet përgjegjëse shtetërore: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dokumentet origjinale apo të noterizuara, që vërtetojnë se aplikanti është i organizuar në formë shoqërie aksionare apo bashkim shoqërish, si dhe aktin e themelimit të shoqërisë e statutin;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dokumentacionin, ku vërtetohet se kapitali i shoqërisë është jo më i vogël se 1 200 000 000 (një miliard e dyqind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vetëdeklarimin, që aplikanti nuk është në proces falimentimi apo likuidimi;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një kopje të noterizuar të lejes për ushtrimin e veprimtarisë në fushën e lojërave të fatit, nëse ka, të dhënë nga organi përkatës i vendit, ku aplikanti ka selinë qendrore;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deklaratën për burimin e kapitalit, që do të investohet për ushtrimin e veprimtarisë në fushën e kazinosë;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vërtetimin nga organet tatimore, sipas legjislacionit në fuqi, për shlyerjen e detyrimeve ndaj shtetit, si nga shoqëria që aplikon, ashtu edhe nga çdo subjekt juridik, në rast bashkimi shoqërish;</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dokumentacionin përkatës, që vërteton se ka personel të kualifikuar në ushtrimin e veprimtarisë së lojërave të fatit, i cili dorëzohet në çastin e aplikimit në autoritetin e autorizuar nga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rregulloren përkatëse për mënyrën e funksionimit të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plan-biznesin për zhvillimin e veprimtarisë për licencën për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planimetrinë e vendosjes së mjediseve për organizimin e lojërave, pjesën e hotelerisë dhe të shërbimeve të akomodimit, të bareve, restoranteve dhe shërbimeve të tjera të këtij lloji e të veprimtarive zbavitëse;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dokumentin, që vërteton përvojën e subjektit në fushën e kazinove.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Informacioni, që shoqëron kërkesën për licencë për kazino, përfshin, gjithashtu:</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të dhëna personale për aksionarët kryesorë të shoqërisë, që kontrollojnë paketën kryesore të aksioneve dhe pronarët kryesorë përfitues;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të dhëna për organet drejtuese të aplikantit;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të dhëna financiare për kryerjen e biznesit të aksionarëve të aplikantit, për 3 vitet e fundit, përpara paraqitjes së kërkesës;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vetëdeklarimin nga aksionarët e shoqërisë dhe të përfaqësuesit në organet drejtuese të saj se nuk janë në ndjekje penale;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një marrëveshje paraprake, të paktën me njërën nga bankat, me seli në territorin e Republikës së Shqipërisë, për arkëtimin, depozitimin dhe transferimin e pagesave;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çdo informacion tjetër, që mund t’i kërkohet aplikantit nga autoriteti i autorizuar dhe që gjykohet i nevojshëm nga ai për fushën e veprimtarisë që do të ushtrohet.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Kundërshtimi, refuzimi, si dhe privilegjet e kërkuara nga aplikanti, në kundërshtim me përcaktimet e parashikuara në shkronjën “dh” të pikës 2 të këtij neni, përbëjnë shkak ligjor për refuzimin e kërkesës nga autoriteti i autorizuar nga ligji.</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35</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Përzgjedhja e subjektit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Përzgjedhja e subjekteve për lojërat e fatit kazino bëhet nga Komisioni i Vlerësimit të Ofertave, si autoriteti i autorizuar nga ligji, sipas kritereve të vlerësimit, të përcaktuara me vendim të Këshillit të Ministrave.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Anëtarët e Komisionit të Vlerësimit të Ofertave duhet të vetëdeklarojnë, nën përgjegjësinë e tyre, se pjesëmarrja në këtë komision nuk përbën shkak për lindjen e një konflikti interesi me subjektet pjesëmarrëse në konkurrim. Për mosdeklarim zbatohen masat e parashikuara në ligjin nr.9367, datë 7.4.2005 “Për parandalimin e konfliktit të interesave në ushtrimin e funksioneve publike”.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Komisioni i Vlerësimit të Ofertave, pas përfundimit të procesit të përzgjedhjes, shpall listën e pjesëmarrësve në konkurrim, duke filluar renditjen nga aplikanti, që ka marrë numrin më të madh të pikëve. Aplikanti, që ka marrë numrin më të madh të pikëve, shpallet fitues.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Kur aplikanti, i renditur i pari në listë, nuk vazhdon procedurat për marrjen e licencës, brenda 30 ditëve nga data e shpalljes së tij fitues, skualifikohet nga autoriteti i autorizuar nga ligji dhe shpallet fitues konkurrenti i renditur i dyti, sipas listës së miratuar.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Nëse edhe konkurrenti i dytë nuk vazhdon procedurën për marrjen e licencës, autoriteti i autorizuar nga ligji urdhëron përsëritjen e garës.</w:t>
      </w:r>
    </w:p>
    <w:p w:rsidR="00AA792C" w:rsidRPr="00AD3BBF" w:rsidRDefault="00AA792C" w:rsidP="007121B1">
      <w:pPr>
        <w:pStyle w:val="Paragrafi"/>
        <w:rPr>
          <w:rFonts w:eastAsia="MS Mincho"/>
          <w:sz w:val="21"/>
          <w:szCs w:val="21"/>
          <w:lang w:val="en-GB" w:eastAsia="en-GB"/>
        </w:rPr>
      </w:pPr>
    </w:p>
    <w:p w:rsidR="00AA792C" w:rsidRPr="00AD3BBF" w:rsidRDefault="00AA792C" w:rsidP="00BB5C7B">
      <w:pPr>
        <w:pStyle w:val="NeniNr"/>
        <w:rPr>
          <w:rFonts w:eastAsia="MS Mincho"/>
          <w:sz w:val="21"/>
          <w:szCs w:val="21"/>
          <w:lang w:eastAsia="en-GB"/>
        </w:rPr>
      </w:pPr>
      <w:r w:rsidRPr="00AD3BBF">
        <w:rPr>
          <w:rFonts w:eastAsia="MS Mincho"/>
          <w:sz w:val="21"/>
          <w:szCs w:val="21"/>
          <w:lang w:eastAsia="en-GB"/>
        </w:rPr>
        <w:t>Neni 36</w:t>
      </w:r>
    </w:p>
    <w:p w:rsidR="00AA792C" w:rsidRPr="00AD3BBF" w:rsidRDefault="00AA792C" w:rsidP="00BB5C7B">
      <w:pPr>
        <w:pStyle w:val="NeniTitull"/>
        <w:rPr>
          <w:rFonts w:eastAsia="MS Mincho"/>
          <w:sz w:val="21"/>
          <w:szCs w:val="21"/>
          <w:lang w:eastAsia="en-GB"/>
        </w:rPr>
      </w:pPr>
      <w:r w:rsidRPr="00AD3BBF">
        <w:rPr>
          <w:rFonts w:eastAsia="MS Mincho"/>
          <w:sz w:val="21"/>
          <w:szCs w:val="21"/>
          <w:lang w:eastAsia="en-GB"/>
        </w:rPr>
        <w:t>Njoftimi i fituesit për kazino</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Pas miratimit të listës së pjesëmarrësve në konkurrim, autoriteti i autorizuar nga ligji urdhëron publikimin e njoftimit të fituesit në faqen e saj zyrtare të internetit. Aplikanti, brenda 30 ditëve nga data e shpalljes së njoftimit, ka të drejtë të paraqesë çdo ankesë pranë autoritetit të autorizuar nga ligji për procedurën e zhvilluar.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Autoriteti i autorizuar, brenda 30 ditëve nga data e paraqitjes së ankesës, përfundon shqyrtimin administrativ dhe njofton ankuesin për vendimin e marrë.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Autoriteti i autorizuar, me përfundimin e afatit për paraqitjen e ankesave, miraton dhënien e licencës për kazino, pasi aplikanti i shpallur fitues të ketë plotësuar kushtet e mëposhtme: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aplikanti, vendas apo i huaj, i shpallur i pari në listë, brenda 30 ditëve duhet të bëjë pagesën për marrjen e licencës, në shumën e përcaktuar në këtë ligj, të paraqesë fondin e garancisë, të lëshuar nga një bankë, me seli në territorin e Republikës së Shqipërisë, në favor të Ministrisë së Financave, si garanci për fituesit e lojërave, të bërë sipas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aplikanti i huaj, i shpallur i pari në listë, brenda 30 ditëve duhet të regjistrohet si person juridik shqiptar, sipas legjislacionit shqiptar në fuqi. </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37</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Rregullorja e lojërave të fatit për kazino</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I licencuari përgatit për secilën lojë, që do të luhet në kazino, rregulloren, të cilën ua bën të njohur pjesëmarrësve në lojëra.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Rregulloret e lojërave përfshijnë, kryesisht: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rregullat për mënyrën e pjesëmarrjes në lojë dhe përcaktimin e maksimumit dhe të minimumit të shumës, që paguhet për çdo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kushtet për lejimin e hyrjes së personave në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orën e hapjes dhe të mbylljes së kazinosë.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Miratimi i rregullores së paraqitur nga i licencuari bëhet nga Ministri i Financave, me propozimin e NJMLF-së, në përputhje me kriteret e përcaktuara në rregulloren e miratuar për këtë qëllim.</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38</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Detyrimet e të licencuarit për kazino</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Të licencuarit i jepet licencë për zhvillimin e lojërave në kazino, kur, përveç kushteve të parashikuara në dispozitat e këtij ligji, plotëson edhe kushtet e mëposhtme: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lojërat zhvillohen në salla të caktuara, paraprakisht, për këtë qëllim;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përdor pajisje të standardeve, të njohura bashkëkohore, sipas karakteristikave teknike të përcaktuara me ligj, për të gjitha llojet e lojërave;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punëson personel të përshtatshëm, që zotëron njohuri profesionale në këtë fushë.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Personeli i punësuar në kazino duhet të jetë, të paktën, mbi moshën 18 vjeç, të ketë zotësi të plotë juridike edhe për të vepruar, si dhe nuk duhet të jetë dënuar më parë penalisht për vepra penale, të cilat parashikojnë dënim me burgim;</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ka miratimin e Ministrisë së Brendshme për masat e sigurisë dhe të mbrojtjes së mjedisit, brenda dhe jashtë sallës, ku do të zhvillohen lojërat.</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39</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Ndalimet për kazinonë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Nëse lojërat e fatit, që zhvillohen në kazino, bien në kundërshtim ose cenojnë interesin e përgjithshëm, me propozimin e Ministrit të Financave, autoriteti i autorizuar nga ligji revokon licencën për zhvillimin e tyre ose ndërpret pa paralajmërim procedurat për dhënien e licencës për organizatorin, që është në proces aplikimi.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Rastet kur cenohet interesi i përgjithshëm, në kuptim të pikës 1 të këtij neni dhe kur duhet të zbatohen këto masa, janë: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mashtrimi i publikut;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pastrimi i parave;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cenimi i rendit publik dhe nxitja e kriminalitetit.</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FD4FB7">
      <w:pPr>
        <w:pStyle w:val="KapitulliNr"/>
        <w:rPr>
          <w:rFonts w:eastAsia="MS Mincho"/>
          <w:sz w:val="21"/>
          <w:szCs w:val="21"/>
          <w:lang w:eastAsia="en-GB"/>
        </w:rPr>
      </w:pPr>
      <w:r w:rsidRPr="00AD3BBF">
        <w:rPr>
          <w:rFonts w:eastAsia="MS Mincho"/>
          <w:sz w:val="21"/>
          <w:szCs w:val="21"/>
          <w:lang w:eastAsia="en-GB"/>
        </w:rPr>
        <w:t>KREU VII</w:t>
      </w:r>
    </w:p>
    <w:p w:rsidR="00AA792C" w:rsidRPr="00AD3BBF" w:rsidRDefault="00AA792C" w:rsidP="00FD4FB7">
      <w:pPr>
        <w:pStyle w:val="KapitulliTitull"/>
        <w:rPr>
          <w:rFonts w:eastAsia="MS Mincho"/>
          <w:sz w:val="21"/>
          <w:szCs w:val="21"/>
          <w:lang w:eastAsia="en-GB"/>
        </w:rPr>
      </w:pPr>
      <w:r w:rsidRPr="00AD3BBF">
        <w:rPr>
          <w:rFonts w:eastAsia="MS Mincho"/>
          <w:sz w:val="21"/>
          <w:szCs w:val="21"/>
          <w:lang w:eastAsia="en-GB"/>
        </w:rPr>
        <w:t>ORGANIZIMI I BINGOS TRADICIONALE DHE BINGOS TELEVIZIVE</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40</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Lejimi i bingos tradicionale e i bingos televizive dhe pagesat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Pas plotësimit të kritereve, të përcaktuara në këtë ligj dhe pas njoftimit, brenda 30 ditëve, të NJMLF-së, organizatori i lojërave të fatit bingo tradicionale dhe bingo televizive duhet të bëjë këto pagesa: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 ushtrim veprimtarie për bingo tradicionale, shumën 2 000 000 (dy milionë) lekë në vit, në njërën nga bankat e vendit, për llogari të organit tatimor, ku është regjistruar. Në rast së organizatori e fillon veprimtarinë brenda gjashtëmujorit të parë të vitit, pagesa bëhet e plotë 2 000 000 lekë. Në rast së organizatori e fillon veprimtarinë në gjashtëmujorin e dytë të vitit do të paguajë 1 000 000 (një milion)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ushtrim veprimtarie për bingo televizive, 2 000 000 (dy milionë) lekë në vit, në njërën nga bankat e vendit, për llogari të organit tatimor, ku është regjistruar. Në rast së organizatori e fillon veprimtarinë brenda gjashtëmujorit të parë të vitit, pagesa bëhet e plotë, 2 000 000 (dy milionë) lekë. Në rast së organizatori e fillon veprimtarinë në gjashtëmujorin e dytë të vitit, do të paguajë 1 000 000 (një milion) lekë.</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41</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 xml:space="preserve">Kriteret e lejimit për organizimin e bingos tradicionale </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dhe të bingos televizive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Kriteret për organizimin dhe ushtrimin e lojërave të fatit për bingo tradicionale dhe bingo televizive, që duhet të plotësojë një organizator për marrjen e miratimit nga NJMLF-ja janë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të jetë shoqëri anonime, me seli në territorin e Republikës së Shqipërisë, ku në objektin e veprimtarisë të pasqyrohet veprimtaria për lojëra fati, sipas llojit të lojës që kërkohet;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të ketë NIPT-in e shoqërisë;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të ketë kapital themeltar të shoqërisë jo më i vogël se 50 000 000 (pesëdhjetë milionë) lekë për bingo tradicionale dhe jo më të vogël se 50 000 000 (pesëdhjetë milionë) lekë për bingo televizive;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të vetëdeklarojë aksionarët e shoqërisë, ata që kontrollojnë paketën kryesore të aksioneve, si dhe të japë informacion për kapitalet dhe interesat e aksionarëve në shoqëri të tjera, të përbashkëta ose jo të përbashkëta;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 të deklarojë burime të mjaftueshme financiare, për të organizuar lojëra fati;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dh) të paraqesë rregulloren e lojës, sipas nenit 20 të këtij ligji;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të ketë një marrëveshje paraprake, për të bashkëpunuar me njërën nga bankat, me seli në territorin e Republikës së Shqipërisë, për arkëtimin, depozitimin dhe transferimin e pagesave;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ë) të paraqesë ekstraktin, nga Qendra Kombëtare e Regjistrimit, ku të vërtetohet se shoqëria nuk është në proces falimentimi apo likuidimi, nuk është dënuar për shkelje penale, si dhe nuk është dënuar me vendim gjykate të formës së prerë, që lidhet me veprimtarinë profesionale. Vërtetimi të jetë edhe për secilin aksionar të shoqërisë;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të ketë teknologjinë e nevojshme për luajtjen dhe funksionimin e mjeteve të lojërave të fatit të certifikuara, sipas rregullave të përcaktuara në këtë ligj;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të krijojë fondin e ngurtësimit për fituesin e lojës, përpara paraqitjes së dokumentacionit administrativo-ligjor, të kërkuar nga ky ligj;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çdo informacion tjetër, që mund t’i kërkohet aplikantit nga NJMLF-ja dhe që gjykohet i nevojshëm për fushën e veprimtarisë, që do të ushtrohet.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Në rast të aplikimit për bingo televizive, duhet të paraqiten edhe marrëveshja ndërmjet organizatorit të lojës dhe agjentëve për shitjen e biletave, marrëveshja ndërmjet organizatorit të lojës dhe një stacioni televiziv kombëtar për transmetimin e lojës (shorteut) për bingo televizive, strategjia për informimin e klientëve për rregullat e kësaj loje (datën e hedhjes së shortit, mënyrës e luajtjes, ku do të tërhiqen çmimet, ku do të bëhet transmetimi, nxjerrja e rezultateve), rregulloren e lojës dhe fondin për fituesit, i cili, për çdo lojë, është jo më pak se 50 për qind  e shumës nga vlera e arkëtuar nga shitja e biletave.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Përveç NIPT-it, kriteret e mësipërme vërtetohen nëpërmjet dokumenteve të lëshuara, brenda 3 muajve nga data e miratimit të tyre, nga organet përgjegjëse shtetërore, si dhe duhet të jenë origjinale apo të noterizuara.</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42</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Fondi i garancisë për fituesit e lojërave të fatit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Për krijimin e garancive për fituesit e lojërave të fatit, organizatori është i detyruar të ngurtësojë një fond të caktuar, në një llogari të veçantë bankare, në favor të Ministrisë së Financave, i cili zhbllokohet vetëm me urdhër të Ministrit të Financave. Mënyra, forma dhe shuma e garancive përcaktohen me udhëzim të Ministrit të Financave.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Mosngurtësimi i fondit të garancisë përbën shkak ligjor për bllokimin dhe mbylljen e veprimtarisë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NJMLF-ja i propozon Ministrit të Financave zhbllokimin e këtij fondi, me kërkesë të organizatorit të lojërave, në rast se vërtetohet se ky i fundit nuk ka detyrime tatimore, nuk ka gjoba të pashlyera, si dhe kur mbyll veprimtarinë e tij, të vërtetuara këto nga organet shtetërore përkatëse. </w:t>
      </w:r>
    </w:p>
    <w:p w:rsidR="00AA792C" w:rsidRDefault="00AA792C" w:rsidP="007121B1">
      <w:pPr>
        <w:pStyle w:val="Paragrafi"/>
        <w:rPr>
          <w:rFonts w:eastAsia="MS Mincho"/>
          <w:sz w:val="21"/>
          <w:szCs w:val="21"/>
          <w:lang w:val="en-GB" w:eastAsia="en-GB"/>
        </w:rPr>
      </w:pPr>
    </w:p>
    <w:p w:rsidR="00276782" w:rsidRDefault="00276782" w:rsidP="007121B1">
      <w:pPr>
        <w:pStyle w:val="Paragrafi"/>
        <w:rPr>
          <w:rFonts w:eastAsia="MS Mincho"/>
          <w:sz w:val="21"/>
          <w:szCs w:val="21"/>
          <w:lang w:val="en-GB" w:eastAsia="en-GB"/>
        </w:rPr>
      </w:pPr>
    </w:p>
    <w:p w:rsidR="00276782" w:rsidRPr="00AD3BBF" w:rsidRDefault="00276782"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43</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Pezullimi dhe bllokimi i veprimtarisë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NJMLF-ja pezullon për 30 ditë veprimtarinë për ushtrimin e lojërave të fatit dhe/ose propozon, pranë autoritetit të autorizuar, pezullimin e licencës së dhënë për lojëra fati, kur vëren se organizatori nuk shlyen detyrimet ndaj fituesve të lojës, deri në shlyerjen e plotë të tyre.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NJMLF-ja konfiskon pajisjet e organizatorit të lejuar/licencuar për lojërat e fatit, sipas ligjit të procedurave tatimore, në rast 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ai nuk zbaton ose shkel detyrimet e parashikuara në dispozitat e këtij ligji dhe në aktet nënligjore, të dala në zbatim të tij;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ai nuk shlyen detyrimet e vendosura nga kjo njësi për kundërvajtjet administrative, të parashikuara në këtë ligj;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miratimi/licenca është marrë në bazë të dokumenteve të rreme;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në përfundim të afatit të pezullimit të miratimit/licencës, ai nuk ka shlyer detyrimet ligjore, për të cilën i është pezulluar miratimi/licenca.</w:t>
      </w:r>
    </w:p>
    <w:p w:rsidR="00AA792C" w:rsidRPr="00AD3BBF" w:rsidRDefault="00AA792C" w:rsidP="007121B1">
      <w:pPr>
        <w:pStyle w:val="Paragrafi"/>
        <w:ind w:firstLine="0"/>
        <w:rPr>
          <w:rFonts w:eastAsia="MS Mincho"/>
          <w:sz w:val="21"/>
          <w:szCs w:val="21"/>
          <w:lang w:val="en-GB" w:eastAsia="en-GB"/>
        </w:rPr>
      </w:pPr>
    </w:p>
    <w:p w:rsidR="00AA792C" w:rsidRPr="00AD3BBF" w:rsidRDefault="00AA792C" w:rsidP="00FD4FB7">
      <w:pPr>
        <w:pStyle w:val="KapitulliNr"/>
        <w:rPr>
          <w:rFonts w:eastAsia="MS Mincho"/>
          <w:sz w:val="21"/>
          <w:szCs w:val="21"/>
          <w:lang w:eastAsia="en-GB"/>
        </w:rPr>
      </w:pPr>
      <w:r w:rsidRPr="00AD3BBF">
        <w:rPr>
          <w:rFonts w:eastAsia="MS Mincho"/>
          <w:sz w:val="21"/>
          <w:szCs w:val="21"/>
          <w:lang w:eastAsia="en-GB"/>
        </w:rPr>
        <w:t>KREU VIII</w:t>
      </w:r>
    </w:p>
    <w:p w:rsidR="00AA792C" w:rsidRPr="00AD3BBF" w:rsidRDefault="00AA792C" w:rsidP="00FD4FB7">
      <w:pPr>
        <w:pStyle w:val="KapitulliTitull"/>
        <w:rPr>
          <w:rFonts w:eastAsia="MS Mincho"/>
          <w:sz w:val="21"/>
          <w:szCs w:val="21"/>
          <w:lang w:eastAsia="en-GB"/>
        </w:rPr>
      </w:pPr>
      <w:r w:rsidRPr="00AD3BBF">
        <w:rPr>
          <w:rFonts w:eastAsia="MS Mincho"/>
          <w:sz w:val="21"/>
          <w:szCs w:val="21"/>
          <w:lang w:eastAsia="en-GB"/>
        </w:rPr>
        <w:t>DETYRIMET TATIMORE</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44</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Detyrimet tatimore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1. Fitimet, që organizatori i lojërave të fatit realizon nga ushtrimi i veprimtarisë së tij, janë të tatueshme, në bazë të dispozitave ligjore në fuqi.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Tatim-fitimi i shoqërisë (organizatorit) llogaritet dhe paguhet në bazë të dispozitave të legjislacionit tatimor në fuqi.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Të ardhurat, që përfitohen nga lojtarët apo fituesit, që marrin pjesë në lojërat e fatit dhe kazinotë, përjashtohen nga tatimi mbi të ardhurat personale.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Veprimtaritë e lojërave të fatit, që tatohen sipas dispozitave të këtij ligji, përjashtohen nga tatimi mbi vlerën e shtuar.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Detyrimet tatimore janë: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5.1 Për bingo: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b) organizatori i lojës bingo televizive, që nuk zhvillohet për pjesëmarrës brenda sallave, paguan tatim për lojërat e fatit 10 për qind mbi vëllimin e qarkullimit, gjithsej, të realizuar në bazë të arkëtimeve nga shitja e biletave. </w:t>
      </w:r>
    </w:p>
    <w:p w:rsidR="007121B1" w:rsidRPr="00AD3BBF" w:rsidRDefault="00AA792C" w:rsidP="008252B8">
      <w:pPr>
        <w:pStyle w:val="Paragrafi"/>
        <w:rPr>
          <w:rFonts w:eastAsia="MS Mincho"/>
          <w:sz w:val="21"/>
          <w:szCs w:val="21"/>
          <w:lang w:val="en-GB" w:eastAsia="en-GB"/>
        </w:rPr>
      </w:pPr>
      <w:r w:rsidRPr="00AD3BBF">
        <w:rPr>
          <w:rFonts w:eastAsia="MS Mincho"/>
          <w:sz w:val="21"/>
          <w:szCs w:val="21"/>
          <w:lang w:val="en-GB" w:eastAsia="en-GB"/>
        </w:rPr>
        <w:t>Organizatori, për çdo lojë, duhet t'u kthejë lojtarëve, në formën e fitimit, jo më pak se 50 për qind të shumës së vënë në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5.2. Për bastet sportive: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Organizatori i basteve sportive paguan tatim mbi lojërat e fatit 10 për qind mbi vëllimin e qarkullimit, gjithsej, të realizuar në bazë të arkëtimeve nga shitja e biletave, por jo më pak se 2 000 000 (dy milionë) lekë në muaj, për çdo shoqëri, që kryen ketë veprimtari.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Organizatori duhet t'u kthejë lojtarëve, në formën e fitimit, jo më pak se 50 për qind të shumës së vënë në lojë.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Përveç pagesave të shoqërisë për çdo pikë basti duhet të kryhen pagesat në tarifa fikse mujore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 rrethet e kategorisë së parë, 60 000 (gjashtëdhjetë mijë)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rrethet e kategorisë së dytë, 40 000 (dyzet mijë)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për rrethet e kategorisë së tretë, 30 000 (tridhjetë mijë) lekë.</w:t>
      </w:r>
    </w:p>
    <w:p w:rsidR="00AA792C" w:rsidRDefault="00AA792C" w:rsidP="007121B1">
      <w:pPr>
        <w:pStyle w:val="Paragrafi"/>
        <w:rPr>
          <w:rFonts w:eastAsia="MS Mincho"/>
          <w:sz w:val="21"/>
          <w:szCs w:val="21"/>
          <w:lang w:val="en-GB" w:eastAsia="en-GB"/>
        </w:rPr>
      </w:pPr>
      <w:r w:rsidRPr="00AD3BBF">
        <w:rPr>
          <w:rFonts w:eastAsia="MS Mincho"/>
          <w:sz w:val="21"/>
          <w:szCs w:val="21"/>
          <w:lang w:val="en-GB" w:eastAsia="en-GB"/>
        </w:rPr>
        <w:t>Ministrisë së Turizmit, Kulturës, Rinisë dhe Sporteve, për zhvillimin e sporteve, i kalojnë në favor 0,2 për qind të shumave të grumbulluara, sipas këtij neni.</w:t>
      </w:r>
    </w:p>
    <w:p w:rsidR="00AB1B85" w:rsidRPr="00AD3BBF" w:rsidRDefault="00AB1B85"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5.3. Për kazino elektronike: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Organizatori i lojërave për kazino elektronike paguan tatim fiks mujor, si më poshtë: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 rrethet e kategorisë së parë, 400 000 (katërqind mijë) lekë për çdo sallë, si dhe 20 000 (njëzet mijë) lekë për çdo makinë elektronike të tipit slot dhe videolotari;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rrethet e kategorisë së dytë, 200 000 (dyqind mijë) lekë për çdo sallë, si edhe 20 000 (njëzet mijë) lekë për çdo makinë elektronike të tipit slot dhe videolotari;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për rrethet e kategorisë së tretë, 100 000 (njëqind mijë) lekë për çdo sallë, si dhe 20 000 (njëzet mijë) lekë për çdo makinë elektronike tipit slot dhe videolotari;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për çdo makinë elektronike me më shumë se një pozicion (ruletë) organizatori paguan një kuotë fikse mujore prej 1 000 000 lekësh, si dhe 80 000 lekë në muaj për çdo pozicion loje, pavarësisht nga rrethi ku ushtron veprimtarinë.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5.4. Për lojërat e fatit të kategorisë lotari kombëtare: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Organizatori i lojërave, të përfshira në licencën për lotari kombëtare, paguan tatim për lojërat e fatit, 10 për qind mbi vëllimin e qarkullimit gjithsej.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6. Për efekt të këtij ligji, në rrethet e kategorisë së parë përfshihen Tirana dhe Durrësi, në rrethet e kategorisë së dytë përfshihen Shkodra, Korça, Vlora, Saranda, Gjirokastra, Elbasani, Fieri, Lushnja, Pogradeci, Berati, Lezha e Kavaja, ndërsa në rrethet e kategorisë së tretë përfshihen të gjitha rrethet e tjera.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7. Detyrimet tatimore për lojërat e fatit, në përqindje apo në shumë fikse, paguhen në degën e tatim-taksave, ku është e regjistruar shoqëria (organizatori), jo më vonë se data 10 e çdo muaji për veprimtarinë e realizuar në muajin pararendës.</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45</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Detyrimi tatimor për kazinotë</w:t>
      </w:r>
    </w:p>
    <w:p w:rsidR="00AA792C" w:rsidRPr="00AD3BBF" w:rsidRDefault="00AA792C" w:rsidP="007121B1">
      <w:pPr>
        <w:pStyle w:val="Paragrafi"/>
        <w:rPr>
          <w:rFonts w:eastAsia="MS Mincho"/>
          <w:sz w:val="21"/>
          <w:szCs w:val="21"/>
          <w:lang w:val="en-GB" w:eastAsia="en-GB"/>
        </w:rPr>
      </w:pPr>
    </w:p>
    <w:p w:rsidR="00AA792C" w:rsidRPr="00AD3BBF" w:rsidRDefault="00836973" w:rsidP="007121B1">
      <w:pPr>
        <w:pStyle w:val="Paragrafi"/>
        <w:rPr>
          <w:rFonts w:eastAsia="MS Mincho"/>
          <w:sz w:val="21"/>
          <w:szCs w:val="21"/>
          <w:lang w:val="en-GB" w:eastAsia="en-GB"/>
        </w:rPr>
      </w:pPr>
      <w:r w:rsidRPr="00AD3BBF">
        <w:rPr>
          <w:rFonts w:eastAsia="MS Mincho"/>
          <w:sz w:val="21"/>
          <w:szCs w:val="21"/>
          <w:lang w:val="en-GB" w:eastAsia="en-GB"/>
        </w:rPr>
        <w:t xml:space="preserve">1. </w:t>
      </w:r>
      <w:r w:rsidR="00AA792C" w:rsidRPr="00AD3BBF">
        <w:rPr>
          <w:rFonts w:eastAsia="MS Mincho"/>
          <w:sz w:val="21"/>
          <w:szCs w:val="21"/>
          <w:lang w:val="en-GB" w:eastAsia="en-GB"/>
        </w:rPr>
        <w:t>Tatim-fitimi i shoqërisë (organizatorit) llogaritet dhe paguhet në përputhje me legjislacionin tatimor në fuqi.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Tatimpaguesit, që ushtrojnë veprimtari në fushën e organizimit të lojërave të fatit në kazino, paguajnë detyrimet tatimore mujore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a) për tryezat me më shumë se një pozicion (ruletë) një taksë mujore, në masën 80 000 (tetëdhjetë mijë) lekë në muaj për çdo pozicion;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çdo tryezë të lojërave (me letra ose/dhe me zare), një taksë mujore, në masën 600 000 (gjashtëqind mijë)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c) për lojërat elektronike dhe makinat slot, me fitim në çast dhe për videlotarinë, të vendosura në mjediset e kazinosë, një taksë mujore në masën 60 000 (gjashtëdhjetë mijë) lekë, për çdo kompjuter elektronik. </w:t>
      </w:r>
    </w:p>
    <w:p w:rsidR="00AA792C" w:rsidRDefault="00AA792C" w:rsidP="007121B1">
      <w:pPr>
        <w:pStyle w:val="Paragrafi"/>
        <w:rPr>
          <w:rFonts w:eastAsia="MS Mincho"/>
          <w:sz w:val="21"/>
          <w:szCs w:val="21"/>
          <w:lang w:val="en-GB" w:eastAsia="en-GB"/>
        </w:rPr>
      </w:pPr>
      <w:r w:rsidRPr="00AD3BBF">
        <w:rPr>
          <w:rFonts w:eastAsia="MS Mincho"/>
          <w:sz w:val="21"/>
          <w:szCs w:val="21"/>
          <w:lang w:val="en-GB" w:eastAsia="en-GB"/>
        </w:rPr>
        <w:t>3. Bashkisë, ku ushtron veprimtarinë kazinoja, i kalojnë në favor 0,2 për qind të xhiros.</w:t>
      </w:r>
    </w:p>
    <w:p w:rsidR="00897678" w:rsidRPr="00AD3BBF" w:rsidRDefault="00897678"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46</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Detyrimi tatimor për bastet për gara në pistë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Tatim-fitimi i shoqërisë (organizatorit) llogaritet dhe paguhet në përputhje me legjislacionin në fuqi.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Tatimpaguesit, që ushtrojnë veprimtari në fushën e organizimit të lojërave të fatit në bastet për gara në pistë, paguajnë detyrimet tatimore,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një tatim loje fati, me kuotë fikse, çdo muaj, prej 2 000 000 (dy milionë) lekësh, për shoqërinë;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një tatim loje fati, me kuotë fikse, çdo muaj, prej 40 000 (dyzet mijë) lekësh, për çdo pikë të shitjes së basteve;</w:t>
      </w:r>
    </w:p>
    <w:p w:rsidR="00AA792C" w:rsidRDefault="00AA792C" w:rsidP="007121B1">
      <w:pPr>
        <w:pStyle w:val="Paragrafi"/>
        <w:rPr>
          <w:rFonts w:eastAsia="MS Mincho"/>
          <w:sz w:val="21"/>
          <w:szCs w:val="21"/>
          <w:lang w:val="en-GB" w:eastAsia="en-GB"/>
        </w:rPr>
      </w:pPr>
      <w:r w:rsidRPr="00AD3BBF">
        <w:rPr>
          <w:rFonts w:eastAsia="MS Mincho"/>
          <w:sz w:val="21"/>
          <w:szCs w:val="21"/>
          <w:lang w:val="en-GB" w:eastAsia="en-GB"/>
        </w:rPr>
        <w:t>c) për lojërat elektronike, me fitim në çast, të vendosura në mjediset e hipodromit, një tatim me kuotë fikse, çdo muaj, prej 40 000 lekësh, për çdo kompjuter elektronik ose pozicion të makinës elektronike.</w:t>
      </w:r>
    </w:p>
    <w:p w:rsidR="00AB1B85" w:rsidRPr="00AD3BBF" w:rsidRDefault="00AB1B85"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Bashkisë, ku ushtron veprimtarinë organizatori, për baste me gara në pistë, i kalojnë në favor 0,2 për qind të xhiros.</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KapitulliNr"/>
        <w:rPr>
          <w:rFonts w:eastAsia="MS Mincho"/>
          <w:sz w:val="21"/>
          <w:szCs w:val="21"/>
          <w:lang w:eastAsia="en-GB"/>
        </w:rPr>
      </w:pPr>
      <w:r w:rsidRPr="00AD3BBF">
        <w:rPr>
          <w:rFonts w:eastAsia="MS Mincho"/>
          <w:sz w:val="21"/>
          <w:szCs w:val="21"/>
          <w:lang w:eastAsia="en-GB"/>
        </w:rPr>
        <w:t>KREU IX</w:t>
      </w:r>
    </w:p>
    <w:p w:rsidR="00AA792C" w:rsidRPr="00AD3BBF" w:rsidRDefault="00AA792C" w:rsidP="00FD4FB7">
      <w:pPr>
        <w:pStyle w:val="KapitulliTitull"/>
        <w:rPr>
          <w:rFonts w:eastAsia="MS Mincho"/>
          <w:sz w:val="21"/>
          <w:szCs w:val="21"/>
          <w:lang w:eastAsia="en-GB"/>
        </w:rPr>
      </w:pPr>
      <w:r w:rsidRPr="00AD3BBF">
        <w:rPr>
          <w:rFonts w:eastAsia="MS Mincho"/>
          <w:sz w:val="21"/>
          <w:szCs w:val="21"/>
          <w:lang w:eastAsia="en-GB"/>
        </w:rPr>
        <w:t>KUNDËRVAJTJET ADMINISTRATIVE</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47</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Kundërvajtjet administrative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Shkeljet e dispozitave të këtij ligji nga organizatori i lojërave të fatit, kur nuk përbëjnë vepër penale, përbëjnë kundërvajtje administrative dhe dënohen me gjobë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Gjobë në masën 1 000 000 (një milion) lekë, në rastet kur: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organizatori ka ndryshuar selinë dhe adresën e sallave të lojërave të shoqërisë dhe nuk ka njoftuar NJMLF-në;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ka ndryshuar personeli i punësuar në shoqëri, pa njoftimet paraprake;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ka të punësuar, të pranishëm në mjediset e lojërave të fatit ose lojtarë nën moshën e ndaluar, sipas dispozitave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rregulloret e lojërave të fatit nuk janë afishuar në mjediset e lojërave, në mënyrë të dukshme, në dispozicion të lojtarëve, si dhe kur këto mjedise janë të ekspozuara ndaj institucioneve fetare, arsimore dhe shëndetësore;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kryhet publicitet për lojëra fati, në kundërshtim me nenin 8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nuk sigurohet kontrolli dhe identifikimi i personave në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vërehet mosfunksionim i sistemit audioviziv në kazino;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ë) të dhënat e depozituara nga shoqëria pranë Ministrisë së Financave, NJMLF-së dhe autoritetit të autorizuar nuk përputhen me ato të konstatuara gjatë kontrollit;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f) vërehet se organizatori ka shkelur kërkesat e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 vërehet se deklarimet e bëra në NJMLF nuk përputhen me deklarimet e bëra në organet tatimore;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gj) subjekti, në mënyrë të drejtpërdrejtë ose të tërthortë, pengon ushtrimin e kontrollit të NJMLF-së;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h) pika nuk është e pajisur me NIPT sekondar për secilën veprimtari të lojërave të fatit që organizohet në 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Në rast përsëritjeje të shkeljeve të mësipërme, NJMLF-ja ka të drejtë të bllokojë dhe të heqë të drejtën për ushtrim veprimtarie, si dhe t’i kërkojë autoritetit të autorizuar nga ligji revokimin/pezullimin e licencës.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Dënimi me gjobë për kundërvajtjet administrative vendoset nga inspektorët e Njësisë së Mbikëqyrjes së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Inspektori i NJMLF-së, që vëren shkelje, harton procesverbalin për vendosjen e gjobës, të cilin ia komunikon organizatorit të lojës.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Ushtrimi i veprimtarisë në fushën e lojërave të fatit, të cilat janë rregulluar me këtë ligj, pa njoftuar NJMLF-në, sipas procedurave të parashikuara nga ky ligj, ose licencuar nga autoriteti i autorizuar nga ligji, përbën kundërvajtje administrative dhe personi juridik, që kryen kundërvajtjen, dënohet me gjobë, si më poshtë: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për bingo e bingo televizive 30 000 000 (tridhjetë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për lotarinë kombëtare 50 000 000 (pesëdhjetë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për bastet sportive 30 000 000 (tridhjetë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për kazino elektronike 1 000 000 (një milion) lekë (për çdo makinë);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për kazino 50 000 000 (pesëdhjetë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për bastet e garave në pista 50 000 000 (pesëdhjetë milionë) lekë.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6. Në rast se kundërvajtja administrative kryhet nga personi fizik, pa miratimin/licencën e organeve përkatëse, ky person dënohet me gjobë në masën 5 000 000 (pesë milionë) lekë.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Kur NJMLF-ja vendos gjobë, në përputhje me dispozitat e këtij ligji, fleta e gjobës plotësohet në tri kopje, nga të cilat njëra i dorëzohet subjektit kundërvajtës, njëra depozitohet në NJMLF dhe tjetra, brenda 72 orëve nga vendosja e saj, depozitohet në Komisionin e Apelimit të Gjobave. Formati i gjobës dhe të dhënat e saj miratohen me udhëzim të Ministrit të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7. Organizatorit i konfiskohen pajisjet nga NJMLF-ja kur: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nuk janë certifikuar sipas këtij ligji dhe nuk kanë pullën e rregullsisë;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kjo njësi vëren hapjen e pikave të reja pa njoftim dhe miratim, pa NIPT dhe NIPT sekondar;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veprimtaria është bllokuar dhe subjekti ushtron veprimtari të palejuar.</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48</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Ankimi administrativ ndaj gjobës</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Ndaj dënimit me gjobë, organizatori ka të drejtën e ankimit administrativ te Komisioni i Apelimit të Gjobave, brenda 30 ditëve nga data e marrjes dijeni për procesverbalin e gjobës.</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Komisioni i Apelimit të Gjobave përbëhet nga pesë anëtarë: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dy përfaqësues nga Ministria e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dy përfaqësues nga Drejtoria e Përgjithshme e Tatimeve;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një përfaqësues nga NJMLF-ja;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një sekretar.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Veprimtaria e Komisionit të Apelimit të Gjobave rregullohet me udhëzim të Ministrit të Financave. Kryetari i Komisionit të Apelimit të Gjobave emërohet nga Ministri i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Mënyra e funksionimit të Komisionit të Apelimit të Gjobave, procedurat e tij operative, procedurat e emërimit dhe të shkarkimit të anëtarëve dhe mënyra e shpërblimit të tyre përcaktohen me rregullore të nxjerrë nga Ministri i Financave.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5. Ankimi ndaj masës së gjobës për kundërvajtje administrative duhet të përmbajë këto elemente: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emërtimin e personit ankimues, numrin e NIPT-it, të lëshuar nga Qendra Kombëtare e Regjistrimit dhe adresën e plotë;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objektin, për të cilin ushtron të drejtën e ankimit, duke përmendur të gjitha elementet identifikuese të masës ndëshkimore;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bazën ligjore të pretendimit për ankimin e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ç) përshkrimin e përmbledhur të arsyeve, fakteve dhe rrethanave, për të cilat ankimohet masa ndëshkimore;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 kërkesën përfundimtare;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dh) kopjen e procesverbalit të masës së gjobës, të vendosur nga inspektori.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6. Komisioni i Apelimit të Gjobave merr vendim, brenda 30 ditëve nga data e depozitimit të ankimit, për lënie në fuqi ose jo të gjobës apo për ndryshimin e masës së saj. </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Shqyrtimi i kundërvajtjes administrative bëhet në prani të kundërvajtësit. Kur vërtetohet se ai ka marrë dijeni dhe nuk ka shkaqe justifikuese për mosparaqitje, shqyrtimi mund të bëhet edhe në mungesë.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7. Kundër vendimit të NJMLF-së apo të Komisionit të Apelimit të Gjobave, personi i interesuar, brenda 30 ditëve nga data e njoftimit të vendimit, gëzon të drejtën e ankimit në gjykatën e rrethit, ku ka selinë subjekti i gjobitur, në përputhje me dispozitat ligjore në fuqi. Në rastet kur kundërvajtësi është person fizik, ankimi bëhet në gjykatën e rrethit, ku është kryer kundërvajtja.</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49</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Ekzekutimi i gjobës</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Gjobat paguhen nga kundërvajtësi brenda 5 ditëve nga data e njoftimit të vendimit të Komisionit të Apelimit të Gjobave ose nga data kur vendimi i gjykatës merr formë të prerë. Pas kalimit të këtij afati, për çdo ditë vonesë, paguhet një kamate prej 2 për qind  e shumës deri në 1 muaj.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Nëse detyrimet nuk shlyhen në mënyrë vullnetare, ekzekutimi i tyre bëhet nga Njësia e Mbikëqyrjes së Lojërave të Fatit, sipas procedurës së parashikuar për masat shtrënguese në këtë ligj.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Të ardhurat e siguruara nga vjelja e gjobave derdhen 80 për qind  në Buxhetin e Shtetit dhe 20 për qind  në llogari të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FD4FB7">
      <w:pPr>
        <w:pStyle w:val="NeniNr"/>
        <w:rPr>
          <w:rFonts w:eastAsia="MS Mincho"/>
          <w:sz w:val="21"/>
          <w:szCs w:val="21"/>
          <w:lang w:eastAsia="en-GB"/>
        </w:rPr>
      </w:pPr>
      <w:r w:rsidRPr="00AD3BBF">
        <w:rPr>
          <w:rFonts w:eastAsia="MS Mincho"/>
          <w:sz w:val="21"/>
          <w:szCs w:val="21"/>
          <w:lang w:eastAsia="en-GB"/>
        </w:rPr>
        <w:t>Neni 50</w:t>
      </w:r>
    </w:p>
    <w:p w:rsidR="00AA792C" w:rsidRPr="00AD3BBF" w:rsidRDefault="00AA792C" w:rsidP="00FD4FB7">
      <w:pPr>
        <w:pStyle w:val="NeniTitull"/>
        <w:rPr>
          <w:rFonts w:eastAsia="MS Mincho"/>
          <w:sz w:val="21"/>
          <w:szCs w:val="21"/>
          <w:lang w:eastAsia="en-GB"/>
        </w:rPr>
      </w:pPr>
      <w:r w:rsidRPr="00AD3BBF">
        <w:rPr>
          <w:rFonts w:eastAsia="MS Mincho"/>
          <w:sz w:val="21"/>
          <w:szCs w:val="21"/>
          <w:lang w:eastAsia="en-GB"/>
        </w:rPr>
        <w:t>Bashkëpunimi i NJMLF-së me strukturat e tjera shtetërore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Për zbatimin e detyrave, me kërkesën e tyre, punonjësit e Njësisë së Mbikëqyrjes së Lojërave të Fatit mbështeten nga strukturat e Policisë së Shtetit.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Drejtoria e Përgjithshme e Tatimeve, me strukturat në varësi të saj, për subjektet, që zhvillojnë veprimtari për lojëra fati, janë të detyruara të paraqesin të gjitha deklarimet mujore, sipas sallave, të deklaruara nga subjektet dhe ndryshimet periodike, pranë NJMLF-së.</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51</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Masat shtrënguese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Kur Njësia e Mbikëqyrjes së Lojërave të Fatit vëren shkelje të detyrimeve të parashikuara në këtë ligj, merr masat e mëposhtme shtrënguese: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bllokimin e veprimtarisë;</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konfiskimin e mjeteve të lojërave;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bllokimin e llogarive bankare;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sekuestrimin e pasurive të regjistruara në emër të subjektit.</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52</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Urdhri i bllokimit të llogarive bankare të subjektit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Nëse subjekti nuk paguan detyrimet e përcaktuara, sipas këtij ligji, brenda afatit të parashikuar në këtë nen, nëpërmjet një urdhri, me shkrim, të Drejtorit të Njësisë së Mbikëqyrjes së Lojërave të Fatit, i kërkohet çdo banke, ku subjekti ka llogari në emër të vet, të mbajë një shumë, e cila duhet të jetë me e vogla ndërmjet: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shumës, që kërkohet të mbahet;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shumës, që rezulton në atë çast në llogarinë bankare të tatimpaguesit.</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53</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Masat e sigurimit të detyrimit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Nëse subjekti nuk paguan detyrimin brenda afateve të caktuara, sipas këtij ligji, detyrimi sigurohet në favor të Njësisë së Mbikëqyrjes së Lojërave të Fatit, mbi të gjithë pasurinë e subjektit, në masën e nevojshme, për të përmbushur detyrimin e tij.</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Masa e sigurimit të detyrimit të papaguar mund të jetë, sipas rastit, barrë siguruese dhe/ose barrë hipotekore. Vendimi për të vendosur një barrë siguruese dhe/ose barrë hipotekore mbi pasurinë e subjektit bëhet me shkrim nga Drejtori i Njësisë së Mbikëqyrjes së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 xml:space="preserve">3. </w:t>
      </w:r>
      <w:smartTag w:uri="urn:schemas-microsoft-com:office:smarttags" w:element="place">
        <w:r w:rsidRPr="00AD3BBF">
          <w:rPr>
            <w:rFonts w:eastAsia="MS Mincho"/>
            <w:sz w:val="21"/>
            <w:szCs w:val="21"/>
            <w:lang w:val="en-GB" w:eastAsia="en-GB"/>
          </w:rPr>
          <w:t>Para</w:t>
        </w:r>
      </w:smartTag>
      <w:r w:rsidRPr="00AD3BBF">
        <w:rPr>
          <w:rFonts w:eastAsia="MS Mincho"/>
          <w:sz w:val="21"/>
          <w:szCs w:val="21"/>
          <w:lang w:val="en-GB" w:eastAsia="en-GB"/>
        </w:rPr>
        <w:t xml:space="preserve"> vendosjes së një barre siguruese dhe/ose barre hipotekore mbi pasurinë e subjektit, ky i fundit duhet të njoftohet me shkrim. Njoftimi duhet të përmbajë të gjithë informacionin për to.</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Njoftimi mbi barrën siguruese dhe/ose barrën hipotekore duhet të përmbajë të dhënat e nevojshme, për të identifikuar subjektin, detyrimin e papaguar, pasurinë, objekt të barrës siguruese dhe/ose barrës hipotekore, si dhe kompetencën e Njësisë së Mbikëqyrjes së Lojërave të Fatit, për të dorëzuar kërkesë për vendosjen e masës së sigurimit.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5. Formati i njoftimit për masën siguruese dhe/ose barrën hipotekore dhe regjistrat publikë për regjistrimin e tyre parashikohen me vendim të Këshillit të Ministrave.</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54</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Ankimi i masës së sigurimit të detyrimit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Subjekti ka të drejtë të ankimojë vendimin për masën e sigurimit të detyrimit të papaguar te Drejtori i Njësisë së Mbikëqyrjes së Lojërave të Fatit dhe të kërkojë çlirimin nga sigurimi, vetëm kur ai është ekzekutuar në mënyrë të parregullt. Ankimimi bëhet 30 ditë kalendarike nga çasti i marrjes dijeni për këtë parregullsi.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Kur kërkesa e subjektit miratohet nga Drejtori i Njësisë së Mbikëqyrjes së Lojërave të Fatit, ndërmerren menjëherë të gjitha masat e nevojshme, sipas legjislacionit në fuqi, për zhbllokimin e masës së sigurimit mbi pasurinë e subjektit.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Vendimi futet në dosjen e subjektit.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Nëse drejtori i njësisë nuk e miraton kërkesën, subjekti mund ta ankimojë vendimin, sipas dispozitave ligjore në fuqi.</w:t>
      </w: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55</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Sekuestrimi i pasurisë</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Nëse subjekti nuk paguan detyrimin, sipas afatit të përcaktuar në këtë ligj, Njësia e Mbikëqyrjes së Lojërave të Fatit mund ta mbledhë detyrimin e papaguar, nëpërmjet sekuestrimit të pasurisë së siguruar, në favor të njësisë, në pronësi të subjektit të detyruar.</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Ekzekutimi i masës së sigurimit, nëpërmjet sekuestrimit dhe shitjes së pasurisë, sipas këtij kreu, është objekt i dispozitave të ligjit “Për kundërvajtjet administrative” dhe realizohet nga Njësia e Mbikëqyrjes së Lojërave të Fatit.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Urdhri për sekuestrimin e pasurisë bëhet me shkrim nga Drejtori i Njësisë së Mbikëqyrjes së Lojërave të Fatit. Urdhri duhet të identifikojë subjektin, pasuria e të cilit është objekt sekuestrimi, vendndodhjen e pasurisë dhe vlerësimin e detyrimit, për të cilin vihet sekuestroja. Urdhri i dërgohet subjektit me postë rekomande.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4. Njësia e Mbikëqyrjes së Lojërave të Fatit mund të sekuestrojë pasurinë, sipas detyrimit, vetëm pas vendosjes së masës së sigurisë mbi pasurinë, në përputhje me këtë ligj dhe vetëm 30 ditë kalendarike pas datës, ku urdhri i sekuestrimit është marrë ose vlerësohet të jetë marrë nga subjekti, në formën e parashikuar nga ky ligj.</w:t>
      </w:r>
    </w:p>
    <w:p w:rsidR="00AA792C" w:rsidRPr="00AD3BBF" w:rsidRDefault="00AA792C" w:rsidP="00836973">
      <w:pPr>
        <w:pStyle w:val="Paragrafi"/>
        <w:ind w:firstLine="0"/>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56</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Urdhri i sekuestrimit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Urdhri i sekuestrimit përmban:</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a) shumën e detyrimeve të papaguara;</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b) afatin për pagesën e detyrimeve;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c) pasurinë që sekuestrohet;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ç) informacionin për të drejtën e subjektit për ankim administrativ.</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Nëse objekt i sekuestrimit është paga e subjektit, urdhri përfshin edhe emrin dhe adresën e punëdhënësit të subjektit.</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Nëse sekuestrimi bëhet për shkak të shkeljes së masës së bllokimit, zbatohet menjëherë dhe prek vetëm sendet, të cilat përdoren për zhvillimin e paligjshëm të lojërave të fatit.</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57</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Pasuria, objekt i sekuestrimit</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E gjithë pasuria e subjektit është objekt sekuestrimi, në masën e detyrimit të papaguar, përveç sendeve të përcaktuara në nenin 529 të Kodit të Procedurës Civile.</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58</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Shitja e pasurisë së sekuestruar</w:t>
      </w:r>
    </w:p>
    <w:p w:rsidR="00AA792C" w:rsidRPr="00AD3BBF" w:rsidRDefault="00AA792C" w:rsidP="007121B1">
      <w:pPr>
        <w:pStyle w:val="Paragrafi"/>
        <w:rPr>
          <w:rFonts w:eastAsia="MS Mincho"/>
          <w:caps/>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Pasuria e sekuestruar shitet në ankand publik, i cili kryhet në përputhje më procedurat dhe kushtet e parashikuara në ligjin për ankandin publik.</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Të ardhurat nga shitjet përdoren fillimisht për të paguar shpenzimet e shitjes, më pas për të paguar koston administrative, gjobat dhe interesin, në përputhje me dispozitat e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Shuma e mbetur i kthehet subjektit, brenda pesë ditëve pune nga data e përfundimit të ankandit.</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59</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Pajisja me armë e inspektorëve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Inspektorët e Njësisë së Mbikëqyrjes së Lojërave të Fatit kanë të drejtë të pajisen me armë, sipas legjislacionit në fuqi.</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60</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Nxjerrja e akteve nënligjore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Ngarkohet Këshilli i Ministrave të nxjerrë akte nënligjore, në mbështetje të neneve 27, 29, 31, 33 e 53 të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Ngarkohet Ministri i Financave të nxjerrë udhëzime, në mbështetje të neneve 7, 10, 12, 13, 24, 42, 47 pika 6 e 48 pika 4 të këtij ligji.</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KapitulliNr"/>
        <w:rPr>
          <w:rFonts w:eastAsia="MS Mincho"/>
          <w:sz w:val="21"/>
          <w:szCs w:val="21"/>
          <w:lang w:eastAsia="en-GB"/>
        </w:rPr>
      </w:pPr>
      <w:r w:rsidRPr="00AD3BBF">
        <w:rPr>
          <w:rFonts w:eastAsia="MS Mincho"/>
          <w:sz w:val="21"/>
          <w:szCs w:val="21"/>
          <w:lang w:eastAsia="en-GB"/>
        </w:rPr>
        <w:t>KREU X</w:t>
      </w:r>
    </w:p>
    <w:p w:rsidR="00AA792C" w:rsidRPr="00AD3BBF" w:rsidRDefault="00AA792C" w:rsidP="00DF589C">
      <w:pPr>
        <w:pStyle w:val="KapitulliTitull"/>
        <w:rPr>
          <w:rFonts w:eastAsia="MS Mincho"/>
          <w:sz w:val="21"/>
          <w:szCs w:val="21"/>
          <w:lang w:eastAsia="en-GB"/>
        </w:rPr>
      </w:pPr>
      <w:r w:rsidRPr="00AD3BBF">
        <w:rPr>
          <w:rFonts w:eastAsia="MS Mincho"/>
          <w:sz w:val="21"/>
          <w:szCs w:val="21"/>
          <w:lang w:eastAsia="en-GB"/>
        </w:rPr>
        <w:t>DISPOZITA KALIMTARE DHE TË FUNDIT</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61</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Dispozita kalimtare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1. Mjetet e lojërave të fatit, që përdoren nga organizatorët e këtyre lojërave, duhet të jenë të certifikuara, sipas rregullave specifike, të parashikuara në këtë ligj, brenda 6 muajve nga hyrja në fuqi e këtij ligji.</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2. Për të gjitha subjektet e licencuara deri para hyrjes në fuqi të këtij ligji, në kategoritë e basteve sportive apo bingove, afati i vlefshmërisë është  afati i përcaktuar në çastin e lëshimit të tyre.</w:t>
      </w: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3. Të gjithë operatorët e tjerë në treg, brenda 3 muajve nga hyrja në fuqi e këtij ligji, marrin masa për të përshtatur veprimtarinë e tyre me kërkesat e këtij ligji.</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62</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Shfuqizime</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Me hyrjen në fuqi të këtij ligji, ligji nr.8701, datë 1.12.2000 “Për lojërat e fatit dhe kazinotë”, i ndryshuar, të gjitha aktet nënligjore, të dala në zbatim të tij, si dhe çdo dispozitë tjetër, që bie në kundërshtim me dispozitat e këtij ligji, shfuqizohen.</w:t>
      </w:r>
    </w:p>
    <w:p w:rsidR="00AA792C" w:rsidRPr="00AD3BBF" w:rsidRDefault="00AA792C" w:rsidP="007121B1">
      <w:pPr>
        <w:pStyle w:val="Paragrafi"/>
        <w:rPr>
          <w:rFonts w:eastAsia="MS Mincho"/>
          <w:sz w:val="21"/>
          <w:szCs w:val="21"/>
          <w:lang w:val="en-GB" w:eastAsia="en-GB"/>
        </w:rPr>
      </w:pPr>
    </w:p>
    <w:p w:rsidR="00AA792C" w:rsidRPr="00AD3BBF" w:rsidRDefault="00AA792C" w:rsidP="00DF589C">
      <w:pPr>
        <w:pStyle w:val="NeniNr"/>
        <w:rPr>
          <w:rFonts w:eastAsia="MS Mincho"/>
          <w:sz w:val="21"/>
          <w:szCs w:val="21"/>
          <w:lang w:eastAsia="en-GB"/>
        </w:rPr>
      </w:pPr>
      <w:r w:rsidRPr="00AD3BBF">
        <w:rPr>
          <w:rFonts w:eastAsia="MS Mincho"/>
          <w:sz w:val="21"/>
          <w:szCs w:val="21"/>
          <w:lang w:eastAsia="en-GB"/>
        </w:rPr>
        <w:t>Neni 63</w:t>
      </w:r>
    </w:p>
    <w:p w:rsidR="00AA792C" w:rsidRPr="00AD3BBF" w:rsidRDefault="00AA792C" w:rsidP="00DF589C">
      <w:pPr>
        <w:pStyle w:val="NeniTitull"/>
        <w:rPr>
          <w:rFonts w:eastAsia="MS Mincho"/>
          <w:sz w:val="21"/>
          <w:szCs w:val="21"/>
          <w:lang w:eastAsia="en-GB"/>
        </w:rPr>
      </w:pPr>
      <w:r w:rsidRPr="00AD3BBF">
        <w:rPr>
          <w:rFonts w:eastAsia="MS Mincho"/>
          <w:sz w:val="21"/>
          <w:szCs w:val="21"/>
          <w:lang w:eastAsia="en-GB"/>
        </w:rPr>
        <w:t>Hyrja në fuqi</w:t>
      </w:r>
    </w:p>
    <w:p w:rsidR="00AA792C" w:rsidRPr="00AD3BBF" w:rsidRDefault="00AA792C" w:rsidP="007121B1">
      <w:pPr>
        <w:pStyle w:val="Paragrafi"/>
        <w:rPr>
          <w:rFonts w:eastAsia="MS Mincho"/>
          <w:sz w:val="21"/>
          <w:szCs w:val="21"/>
          <w:lang w:val="en-GB" w:eastAsia="en-GB"/>
        </w:rPr>
      </w:pPr>
    </w:p>
    <w:p w:rsidR="00AA792C" w:rsidRPr="00AD3BBF" w:rsidRDefault="00AA792C" w:rsidP="007121B1">
      <w:pPr>
        <w:pStyle w:val="Paragrafi"/>
        <w:rPr>
          <w:rFonts w:eastAsia="MS Mincho"/>
          <w:sz w:val="21"/>
          <w:szCs w:val="21"/>
          <w:lang w:val="en-GB" w:eastAsia="en-GB"/>
        </w:rPr>
      </w:pPr>
      <w:r w:rsidRPr="00AD3BBF">
        <w:rPr>
          <w:rFonts w:eastAsia="MS Mincho"/>
          <w:sz w:val="21"/>
          <w:szCs w:val="21"/>
          <w:lang w:val="en-GB" w:eastAsia="en-GB"/>
        </w:rPr>
        <w:t>Ky ligj hyn në fuqi 15 ditë pas botimit në Fletoren Zyrtare.</w:t>
      </w:r>
    </w:p>
    <w:p w:rsidR="00AA792C" w:rsidRPr="00AD3BBF" w:rsidRDefault="00AA792C" w:rsidP="0096195F">
      <w:pPr>
        <w:pStyle w:val="Paragrafi"/>
        <w:ind w:firstLine="0"/>
        <w:rPr>
          <w:rFonts w:eastAsia="MS Mincho"/>
          <w:sz w:val="21"/>
          <w:szCs w:val="21"/>
          <w:lang w:val="en-GB" w:eastAsia="en-GB"/>
        </w:rPr>
      </w:pPr>
    </w:p>
    <w:p w:rsidR="00836973" w:rsidRPr="00AB1B85" w:rsidRDefault="00836973" w:rsidP="00836973">
      <w:pPr>
        <w:pStyle w:val="Shpallja"/>
        <w:rPr>
          <w:sz w:val="23"/>
          <w:szCs w:val="23"/>
        </w:rPr>
      </w:pPr>
      <w:r w:rsidRPr="00AB1B85">
        <w:rPr>
          <w:sz w:val="23"/>
          <w:szCs w:val="23"/>
        </w:rPr>
        <w:t xml:space="preserve">Shpallur me dekretin nr.5984, datë 29.12.2008 të Presidentit të Republikës së Shqipërisë, </w:t>
      </w:r>
    </w:p>
    <w:p w:rsidR="00836973" w:rsidRPr="00AB1B85" w:rsidRDefault="00836973" w:rsidP="00836973">
      <w:pPr>
        <w:pStyle w:val="Shpallja"/>
        <w:rPr>
          <w:sz w:val="23"/>
          <w:szCs w:val="23"/>
        </w:rPr>
      </w:pPr>
      <w:r w:rsidRPr="00AB1B85">
        <w:rPr>
          <w:sz w:val="23"/>
          <w:szCs w:val="23"/>
        </w:rPr>
        <w:t>Bamir Topi</w:t>
      </w:r>
    </w:p>
    <w:p w:rsidR="00415132" w:rsidRDefault="00415132" w:rsidP="00836973">
      <w:pPr>
        <w:pStyle w:val="Paragrafi"/>
        <w:rPr>
          <w:rFonts w:eastAsia="MS Mincho"/>
          <w:sz w:val="21"/>
          <w:szCs w:val="21"/>
          <w:lang w:val="en-GB" w:eastAsia="en-GB"/>
        </w:rPr>
      </w:pPr>
    </w:p>
    <w:p w:rsidR="005E6B72" w:rsidRDefault="005E6B72" w:rsidP="00836973">
      <w:pPr>
        <w:pStyle w:val="Paragrafi"/>
        <w:rPr>
          <w:rFonts w:eastAsia="MS Mincho"/>
          <w:sz w:val="21"/>
          <w:szCs w:val="21"/>
          <w:lang w:val="en-GB" w:eastAsia="en-GB"/>
        </w:rPr>
      </w:pPr>
    </w:p>
    <w:p w:rsidR="005E6B72" w:rsidRDefault="005E6B72" w:rsidP="005E6B72">
      <w:pPr>
        <w:pStyle w:val="Akti"/>
        <w:rPr>
          <w:rFonts w:eastAsia="MS Mincho"/>
          <w:lang w:eastAsia="en-GB"/>
        </w:rPr>
      </w:pPr>
      <w:r>
        <w:rPr>
          <w:rFonts w:eastAsia="MS Mincho"/>
          <w:lang w:eastAsia="en-GB"/>
        </w:rPr>
        <w:t>Dekret</w:t>
      </w:r>
    </w:p>
    <w:p w:rsidR="005E6B72" w:rsidRDefault="005E6B72" w:rsidP="005E6B72">
      <w:pPr>
        <w:pStyle w:val="NumriData"/>
        <w:rPr>
          <w:rFonts w:eastAsia="MS Mincho"/>
          <w:lang w:eastAsia="en-GB"/>
        </w:rPr>
      </w:pPr>
      <w:r>
        <w:rPr>
          <w:rFonts w:eastAsia="MS Mincho"/>
          <w:lang w:eastAsia="en-GB"/>
        </w:rPr>
        <w:t>Nr.5988, datë 30.12.2008</w:t>
      </w:r>
    </w:p>
    <w:p w:rsidR="005E6B72" w:rsidRDefault="005E6B72" w:rsidP="00836973">
      <w:pPr>
        <w:pStyle w:val="Paragrafi"/>
        <w:rPr>
          <w:rFonts w:eastAsia="MS Mincho"/>
          <w:sz w:val="21"/>
          <w:szCs w:val="21"/>
          <w:lang w:val="en-GB" w:eastAsia="en-GB"/>
        </w:rPr>
      </w:pPr>
    </w:p>
    <w:p w:rsidR="005E6B72" w:rsidRDefault="005E6B72" w:rsidP="005E6B72">
      <w:pPr>
        <w:pStyle w:val="Titulli"/>
        <w:rPr>
          <w:rFonts w:eastAsia="MS Mincho"/>
          <w:lang w:eastAsia="en-GB"/>
        </w:rPr>
      </w:pPr>
      <w:r>
        <w:rPr>
          <w:rFonts w:eastAsia="MS Mincho"/>
          <w:lang w:eastAsia="en-GB"/>
        </w:rPr>
        <w:t>Për shpallje ligji</w:t>
      </w:r>
    </w:p>
    <w:p w:rsidR="005E6B72" w:rsidRDefault="005E6B72" w:rsidP="00836973">
      <w:pPr>
        <w:pStyle w:val="Paragrafi"/>
        <w:rPr>
          <w:rFonts w:eastAsia="MS Mincho"/>
          <w:sz w:val="21"/>
          <w:szCs w:val="21"/>
          <w:lang w:val="en-GB" w:eastAsia="en-GB"/>
        </w:rPr>
      </w:pPr>
    </w:p>
    <w:p w:rsidR="005E6B72" w:rsidRDefault="005E6B72" w:rsidP="00836973">
      <w:pPr>
        <w:pStyle w:val="Paragrafi"/>
        <w:rPr>
          <w:rFonts w:eastAsia="MS Mincho"/>
          <w:sz w:val="21"/>
          <w:szCs w:val="21"/>
          <w:lang w:val="en-GB" w:eastAsia="en-GB"/>
        </w:rPr>
      </w:pPr>
    </w:p>
    <w:p w:rsidR="0041030D" w:rsidRDefault="0041030D" w:rsidP="00836973">
      <w:pPr>
        <w:pStyle w:val="Paragrafi"/>
        <w:rPr>
          <w:rFonts w:eastAsia="MS Mincho"/>
          <w:sz w:val="21"/>
          <w:szCs w:val="21"/>
          <w:lang w:val="en-GB" w:eastAsia="en-GB"/>
        </w:rPr>
      </w:pPr>
      <w:r>
        <w:rPr>
          <w:rFonts w:eastAsia="MS Mincho"/>
          <w:sz w:val="21"/>
          <w:szCs w:val="21"/>
          <w:lang w:val="en-GB" w:eastAsia="en-GB"/>
        </w:rPr>
        <w:t>Në mbështetje të neneve 84, pika 1 dhe 93 të Kushtetutës,</w:t>
      </w:r>
    </w:p>
    <w:p w:rsidR="0041030D" w:rsidRDefault="0041030D" w:rsidP="00836973">
      <w:pPr>
        <w:pStyle w:val="Paragrafi"/>
        <w:rPr>
          <w:rFonts w:eastAsia="MS Mincho"/>
          <w:sz w:val="21"/>
          <w:szCs w:val="21"/>
          <w:lang w:val="en-GB" w:eastAsia="en-GB"/>
        </w:rPr>
      </w:pPr>
    </w:p>
    <w:p w:rsidR="0041030D" w:rsidRDefault="0041030D" w:rsidP="0041030D">
      <w:pPr>
        <w:pStyle w:val="VENDOSI"/>
        <w:rPr>
          <w:rFonts w:eastAsia="MS Mincho"/>
          <w:lang w:eastAsia="en-GB"/>
        </w:rPr>
      </w:pPr>
      <w:r>
        <w:rPr>
          <w:rFonts w:eastAsia="MS Mincho"/>
          <w:lang w:eastAsia="en-GB"/>
        </w:rPr>
        <w:t>Dekretoj:</w:t>
      </w:r>
    </w:p>
    <w:p w:rsidR="0041030D" w:rsidRDefault="0041030D" w:rsidP="00836973">
      <w:pPr>
        <w:pStyle w:val="Paragrafi"/>
        <w:rPr>
          <w:rFonts w:eastAsia="MS Mincho"/>
          <w:sz w:val="21"/>
          <w:szCs w:val="21"/>
          <w:lang w:val="en-GB" w:eastAsia="en-GB"/>
        </w:rPr>
      </w:pPr>
    </w:p>
    <w:p w:rsidR="0041030D" w:rsidRDefault="0041030D" w:rsidP="00836973">
      <w:pPr>
        <w:pStyle w:val="Paragrafi"/>
        <w:rPr>
          <w:rFonts w:eastAsia="MS Mincho"/>
          <w:sz w:val="21"/>
          <w:szCs w:val="21"/>
          <w:lang w:val="en-GB" w:eastAsia="en-GB"/>
        </w:rPr>
      </w:pPr>
      <w:r>
        <w:rPr>
          <w:rFonts w:eastAsia="MS Mincho"/>
          <w:sz w:val="21"/>
          <w:szCs w:val="21"/>
          <w:lang w:val="en-GB" w:eastAsia="en-GB"/>
        </w:rPr>
        <w:t>Shpalljen e ligjit nr.10 019, datë 29.12.2008 “Kodi Zgjedhor i Republikës së Shqipërisë”.</w:t>
      </w:r>
    </w:p>
    <w:p w:rsidR="0041030D" w:rsidRDefault="0041030D" w:rsidP="00836973">
      <w:pPr>
        <w:pStyle w:val="Paragrafi"/>
        <w:rPr>
          <w:rFonts w:eastAsia="MS Mincho"/>
          <w:sz w:val="21"/>
          <w:szCs w:val="21"/>
          <w:lang w:val="en-GB" w:eastAsia="en-GB"/>
        </w:rPr>
      </w:pPr>
    </w:p>
    <w:p w:rsidR="0041030D" w:rsidRDefault="0041030D" w:rsidP="0041030D">
      <w:pPr>
        <w:pStyle w:val="Autoriteti"/>
        <w:rPr>
          <w:rFonts w:eastAsia="MS Mincho"/>
          <w:lang w:eastAsia="en-GB"/>
        </w:rPr>
      </w:pPr>
      <w:r>
        <w:rPr>
          <w:rFonts w:eastAsia="MS Mincho"/>
          <w:lang w:eastAsia="en-GB"/>
        </w:rPr>
        <w:t>Presidenti i Republikës së Shqipërisë</w:t>
      </w:r>
    </w:p>
    <w:p w:rsidR="0041030D" w:rsidRPr="00AD3BBF" w:rsidRDefault="0041030D" w:rsidP="0041030D">
      <w:pPr>
        <w:pStyle w:val="AutoritetiEmer"/>
        <w:rPr>
          <w:rFonts w:eastAsia="MS Mincho"/>
          <w:lang w:eastAsia="en-GB"/>
        </w:rPr>
      </w:pPr>
      <w:r>
        <w:rPr>
          <w:rFonts w:eastAsia="MS Mincho"/>
          <w:lang w:eastAsia="en-GB"/>
        </w:rPr>
        <w:t>Bamir Topi</w:t>
      </w:r>
    </w:p>
    <w:sectPr w:rsidR="0041030D" w:rsidRPr="00AD3BBF" w:rsidSect="003E22BE">
      <w:footerReference w:type="even" r:id="rId7"/>
      <w:footerReference w:type="default" r:id="rId8"/>
      <w:pgSz w:w="11907" w:h="16840" w:code="9"/>
      <w:pgMar w:top="1418" w:right="1418" w:bottom="1418" w:left="1418" w:header="1304" w:footer="1134" w:gutter="0"/>
      <w:pgNumType w:start="104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553" w:rsidRDefault="00460553">
      <w:r>
        <w:separator/>
      </w:r>
    </w:p>
  </w:endnote>
  <w:endnote w:type="continuationSeparator" w:id="0">
    <w:p w:rsidR="00460553" w:rsidRDefault="0046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467" w:rsidRDefault="00AC1467" w:rsidP="003C28B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1467" w:rsidRDefault="00AC1467" w:rsidP="003C28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467" w:rsidRDefault="00AC1467" w:rsidP="003C28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553" w:rsidRDefault="00460553">
      <w:r>
        <w:separator/>
      </w:r>
    </w:p>
  </w:footnote>
  <w:footnote w:type="continuationSeparator" w:id="0">
    <w:p w:rsidR="00460553" w:rsidRDefault="00460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39F40F2"/>
    <w:multiLevelType w:val="hybridMultilevel"/>
    <w:tmpl w:val="66506CB8"/>
    <w:lvl w:ilvl="0" w:tplc="04090017">
      <w:start w:val="1"/>
      <w:numFmt w:val="lowerLetter"/>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
    <w:nsid w:val="70651232"/>
    <w:multiLevelType w:val="hybridMultilevel"/>
    <w:tmpl w:val="124669FC"/>
    <w:lvl w:ilvl="0" w:tplc="AA9C92CC">
      <w:start w:val="1"/>
      <w:numFmt w:val="decimal"/>
      <w:lvlText w:val="%1."/>
      <w:lvlJc w:val="left"/>
      <w:pPr>
        <w:tabs>
          <w:tab w:val="num" w:pos="960"/>
        </w:tabs>
        <w:ind w:left="960" w:hanging="360"/>
      </w:pPr>
      <w:rPr>
        <w:rFonts w:hint="default"/>
        <w:sz w:val="24"/>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317D"/>
    <w:rsid w:val="00035925"/>
    <w:rsid w:val="00040F8C"/>
    <w:rsid w:val="000417AC"/>
    <w:rsid w:val="0005412B"/>
    <w:rsid w:val="00093BA7"/>
    <w:rsid w:val="000A2FD8"/>
    <w:rsid w:val="001535AF"/>
    <w:rsid w:val="00155FB1"/>
    <w:rsid w:val="001D5B2C"/>
    <w:rsid w:val="0020701E"/>
    <w:rsid w:val="002306F3"/>
    <w:rsid w:val="002429EC"/>
    <w:rsid w:val="00276782"/>
    <w:rsid w:val="002776DF"/>
    <w:rsid w:val="002C61B0"/>
    <w:rsid w:val="002C7465"/>
    <w:rsid w:val="002E1F5E"/>
    <w:rsid w:val="002E7B69"/>
    <w:rsid w:val="002F344B"/>
    <w:rsid w:val="0032744F"/>
    <w:rsid w:val="00340C03"/>
    <w:rsid w:val="00365601"/>
    <w:rsid w:val="003B7092"/>
    <w:rsid w:val="003C28BF"/>
    <w:rsid w:val="003C3ED7"/>
    <w:rsid w:val="003E22BE"/>
    <w:rsid w:val="0041030D"/>
    <w:rsid w:val="00415132"/>
    <w:rsid w:val="00427864"/>
    <w:rsid w:val="00444D2E"/>
    <w:rsid w:val="004457F6"/>
    <w:rsid w:val="00450080"/>
    <w:rsid w:val="00450FF5"/>
    <w:rsid w:val="00460553"/>
    <w:rsid w:val="00474502"/>
    <w:rsid w:val="004B7511"/>
    <w:rsid w:val="00500A7C"/>
    <w:rsid w:val="0052589A"/>
    <w:rsid w:val="00544E75"/>
    <w:rsid w:val="0055692E"/>
    <w:rsid w:val="005627B7"/>
    <w:rsid w:val="00581867"/>
    <w:rsid w:val="005B46CA"/>
    <w:rsid w:val="005C6DA9"/>
    <w:rsid w:val="005E6B72"/>
    <w:rsid w:val="005F621C"/>
    <w:rsid w:val="0067558D"/>
    <w:rsid w:val="006D0E63"/>
    <w:rsid w:val="006F7F11"/>
    <w:rsid w:val="007121B1"/>
    <w:rsid w:val="00712DA9"/>
    <w:rsid w:val="00713EF4"/>
    <w:rsid w:val="00720204"/>
    <w:rsid w:val="007361F2"/>
    <w:rsid w:val="0079317D"/>
    <w:rsid w:val="007C52A0"/>
    <w:rsid w:val="007C76C6"/>
    <w:rsid w:val="007E67FA"/>
    <w:rsid w:val="008252B8"/>
    <w:rsid w:val="00836973"/>
    <w:rsid w:val="008533A8"/>
    <w:rsid w:val="008832FE"/>
    <w:rsid w:val="00883879"/>
    <w:rsid w:val="00886956"/>
    <w:rsid w:val="00897678"/>
    <w:rsid w:val="008A006D"/>
    <w:rsid w:val="008A3E37"/>
    <w:rsid w:val="008C3ED7"/>
    <w:rsid w:val="008D3561"/>
    <w:rsid w:val="00915DD2"/>
    <w:rsid w:val="009346E3"/>
    <w:rsid w:val="009420F7"/>
    <w:rsid w:val="0096195F"/>
    <w:rsid w:val="009A3D3B"/>
    <w:rsid w:val="009C72BF"/>
    <w:rsid w:val="009D09BC"/>
    <w:rsid w:val="009D57F5"/>
    <w:rsid w:val="009E2A31"/>
    <w:rsid w:val="009E3950"/>
    <w:rsid w:val="00A319A6"/>
    <w:rsid w:val="00A6064E"/>
    <w:rsid w:val="00AA792C"/>
    <w:rsid w:val="00AB1B85"/>
    <w:rsid w:val="00AB67B6"/>
    <w:rsid w:val="00AC1467"/>
    <w:rsid w:val="00AD0C2F"/>
    <w:rsid w:val="00AD13C6"/>
    <w:rsid w:val="00AD231A"/>
    <w:rsid w:val="00AD3591"/>
    <w:rsid w:val="00AD3BBF"/>
    <w:rsid w:val="00AF6E3B"/>
    <w:rsid w:val="00B07E3B"/>
    <w:rsid w:val="00B4346E"/>
    <w:rsid w:val="00B6759E"/>
    <w:rsid w:val="00BB5C7B"/>
    <w:rsid w:val="00BB6D78"/>
    <w:rsid w:val="00BB7AED"/>
    <w:rsid w:val="00BD56C0"/>
    <w:rsid w:val="00BF773A"/>
    <w:rsid w:val="00C00194"/>
    <w:rsid w:val="00C05F60"/>
    <w:rsid w:val="00C55004"/>
    <w:rsid w:val="00C753C2"/>
    <w:rsid w:val="00C85FE1"/>
    <w:rsid w:val="00C91197"/>
    <w:rsid w:val="00CA4A3F"/>
    <w:rsid w:val="00CB10FD"/>
    <w:rsid w:val="00CB3357"/>
    <w:rsid w:val="00CD05AB"/>
    <w:rsid w:val="00CF6A03"/>
    <w:rsid w:val="00CF716D"/>
    <w:rsid w:val="00D1735F"/>
    <w:rsid w:val="00D350E5"/>
    <w:rsid w:val="00D572A5"/>
    <w:rsid w:val="00D60C8B"/>
    <w:rsid w:val="00D739CD"/>
    <w:rsid w:val="00D82041"/>
    <w:rsid w:val="00DA5513"/>
    <w:rsid w:val="00DC3E38"/>
    <w:rsid w:val="00DF589C"/>
    <w:rsid w:val="00E0568E"/>
    <w:rsid w:val="00E53678"/>
    <w:rsid w:val="00E6353A"/>
    <w:rsid w:val="00E943DC"/>
    <w:rsid w:val="00E96146"/>
    <w:rsid w:val="00EE6F9A"/>
    <w:rsid w:val="00F4395E"/>
    <w:rsid w:val="00F56CD0"/>
    <w:rsid w:val="00F743C1"/>
    <w:rsid w:val="00F82BBB"/>
    <w:rsid w:val="00FD4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FD74BCC-5FED-45E6-BE9D-1F21D435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AA792C"/>
    <w:pPr>
      <w:keepNext/>
      <w:ind w:firstLine="600"/>
      <w:jc w:val="both"/>
      <w:outlineLvl w:val="3"/>
    </w:pPr>
    <w:rPr>
      <w:sz w:val="28"/>
      <w:lang w:val="sq-AL"/>
    </w:rPr>
  </w:style>
  <w:style w:type="paragraph" w:styleId="Heading5">
    <w:name w:val="heading 5"/>
    <w:basedOn w:val="Normal"/>
    <w:next w:val="Normal"/>
    <w:qFormat/>
    <w:rsid w:val="00AA792C"/>
    <w:pPr>
      <w:keepNext/>
      <w:jc w:val="both"/>
      <w:outlineLvl w:val="4"/>
    </w:pPr>
    <w:rPr>
      <w:sz w:val="28"/>
      <w:lang w:val="sq-AL"/>
    </w:rPr>
  </w:style>
  <w:style w:type="paragraph" w:styleId="Heading6">
    <w:name w:val="heading 6"/>
    <w:basedOn w:val="Normal"/>
    <w:next w:val="Normal"/>
    <w:qFormat/>
    <w:rsid w:val="00AA792C"/>
    <w:pPr>
      <w:keepNext/>
      <w:jc w:val="center"/>
      <w:outlineLvl w:val="5"/>
    </w:pPr>
    <w:rPr>
      <w:b/>
      <w:bCs/>
      <w:lang w:val="sq-AL"/>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27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457F6"/>
    <w:pPr>
      <w:tabs>
        <w:tab w:val="center" w:pos="4320"/>
        <w:tab w:val="right" w:pos="8640"/>
      </w:tabs>
    </w:pPr>
  </w:style>
  <w:style w:type="character" w:styleId="PageNumber">
    <w:name w:val="page number"/>
    <w:basedOn w:val="DefaultParagraphFont"/>
    <w:rsid w:val="004457F6"/>
    <w:rPr>
      <w:rFonts w:ascii="Tahoma" w:eastAsia="MS Mincho" w:hAnsi="Tahoma"/>
      <w:lang w:val="en-GB" w:eastAsia="en-GB" w:bidi="ar-SA"/>
    </w:rPr>
  </w:style>
  <w:style w:type="paragraph" w:styleId="Header">
    <w:name w:val="header"/>
    <w:basedOn w:val="Normal"/>
    <w:rsid w:val="00F4395E"/>
    <w:pPr>
      <w:tabs>
        <w:tab w:val="center" w:pos="4320"/>
        <w:tab w:val="right" w:pos="8640"/>
      </w:tabs>
    </w:pPr>
  </w:style>
  <w:style w:type="paragraph" w:styleId="BodyTextIndent">
    <w:name w:val="Body Text Indent"/>
    <w:basedOn w:val="Normal"/>
    <w:rsid w:val="00AA792C"/>
    <w:pPr>
      <w:widowControl w:val="0"/>
      <w:autoSpaceDE w:val="0"/>
      <w:autoSpaceDN w:val="0"/>
      <w:adjustRightInd w:val="0"/>
      <w:ind w:firstLine="600"/>
    </w:pPr>
    <w:rPr>
      <w:sz w:val="28"/>
      <w:szCs w:val="20"/>
      <w:lang w:val="sq-AL"/>
    </w:rPr>
  </w:style>
  <w:style w:type="paragraph" w:styleId="BodyTextIndent2">
    <w:name w:val="Body Text Indent 2"/>
    <w:basedOn w:val="Normal"/>
    <w:rsid w:val="00AA792C"/>
    <w:pPr>
      <w:widowControl w:val="0"/>
      <w:autoSpaceDE w:val="0"/>
      <w:autoSpaceDN w:val="0"/>
      <w:adjustRightInd w:val="0"/>
      <w:ind w:firstLine="600"/>
      <w:jc w:val="both"/>
    </w:pPr>
    <w:rPr>
      <w:sz w:val="28"/>
      <w:szCs w:val="20"/>
      <w:lang w:val="sq-AL"/>
    </w:rPr>
  </w:style>
  <w:style w:type="character" w:styleId="Strong">
    <w:name w:val="Strong"/>
    <w:qFormat/>
    <w:rsid w:val="00AA792C"/>
    <w:rPr>
      <w:rFonts w:ascii="Tahoma" w:eastAsia="MS Mincho" w:hAnsi="Tahoma"/>
      <w:b/>
      <w:bCs/>
      <w:lang w:val="en-GB" w:eastAsia="en-GB" w:bidi="ar-SA"/>
    </w:rPr>
  </w:style>
  <w:style w:type="paragraph" w:customStyle="1" w:styleId="H3">
    <w:name w:val="H3"/>
    <w:basedOn w:val="Normal"/>
    <w:next w:val="Normal"/>
    <w:rsid w:val="00AA792C"/>
    <w:pPr>
      <w:keepNext/>
      <w:autoSpaceDE w:val="0"/>
      <w:autoSpaceDN w:val="0"/>
      <w:adjustRightInd w:val="0"/>
      <w:spacing w:before="100" w:after="100"/>
      <w:outlineLvl w:val="3"/>
    </w:pPr>
    <w:rPr>
      <w:b/>
      <w:bCs/>
      <w:sz w:val="28"/>
      <w:szCs w:val="28"/>
    </w:rPr>
  </w:style>
  <w:style w:type="paragraph" w:customStyle="1" w:styleId="H5">
    <w:name w:val="H5"/>
    <w:basedOn w:val="Normal"/>
    <w:next w:val="Normal"/>
    <w:rsid w:val="00AA792C"/>
    <w:pPr>
      <w:keepNext/>
      <w:autoSpaceDE w:val="0"/>
      <w:autoSpaceDN w:val="0"/>
      <w:adjustRightInd w:val="0"/>
      <w:spacing w:before="100" w:after="100"/>
      <w:outlineLvl w:val="5"/>
    </w:pPr>
    <w:rPr>
      <w:b/>
      <w:bCs/>
      <w:sz w:val="20"/>
      <w:szCs w:val="20"/>
    </w:rPr>
  </w:style>
  <w:style w:type="paragraph" w:customStyle="1" w:styleId="H1">
    <w:name w:val="H1"/>
    <w:basedOn w:val="Normal"/>
    <w:next w:val="Normal"/>
    <w:rsid w:val="00AA792C"/>
    <w:pPr>
      <w:keepNext/>
      <w:autoSpaceDE w:val="0"/>
      <w:autoSpaceDN w:val="0"/>
      <w:adjustRightInd w:val="0"/>
      <w:spacing w:before="100" w:after="100"/>
      <w:outlineLvl w:val="1"/>
    </w:pPr>
    <w:rPr>
      <w:b/>
      <w:bCs/>
      <w:kern w:val="36"/>
      <w:sz w:val="48"/>
      <w:szCs w:val="48"/>
    </w:rPr>
  </w:style>
  <w:style w:type="character" w:styleId="Emphasis">
    <w:name w:val="Emphasis"/>
    <w:qFormat/>
    <w:rsid w:val="00AA792C"/>
    <w:rPr>
      <w:rFonts w:ascii="Tahoma" w:eastAsia="MS Mincho" w:hAnsi="Tahoma"/>
      <w:i/>
      <w:iCs/>
      <w:lang w:val="en-GB" w:eastAsia="en-GB" w:bidi="ar-SA"/>
    </w:rPr>
  </w:style>
  <w:style w:type="paragraph" w:customStyle="1" w:styleId="H4">
    <w:name w:val="H4"/>
    <w:basedOn w:val="Normal"/>
    <w:next w:val="Normal"/>
    <w:rsid w:val="00AA792C"/>
    <w:pPr>
      <w:keepNext/>
      <w:autoSpaceDE w:val="0"/>
      <w:autoSpaceDN w:val="0"/>
      <w:adjustRightInd w:val="0"/>
      <w:spacing w:before="100" w:after="100"/>
      <w:outlineLvl w:val="4"/>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11933</Words>
  <Characters>68021</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79795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2012-09-26T13:08:00Z</cp:lastPrinted>
  <dcterms:created xsi:type="dcterms:W3CDTF">2019-02-15T15:22:00Z</dcterms:created>
  <dcterms:modified xsi:type="dcterms:W3CDTF">2019-02-15T15:22:00Z</dcterms:modified>
</cp:coreProperties>
</file>