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948" w:rsidRPr="00A95903" w:rsidRDefault="007B5E8F" w:rsidP="007B5E8F">
      <w:pPr>
        <w:pStyle w:val="Akti"/>
        <w:rPr>
          <w:sz w:val="21"/>
          <w:szCs w:val="21"/>
        </w:rPr>
      </w:pPr>
      <w:bookmarkStart w:id="0" w:name="_GoBack"/>
      <w:bookmarkEnd w:id="0"/>
      <w:r w:rsidRPr="00A95903">
        <w:rPr>
          <w:sz w:val="21"/>
          <w:szCs w:val="21"/>
        </w:rPr>
        <w:t>LIG</w:t>
      </w:r>
      <w:r w:rsidR="00091948" w:rsidRPr="00A95903">
        <w:rPr>
          <w:sz w:val="21"/>
          <w:szCs w:val="21"/>
        </w:rPr>
        <w:t>J</w:t>
      </w:r>
    </w:p>
    <w:p w:rsidR="00091948" w:rsidRPr="00A95903" w:rsidRDefault="00091948" w:rsidP="007B5E8F">
      <w:pPr>
        <w:pStyle w:val="NumriData"/>
        <w:rPr>
          <w:sz w:val="21"/>
          <w:szCs w:val="21"/>
        </w:rPr>
      </w:pPr>
      <w:r w:rsidRPr="00A95903">
        <w:rPr>
          <w:sz w:val="21"/>
          <w:szCs w:val="21"/>
        </w:rPr>
        <w:t>Nr.10 167, datë 22.10.2009</w:t>
      </w:r>
    </w:p>
    <w:p w:rsidR="00091948" w:rsidRPr="00A95903" w:rsidRDefault="00091948" w:rsidP="00CD14E7">
      <w:pPr>
        <w:pStyle w:val="Paragrafi0"/>
        <w:ind w:firstLine="0"/>
        <w:rPr>
          <w:sz w:val="21"/>
          <w:szCs w:val="21"/>
        </w:rPr>
      </w:pPr>
    </w:p>
    <w:p w:rsidR="00091948" w:rsidRPr="00A95903" w:rsidRDefault="00091948" w:rsidP="007B5E8F">
      <w:pPr>
        <w:pStyle w:val="Titulli0"/>
        <w:rPr>
          <w:sz w:val="21"/>
          <w:szCs w:val="21"/>
        </w:rPr>
      </w:pPr>
      <w:r w:rsidRPr="00A95903">
        <w:rPr>
          <w:sz w:val="21"/>
          <w:szCs w:val="21"/>
        </w:rPr>
        <w:t>PËR HEQJEN NGA FONDI PYJOR KOMBËTAR TË SIPËRFAQEVE TË DISA NGASTRAVE TË EKONOMIVE PYJORE, “MALI I RENCIT”, LEZHË DHE “BUSHAT-BËRDICË”, SHKODËR, QË DO TË PËRDOREN NGA “OTTO-AL”, SHPK PËR KARRIERA GURI GËLQEROR E ARGJILE</w:t>
      </w:r>
    </w:p>
    <w:p w:rsidR="00091948" w:rsidRPr="00A95903" w:rsidRDefault="00091948" w:rsidP="00CD14E7">
      <w:pPr>
        <w:pStyle w:val="Paragrafi0"/>
        <w:ind w:firstLine="0"/>
        <w:rPr>
          <w:sz w:val="21"/>
          <w:szCs w:val="21"/>
        </w:rPr>
      </w:pPr>
    </w:p>
    <w:p w:rsidR="00091948" w:rsidRPr="00A95903" w:rsidRDefault="00091948" w:rsidP="00091948">
      <w:pPr>
        <w:pStyle w:val="Paragrafi0"/>
        <w:rPr>
          <w:sz w:val="21"/>
          <w:szCs w:val="21"/>
        </w:rPr>
      </w:pPr>
      <w:r w:rsidRPr="00A95903">
        <w:rPr>
          <w:sz w:val="21"/>
          <w:szCs w:val="21"/>
        </w:rPr>
        <w:t xml:space="preserve">Në mbështetje të neneve 78 e 83 pika 1 të Kushtetutës, me propozimin e Këshillit të Ministrave, </w:t>
      </w:r>
    </w:p>
    <w:p w:rsidR="00091948" w:rsidRPr="00A95903" w:rsidRDefault="00091948" w:rsidP="00091948">
      <w:pPr>
        <w:pStyle w:val="Paragrafi0"/>
        <w:rPr>
          <w:sz w:val="21"/>
          <w:szCs w:val="21"/>
        </w:rPr>
      </w:pPr>
    </w:p>
    <w:p w:rsidR="00091948" w:rsidRPr="00A95903" w:rsidRDefault="007B5E8F" w:rsidP="007B5E8F">
      <w:pPr>
        <w:pStyle w:val="Institucioni"/>
        <w:rPr>
          <w:sz w:val="21"/>
          <w:szCs w:val="21"/>
        </w:rPr>
      </w:pPr>
      <w:r w:rsidRPr="00A95903">
        <w:rPr>
          <w:sz w:val="21"/>
          <w:szCs w:val="21"/>
        </w:rPr>
        <w:t>KUVEND</w:t>
      </w:r>
      <w:r w:rsidR="00091948" w:rsidRPr="00A95903">
        <w:rPr>
          <w:sz w:val="21"/>
          <w:szCs w:val="21"/>
        </w:rPr>
        <w:t xml:space="preserve">I </w:t>
      </w:r>
    </w:p>
    <w:p w:rsidR="00091948" w:rsidRPr="00A95903" w:rsidRDefault="00091948" w:rsidP="007B5E8F">
      <w:pPr>
        <w:pStyle w:val="Institucioni"/>
        <w:rPr>
          <w:sz w:val="21"/>
          <w:szCs w:val="21"/>
        </w:rPr>
      </w:pPr>
      <w:r w:rsidRPr="00A95903">
        <w:rPr>
          <w:sz w:val="21"/>
          <w:szCs w:val="21"/>
        </w:rPr>
        <w:t>I REPUBLIKËS SË SHQIPËRISË</w:t>
      </w:r>
    </w:p>
    <w:p w:rsidR="00091948" w:rsidRPr="00A95903" w:rsidRDefault="00091948" w:rsidP="00091948">
      <w:pPr>
        <w:pStyle w:val="Paragrafi0"/>
        <w:rPr>
          <w:sz w:val="21"/>
          <w:szCs w:val="21"/>
        </w:rPr>
      </w:pPr>
    </w:p>
    <w:p w:rsidR="00091948" w:rsidRPr="00A95903" w:rsidRDefault="007B5E8F" w:rsidP="007B5E8F">
      <w:pPr>
        <w:pStyle w:val="VENDOSI0"/>
        <w:rPr>
          <w:sz w:val="21"/>
          <w:szCs w:val="21"/>
        </w:rPr>
      </w:pPr>
      <w:r w:rsidRPr="00A95903">
        <w:rPr>
          <w:sz w:val="21"/>
          <w:szCs w:val="21"/>
        </w:rPr>
        <w:t>VENDOS</w:t>
      </w:r>
      <w:r w:rsidR="00091948" w:rsidRPr="00A95903">
        <w:rPr>
          <w:sz w:val="21"/>
          <w:szCs w:val="21"/>
        </w:rPr>
        <w:t>I:</w:t>
      </w:r>
    </w:p>
    <w:p w:rsidR="00091948" w:rsidRPr="00A95903" w:rsidRDefault="00091948" w:rsidP="00091948">
      <w:pPr>
        <w:pStyle w:val="Paragrafi0"/>
        <w:rPr>
          <w:sz w:val="21"/>
          <w:szCs w:val="21"/>
        </w:rPr>
      </w:pPr>
    </w:p>
    <w:p w:rsidR="00091948" w:rsidRPr="00A95903" w:rsidRDefault="00091948" w:rsidP="007B5E8F">
      <w:pPr>
        <w:pStyle w:val="NeniNr"/>
        <w:rPr>
          <w:sz w:val="21"/>
          <w:szCs w:val="21"/>
        </w:rPr>
      </w:pPr>
      <w:r w:rsidRPr="00A95903">
        <w:rPr>
          <w:sz w:val="21"/>
          <w:szCs w:val="21"/>
        </w:rPr>
        <w:t>Neni 1</w:t>
      </w:r>
    </w:p>
    <w:p w:rsidR="00091948" w:rsidRPr="00A95903" w:rsidRDefault="00091948" w:rsidP="00091948">
      <w:pPr>
        <w:pStyle w:val="Paragrafi0"/>
        <w:rPr>
          <w:sz w:val="21"/>
          <w:szCs w:val="21"/>
        </w:rPr>
      </w:pPr>
    </w:p>
    <w:p w:rsidR="00091948" w:rsidRPr="00A95903" w:rsidRDefault="00091948" w:rsidP="00091948">
      <w:pPr>
        <w:pStyle w:val="Paragrafi0"/>
        <w:rPr>
          <w:sz w:val="21"/>
          <w:szCs w:val="21"/>
        </w:rPr>
      </w:pPr>
      <w:r w:rsidRPr="00A95903">
        <w:rPr>
          <w:sz w:val="21"/>
          <w:szCs w:val="21"/>
        </w:rPr>
        <w:t>Të hiqet nga fondi pyjor kombëtar dhe nga kadastra kombëtare e pyjeve sipërfaqja prej 249,0 (dyqind e dyzet e nëntë) ha, që ndodhet në ekonominë “Mali i Rencit”, Lezhë dhe sipërfaqja prej 14,0 (katërmbëdhjetë) ha, që ndodhet në ekonominë pyjore “Bushat-Bërdicë”, Shkodër, gjithsej 263 (dyqind e gjashtëdhjetë e tre) ha, të cilat t’i jepen në përdorim, me kontratë, me afat 99 vjet, shoqërisë “OTTO-AL”, shpk për karriera guri gëlqeror e argjile, sipas tabelave 1, 2 e 3 dhe hartave, që i bashkëlidhen këtij ligji.</w:t>
      </w:r>
    </w:p>
    <w:p w:rsidR="00091948" w:rsidRPr="00A95903" w:rsidRDefault="00091948" w:rsidP="00091948">
      <w:pPr>
        <w:pStyle w:val="Paragrafi0"/>
        <w:rPr>
          <w:sz w:val="21"/>
          <w:szCs w:val="21"/>
        </w:rPr>
      </w:pPr>
    </w:p>
    <w:p w:rsidR="00091948" w:rsidRPr="00A95903" w:rsidRDefault="00091948" w:rsidP="007B5E8F">
      <w:pPr>
        <w:pStyle w:val="NeniNr"/>
        <w:rPr>
          <w:sz w:val="21"/>
          <w:szCs w:val="21"/>
        </w:rPr>
      </w:pPr>
      <w:r w:rsidRPr="00A95903">
        <w:rPr>
          <w:sz w:val="21"/>
          <w:szCs w:val="21"/>
        </w:rPr>
        <w:t>Neni 2</w:t>
      </w:r>
    </w:p>
    <w:p w:rsidR="00091948" w:rsidRPr="00A95903" w:rsidRDefault="00091948" w:rsidP="00091948">
      <w:pPr>
        <w:pStyle w:val="Paragrafi0"/>
        <w:rPr>
          <w:sz w:val="21"/>
          <w:szCs w:val="21"/>
        </w:rPr>
      </w:pPr>
    </w:p>
    <w:p w:rsidR="00091948" w:rsidRPr="00A95903" w:rsidRDefault="00091948" w:rsidP="00091948">
      <w:pPr>
        <w:pStyle w:val="Paragrafi0"/>
        <w:rPr>
          <w:sz w:val="21"/>
          <w:szCs w:val="21"/>
        </w:rPr>
      </w:pPr>
      <w:r w:rsidRPr="00A95903">
        <w:rPr>
          <w:sz w:val="21"/>
          <w:szCs w:val="21"/>
        </w:rPr>
        <w:t>Të përcaktohen në terren dhe në hartë kufijtë e rinj të fondit pyjor kombëtar, që rezultojnë nga heqja e sipërfaqeve të ngastrave, sipas nenit 1 të këtij ligji. Zyrat rajonale të regjistrimit të pasurive të paluajtshme të bëjnë çregjistrimin e tyre nga kategoria “Tokë e zënë, pyll” dhe t’i regjistrojnë si sipërfaqe joproduktive (karrierë), sipas akteve nënligjore në fuqi.</w:t>
      </w:r>
    </w:p>
    <w:p w:rsidR="00091948" w:rsidRPr="00A95903" w:rsidRDefault="00091948" w:rsidP="00091948">
      <w:pPr>
        <w:pStyle w:val="Paragrafi0"/>
        <w:rPr>
          <w:sz w:val="21"/>
          <w:szCs w:val="21"/>
        </w:rPr>
      </w:pPr>
    </w:p>
    <w:p w:rsidR="00091948" w:rsidRPr="00A95903" w:rsidRDefault="00091948" w:rsidP="007B5E8F">
      <w:pPr>
        <w:pStyle w:val="NeniNr"/>
        <w:rPr>
          <w:sz w:val="21"/>
          <w:szCs w:val="21"/>
        </w:rPr>
      </w:pPr>
      <w:r w:rsidRPr="00A95903">
        <w:rPr>
          <w:sz w:val="21"/>
          <w:szCs w:val="21"/>
        </w:rPr>
        <w:t>Neni 3</w:t>
      </w:r>
    </w:p>
    <w:p w:rsidR="00091948" w:rsidRPr="00A95903" w:rsidRDefault="00091948" w:rsidP="00091948">
      <w:pPr>
        <w:pStyle w:val="Paragrafi0"/>
        <w:rPr>
          <w:sz w:val="21"/>
          <w:szCs w:val="21"/>
        </w:rPr>
      </w:pPr>
    </w:p>
    <w:p w:rsidR="00091948" w:rsidRPr="00A95903" w:rsidRDefault="00091948" w:rsidP="00091948">
      <w:pPr>
        <w:pStyle w:val="Paragrafi0"/>
        <w:rPr>
          <w:sz w:val="21"/>
          <w:szCs w:val="21"/>
        </w:rPr>
      </w:pPr>
      <w:r w:rsidRPr="00A95903">
        <w:rPr>
          <w:sz w:val="21"/>
          <w:szCs w:val="21"/>
        </w:rPr>
        <w:t>Llogaritja e tarifave për heqjen nga fondi pyjor të bëhet në përputhje me vendimin nr.391, datë 21.6.2006 të Këshillit të Ministrave “Për përcaktimin e tarifave në sektorin e pyjeve dhe të kullotave”.</w:t>
      </w:r>
    </w:p>
    <w:p w:rsidR="00091948" w:rsidRPr="00A95903" w:rsidRDefault="00091948" w:rsidP="00091948">
      <w:pPr>
        <w:pStyle w:val="Paragrafi0"/>
        <w:rPr>
          <w:sz w:val="21"/>
          <w:szCs w:val="21"/>
        </w:rPr>
      </w:pPr>
    </w:p>
    <w:p w:rsidR="00091948" w:rsidRPr="00A95903" w:rsidRDefault="00091948" w:rsidP="007B5E8F">
      <w:pPr>
        <w:pStyle w:val="NeniNr"/>
        <w:rPr>
          <w:sz w:val="21"/>
          <w:szCs w:val="21"/>
        </w:rPr>
      </w:pPr>
      <w:r w:rsidRPr="00A95903">
        <w:rPr>
          <w:sz w:val="21"/>
          <w:szCs w:val="21"/>
        </w:rPr>
        <w:t>Neni 4</w:t>
      </w:r>
    </w:p>
    <w:p w:rsidR="00091948" w:rsidRPr="00A95903" w:rsidRDefault="00091948" w:rsidP="00091948">
      <w:pPr>
        <w:pStyle w:val="Paragrafi0"/>
        <w:rPr>
          <w:sz w:val="21"/>
          <w:szCs w:val="21"/>
        </w:rPr>
      </w:pPr>
    </w:p>
    <w:p w:rsidR="00091948" w:rsidRPr="00A95903" w:rsidRDefault="00091948" w:rsidP="00091948">
      <w:pPr>
        <w:pStyle w:val="Paragrafi0"/>
        <w:rPr>
          <w:sz w:val="21"/>
          <w:szCs w:val="21"/>
        </w:rPr>
      </w:pPr>
      <w:r w:rsidRPr="00A95903">
        <w:rPr>
          <w:sz w:val="21"/>
          <w:szCs w:val="21"/>
        </w:rPr>
        <w:t>“OTTO-AL”, shpk-ja, brenda 3 vjetëve nga hyrja në fuqi e këtij ligji, të pyllëzojë, me fondet e veta, 210 (dyqind e dhjetë) ha ngastra, të përcaktuara nga drejtoria përkatëse e shërbimit pyjor. Procesi i programit të mbjelljeve dhe i marrjes në dorëzim të sipërfaqeve të pyllëzuara ndiqet nga ministria përgjegjëse për pyjet, në bashkëpunim me njësitë e qeverisjes vendore, sipas marrëveshjes me kërkuesin.</w:t>
      </w:r>
    </w:p>
    <w:p w:rsidR="00091948" w:rsidRPr="00A95903" w:rsidRDefault="00091948" w:rsidP="00091948">
      <w:pPr>
        <w:pStyle w:val="Paragrafi0"/>
        <w:rPr>
          <w:sz w:val="21"/>
          <w:szCs w:val="21"/>
        </w:rPr>
      </w:pPr>
    </w:p>
    <w:p w:rsidR="00091948" w:rsidRPr="00A95903" w:rsidRDefault="00091948" w:rsidP="00A579FF">
      <w:pPr>
        <w:pStyle w:val="NeniNr"/>
        <w:rPr>
          <w:sz w:val="21"/>
          <w:szCs w:val="21"/>
        </w:rPr>
      </w:pPr>
      <w:r w:rsidRPr="00A95903">
        <w:rPr>
          <w:sz w:val="21"/>
          <w:szCs w:val="21"/>
        </w:rPr>
        <w:t>Neni 5</w:t>
      </w:r>
    </w:p>
    <w:p w:rsidR="00091948" w:rsidRPr="00A95903" w:rsidRDefault="00091948" w:rsidP="00091948">
      <w:pPr>
        <w:pStyle w:val="Paragrafi0"/>
        <w:rPr>
          <w:sz w:val="21"/>
          <w:szCs w:val="21"/>
        </w:rPr>
      </w:pPr>
    </w:p>
    <w:p w:rsidR="00091948" w:rsidRPr="00A95903" w:rsidRDefault="00091948" w:rsidP="00091948">
      <w:pPr>
        <w:pStyle w:val="Paragrafi0"/>
        <w:rPr>
          <w:sz w:val="21"/>
          <w:szCs w:val="21"/>
        </w:rPr>
      </w:pPr>
      <w:r w:rsidRPr="00A95903">
        <w:rPr>
          <w:sz w:val="21"/>
          <w:szCs w:val="21"/>
        </w:rPr>
        <w:t>Ky ligj hyn në fuqi 15 ditë pas botimit në Fletoren Zyrtare.</w:t>
      </w:r>
    </w:p>
    <w:p w:rsidR="00717C15" w:rsidRPr="00A95903" w:rsidRDefault="00717C15" w:rsidP="00091948">
      <w:pPr>
        <w:pStyle w:val="Paragrafi0"/>
        <w:rPr>
          <w:sz w:val="21"/>
          <w:szCs w:val="21"/>
        </w:rPr>
      </w:pPr>
    </w:p>
    <w:p w:rsidR="00C11335" w:rsidRPr="00165E3C" w:rsidRDefault="00C11335" w:rsidP="00C11335">
      <w:pPr>
        <w:pStyle w:val="Paragrafi0"/>
        <w:ind w:firstLine="0"/>
        <w:rPr>
          <w:b/>
          <w:sz w:val="23"/>
          <w:szCs w:val="23"/>
        </w:rPr>
      </w:pPr>
      <w:r w:rsidRPr="00165E3C">
        <w:rPr>
          <w:b/>
          <w:sz w:val="23"/>
          <w:szCs w:val="23"/>
        </w:rPr>
        <w:t xml:space="preserve">Shpallur me dekretin nr.6318, datë 5.11.2009 të Presidentit të Republikës së Shqipërisë, </w:t>
      </w:r>
    </w:p>
    <w:p w:rsidR="00C11335" w:rsidRPr="00165E3C" w:rsidRDefault="00C11335" w:rsidP="00C11335">
      <w:pPr>
        <w:pStyle w:val="Paragrafi0"/>
        <w:ind w:firstLine="0"/>
        <w:rPr>
          <w:b/>
          <w:sz w:val="23"/>
          <w:szCs w:val="23"/>
        </w:rPr>
      </w:pPr>
      <w:r w:rsidRPr="00165E3C">
        <w:rPr>
          <w:b/>
          <w:sz w:val="23"/>
          <w:szCs w:val="23"/>
        </w:rPr>
        <w:t>Bamir Topi</w:t>
      </w:r>
    </w:p>
    <w:p w:rsidR="00091948" w:rsidRPr="00091948" w:rsidRDefault="00AB3031" w:rsidP="00717C15">
      <w:pPr>
        <w:pStyle w:val="Paragrafi0"/>
        <w:ind w:firstLine="0"/>
      </w:pPr>
      <w:r w:rsidRPr="00A95903">
        <w:rPr>
          <w:noProof/>
          <w:sz w:val="21"/>
          <w:szCs w:val="21"/>
          <w:lang w:val="en-GB" w:eastAsia="en-GB"/>
        </w:rPr>
        <w:lastRenderedPageBreak/>
        <w:drawing>
          <wp:inline distT="0" distB="0" distL="0" distR="0">
            <wp:extent cx="5753100" cy="833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8334375"/>
                    </a:xfrm>
                    <a:prstGeom prst="rect">
                      <a:avLst/>
                    </a:prstGeom>
                    <a:noFill/>
                    <a:ln>
                      <a:noFill/>
                    </a:ln>
                  </pic:spPr>
                </pic:pic>
              </a:graphicData>
            </a:graphic>
          </wp:inline>
        </w:drawing>
      </w:r>
    </w:p>
    <w:p w:rsidR="00091948" w:rsidRDefault="00091948" w:rsidP="00091948">
      <w:pPr>
        <w:pStyle w:val="Paragrafi0"/>
      </w:pPr>
    </w:p>
    <w:p w:rsidR="00CD14E7" w:rsidRDefault="00CD14E7" w:rsidP="00D16C78">
      <w:pPr>
        <w:pStyle w:val="Paragrafi0"/>
        <w:jc w:val="center"/>
        <w:sectPr w:rsidR="00CD14E7" w:rsidSect="00CB7EBB">
          <w:headerReference w:type="even" r:id="rId8"/>
          <w:footerReference w:type="even" r:id="rId9"/>
          <w:footerReference w:type="default" r:id="rId10"/>
          <w:footnotePr>
            <w:numRestart w:val="eachPage"/>
          </w:footnotePr>
          <w:pgSz w:w="11906" w:h="16838" w:code="9"/>
          <w:pgMar w:top="1418" w:right="1418" w:bottom="1418" w:left="1418" w:header="1304" w:footer="1134" w:gutter="0"/>
          <w:pgNumType w:start="6887"/>
          <w:cols w:space="720"/>
          <w:docGrid w:linePitch="78"/>
        </w:sectPr>
      </w:pPr>
    </w:p>
    <w:tbl>
      <w:tblPr>
        <w:tblW w:w="13119" w:type="dxa"/>
        <w:jc w:val="center"/>
        <w:tblLook w:val="0000" w:firstRow="0" w:lastRow="0" w:firstColumn="0" w:lastColumn="0" w:noHBand="0" w:noVBand="0"/>
      </w:tblPr>
      <w:tblGrid>
        <w:gridCol w:w="3160"/>
        <w:gridCol w:w="1027"/>
        <w:gridCol w:w="2160"/>
        <w:gridCol w:w="1146"/>
        <w:gridCol w:w="1066"/>
        <w:gridCol w:w="1540"/>
        <w:gridCol w:w="800"/>
        <w:gridCol w:w="2220"/>
      </w:tblGrid>
      <w:tr w:rsidR="000415DF" w:rsidRPr="005E0926">
        <w:trPr>
          <w:trHeight w:val="162"/>
          <w:jc w:val="center"/>
        </w:trPr>
        <w:tc>
          <w:tcPr>
            <w:tcW w:w="13119" w:type="dxa"/>
            <w:gridSpan w:val="8"/>
            <w:tcBorders>
              <w:top w:val="nil"/>
              <w:left w:val="nil"/>
              <w:bottom w:val="single" w:sz="4" w:space="0" w:color="auto"/>
              <w:right w:val="nil"/>
            </w:tcBorders>
            <w:shd w:val="clear" w:color="auto" w:fill="auto"/>
            <w:noWrap/>
            <w:vAlign w:val="center"/>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lastRenderedPageBreak/>
              <w:t>Tabela 1 - Përdorimi i territorit sipas kadastrës pyjore dhe ZRPP</w:t>
            </w:r>
          </w:p>
        </w:tc>
      </w:tr>
      <w:tr w:rsidR="000415DF" w:rsidRPr="005E0926">
        <w:trPr>
          <w:trHeight w:val="162"/>
          <w:jc w:val="center"/>
        </w:trPr>
        <w:tc>
          <w:tcPr>
            <w:tcW w:w="10099"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Sipas regjistrit të kadastrës pyjore</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Sipas</w:t>
            </w:r>
            <w:r w:rsidRPr="005E0926">
              <w:rPr>
                <w:rFonts w:ascii="Arial" w:hAnsi="Arial" w:cs="Arial"/>
                <w:b/>
                <w:bCs/>
                <w:sz w:val="18"/>
                <w:szCs w:val="18"/>
                <w:lang w:val="en-US" w:eastAsia="en-US"/>
              </w:rPr>
              <w:br/>
              <w:t>ZRPP</w:t>
            </w:r>
          </w:p>
        </w:tc>
        <w:tc>
          <w:tcPr>
            <w:tcW w:w="2220" w:type="dxa"/>
            <w:vMerge w:val="restart"/>
            <w:tcBorders>
              <w:top w:val="nil"/>
              <w:left w:val="single" w:sz="4" w:space="0" w:color="auto"/>
              <w:bottom w:val="single" w:sz="4" w:space="0" w:color="000000"/>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Forma e përdorimit që propozohet (Objekti)</w:t>
            </w: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Ekonomia pyjore/kullosore</w:t>
            </w:r>
          </w:p>
        </w:tc>
        <w:tc>
          <w:tcPr>
            <w:tcW w:w="1027"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Ngastra, n/ngastra</w:t>
            </w:r>
          </w:p>
        </w:tc>
        <w:tc>
          <w:tcPr>
            <w:tcW w:w="216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Përdorimi i territorit</w:t>
            </w:r>
          </w:p>
        </w:tc>
        <w:tc>
          <w:tcPr>
            <w:tcW w:w="114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Forma e qeverimit</w:t>
            </w:r>
          </w:p>
        </w:tc>
        <w:tc>
          <w:tcPr>
            <w:tcW w:w="106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Funksioni</w:t>
            </w:r>
          </w:p>
        </w:tc>
        <w:tc>
          <w:tcPr>
            <w:tcW w:w="154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Pronësia</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Sip. Ha</w:t>
            </w:r>
          </w:p>
        </w:tc>
        <w:tc>
          <w:tcPr>
            <w:tcW w:w="2220" w:type="dxa"/>
            <w:vMerge/>
            <w:tcBorders>
              <w:top w:val="nil"/>
              <w:left w:val="single" w:sz="4" w:space="0" w:color="auto"/>
              <w:bottom w:val="single" w:sz="4" w:space="0" w:color="000000"/>
              <w:right w:val="single" w:sz="4" w:space="0" w:color="auto"/>
            </w:tcBorders>
            <w:vAlign w:val="center"/>
          </w:tcPr>
          <w:p w:rsidR="000415DF" w:rsidRPr="005E0926" w:rsidRDefault="000415DF" w:rsidP="000415DF">
            <w:pPr>
              <w:suppressAutoHyphens w:val="0"/>
              <w:rPr>
                <w:rFonts w:ascii="Arial" w:hAnsi="Arial" w:cs="Arial"/>
                <w:b/>
                <w:bCs/>
                <w:sz w:val="18"/>
                <w:szCs w:val="18"/>
                <w:lang w:val="en-US" w:eastAsia="en-US"/>
              </w:rPr>
            </w:pP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20/b</w:t>
            </w:r>
          </w:p>
        </w:tc>
        <w:tc>
          <w:tcPr>
            <w:tcW w:w="216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20/b</w:t>
            </w:r>
          </w:p>
        </w:tc>
        <w:tc>
          <w:tcPr>
            <w:tcW w:w="2160" w:type="dxa"/>
            <w:tcBorders>
              <w:top w:val="nil"/>
              <w:left w:val="nil"/>
              <w:bottom w:val="single" w:sz="4" w:space="0" w:color="auto"/>
              <w:right w:val="nil"/>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nil"/>
              <w:left w:val="nil"/>
              <w:bottom w:val="single" w:sz="4" w:space="0" w:color="auto"/>
              <w:right w:val="nil"/>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Cungishte</w:t>
            </w:r>
          </w:p>
        </w:tc>
        <w:tc>
          <w:tcPr>
            <w:tcW w:w="1066" w:type="dxa"/>
            <w:tcBorders>
              <w:top w:val="nil"/>
              <w:left w:val="nil"/>
              <w:bottom w:val="single" w:sz="4" w:space="0" w:color="auto"/>
              <w:right w:val="nil"/>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nil"/>
              <w:left w:val="nil"/>
              <w:bottom w:val="single" w:sz="4" w:space="0" w:color="auto"/>
              <w:right w:val="nil"/>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0.7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21/a</w:t>
            </w:r>
          </w:p>
        </w:tc>
        <w:tc>
          <w:tcPr>
            <w:tcW w:w="2160"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12.4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21/a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3.2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21/a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7.9</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single" w:sz="4" w:space="0" w:color="auto"/>
              <w:right w:val="nil"/>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21/a</w:t>
            </w:r>
          </w:p>
        </w:tc>
        <w:tc>
          <w:tcPr>
            <w:tcW w:w="2160" w:type="dxa"/>
            <w:tcBorders>
              <w:top w:val="single" w:sz="4" w:space="0" w:color="auto"/>
              <w:left w:val="nil"/>
              <w:bottom w:val="single" w:sz="4" w:space="0" w:color="auto"/>
              <w:right w:val="nil"/>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single" w:sz="4" w:space="0" w:color="auto"/>
              <w:right w:val="nil"/>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Cungishte</w:t>
            </w:r>
          </w:p>
        </w:tc>
        <w:tc>
          <w:tcPr>
            <w:tcW w:w="1066" w:type="dxa"/>
            <w:tcBorders>
              <w:top w:val="single" w:sz="4" w:space="0" w:color="auto"/>
              <w:left w:val="nil"/>
              <w:bottom w:val="single" w:sz="4" w:space="0" w:color="auto"/>
              <w:right w:val="nil"/>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single" w:sz="4" w:space="0" w:color="auto"/>
              <w:right w:val="nil"/>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23.5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22/a</w:t>
            </w:r>
          </w:p>
        </w:tc>
        <w:tc>
          <w:tcPr>
            <w:tcW w:w="2160"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22/a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22/a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22/a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13.2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22/a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540" w:type="dxa"/>
            <w:tcBorders>
              <w:top w:val="single" w:sz="4" w:space="0" w:color="auto"/>
              <w:left w:val="nil"/>
              <w:bottom w:val="single" w:sz="4" w:space="0" w:color="auto"/>
              <w:right w:val="nil"/>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16.6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22/b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6.3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22/b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7.7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22/b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single" w:sz="4" w:space="0" w:color="auto"/>
              <w:right w:val="nil"/>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14.0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6.2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23/a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14.0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7.6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11.1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4.4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23/b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23/b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24.6</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24/a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1.4</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24/a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1.1</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lastRenderedPageBreak/>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24/a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24/a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24/a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24/a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24/a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24/a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3.8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24/b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5.7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24/b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5.7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25/b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25/b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0.6</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25/b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0.8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Trungishte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Trungishte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Trungishte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Trungishte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38/b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Trungishte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1.4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0.9</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38/c</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Inproduktive</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5.3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lastRenderedPageBreak/>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9.8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5.1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39/a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25.3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0.9</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3.6</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lastRenderedPageBreak/>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39/b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10.4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6.1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40/a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Shkurre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16.3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1.0</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1.0</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40/b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0.9</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40/b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6.3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2.9</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0.7</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0.6</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1.2</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41/b</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41/b</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24.6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1.3</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1.9</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1.2</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1.9</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3.0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3.4</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0.7</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1.5</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2.4</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0.8</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0.4</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4.0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0.3</w:t>
            </w:r>
          </w:p>
        </w:tc>
        <w:tc>
          <w:tcPr>
            <w:tcW w:w="222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1.3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0.5</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0.2</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43/a</w:t>
            </w:r>
          </w:p>
        </w:tc>
        <w:tc>
          <w:tcPr>
            <w:tcW w:w="216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Pyll</w:t>
            </w:r>
          </w:p>
        </w:tc>
        <w:tc>
          <w:tcPr>
            <w:tcW w:w="114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Cungishte</w:t>
            </w:r>
          </w:p>
        </w:tc>
        <w:tc>
          <w:tcPr>
            <w:tcW w:w="1066"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Prodhues</w:t>
            </w:r>
          </w:p>
        </w:tc>
        <w:tc>
          <w:tcPr>
            <w:tcW w:w="1540" w:type="dxa"/>
            <w:tcBorders>
              <w:top w:val="single" w:sz="4" w:space="0" w:color="auto"/>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Balldren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55.6</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Mali i Rencit (Lezhë)</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45/c</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Inproduktive</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45/c</w:t>
            </w:r>
          </w:p>
        </w:tc>
        <w:tc>
          <w:tcPr>
            <w:tcW w:w="2160"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Inproduktive</w:t>
            </w:r>
          </w:p>
        </w:tc>
        <w:tc>
          <w:tcPr>
            <w:tcW w:w="1146"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066"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540" w:type="dxa"/>
            <w:tcBorders>
              <w:top w:val="nil"/>
              <w:left w:val="nil"/>
              <w:bottom w:val="nil"/>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Shëngjin</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0.1</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guri gëlqeror</w:t>
            </w: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Bushat – Bërdicë (Shkodër)</w:t>
            </w:r>
          </w:p>
        </w:tc>
        <w:tc>
          <w:tcPr>
            <w:tcW w:w="1027"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16</w:t>
            </w:r>
          </w:p>
        </w:tc>
        <w:tc>
          <w:tcPr>
            <w:tcW w:w="216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Sip.me bimësi pyjore</w:t>
            </w:r>
          </w:p>
        </w:tc>
        <w:tc>
          <w:tcPr>
            <w:tcW w:w="114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single" w:sz="4" w:space="0" w:color="auto"/>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Bushat</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5.0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argjili</w:t>
            </w: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16</w:t>
            </w:r>
          </w:p>
        </w:tc>
        <w:tc>
          <w:tcPr>
            <w:tcW w:w="216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Sip.me bimësi pyjore</w:t>
            </w:r>
          </w:p>
        </w:tc>
        <w:tc>
          <w:tcPr>
            <w:tcW w:w="114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06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54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Bushat</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5.0</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argjili</w:t>
            </w: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Bushat – Bërdicë (Shkodër)</w:t>
            </w:r>
          </w:p>
        </w:tc>
        <w:tc>
          <w:tcPr>
            <w:tcW w:w="1027"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17/a</w:t>
            </w:r>
          </w:p>
        </w:tc>
        <w:tc>
          <w:tcPr>
            <w:tcW w:w="216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Sip.me bimësi pyjore</w:t>
            </w:r>
          </w:p>
        </w:tc>
        <w:tc>
          <w:tcPr>
            <w:tcW w:w="114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Bushat</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2.3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argjili</w:t>
            </w: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17/a</w:t>
            </w:r>
          </w:p>
        </w:tc>
        <w:tc>
          <w:tcPr>
            <w:tcW w:w="216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Sip.me bimësi pyjore</w:t>
            </w:r>
          </w:p>
        </w:tc>
        <w:tc>
          <w:tcPr>
            <w:tcW w:w="114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06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54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Bushat</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2.3</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argjili</w:t>
            </w: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EP Bushat – Bërdicë (Shkodër)</w:t>
            </w:r>
          </w:p>
        </w:tc>
        <w:tc>
          <w:tcPr>
            <w:tcW w:w="1027"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sz w:val="18"/>
                <w:szCs w:val="18"/>
                <w:lang w:val="en-US" w:eastAsia="en-US"/>
              </w:rPr>
            </w:pPr>
            <w:r w:rsidRPr="005E0926">
              <w:rPr>
                <w:rFonts w:ascii="Arial" w:hAnsi="Arial" w:cs="Arial"/>
                <w:sz w:val="18"/>
                <w:szCs w:val="18"/>
                <w:lang w:val="en-US" w:eastAsia="en-US"/>
              </w:rPr>
              <w:t>17/b</w:t>
            </w:r>
          </w:p>
        </w:tc>
        <w:tc>
          <w:tcPr>
            <w:tcW w:w="216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Sip.me bimësi pyjore</w:t>
            </w:r>
          </w:p>
        </w:tc>
        <w:tc>
          <w:tcPr>
            <w:tcW w:w="114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06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Ska</w:t>
            </w:r>
          </w:p>
        </w:tc>
        <w:tc>
          <w:tcPr>
            <w:tcW w:w="154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Kom. Bushat</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sz w:val="18"/>
                <w:szCs w:val="18"/>
                <w:lang w:val="en-US" w:eastAsia="en-US"/>
              </w:rPr>
            </w:pPr>
            <w:r w:rsidRPr="005E0926">
              <w:rPr>
                <w:rFonts w:ascii="Arial" w:hAnsi="Arial" w:cs="Arial"/>
                <w:sz w:val="18"/>
                <w:szCs w:val="18"/>
                <w:lang w:val="en-US" w:eastAsia="en-US"/>
              </w:rPr>
              <w:t>6.7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sz w:val="18"/>
                <w:szCs w:val="18"/>
                <w:lang w:val="en-US" w:eastAsia="en-US"/>
              </w:rPr>
            </w:pPr>
            <w:r w:rsidRPr="005E0926">
              <w:rPr>
                <w:rFonts w:ascii="Arial" w:hAnsi="Arial" w:cs="Arial"/>
                <w:sz w:val="18"/>
                <w:szCs w:val="18"/>
                <w:lang w:val="en-US" w:eastAsia="en-US"/>
              </w:rPr>
              <w:t>Karrierë argjili</w:t>
            </w:r>
          </w:p>
        </w:tc>
      </w:tr>
      <w:tr w:rsidR="000415DF" w:rsidRPr="005E0926">
        <w:trPr>
          <w:trHeight w:val="162"/>
          <w:jc w:val="center"/>
        </w:trPr>
        <w:tc>
          <w:tcPr>
            <w:tcW w:w="3160" w:type="dxa"/>
            <w:tcBorders>
              <w:top w:val="nil"/>
              <w:left w:val="single" w:sz="4" w:space="0" w:color="auto"/>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EP Mali i Rencit (Lezhë)</w:t>
            </w:r>
          </w:p>
        </w:tc>
        <w:tc>
          <w:tcPr>
            <w:tcW w:w="1027"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center"/>
              <w:rPr>
                <w:rFonts w:ascii="Arial" w:hAnsi="Arial" w:cs="Arial"/>
                <w:b/>
                <w:bCs/>
                <w:sz w:val="18"/>
                <w:szCs w:val="18"/>
                <w:lang w:val="en-US" w:eastAsia="en-US"/>
              </w:rPr>
            </w:pPr>
            <w:r w:rsidRPr="005E0926">
              <w:rPr>
                <w:rFonts w:ascii="Arial" w:hAnsi="Arial" w:cs="Arial"/>
                <w:b/>
                <w:bCs/>
                <w:sz w:val="18"/>
                <w:szCs w:val="18"/>
                <w:lang w:val="en-US" w:eastAsia="en-US"/>
              </w:rPr>
              <w:t>17/b</w:t>
            </w:r>
          </w:p>
        </w:tc>
        <w:tc>
          <w:tcPr>
            <w:tcW w:w="216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Sip.me bimësi pyjore</w:t>
            </w:r>
          </w:p>
        </w:tc>
        <w:tc>
          <w:tcPr>
            <w:tcW w:w="114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066"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Ska</w:t>
            </w:r>
          </w:p>
        </w:tc>
        <w:tc>
          <w:tcPr>
            <w:tcW w:w="154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Kom. Bushat</w:t>
            </w:r>
          </w:p>
        </w:tc>
        <w:tc>
          <w:tcPr>
            <w:tcW w:w="80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jc w:val="right"/>
              <w:rPr>
                <w:rFonts w:ascii="Arial" w:hAnsi="Arial" w:cs="Arial"/>
                <w:b/>
                <w:bCs/>
                <w:sz w:val="18"/>
                <w:szCs w:val="18"/>
                <w:lang w:val="en-US" w:eastAsia="en-US"/>
              </w:rPr>
            </w:pPr>
            <w:r w:rsidRPr="005E0926">
              <w:rPr>
                <w:rFonts w:ascii="Arial" w:hAnsi="Arial" w:cs="Arial"/>
                <w:b/>
                <w:bCs/>
                <w:sz w:val="18"/>
                <w:szCs w:val="18"/>
                <w:lang w:val="en-US" w:eastAsia="en-US"/>
              </w:rPr>
              <w:t>6.7</w:t>
            </w:r>
          </w:p>
        </w:tc>
        <w:tc>
          <w:tcPr>
            <w:tcW w:w="2220" w:type="dxa"/>
            <w:tcBorders>
              <w:top w:val="nil"/>
              <w:left w:val="nil"/>
              <w:bottom w:val="single" w:sz="4" w:space="0" w:color="auto"/>
              <w:right w:val="single" w:sz="4" w:space="0" w:color="auto"/>
            </w:tcBorders>
            <w:shd w:val="clear" w:color="auto" w:fill="auto"/>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Karrierë argjili</w:t>
            </w:r>
          </w:p>
        </w:tc>
      </w:tr>
      <w:tr w:rsidR="000415DF" w:rsidRPr="005E0926">
        <w:trPr>
          <w:trHeight w:val="162"/>
          <w:jc w:val="center"/>
        </w:trPr>
        <w:tc>
          <w:tcPr>
            <w:tcW w:w="3160" w:type="dxa"/>
            <w:tcBorders>
              <w:top w:val="nil"/>
              <w:left w:val="nil"/>
              <w:bottom w:val="nil"/>
              <w:right w:val="nil"/>
            </w:tcBorders>
            <w:shd w:val="clear" w:color="auto" w:fill="auto"/>
            <w:noWrap/>
            <w:vAlign w:val="bottom"/>
          </w:tcPr>
          <w:p w:rsidR="000415DF" w:rsidRPr="005E0926" w:rsidRDefault="000415DF" w:rsidP="000415DF">
            <w:pPr>
              <w:suppressAutoHyphens w:val="0"/>
              <w:rPr>
                <w:rFonts w:ascii="Arial" w:hAnsi="Arial" w:cs="Arial"/>
                <w:sz w:val="18"/>
                <w:szCs w:val="18"/>
                <w:lang w:val="en-US" w:eastAsia="en-US"/>
              </w:rPr>
            </w:pPr>
          </w:p>
        </w:tc>
        <w:tc>
          <w:tcPr>
            <w:tcW w:w="1027" w:type="dxa"/>
            <w:tcBorders>
              <w:top w:val="nil"/>
              <w:left w:val="nil"/>
              <w:bottom w:val="nil"/>
              <w:right w:val="nil"/>
            </w:tcBorders>
            <w:shd w:val="clear" w:color="auto" w:fill="auto"/>
            <w:noWrap/>
            <w:vAlign w:val="bottom"/>
          </w:tcPr>
          <w:p w:rsidR="000415DF" w:rsidRPr="005E0926" w:rsidRDefault="000415DF" w:rsidP="000415DF">
            <w:pPr>
              <w:suppressAutoHyphens w:val="0"/>
              <w:jc w:val="center"/>
              <w:rPr>
                <w:rFonts w:ascii="Arial" w:hAnsi="Arial" w:cs="Arial"/>
                <w:sz w:val="18"/>
                <w:szCs w:val="18"/>
                <w:lang w:val="en-US" w:eastAsia="en-US"/>
              </w:rPr>
            </w:pPr>
          </w:p>
        </w:tc>
        <w:tc>
          <w:tcPr>
            <w:tcW w:w="2160" w:type="dxa"/>
            <w:tcBorders>
              <w:top w:val="nil"/>
              <w:left w:val="nil"/>
              <w:bottom w:val="nil"/>
              <w:right w:val="nil"/>
            </w:tcBorders>
            <w:shd w:val="clear" w:color="auto" w:fill="auto"/>
            <w:noWrap/>
            <w:vAlign w:val="bottom"/>
          </w:tcPr>
          <w:p w:rsidR="000415DF" w:rsidRPr="005E0926" w:rsidRDefault="000415DF" w:rsidP="000415DF">
            <w:pPr>
              <w:suppressAutoHyphens w:val="0"/>
              <w:rPr>
                <w:rFonts w:ascii="Arial" w:hAnsi="Arial" w:cs="Arial"/>
                <w:b/>
                <w:bCs/>
                <w:sz w:val="18"/>
                <w:szCs w:val="18"/>
                <w:lang w:val="en-US" w:eastAsia="en-US"/>
              </w:rPr>
            </w:pPr>
            <w:r w:rsidRPr="005E0926">
              <w:rPr>
                <w:rFonts w:ascii="Arial" w:hAnsi="Arial" w:cs="Arial"/>
                <w:b/>
                <w:bCs/>
                <w:sz w:val="18"/>
                <w:szCs w:val="18"/>
                <w:lang w:val="en-US" w:eastAsia="en-US"/>
              </w:rPr>
              <w:t>Totali</w:t>
            </w:r>
          </w:p>
        </w:tc>
        <w:tc>
          <w:tcPr>
            <w:tcW w:w="1146" w:type="dxa"/>
            <w:tcBorders>
              <w:top w:val="nil"/>
              <w:left w:val="nil"/>
              <w:bottom w:val="nil"/>
              <w:right w:val="nil"/>
            </w:tcBorders>
            <w:shd w:val="clear" w:color="auto" w:fill="auto"/>
            <w:noWrap/>
            <w:vAlign w:val="bottom"/>
          </w:tcPr>
          <w:p w:rsidR="000415DF" w:rsidRPr="005E0926" w:rsidRDefault="000415DF" w:rsidP="000415DF">
            <w:pPr>
              <w:suppressAutoHyphens w:val="0"/>
              <w:rPr>
                <w:rFonts w:ascii="Arial" w:hAnsi="Arial" w:cs="Arial"/>
                <w:sz w:val="18"/>
                <w:szCs w:val="18"/>
                <w:lang w:val="en-US" w:eastAsia="en-US"/>
              </w:rPr>
            </w:pPr>
          </w:p>
        </w:tc>
        <w:tc>
          <w:tcPr>
            <w:tcW w:w="1066" w:type="dxa"/>
            <w:tcBorders>
              <w:top w:val="nil"/>
              <w:left w:val="nil"/>
              <w:bottom w:val="nil"/>
              <w:right w:val="nil"/>
            </w:tcBorders>
            <w:shd w:val="clear" w:color="auto" w:fill="auto"/>
            <w:noWrap/>
            <w:vAlign w:val="bottom"/>
          </w:tcPr>
          <w:p w:rsidR="000415DF" w:rsidRPr="005E0926" w:rsidRDefault="000415DF" w:rsidP="000415DF">
            <w:pPr>
              <w:suppressAutoHyphens w:val="0"/>
              <w:rPr>
                <w:rFonts w:ascii="Arial" w:hAnsi="Arial" w:cs="Arial"/>
                <w:sz w:val="18"/>
                <w:szCs w:val="18"/>
                <w:lang w:val="en-US" w:eastAsia="en-US"/>
              </w:rPr>
            </w:pPr>
          </w:p>
        </w:tc>
        <w:tc>
          <w:tcPr>
            <w:tcW w:w="1540" w:type="dxa"/>
            <w:tcBorders>
              <w:top w:val="nil"/>
              <w:left w:val="nil"/>
              <w:bottom w:val="nil"/>
              <w:right w:val="nil"/>
            </w:tcBorders>
            <w:shd w:val="clear" w:color="auto" w:fill="auto"/>
            <w:noWrap/>
            <w:vAlign w:val="bottom"/>
          </w:tcPr>
          <w:p w:rsidR="000415DF" w:rsidRPr="005E0926" w:rsidRDefault="000415DF" w:rsidP="000415DF">
            <w:pPr>
              <w:suppressAutoHyphens w:val="0"/>
              <w:rPr>
                <w:rFonts w:ascii="Arial" w:hAnsi="Arial" w:cs="Arial"/>
                <w:sz w:val="18"/>
                <w:szCs w:val="18"/>
                <w:lang w:val="en-US" w:eastAsia="en-US"/>
              </w:rPr>
            </w:pPr>
          </w:p>
        </w:tc>
        <w:tc>
          <w:tcPr>
            <w:tcW w:w="800" w:type="dxa"/>
            <w:tcBorders>
              <w:top w:val="nil"/>
              <w:left w:val="nil"/>
              <w:bottom w:val="nil"/>
              <w:right w:val="nil"/>
            </w:tcBorders>
            <w:shd w:val="clear" w:color="auto" w:fill="auto"/>
            <w:noWrap/>
            <w:vAlign w:val="bottom"/>
          </w:tcPr>
          <w:p w:rsidR="000415DF" w:rsidRPr="005E0926" w:rsidRDefault="00143D16" w:rsidP="000415DF">
            <w:pPr>
              <w:suppressAutoHyphens w:val="0"/>
              <w:jc w:val="right"/>
              <w:rPr>
                <w:rFonts w:ascii="Arial" w:hAnsi="Arial" w:cs="Arial"/>
                <w:sz w:val="18"/>
                <w:szCs w:val="18"/>
                <w:lang w:val="en-US" w:eastAsia="en-US"/>
              </w:rPr>
            </w:pPr>
            <w:r>
              <w:rPr>
                <w:rFonts w:ascii="Arial" w:hAnsi="Arial" w:cs="Arial"/>
                <w:sz w:val="18"/>
                <w:szCs w:val="18"/>
                <w:lang w:val="en-US" w:eastAsia="en-US"/>
              </w:rPr>
              <w:t>263</w:t>
            </w:r>
          </w:p>
        </w:tc>
        <w:tc>
          <w:tcPr>
            <w:tcW w:w="2220" w:type="dxa"/>
            <w:tcBorders>
              <w:top w:val="nil"/>
              <w:left w:val="nil"/>
              <w:bottom w:val="nil"/>
              <w:right w:val="nil"/>
            </w:tcBorders>
            <w:shd w:val="clear" w:color="auto" w:fill="auto"/>
            <w:noWrap/>
            <w:vAlign w:val="bottom"/>
          </w:tcPr>
          <w:p w:rsidR="000415DF" w:rsidRPr="005E0926" w:rsidRDefault="000415DF" w:rsidP="000415DF">
            <w:pPr>
              <w:suppressAutoHyphens w:val="0"/>
              <w:rPr>
                <w:rFonts w:ascii="Arial" w:hAnsi="Arial" w:cs="Arial"/>
                <w:sz w:val="18"/>
                <w:szCs w:val="18"/>
                <w:lang w:val="en-US" w:eastAsia="en-US"/>
              </w:rPr>
            </w:pPr>
          </w:p>
        </w:tc>
      </w:tr>
    </w:tbl>
    <w:p w:rsidR="000415DF" w:rsidRDefault="000415DF" w:rsidP="00CD14E7">
      <w:pPr>
        <w:pStyle w:val="Paragrafi0"/>
        <w:ind w:firstLine="0"/>
      </w:pPr>
    </w:p>
    <w:p w:rsidR="000415DF" w:rsidRDefault="000415DF" w:rsidP="00CD14E7">
      <w:pPr>
        <w:pStyle w:val="Paragrafi0"/>
        <w:ind w:firstLine="0"/>
      </w:pPr>
    </w:p>
    <w:p w:rsidR="000415DF" w:rsidRDefault="000415DF" w:rsidP="00CD14E7">
      <w:pPr>
        <w:pStyle w:val="Paragrafi0"/>
        <w:ind w:firstLine="0"/>
      </w:pPr>
    </w:p>
    <w:p w:rsidR="000415DF" w:rsidRDefault="000415DF" w:rsidP="00CD14E7">
      <w:pPr>
        <w:pStyle w:val="Paragrafi0"/>
        <w:ind w:firstLine="0"/>
      </w:pPr>
    </w:p>
    <w:p w:rsidR="000415DF" w:rsidRDefault="000415DF" w:rsidP="00CD14E7">
      <w:pPr>
        <w:pStyle w:val="Paragrafi0"/>
        <w:ind w:firstLine="0"/>
      </w:pPr>
    </w:p>
    <w:tbl>
      <w:tblPr>
        <w:tblW w:w="9539" w:type="dxa"/>
        <w:jc w:val="center"/>
        <w:tblLook w:val="0000" w:firstRow="0" w:lastRow="0" w:firstColumn="0" w:lastColumn="0" w:noHBand="0" w:noVBand="0"/>
      </w:tblPr>
      <w:tblGrid>
        <w:gridCol w:w="3951"/>
        <w:gridCol w:w="3889"/>
        <w:gridCol w:w="1684"/>
        <w:gridCol w:w="15"/>
      </w:tblGrid>
      <w:tr w:rsidR="00C135D7" w:rsidRPr="00C135D7">
        <w:trPr>
          <w:trHeight w:val="199"/>
          <w:jc w:val="center"/>
        </w:trPr>
        <w:tc>
          <w:tcPr>
            <w:tcW w:w="9539" w:type="dxa"/>
            <w:gridSpan w:val="4"/>
            <w:tcBorders>
              <w:top w:val="nil"/>
              <w:left w:val="nil"/>
              <w:bottom w:val="single" w:sz="4" w:space="0" w:color="auto"/>
              <w:right w:val="nil"/>
            </w:tcBorders>
            <w:shd w:val="clear" w:color="auto" w:fill="auto"/>
            <w:noWrap/>
            <w:vAlign w:val="center"/>
          </w:tcPr>
          <w:p w:rsidR="00C135D7" w:rsidRPr="00C135D7" w:rsidRDefault="00C135D7"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Tabela 2 - Përmbledhëse e përdorimit të territorit sipas kadastrës pyjore dhe ZRPP</w:t>
            </w:r>
          </w:p>
        </w:tc>
      </w:tr>
      <w:tr w:rsidR="000415DF" w:rsidRPr="00C135D7">
        <w:trPr>
          <w:gridAfter w:val="1"/>
          <w:wAfter w:w="15" w:type="dxa"/>
          <w:trHeight w:val="199"/>
          <w:jc w:val="center"/>
        </w:trPr>
        <w:tc>
          <w:tcPr>
            <w:tcW w:w="3951" w:type="dxa"/>
            <w:tcBorders>
              <w:top w:val="nil"/>
              <w:left w:val="single" w:sz="4" w:space="0" w:color="auto"/>
              <w:bottom w:val="single" w:sz="4" w:space="0" w:color="auto"/>
              <w:right w:val="single" w:sz="4" w:space="0" w:color="auto"/>
            </w:tcBorders>
            <w:shd w:val="clear" w:color="auto" w:fill="auto"/>
            <w:noWrap/>
            <w:vAlign w:val="bottom"/>
          </w:tcPr>
          <w:p w:rsidR="000415DF" w:rsidRPr="00C135D7" w:rsidRDefault="000415DF"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Ekonomia pyjore</w:t>
            </w:r>
          </w:p>
        </w:tc>
        <w:tc>
          <w:tcPr>
            <w:tcW w:w="3889" w:type="dxa"/>
            <w:tcBorders>
              <w:top w:val="nil"/>
              <w:left w:val="nil"/>
              <w:bottom w:val="single" w:sz="4" w:space="0" w:color="auto"/>
              <w:right w:val="single" w:sz="4" w:space="0" w:color="auto"/>
            </w:tcBorders>
            <w:shd w:val="clear" w:color="auto" w:fill="auto"/>
            <w:noWrap/>
            <w:vAlign w:val="bottom"/>
          </w:tcPr>
          <w:p w:rsidR="000415DF" w:rsidRPr="00C135D7" w:rsidRDefault="000415DF"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Përdorimi i territorit</w:t>
            </w:r>
          </w:p>
        </w:tc>
        <w:tc>
          <w:tcPr>
            <w:tcW w:w="1684" w:type="dxa"/>
            <w:tcBorders>
              <w:top w:val="nil"/>
              <w:left w:val="nil"/>
              <w:bottom w:val="single" w:sz="4" w:space="0" w:color="auto"/>
              <w:right w:val="single" w:sz="4" w:space="0" w:color="auto"/>
            </w:tcBorders>
            <w:shd w:val="clear" w:color="auto" w:fill="auto"/>
            <w:vAlign w:val="bottom"/>
          </w:tcPr>
          <w:p w:rsidR="000415DF" w:rsidRPr="00C135D7" w:rsidRDefault="000415DF"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Sipas kadastrës pyjore, ha</w:t>
            </w:r>
          </w:p>
        </w:tc>
      </w:tr>
      <w:tr w:rsidR="000415DF" w:rsidRPr="00C135D7">
        <w:trPr>
          <w:gridAfter w:val="1"/>
          <w:wAfter w:w="15" w:type="dxa"/>
          <w:trHeight w:val="199"/>
          <w:jc w:val="center"/>
        </w:trPr>
        <w:tc>
          <w:tcPr>
            <w:tcW w:w="3951" w:type="dxa"/>
            <w:tcBorders>
              <w:top w:val="nil"/>
              <w:left w:val="single" w:sz="4" w:space="0" w:color="auto"/>
              <w:bottom w:val="single" w:sz="4" w:space="0" w:color="auto"/>
              <w:right w:val="single" w:sz="4" w:space="0" w:color="auto"/>
            </w:tcBorders>
            <w:shd w:val="clear" w:color="auto" w:fill="auto"/>
            <w:noWrap/>
            <w:vAlign w:val="bottom"/>
          </w:tcPr>
          <w:p w:rsidR="000415DF" w:rsidRPr="00C135D7" w:rsidRDefault="000415DF" w:rsidP="00C135D7">
            <w:pPr>
              <w:suppressAutoHyphens w:val="0"/>
              <w:rPr>
                <w:rFonts w:ascii="CG Times" w:hAnsi="CG Times" w:cs="Arial"/>
                <w:sz w:val="20"/>
                <w:lang w:val="en-US" w:eastAsia="en-US"/>
              </w:rPr>
            </w:pPr>
            <w:r w:rsidRPr="00C135D7">
              <w:rPr>
                <w:rFonts w:ascii="CG Times" w:hAnsi="CG Times" w:cs="Arial"/>
                <w:sz w:val="20"/>
                <w:lang w:val="en-US" w:eastAsia="en-US"/>
              </w:rPr>
              <w:t xml:space="preserve">EP Mali </w:t>
            </w:r>
            <w:r w:rsidR="00FC30FE">
              <w:rPr>
                <w:rFonts w:ascii="CG Times" w:hAnsi="CG Times" w:cs="Arial"/>
                <w:sz w:val="20"/>
                <w:lang w:val="en-US" w:eastAsia="en-US"/>
              </w:rPr>
              <w:t>i</w:t>
            </w:r>
            <w:r w:rsidRPr="00C135D7">
              <w:rPr>
                <w:rFonts w:ascii="CG Times" w:hAnsi="CG Times" w:cs="Arial"/>
                <w:sz w:val="20"/>
                <w:lang w:val="en-US" w:eastAsia="en-US"/>
              </w:rPr>
              <w:t xml:space="preserve"> Rencit (Lezhë)</w:t>
            </w:r>
          </w:p>
        </w:tc>
        <w:tc>
          <w:tcPr>
            <w:tcW w:w="3889" w:type="dxa"/>
            <w:tcBorders>
              <w:top w:val="nil"/>
              <w:left w:val="nil"/>
              <w:bottom w:val="single" w:sz="4" w:space="0" w:color="auto"/>
              <w:right w:val="single" w:sz="4" w:space="0" w:color="auto"/>
            </w:tcBorders>
            <w:shd w:val="clear" w:color="auto" w:fill="auto"/>
            <w:noWrap/>
            <w:vAlign w:val="bottom"/>
          </w:tcPr>
          <w:p w:rsidR="000415DF" w:rsidRPr="00C135D7" w:rsidRDefault="000415DF" w:rsidP="00C135D7">
            <w:pPr>
              <w:suppressAutoHyphens w:val="0"/>
              <w:rPr>
                <w:rFonts w:ascii="CG Times" w:hAnsi="CG Times" w:cs="Arial"/>
                <w:sz w:val="20"/>
                <w:lang w:val="en-US" w:eastAsia="en-US"/>
              </w:rPr>
            </w:pPr>
            <w:r w:rsidRPr="00C135D7">
              <w:rPr>
                <w:rFonts w:ascii="CG Times" w:hAnsi="CG Times" w:cs="Arial"/>
                <w:sz w:val="20"/>
                <w:lang w:val="en-US" w:eastAsia="en-US"/>
              </w:rPr>
              <w:t>Pyll</w:t>
            </w:r>
          </w:p>
        </w:tc>
        <w:tc>
          <w:tcPr>
            <w:tcW w:w="1684" w:type="dxa"/>
            <w:tcBorders>
              <w:top w:val="nil"/>
              <w:left w:val="nil"/>
              <w:bottom w:val="single" w:sz="4" w:space="0" w:color="auto"/>
              <w:right w:val="single" w:sz="4" w:space="0" w:color="auto"/>
            </w:tcBorders>
            <w:shd w:val="clear" w:color="auto" w:fill="auto"/>
            <w:vAlign w:val="bottom"/>
          </w:tcPr>
          <w:p w:rsidR="000415DF" w:rsidRPr="00C135D7" w:rsidRDefault="000415DF" w:rsidP="00C135D7">
            <w:pPr>
              <w:suppressAutoHyphens w:val="0"/>
              <w:jc w:val="right"/>
              <w:rPr>
                <w:rFonts w:ascii="CG Times" w:hAnsi="CG Times" w:cs="Arial"/>
                <w:sz w:val="20"/>
                <w:lang w:val="en-US" w:eastAsia="en-US"/>
              </w:rPr>
            </w:pPr>
            <w:r>
              <w:rPr>
                <w:rFonts w:ascii="CG Times" w:hAnsi="CG Times" w:cs="Arial"/>
                <w:sz w:val="20"/>
                <w:lang w:val="en-US" w:eastAsia="en-US"/>
              </w:rPr>
              <w:t>209.2</w:t>
            </w:r>
          </w:p>
        </w:tc>
      </w:tr>
      <w:tr w:rsidR="000415DF" w:rsidRPr="00C135D7">
        <w:trPr>
          <w:gridAfter w:val="1"/>
          <w:wAfter w:w="15" w:type="dxa"/>
          <w:trHeight w:val="199"/>
          <w:jc w:val="center"/>
        </w:trPr>
        <w:tc>
          <w:tcPr>
            <w:tcW w:w="3951" w:type="dxa"/>
            <w:tcBorders>
              <w:top w:val="nil"/>
              <w:left w:val="single" w:sz="4" w:space="0" w:color="auto"/>
              <w:bottom w:val="single" w:sz="4" w:space="0" w:color="auto"/>
              <w:right w:val="single" w:sz="4" w:space="0" w:color="auto"/>
            </w:tcBorders>
            <w:shd w:val="clear" w:color="auto" w:fill="auto"/>
            <w:noWrap/>
            <w:vAlign w:val="bottom"/>
          </w:tcPr>
          <w:p w:rsidR="000415DF" w:rsidRPr="00C135D7" w:rsidRDefault="000415DF" w:rsidP="00C135D7">
            <w:pPr>
              <w:suppressAutoHyphens w:val="0"/>
              <w:rPr>
                <w:rFonts w:ascii="CG Times" w:hAnsi="CG Times" w:cs="Arial"/>
                <w:sz w:val="20"/>
                <w:lang w:val="en-US" w:eastAsia="en-US"/>
              </w:rPr>
            </w:pPr>
            <w:r w:rsidRPr="00C135D7">
              <w:rPr>
                <w:rFonts w:ascii="CG Times" w:hAnsi="CG Times" w:cs="Arial"/>
                <w:sz w:val="20"/>
                <w:lang w:val="en-US" w:eastAsia="en-US"/>
              </w:rPr>
              <w:t xml:space="preserve">EP Mali </w:t>
            </w:r>
            <w:r w:rsidR="00FC30FE">
              <w:rPr>
                <w:rFonts w:ascii="CG Times" w:hAnsi="CG Times" w:cs="Arial"/>
                <w:sz w:val="20"/>
                <w:lang w:val="en-US" w:eastAsia="en-US"/>
              </w:rPr>
              <w:t>i</w:t>
            </w:r>
            <w:r w:rsidRPr="00C135D7">
              <w:rPr>
                <w:rFonts w:ascii="CG Times" w:hAnsi="CG Times" w:cs="Arial"/>
                <w:sz w:val="20"/>
                <w:lang w:val="en-US" w:eastAsia="en-US"/>
              </w:rPr>
              <w:t xml:space="preserve"> Rencit (Lezhë)</w:t>
            </w:r>
          </w:p>
        </w:tc>
        <w:tc>
          <w:tcPr>
            <w:tcW w:w="3889" w:type="dxa"/>
            <w:tcBorders>
              <w:top w:val="nil"/>
              <w:left w:val="nil"/>
              <w:bottom w:val="single" w:sz="4" w:space="0" w:color="auto"/>
              <w:right w:val="single" w:sz="4" w:space="0" w:color="auto"/>
            </w:tcBorders>
            <w:shd w:val="clear" w:color="auto" w:fill="auto"/>
            <w:noWrap/>
            <w:vAlign w:val="bottom"/>
          </w:tcPr>
          <w:p w:rsidR="000415DF" w:rsidRPr="00C135D7" w:rsidRDefault="000415DF" w:rsidP="00C135D7">
            <w:pPr>
              <w:suppressAutoHyphens w:val="0"/>
              <w:rPr>
                <w:rFonts w:ascii="CG Times" w:hAnsi="CG Times" w:cs="Arial"/>
                <w:sz w:val="20"/>
                <w:lang w:val="en-US" w:eastAsia="en-US"/>
              </w:rPr>
            </w:pPr>
            <w:r w:rsidRPr="00C135D7">
              <w:rPr>
                <w:rFonts w:ascii="CG Times" w:hAnsi="CG Times" w:cs="Arial"/>
                <w:sz w:val="20"/>
                <w:lang w:val="en-US" w:eastAsia="en-US"/>
              </w:rPr>
              <w:t>Inproduktive</w:t>
            </w:r>
          </w:p>
        </w:tc>
        <w:tc>
          <w:tcPr>
            <w:tcW w:w="1684" w:type="dxa"/>
            <w:tcBorders>
              <w:top w:val="nil"/>
              <w:left w:val="nil"/>
              <w:bottom w:val="single" w:sz="4" w:space="0" w:color="auto"/>
              <w:right w:val="single" w:sz="4" w:space="0" w:color="auto"/>
            </w:tcBorders>
            <w:shd w:val="clear" w:color="auto" w:fill="auto"/>
            <w:vAlign w:val="bottom"/>
          </w:tcPr>
          <w:p w:rsidR="000415DF" w:rsidRPr="00C135D7" w:rsidRDefault="000415DF" w:rsidP="00C135D7">
            <w:pPr>
              <w:suppressAutoHyphens w:val="0"/>
              <w:jc w:val="right"/>
              <w:rPr>
                <w:rFonts w:ascii="CG Times" w:hAnsi="CG Times" w:cs="Arial"/>
                <w:sz w:val="20"/>
                <w:lang w:val="en-US" w:eastAsia="en-US"/>
              </w:rPr>
            </w:pPr>
            <w:r>
              <w:rPr>
                <w:rFonts w:ascii="CG Times" w:hAnsi="CG Times" w:cs="Arial"/>
                <w:sz w:val="20"/>
                <w:lang w:val="en-US" w:eastAsia="en-US"/>
              </w:rPr>
              <w:t>39.8</w:t>
            </w:r>
          </w:p>
        </w:tc>
      </w:tr>
      <w:tr w:rsidR="000415DF" w:rsidRPr="00C135D7">
        <w:trPr>
          <w:gridAfter w:val="1"/>
          <w:wAfter w:w="15" w:type="dxa"/>
          <w:trHeight w:val="199"/>
          <w:jc w:val="center"/>
        </w:trPr>
        <w:tc>
          <w:tcPr>
            <w:tcW w:w="3951" w:type="dxa"/>
            <w:tcBorders>
              <w:top w:val="nil"/>
              <w:left w:val="single" w:sz="4" w:space="0" w:color="auto"/>
              <w:bottom w:val="single" w:sz="4" w:space="0" w:color="auto"/>
              <w:right w:val="single" w:sz="4" w:space="0" w:color="auto"/>
            </w:tcBorders>
            <w:shd w:val="clear" w:color="auto" w:fill="auto"/>
            <w:noWrap/>
            <w:vAlign w:val="bottom"/>
          </w:tcPr>
          <w:p w:rsidR="000415DF" w:rsidRPr="00C135D7" w:rsidRDefault="000415DF" w:rsidP="00C135D7">
            <w:pPr>
              <w:suppressAutoHyphens w:val="0"/>
              <w:rPr>
                <w:rFonts w:ascii="CG Times" w:hAnsi="CG Times" w:cs="Arial"/>
                <w:sz w:val="20"/>
                <w:lang w:val="en-US" w:eastAsia="en-US"/>
              </w:rPr>
            </w:pPr>
            <w:r w:rsidRPr="00C135D7">
              <w:rPr>
                <w:rFonts w:ascii="CG Times" w:hAnsi="CG Times" w:cs="Arial"/>
                <w:sz w:val="20"/>
                <w:lang w:val="en-US" w:eastAsia="en-US"/>
              </w:rPr>
              <w:t xml:space="preserve">EP Mali </w:t>
            </w:r>
            <w:r w:rsidR="00FC30FE">
              <w:rPr>
                <w:rFonts w:ascii="CG Times" w:hAnsi="CG Times" w:cs="Arial"/>
                <w:sz w:val="20"/>
                <w:lang w:val="en-US" w:eastAsia="en-US"/>
              </w:rPr>
              <w:t>i</w:t>
            </w:r>
            <w:r w:rsidRPr="00C135D7">
              <w:rPr>
                <w:rFonts w:ascii="CG Times" w:hAnsi="CG Times" w:cs="Arial"/>
                <w:sz w:val="20"/>
                <w:lang w:val="en-US" w:eastAsia="en-US"/>
              </w:rPr>
              <w:t xml:space="preserve"> Rencit (Lezhë)</w:t>
            </w:r>
          </w:p>
        </w:tc>
        <w:tc>
          <w:tcPr>
            <w:tcW w:w="3889" w:type="dxa"/>
            <w:tcBorders>
              <w:top w:val="nil"/>
              <w:left w:val="nil"/>
              <w:bottom w:val="single" w:sz="4" w:space="0" w:color="auto"/>
              <w:right w:val="single" w:sz="4" w:space="0" w:color="auto"/>
            </w:tcBorders>
            <w:shd w:val="clear" w:color="auto" w:fill="auto"/>
            <w:noWrap/>
            <w:vAlign w:val="bottom"/>
          </w:tcPr>
          <w:p w:rsidR="000415DF" w:rsidRPr="00C135D7" w:rsidRDefault="000415DF" w:rsidP="00C135D7">
            <w:pPr>
              <w:suppressAutoHyphens w:val="0"/>
              <w:rPr>
                <w:rFonts w:ascii="CG Times" w:hAnsi="CG Times" w:cs="Arial"/>
                <w:sz w:val="20"/>
                <w:lang w:val="en-US" w:eastAsia="en-US"/>
              </w:rPr>
            </w:pPr>
            <w:r w:rsidRPr="00C135D7">
              <w:rPr>
                <w:rFonts w:ascii="CG Times" w:hAnsi="CG Times" w:cs="Arial"/>
                <w:sz w:val="20"/>
                <w:lang w:val="en-US" w:eastAsia="en-US"/>
              </w:rPr>
              <w:t>Të tjera (rrugë, kanale, sheshe, troje, varreza, etj)</w:t>
            </w:r>
          </w:p>
        </w:tc>
        <w:tc>
          <w:tcPr>
            <w:tcW w:w="1684" w:type="dxa"/>
            <w:tcBorders>
              <w:top w:val="nil"/>
              <w:left w:val="nil"/>
              <w:bottom w:val="single" w:sz="4" w:space="0" w:color="auto"/>
              <w:right w:val="single" w:sz="4" w:space="0" w:color="auto"/>
            </w:tcBorders>
            <w:shd w:val="clear" w:color="auto" w:fill="auto"/>
            <w:vAlign w:val="bottom"/>
          </w:tcPr>
          <w:p w:rsidR="000415DF" w:rsidRPr="00C135D7" w:rsidRDefault="000415DF" w:rsidP="00C135D7">
            <w:pPr>
              <w:suppressAutoHyphens w:val="0"/>
              <w:jc w:val="right"/>
              <w:rPr>
                <w:rFonts w:ascii="CG Times" w:hAnsi="CG Times" w:cs="Arial"/>
                <w:sz w:val="20"/>
                <w:lang w:val="en-US" w:eastAsia="en-US"/>
              </w:rPr>
            </w:pPr>
            <w:r>
              <w:rPr>
                <w:rFonts w:ascii="CG Times" w:hAnsi="CG Times" w:cs="Arial"/>
                <w:sz w:val="20"/>
                <w:lang w:val="en-US" w:eastAsia="en-US"/>
              </w:rPr>
              <w:t>0.0</w:t>
            </w:r>
          </w:p>
        </w:tc>
      </w:tr>
      <w:tr w:rsidR="000415DF" w:rsidRPr="00C135D7">
        <w:trPr>
          <w:gridAfter w:val="1"/>
          <w:wAfter w:w="15" w:type="dxa"/>
          <w:trHeight w:val="199"/>
          <w:jc w:val="center"/>
        </w:trPr>
        <w:tc>
          <w:tcPr>
            <w:tcW w:w="3951" w:type="dxa"/>
            <w:tcBorders>
              <w:top w:val="nil"/>
              <w:left w:val="single" w:sz="4" w:space="0" w:color="auto"/>
              <w:bottom w:val="single" w:sz="4" w:space="0" w:color="auto"/>
              <w:right w:val="single" w:sz="4" w:space="0" w:color="auto"/>
            </w:tcBorders>
            <w:shd w:val="clear" w:color="auto" w:fill="auto"/>
            <w:noWrap/>
            <w:vAlign w:val="bottom"/>
          </w:tcPr>
          <w:p w:rsidR="000415DF" w:rsidRPr="000415DF" w:rsidRDefault="000415DF" w:rsidP="00C135D7">
            <w:pPr>
              <w:suppressAutoHyphens w:val="0"/>
              <w:rPr>
                <w:rFonts w:ascii="CG Times" w:hAnsi="CG Times" w:cs="Arial"/>
                <w:b/>
                <w:sz w:val="20"/>
                <w:lang w:val="en-US" w:eastAsia="en-US"/>
              </w:rPr>
            </w:pPr>
            <w:r w:rsidRPr="000415DF">
              <w:rPr>
                <w:rFonts w:ascii="CG Times" w:hAnsi="CG Times" w:cs="Arial"/>
                <w:b/>
                <w:sz w:val="20"/>
                <w:lang w:val="en-US" w:eastAsia="en-US"/>
              </w:rPr>
              <w:t>EP Mali i Rencit (Lezhë)</w:t>
            </w:r>
          </w:p>
        </w:tc>
        <w:tc>
          <w:tcPr>
            <w:tcW w:w="3889" w:type="dxa"/>
            <w:tcBorders>
              <w:top w:val="nil"/>
              <w:left w:val="nil"/>
              <w:bottom w:val="single" w:sz="4" w:space="0" w:color="auto"/>
              <w:right w:val="single" w:sz="4" w:space="0" w:color="auto"/>
            </w:tcBorders>
            <w:shd w:val="clear" w:color="auto" w:fill="auto"/>
            <w:vAlign w:val="bottom"/>
          </w:tcPr>
          <w:p w:rsidR="000415DF" w:rsidRPr="00C135D7" w:rsidRDefault="000415DF" w:rsidP="00C135D7">
            <w:pPr>
              <w:suppressAutoHyphens w:val="0"/>
              <w:rPr>
                <w:rFonts w:ascii="CG Times" w:hAnsi="CG Times" w:cs="Arial"/>
                <w:sz w:val="20"/>
                <w:lang w:val="en-US" w:eastAsia="en-US"/>
              </w:rPr>
            </w:pPr>
            <w:r w:rsidRPr="00C135D7">
              <w:rPr>
                <w:rFonts w:ascii="CG Times" w:hAnsi="CG Times" w:cs="Arial"/>
                <w:b/>
                <w:bCs/>
                <w:sz w:val="20"/>
                <w:lang w:val="en-US" w:eastAsia="en-US"/>
              </w:rPr>
              <w:t>Gjithsej</w:t>
            </w:r>
          </w:p>
        </w:tc>
        <w:tc>
          <w:tcPr>
            <w:tcW w:w="1684" w:type="dxa"/>
            <w:tcBorders>
              <w:top w:val="nil"/>
              <w:left w:val="nil"/>
              <w:bottom w:val="single" w:sz="4" w:space="0" w:color="auto"/>
              <w:right w:val="single" w:sz="4" w:space="0" w:color="auto"/>
            </w:tcBorders>
            <w:shd w:val="clear" w:color="auto" w:fill="auto"/>
            <w:vAlign w:val="bottom"/>
          </w:tcPr>
          <w:p w:rsidR="000415DF" w:rsidRPr="00C135D7" w:rsidRDefault="000415DF" w:rsidP="00C135D7">
            <w:pPr>
              <w:suppressAutoHyphens w:val="0"/>
              <w:jc w:val="right"/>
              <w:rPr>
                <w:rFonts w:ascii="CG Times" w:hAnsi="CG Times" w:cs="Arial"/>
                <w:sz w:val="20"/>
                <w:lang w:val="en-US" w:eastAsia="en-US"/>
              </w:rPr>
            </w:pPr>
            <w:r>
              <w:rPr>
                <w:rFonts w:ascii="CG Times" w:hAnsi="CG Times" w:cs="Arial"/>
                <w:sz w:val="20"/>
                <w:lang w:val="en-US" w:eastAsia="en-US"/>
              </w:rPr>
              <w:t>249.0</w:t>
            </w:r>
          </w:p>
        </w:tc>
      </w:tr>
      <w:tr w:rsidR="000415DF" w:rsidRPr="00C135D7">
        <w:trPr>
          <w:gridAfter w:val="1"/>
          <w:wAfter w:w="15" w:type="dxa"/>
          <w:trHeight w:val="199"/>
          <w:jc w:val="center"/>
        </w:trPr>
        <w:tc>
          <w:tcPr>
            <w:tcW w:w="3951" w:type="dxa"/>
            <w:tcBorders>
              <w:top w:val="nil"/>
              <w:left w:val="single" w:sz="4" w:space="0" w:color="auto"/>
              <w:bottom w:val="single" w:sz="4" w:space="0" w:color="auto"/>
              <w:right w:val="single" w:sz="4" w:space="0" w:color="auto"/>
            </w:tcBorders>
            <w:shd w:val="clear" w:color="auto" w:fill="auto"/>
            <w:noWrap/>
            <w:vAlign w:val="bottom"/>
          </w:tcPr>
          <w:p w:rsidR="000415DF" w:rsidRPr="00C135D7" w:rsidRDefault="000415DF" w:rsidP="00C135D7">
            <w:pPr>
              <w:suppressAutoHyphens w:val="0"/>
              <w:rPr>
                <w:rFonts w:ascii="CG Times" w:hAnsi="CG Times" w:cs="Arial"/>
                <w:sz w:val="20"/>
                <w:lang w:val="en-US" w:eastAsia="en-US"/>
              </w:rPr>
            </w:pPr>
            <w:r w:rsidRPr="00C135D7">
              <w:rPr>
                <w:rFonts w:ascii="CG Times" w:hAnsi="CG Times" w:cs="Arial"/>
                <w:sz w:val="20"/>
                <w:lang w:val="en-US" w:eastAsia="en-US"/>
              </w:rPr>
              <w:t>EP Bushat – Bërdicë (Shkodër)</w:t>
            </w:r>
          </w:p>
        </w:tc>
        <w:tc>
          <w:tcPr>
            <w:tcW w:w="3889" w:type="dxa"/>
            <w:tcBorders>
              <w:top w:val="nil"/>
              <w:left w:val="nil"/>
              <w:bottom w:val="single" w:sz="4" w:space="0" w:color="auto"/>
              <w:right w:val="single" w:sz="4" w:space="0" w:color="auto"/>
            </w:tcBorders>
            <w:shd w:val="clear" w:color="auto" w:fill="auto"/>
            <w:noWrap/>
            <w:vAlign w:val="bottom"/>
          </w:tcPr>
          <w:p w:rsidR="000415DF" w:rsidRPr="00C135D7" w:rsidRDefault="00FC30FE" w:rsidP="00C135D7">
            <w:pPr>
              <w:suppressAutoHyphens w:val="0"/>
              <w:rPr>
                <w:rFonts w:ascii="CG Times" w:hAnsi="CG Times" w:cs="Arial"/>
                <w:sz w:val="20"/>
                <w:lang w:val="en-US" w:eastAsia="en-US"/>
              </w:rPr>
            </w:pPr>
            <w:r>
              <w:rPr>
                <w:rFonts w:ascii="CG Times" w:hAnsi="CG Times" w:cs="Arial"/>
                <w:sz w:val="20"/>
                <w:lang w:val="en-US" w:eastAsia="en-US"/>
              </w:rPr>
              <w:t>Sip. me bimësi pyjore</w:t>
            </w:r>
          </w:p>
        </w:tc>
        <w:tc>
          <w:tcPr>
            <w:tcW w:w="1684" w:type="dxa"/>
            <w:tcBorders>
              <w:top w:val="nil"/>
              <w:left w:val="nil"/>
              <w:bottom w:val="single" w:sz="4" w:space="0" w:color="auto"/>
              <w:right w:val="single" w:sz="4" w:space="0" w:color="auto"/>
            </w:tcBorders>
            <w:shd w:val="clear" w:color="auto" w:fill="auto"/>
            <w:noWrap/>
            <w:vAlign w:val="bottom"/>
          </w:tcPr>
          <w:p w:rsidR="000415DF" w:rsidRPr="00C135D7" w:rsidRDefault="00FC30FE" w:rsidP="00C135D7">
            <w:pPr>
              <w:suppressAutoHyphens w:val="0"/>
              <w:jc w:val="right"/>
              <w:rPr>
                <w:rFonts w:ascii="CG Times" w:hAnsi="CG Times" w:cs="Arial"/>
                <w:sz w:val="20"/>
                <w:lang w:val="en-US" w:eastAsia="en-US"/>
              </w:rPr>
            </w:pPr>
            <w:r>
              <w:rPr>
                <w:rFonts w:ascii="CG Times" w:hAnsi="CG Times" w:cs="Arial"/>
                <w:sz w:val="20"/>
                <w:lang w:val="en-US" w:eastAsia="en-US"/>
              </w:rPr>
              <w:t>14.0</w:t>
            </w:r>
          </w:p>
        </w:tc>
      </w:tr>
      <w:tr w:rsidR="00FC30FE" w:rsidRPr="00FC30FE">
        <w:trPr>
          <w:gridAfter w:val="1"/>
          <w:wAfter w:w="15" w:type="dxa"/>
          <w:trHeight w:val="199"/>
          <w:jc w:val="center"/>
        </w:trPr>
        <w:tc>
          <w:tcPr>
            <w:tcW w:w="3951" w:type="dxa"/>
            <w:tcBorders>
              <w:top w:val="nil"/>
              <w:left w:val="single" w:sz="4" w:space="0" w:color="auto"/>
              <w:bottom w:val="single" w:sz="4" w:space="0" w:color="auto"/>
              <w:right w:val="single" w:sz="4" w:space="0" w:color="auto"/>
            </w:tcBorders>
            <w:shd w:val="clear" w:color="auto" w:fill="auto"/>
            <w:noWrap/>
            <w:vAlign w:val="bottom"/>
          </w:tcPr>
          <w:p w:rsidR="00FC30FE" w:rsidRPr="00FC30FE" w:rsidRDefault="00FC30FE" w:rsidP="00D63B97">
            <w:pPr>
              <w:suppressAutoHyphens w:val="0"/>
              <w:rPr>
                <w:rFonts w:ascii="CG Times" w:hAnsi="CG Times" w:cs="Arial"/>
                <w:sz w:val="20"/>
                <w:lang w:val="en-US" w:eastAsia="en-US"/>
              </w:rPr>
            </w:pPr>
            <w:r w:rsidRPr="00FC30FE">
              <w:rPr>
                <w:rFonts w:ascii="CG Times" w:hAnsi="CG Times" w:cs="Arial"/>
                <w:sz w:val="20"/>
                <w:lang w:val="en-US" w:eastAsia="en-US"/>
              </w:rPr>
              <w:t>EP Bushat – Bërdicë (Shkodër)</w:t>
            </w:r>
          </w:p>
        </w:tc>
        <w:tc>
          <w:tcPr>
            <w:tcW w:w="3889" w:type="dxa"/>
            <w:tcBorders>
              <w:top w:val="nil"/>
              <w:left w:val="nil"/>
              <w:bottom w:val="single" w:sz="4" w:space="0" w:color="auto"/>
              <w:right w:val="single" w:sz="4" w:space="0" w:color="auto"/>
            </w:tcBorders>
            <w:shd w:val="clear" w:color="auto" w:fill="auto"/>
            <w:noWrap/>
            <w:vAlign w:val="bottom"/>
          </w:tcPr>
          <w:p w:rsidR="00FC30FE" w:rsidRPr="00FC30FE" w:rsidRDefault="00FC30FE" w:rsidP="00D63B97">
            <w:pPr>
              <w:suppressAutoHyphens w:val="0"/>
              <w:rPr>
                <w:rFonts w:ascii="CG Times" w:hAnsi="CG Times" w:cs="Arial"/>
                <w:sz w:val="20"/>
                <w:lang w:val="en-US" w:eastAsia="en-US"/>
              </w:rPr>
            </w:pPr>
            <w:r>
              <w:rPr>
                <w:rFonts w:ascii="CG Times" w:hAnsi="CG Times" w:cs="Arial"/>
                <w:bCs/>
                <w:sz w:val="20"/>
                <w:lang w:val="en-US" w:eastAsia="en-US"/>
              </w:rPr>
              <w:t>Kullot</w:t>
            </w:r>
            <w:r w:rsidR="00E778D3">
              <w:rPr>
                <w:rFonts w:ascii="CG Times" w:hAnsi="CG Times" w:cs="Arial"/>
                <w:bCs/>
                <w:sz w:val="20"/>
                <w:lang w:val="en-US" w:eastAsia="en-US"/>
              </w:rPr>
              <w:t>ë</w:t>
            </w:r>
          </w:p>
        </w:tc>
        <w:tc>
          <w:tcPr>
            <w:tcW w:w="1684" w:type="dxa"/>
            <w:tcBorders>
              <w:top w:val="nil"/>
              <w:left w:val="nil"/>
              <w:bottom w:val="single" w:sz="4" w:space="0" w:color="auto"/>
              <w:right w:val="single" w:sz="4" w:space="0" w:color="auto"/>
            </w:tcBorders>
            <w:shd w:val="clear" w:color="auto" w:fill="auto"/>
            <w:noWrap/>
            <w:vAlign w:val="bottom"/>
          </w:tcPr>
          <w:p w:rsidR="00FC30FE" w:rsidRPr="00FC30FE" w:rsidRDefault="00FC30FE" w:rsidP="00D63B97">
            <w:pPr>
              <w:suppressAutoHyphens w:val="0"/>
              <w:jc w:val="right"/>
              <w:rPr>
                <w:rFonts w:ascii="CG Times" w:hAnsi="CG Times" w:cs="Arial"/>
                <w:sz w:val="20"/>
                <w:lang w:val="en-US" w:eastAsia="en-US"/>
              </w:rPr>
            </w:pPr>
            <w:r>
              <w:rPr>
                <w:rFonts w:ascii="CG Times" w:hAnsi="CG Times" w:cs="Arial"/>
                <w:sz w:val="20"/>
                <w:lang w:val="en-US" w:eastAsia="en-US"/>
              </w:rPr>
              <w:t>0</w:t>
            </w:r>
          </w:p>
        </w:tc>
      </w:tr>
      <w:tr w:rsidR="00FC30FE" w:rsidRPr="00FC30FE">
        <w:trPr>
          <w:gridAfter w:val="1"/>
          <w:wAfter w:w="15" w:type="dxa"/>
          <w:trHeight w:val="199"/>
          <w:jc w:val="center"/>
        </w:trPr>
        <w:tc>
          <w:tcPr>
            <w:tcW w:w="3951" w:type="dxa"/>
            <w:tcBorders>
              <w:top w:val="nil"/>
              <w:left w:val="single" w:sz="4" w:space="0" w:color="auto"/>
              <w:bottom w:val="single" w:sz="4" w:space="0" w:color="auto"/>
              <w:right w:val="single" w:sz="4" w:space="0" w:color="auto"/>
            </w:tcBorders>
            <w:shd w:val="clear" w:color="auto" w:fill="auto"/>
            <w:noWrap/>
            <w:vAlign w:val="bottom"/>
          </w:tcPr>
          <w:p w:rsidR="00FC30FE" w:rsidRPr="00FC30FE" w:rsidRDefault="00FC30FE" w:rsidP="00D63B97">
            <w:pPr>
              <w:suppressAutoHyphens w:val="0"/>
              <w:rPr>
                <w:rFonts w:ascii="CG Times" w:hAnsi="CG Times" w:cs="Arial"/>
                <w:b/>
                <w:sz w:val="20"/>
                <w:lang w:val="en-US" w:eastAsia="en-US"/>
              </w:rPr>
            </w:pPr>
            <w:r w:rsidRPr="00FC30FE">
              <w:rPr>
                <w:rFonts w:ascii="CG Times" w:hAnsi="CG Times" w:cs="Arial"/>
                <w:b/>
                <w:sz w:val="20"/>
                <w:lang w:val="en-US" w:eastAsia="en-US"/>
              </w:rPr>
              <w:t>EP Bushat – Bërdicë (Shkodër)</w:t>
            </w:r>
          </w:p>
        </w:tc>
        <w:tc>
          <w:tcPr>
            <w:tcW w:w="3889" w:type="dxa"/>
            <w:tcBorders>
              <w:top w:val="nil"/>
              <w:left w:val="nil"/>
              <w:bottom w:val="single" w:sz="4" w:space="0" w:color="auto"/>
              <w:right w:val="single" w:sz="4" w:space="0" w:color="auto"/>
            </w:tcBorders>
            <w:shd w:val="clear" w:color="auto" w:fill="auto"/>
            <w:noWrap/>
            <w:vAlign w:val="bottom"/>
          </w:tcPr>
          <w:p w:rsidR="00FC30FE" w:rsidRPr="00FC30FE" w:rsidRDefault="00FC30FE" w:rsidP="00D63B97">
            <w:pPr>
              <w:suppressAutoHyphens w:val="0"/>
              <w:rPr>
                <w:rFonts w:ascii="CG Times" w:hAnsi="CG Times" w:cs="Arial"/>
                <w:b/>
                <w:sz w:val="20"/>
                <w:lang w:val="en-US" w:eastAsia="en-US"/>
              </w:rPr>
            </w:pPr>
            <w:r>
              <w:rPr>
                <w:rFonts w:ascii="CG Times" w:hAnsi="CG Times" w:cs="Arial"/>
                <w:b/>
                <w:bCs/>
                <w:sz w:val="20"/>
                <w:lang w:val="en-US" w:eastAsia="en-US"/>
              </w:rPr>
              <w:t>Gjithsej</w:t>
            </w:r>
          </w:p>
        </w:tc>
        <w:tc>
          <w:tcPr>
            <w:tcW w:w="1684" w:type="dxa"/>
            <w:tcBorders>
              <w:top w:val="nil"/>
              <w:left w:val="nil"/>
              <w:bottom w:val="single" w:sz="4" w:space="0" w:color="auto"/>
              <w:right w:val="single" w:sz="4" w:space="0" w:color="auto"/>
            </w:tcBorders>
            <w:shd w:val="clear" w:color="auto" w:fill="auto"/>
            <w:noWrap/>
            <w:vAlign w:val="bottom"/>
          </w:tcPr>
          <w:p w:rsidR="00FC30FE" w:rsidRPr="00FC30FE" w:rsidRDefault="00FC30FE" w:rsidP="00D63B97">
            <w:pPr>
              <w:suppressAutoHyphens w:val="0"/>
              <w:jc w:val="right"/>
              <w:rPr>
                <w:rFonts w:ascii="CG Times" w:hAnsi="CG Times" w:cs="Arial"/>
                <w:b/>
                <w:sz w:val="20"/>
                <w:lang w:val="en-US" w:eastAsia="en-US"/>
              </w:rPr>
            </w:pPr>
            <w:r w:rsidRPr="00FC30FE">
              <w:rPr>
                <w:rFonts w:ascii="CG Times" w:hAnsi="CG Times" w:cs="Arial"/>
                <w:b/>
                <w:sz w:val="20"/>
                <w:lang w:val="en-US" w:eastAsia="en-US"/>
              </w:rPr>
              <w:t>14.0</w:t>
            </w:r>
          </w:p>
        </w:tc>
      </w:tr>
      <w:tr w:rsidR="000415DF" w:rsidRPr="00FC30FE">
        <w:trPr>
          <w:gridAfter w:val="1"/>
          <w:wAfter w:w="15" w:type="dxa"/>
          <w:trHeight w:val="199"/>
          <w:jc w:val="center"/>
        </w:trPr>
        <w:tc>
          <w:tcPr>
            <w:tcW w:w="3951" w:type="dxa"/>
            <w:tcBorders>
              <w:top w:val="nil"/>
              <w:left w:val="single" w:sz="4" w:space="0" w:color="auto"/>
              <w:bottom w:val="single" w:sz="4" w:space="0" w:color="auto"/>
              <w:right w:val="single" w:sz="4" w:space="0" w:color="auto"/>
            </w:tcBorders>
            <w:shd w:val="clear" w:color="auto" w:fill="auto"/>
            <w:noWrap/>
            <w:vAlign w:val="bottom"/>
          </w:tcPr>
          <w:p w:rsidR="000415DF" w:rsidRPr="00FC30FE" w:rsidRDefault="00FC30FE" w:rsidP="00C135D7">
            <w:pPr>
              <w:suppressAutoHyphens w:val="0"/>
              <w:rPr>
                <w:rFonts w:ascii="CG Times" w:hAnsi="CG Times" w:cs="Arial"/>
                <w:b/>
                <w:sz w:val="20"/>
                <w:lang w:val="en-US" w:eastAsia="en-US"/>
              </w:rPr>
            </w:pPr>
            <w:r w:rsidRPr="00FC30FE">
              <w:rPr>
                <w:rFonts w:ascii="CG Times" w:hAnsi="CG Times" w:cs="Arial"/>
                <w:b/>
                <w:sz w:val="20"/>
                <w:lang w:val="en-US" w:eastAsia="en-US"/>
              </w:rPr>
              <w:t>Totali</w:t>
            </w:r>
          </w:p>
        </w:tc>
        <w:tc>
          <w:tcPr>
            <w:tcW w:w="3889" w:type="dxa"/>
            <w:tcBorders>
              <w:top w:val="nil"/>
              <w:left w:val="nil"/>
              <w:bottom w:val="single" w:sz="4" w:space="0" w:color="auto"/>
              <w:right w:val="single" w:sz="4" w:space="0" w:color="auto"/>
            </w:tcBorders>
            <w:shd w:val="clear" w:color="auto" w:fill="auto"/>
            <w:noWrap/>
            <w:vAlign w:val="bottom"/>
          </w:tcPr>
          <w:p w:rsidR="000415DF" w:rsidRPr="00FC30FE" w:rsidRDefault="000415DF" w:rsidP="00C135D7">
            <w:pPr>
              <w:suppressAutoHyphens w:val="0"/>
              <w:rPr>
                <w:rFonts w:ascii="CG Times" w:hAnsi="CG Times" w:cs="Arial"/>
                <w:b/>
                <w:sz w:val="20"/>
                <w:lang w:val="en-US" w:eastAsia="en-US"/>
              </w:rPr>
            </w:pPr>
          </w:p>
        </w:tc>
        <w:tc>
          <w:tcPr>
            <w:tcW w:w="1684" w:type="dxa"/>
            <w:tcBorders>
              <w:top w:val="nil"/>
              <w:left w:val="nil"/>
              <w:bottom w:val="single" w:sz="4" w:space="0" w:color="auto"/>
              <w:right w:val="single" w:sz="4" w:space="0" w:color="auto"/>
            </w:tcBorders>
            <w:shd w:val="clear" w:color="auto" w:fill="auto"/>
            <w:noWrap/>
            <w:vAlign w:val="bottom"/>
          </w:tcPr>
          <w:p w:rsidR="000415DF" w:rsidRPr="00FC30FE" w:rsidRDefault="00FC30FE" w:rsidP="00C135D7">
            <w:pPr>
              <w:suppressAutoHyphens w:val="0"/>
              <w:jc w:val="right"/>
              <w:rPr>
                <w:rFonts w:ascii="CG Times" w:hAnsi="CG Times" w:cs="Arial"/>
                <w:b/>
                <w:sz w:val="20"/>
                <w:lang w:val="en-US" w:eastAsia="en-US"/>
              </w:rPr>
            </w:pPr>
            <w:r w:rsidRPr="00FC30FE">
              <w:rPr>
                <w:rFonts w:ascii="CG Times" w:hAnsi="CG Times" w:cs="Arial"/>
                <w:b/>
                <w:sz w:val="20"/>
                <w:lang w:val="en-US" w:eastAsia="en-US"/>
              </w:rPr>
              <w:t>263</w:t>
            </w:r>
          </w:p>
        </w:tc>
      </w:tr>
    </w:tbl>
    <w:p w:rsidR="00091948" w:rsidRDefault="00091948" w:rsidP="00C135D7">
      <w:pPr>
        <w:pStyle w:val="Paragrafi0"/>
        <w:jc w:val="center"/>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p w:rsidR="00C135D7" w:rsidRDefault="00C135D7" w:rsidP="00091948">
      <w:pPr>
        <w:pStyle w:val="Paragrafi0"/>
      </w:pPr>
    </w:p>
    <w:tbl>
      <w:tblPr>
        <w:tblW w:w="8943" w:type="dxa"/>
        <w:jc w:val="center"/>
        <w:tblLook w:val="0000" w:firstRow="0" w:lastRow="0" w:firstColumn="0" w:lastColumn="0" w:noHBand="0" w:noVBand="0"/>
      </w:tblPr>
      <w:tblGrid>
        <w:gridCol w:w="1217"/>
        <w:gridCol w:w="3372"/>
        <w:gridCol w:w="681"/>
        <w:gridCol w:w="2138"/>
        <w:gridCol w:w="1505"/>
        <w:gridCol w:w="30"/>
      </w:tblGrid>
      <w:tr w:rsidR="00C135D7" w:rsidRPr="00C135D7">
        <w:trPr>
          <w:trHeight w:val="199"/>
          <w:jc w:val="center"/>
        </w:trPr>
        <w:tc>
          <w:tcPr>
            <w:tcW w:w="8943" w:type="dxa"/>
            <w:gridSpan w:val="6"/>
            <w:tcBorders>
              <w:top w:val="nil"/>
              <w:left w:val="nil"/>
              <w:bottom w:val="single" w:sz="4" w:space="0" w:color="auto"/>
              <w:right w:val="nil"/>
            </w:tcBorders>
            <w:shd w:val="clear" w:color="auto" w:fill="auto"/>
            <w:noWrap/>
            <w:vAlign w:val="center"/>
          </w:tcPr>
          <w:p w:rsidR="00C135D7" w:rsidRPr="00C135D7" w:rsidRDefault="00C135D7"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Tabela 3 - Përdorimi i territorit sipas pronësisë</w:t>
            </w:r>
          </w:p>
        </w:tc>
      </w:tr>
      <w:tr w:rsidR="00C135D7" w:rsidRPr="00C135D7">
        <w:trPr>
          <w:trHeight w:val="199"/>
          <w:jc w:val="center"/>
        </w:trPr>
        <w:tc>
          <w:tcPr>
            <w:tcW w:w="1217" w:type="dxa"/>
            <w:vMerge w:val="restart"/>
            <w:tcBorders>
              <w:top w:val="nil"/>
              <w:left w:val="single" w:sz="4" w:space="0" w:color="auto"/>
              <w:bottom w:val="single" w:sz="4" w:space="0" w:color="auto"/>
              <w:right w:val="single" w:sz="4" w:space="0" w:color="auto"/>
            </w:tcBorders>
            <w:shd w:val="clear" w:color="auto" w:fill="auto"/>
            <w:noWrap/>
            <w:vAlign w:val="bottom"/>
          </w:tcPr>
          <w:p w:rsidR="00C135D7" w:rsidRPr="00C135D7" w:rsidRDefault="00C135D7"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Pronësia</w:t>
            </w:r>
          </w:p>
        </w:tc>
        <w:tc>
          <w:tcPr>
            <w:tcW w:w="3372" w:type="dxa"/>
            <w:vMerge w:val="restart"/>
            <w:tcBorders>
              <w:top w:val="nil"/>
              <w:left w:val="single" w:sz="4" w:space="0" w:color="auto"/>
              <w:bottom w:val="single" w:sz="4" w:space="0" w:color="auto"/>
              <w:right w:val="single" w:sz="4" w:space="0" w:color="auto"/>
            </w:tcBorders>
            <w:shd w:val="clear" w:color="auto" w:fill="auto"/>
            <w:noWrap/>
            <w:vAlign w:val="bottom"/>
          </w:tcPr>
          <w:p w:rsidR="00C135D7" w:rsidRPr="00C135D7" w:rsidRDefault="00C135D7"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Ekonomia pyjore</w:t>
            </w:r>
          </w:p>
        </w:tc>
        <w:tc>
          <w:tcPr>
            <w:tcW w:w="4354" w:type="dxa"/>
            <w:gridSpan w:val="4"/>
            <w:tcBorders>
              <w:top w:val="single" w:sz="4" w:space="0" w:color="auto"/>
              <w:left w:val="nil"/>
              <w:bottom w:val="single" w:sz="4" w:space="0" w:color="auto"/>
              <w:right w:val="single" w:sz="4" w:space="0" w:color="auto"/>
            </w:tcBorders>
            <w:shd w:val="clear" w:color="auto" w:fill="auto"/>
            <w:noWrap/>
            <w:vAlign w:val="bottom"/>
          </w:tcPr>
          <w:p w:rsidR="00C135D7" w:rsidRPr="00C135D7" w:rsidRDefault="00C135D7"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Përdorimi i territorit, ha</w:t>
            </w:r>
          </w:p>
        </w:tc>
      </w:tr>
      <w:tr w:rsidR="00F7276E" w:rsidRPr="00C135D7">
        <w:trPr>
          <w:gridAfter w:val="1"/>
          <w:wAfter w:w="30" w:type="dxa"/>
          <w:trHeight w:val="199"/>
          <w:jc w:val="center"/>
        </w:trPr>
        <w:tc>
          <w:tcPr>
            <w:tcW w:w="1217" w:type="dxa"/>
            <w:vMerge/>
            <w:tcBorders>
              <w:top w:val="nil"/>
              <w:left w:val="single" w:sz="4" w:space="0" w:color="auto"/>
              <w:bottom w:val="single" w:sz="4" w:space="0" w:color="auto"/>
              <w:right w:val="single" w:sz="4" w:space="0" w:color="auto"/>
            </w:tcBorders>
            <w:vAlign w:val="center"/>
          </w:tcPr>
          <w:p w:rsidR="00F7276E" w:rsidRPr="00C135D7" w:rsidRDefault="00F7276E" w:rsidP="00C135D7">
            <w:pPr>
              <w:suppressAutoHyphens w:val="0"/>
              <w:rPr>
                <w:rFonts w:ascii="CG Times" w:hAnsi="CG Times" w:cs="Arial"/>
                <w:b/>
                <w:bCs/>
                <w:sz w:val="20"/>
                <w:lang w:val="en-US" w:eastAsia="en-US"/>
              </w:rPr>
            </w:pPr>
          </w:p>
        </w:tc>
        <w:tc>
          <w:tcPr>
            <w:tcW w:w="3372" w:type="dxa"/>
            <w:vMerge/>
            <w:tcBorders>
              <w:top w:val="nil"/>
              <w:left w:val="single" w:sz="4" w:space="0" w:color="auto"/>
              <w:bottom w:val="single" w:sz="4" w:space="0" w:color="auto"/>
              <w:right w:val="single" w:sz="4" w:space="0" w:color="auto"/>
            </w:tcBorders>
            <w:vAlign w:val="center"/>
          </w:tcPr>
          <w:p w:rsidR="00F7276E" w:rsidRPr="00C135D7" w:rsidRDefault="00F7276E" w:rsidP="00C135D7">
            <w:pPr>
              <w:suppressAutoHyphens w:val="0"/>
              <w:rPr>
                <w:rFonts w:ascii="CG Times" w:hAnsi="CG Times" w:cs="Arial"/>
                <w:b/>
                <w:bCs/>
                <w:sz w:val="20"/>
                <w:lang w:val="en-US" w:eastAsia="en-US"/>
              </w:rPr>
            </w:pPr>
          </w:p>
        </w:tc>
        <w:tc>
          <w:tcPr>
            <w:tcW w:w="681"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Pyll</w:t>
            </w:r>
          </w:p>
        </w:tc>
        <w:tc>
          <w:tcPr>
            <w:tcW w:w="2138"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Sip.me bim.pyjore</w:t>
            </w:r>
          </w:p>
        </w:tc>
        <w:tc>
          <w:tcPr>
            <w:tcW w:w="1505"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Inproduktive</w:t>
            </w:r>
          </w:p>
        </w:tc>
      </w:tr>
      <w:tr w:rsidR="00F7276E" w:rsidRPr="00C135D7">
        <w:trPr>
          <w:gridAfter w:val="1"/>
          <w:wAfter w:w="30" w:type="dxa"/>
          <w:trHeight w:val="199"/>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rsidR="00F7276E" w:rsidRPr="00C135D7" w:rsidRDefault="00F7276E" w:rsidP="00C135D7">
            <w:pPr>
              <w:suppressAutoHyphens w:val="0"/>
              <w:rPr>
                <w:rFonts w:ascii="CG Times" w:hAnsi="CG Times" w:cs="Arial"/>
                <w:sz w:val="20"/>
                <w:lang w:val="en-US" w:eastAsia="en-US"/>
              </w:rPr>
            </w:pPr>
            <w:r w:rsidRPr="00C135D7">
              <w:rPr>
                <w:rFonts w:ascii="CG Times" w:hAnsi="CG Times" w:cs="Arial"/>
                <w:sz w:val="20"/>
                <w:lang w:val="en-US" w:eastAsia="en-US"/>
              </w:rPr>
              <w:t>K/Balldren</w:t>
            </w:r>
          </w:p>
        </w:tc>
        <w:tc>
          <w:tcPr>
            <w:tcW w:w="3372"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rPr>
                <w:rFonts w:ascii="CG Times" w:hAnsi="CG Times" w:cs="Arial"/>
                <w:sz w:val="20"/>
                <w:lang w:val="en-US" w:eastAsia="en-US"/>
              </w:rPr>
            </w:pPr>
            <w:r w:rsidRPr="00C135D7">
              <w:rPr>
                <w:rFonts w:ascii="CG Times" w:hAnsi="CG Times" w:cs="Arial"/>
                <w:sz w:val="20"/>
                <w:lang w:val="en-US" w:eastAsia="en-US"/>
              </w:rPr>
              <w:t>EP Mali i Rencit (Lezhë)</w:t>
            </w:r>
          </w:p>
        </w:tc>
        <w:tc>
          <w:tcPr>
            <w:tcW w:w="681"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172.1</w:t>
            </w:r>
          </w:p>
        </w:tc>
        <w:tc>
          <w:tcPr>
            <w:tcW w:w="2138"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0.0</w:t>
            </w:r>
          </w:p>
        </w:tc>
        <w:tc>
          <w:tcPr>
            <w:tcW w:w="1505"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34.4</w:t>
            </w:r>
          </w:p>
        </w:tc>
      </w:tr>
      <w:tr w:rsidR="00F7276E" w:rsidRPr="00C135D7">
        <w:trPr>
          <w:gridAfter w:val="1"/>
          <w:wAfter w:w="30" w:type="dxa"/>
          <w:trHeight w:val="199"/>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rsidR="00F7276E" w:rsidRPr="00C135D7" w:rsidRDefault="00F7276E" w:rsidP="00C135D7">
            <w:pPr>
              <w:suppressAutoHyphens w:val="0"/>
              <w:rPr>
                <w:rFonts w:ascii="CG Times" w:hAnsi="CG Times" w:cs="Arial"/>
                <w:sz w:val="20"/>
                <w:lang w:val="en-US" w:eastAsia="en-US"/>
              </w:rPr>
            </w:pPr>
            <w:r w:rsidRPr="00C135D7">
              <w:rPr>
                <w:rFonts w:ascii="CG Times" w:hAnsi="CG Times" w:cs="Arial"/>
                <w:sz w:val="20"/>
                <w:lang w:val="en-US" w:eastAsia="en-US"/>
              </w:rPr>
              <w:t>K/Shëngjin</w:t>
            </w:r>
          </w:p>
        </w:tc>
        <w:tc>
          <w:tcPr>
            <w:tcW w:w="3372"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rPr>
                <w:rFonts w:ascii="CG Times" w:hAnsi="CG Times" w:cs="Arial"/>
                <w:sz w:val="20"/>
                <w:lang w:val="en-US" w:eastAsia="en-US"/>
              </w:rPr>
            </w:pPr>
            <w:r w:rsidRPr="00C135D7">
              <w:rPr>
                <w:rFonts w:ascii="CG Times" w:hAnsi="CG Times" w:cs="Arial"/>
                <w:sz w:val="20"/>
                <w:lang w:val="en-US" w:eastAsia="en-US"/>
              </w:rPr>
              <w:t>EP Mali i Rencit (Lezhë)</w:t>
            </w:r>
          </w:p>
        </w:tc>
        <w:tc>
          <w:tcPr>
            <w:tcW w:w="681"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37.1</w:t>
            </w:r>
          </w:p>
        </w:tc>
        <w:tc>
          <w:tcPr>
            <w:tcW w:w="2138"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0.0</w:t>
            </w:r>
          </w:p>
        </w:tc>
        <w:tc>
          <w:tcPr>
            <w:tcW w:w="1505"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5.4</w:t>
            </w:r>
          </w:p>
        </w:tc>
      </w:tr>
      <w:tr w:rsidR="00F7276E" w:rsidRPr="00C135D7">
        <w:trPr>
          <w:gridAfter w:val="1"/>
          <w:wAfter w:w="30" w:type="dxa"/>
          <w:trHeight w:val="199"/>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rsidR="00F7276E" w:rsidRPr="00C135D7" w:rsidRDefault="00F7276E" w:rsidP="00C135D7">
            <w:pPr>
              <w:suppressAutoHyphens w:val="0"/>
              <w:rPr>
                <w:rFonts w:ascii="CG Times" w:hAnsi="CG Times" w:cs="Arial"/>
                <w:sz w:val="20"/>
                <w:lang w:val="en-US" w:eastAsia="en-US"/>
              </w:rPr>
            </w:pPr>
            <w:r w:rsidRPr="00C135D7">
              <w:rPr>
                <w:rFonts w:ascii="CG Times" w:hAnsi="CG Times" w:cs="Arial"/>
                <w:sz w:val="20"/>
                <w:lang w:val="en-US" w:eastAsia="en-US"/>
              </w:rPr>
              <w:t>Shtetërore</w:t>
            </w:r>
          </w:p>
        </w:tc>
        <w:tc>
          <w:tcPr>
            <w:tcW w:w="3372"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rPr>
                <w:rFonts w:ascii="CG Times" w:hAnsi="CG Times" w:cs="Arial"/>
                <w:sz w:val="20"/>
                <w:lang w:val="en-US" w:eastAsia="en-US"/>
              </w:rPr>
            </w:pPr>
            <w:r w:rsidRPr="00C135D7">
              <w:rPr>
                <w:rFonts w:ascii="CG Times" w:hAnsi="CG Times" w:cs="Arial"/>
                <w:sz w:val="20"/>
                <w:lang w:val="en-US" w:eastAsia="en-US"/>
              </w:rPr>
              <w:t>EP Mali i Rencit (Lezhë)</w:t>
            </w:r>
          </w:p>
        </w:tc>
        <w:tc>
          <w:tcPr>
            <w:tcW w:w="681"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0.0</w:t>
            </w:r>
          </w:p>
        </w:tc>
        <w:tc>
          <w:tcPr>
            <w:tcW w:w="2138"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0.0</w:t>
            </w:r>
          </w:p>
        </w:tc>
        <w:tc>
          <w:tcPr>
            <w:tcW w:w="1505"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0.0</w:t>
            </w:r>
          </w:p>
        </w:tc>
      </w:tr>
      <w:tr w:rsidR="00F7276E" w:rsidRPr="00C135D7">
        <w:trPr>
          <w:gridAfter w:val="1"/>
          <w:wAfter w:w="30" w:type="dxa"/>
          <w:trHeight w:val="199"/>
          <w:jc w:val="center"/>
        </w:trPr>
        <w:tc>
          <w:tcPr>
            <w:tcW w:w="1217" w:type="dxa"/>
            <w:tcBorders>
              <w:top w:val="nil"/>
              <w:left w:val="single" w:sz="4" w:space="0" w:color="auto"/>
              <w:bottom w:val="single" w:sz="4" w:space="0" w:color="auto"/>
              <w:right w:val="single" w:sz="4" w:space="0" w:color="auto"/>
            </w:tcBorders>
            <w:shd w:val="clear" w:color="auto" w:fill="auto"/>
            <w:noWrap/>
            <w:vAlign w:val="bottom"/>
          </w:tcPr>
          <w:p w:rsidR="00F7276E" w:rsidRPr="00C135D7" w:rsidRDefault="00F7276E" w:rsidP="00C135D7">
            <w:pPr>
              <w:suppressAutoHyphens w:val="0"/>
              <w:rPr>
                <w:rFonts w:ascii="CG Times" w:hAnsi="CG Times" w:cs="Arial"/>
                <w:sz w:val="20"/>
                <w:lang w:val="en-US" w:eastAsia="en-US"/>
              </w:rPr>
            </w:pPr>
            <w:r w:rsidRPr="00C135D7">
              <w:rPr>
                <w:rFonts w:ascii="CG Times" w:hAnsi="CG Times" w:cs="Arial"/>
                <w:sz w:val="20"/>
                <w:lang w:val="en-US" w:eastAsia="en-US"/>
              </w:rPr>
              <w:t>K/Bushat</w:t>
            </w:r>
          </w:p>
        </w:tc>
        <w:tc>
          <w:tcPr>
            <w:tcW w:w="3372"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rPr>
                <w:rFonts w:ascii="CG Times" w:hAnsi="CG Times" w:cs="Arial"/>
                <w:sz w:val="20"/>
                <w:lang w:val="en-US" w:eastAsia="en-US"/>
              </w:rPr>
            </w:pPr>
            <w:r w:rsidRPr="00C135D7">
              <w:rPr>
                <w:rFonts w:ascii="CG Times" w:hAnsi="CG Times" w:cs="Arial"/>
                <w:sz w:val="20"/>
                <w:lang w:val="en-US" w:eastAsia="en-US"/>
              </w:rPr>
              <w:t>EP Bushat – Bërdicë (Shkodër)</w:t>
            </w:r>
          </w:p>
        </w:tc>
        <w:tc>
          <w:tcPr>
            <w:tcW w:w="681"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0.0</w:t>
            </w:r>
          </w:p>
        </w:tc>
        <w:tc>
          <w:tcPr>
            <w:tcW w:w="2138"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14.0</w:t>
            </w:r>
          </w:p>
        </w:tc>
        <w:tc>
          <w:tcPr>
            <w:tcW w:w="1505"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sz w:val="20"/>
                <w:lang w:val="en-US" w:eastAsia="en-US"/>
              </w:rPr>
            </w:pPr>
            <w:r w:rsidRPr="00C135D7">
              <w:rPr>
                <w:rFonts w:ascii="CG Times" w:hAnsi="CG Times" w:cs="Arial"/>
                <w:sz w:val="20"/>
                <w:lang w:val="en-US" w:eastAsia="en-US"/>
              </w:rPr>
              <w:t>0.0</w:t>
            </w:r>
          </w:p>
        </w:tc>
      </w:tr>
      <w:tr w:rsidR="00F7276E" w:rsidRPr="00C135D7">
        <w:trPr>
          <w:gridAfter w:val="1"/>
          <w:wAfter w:w="30" w:type="dxa"/>
          <w:trHeight w:val="199"/>
          <w:jc w:val="center"/>
        </w:trPr>
        <w:tc>
          <w:tcPr>
            <w:tcW w:w="45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F7276E" w:rsidRPr="00C135D7" w:rsidRDefault="00F7276E" w:rsidP="00C135D7">
            <w:pPr>
              <w:suppressAutoHyphens w:val="0"/>
              <w:jc w:val="center"/>
              <w:rPr>
                <w:rFonts w:ascii="CG Times" w:hAnsi="CG Times" w:cs="Arial"/>
                <w:b/>
                <w:bCs/>
                <w:sz w:val="20"/>
                <w:lang w:val="en-US" w:eastAsia="en-US"/>
              </w:rPr>
            </w:pPr>
            <w:r w:rsidRPr="00C135D7">
              <w:rPr>
                <w:rFonts w:ascii="CG Times" w:hAnsi="CG Times" w:cs="Arial"/>
                <w:b/>
                <w:bCs/>
                <w:sz w:val="20"/>
                <w:lang w:val="en-US" w:eastAsia="en-US"/>
              </w:rPr>
              <w:t>GJITHSEJ</w:t>
            </w:r>
          </w:p>
        </w:tc>
        <w:tc>
          <w:tcPr>
            <w:tcW w:w="681"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b/>
                <w:bCs/>
                <w:sz w:val="20"/>
                <w:lang w:val="en-US" w:eastAsia="en-US"/>
              </w:rPr>
            </w:pPr>
            <w:r w:rsidRPr="00C135D7">
              <w:rPr>
                <w:rFonts w:ascii="CG Times" w:hAnsi="CG Times" w:cs="Arial"/>
                <w:b/>
                <w:bCs/>
                <w:sz w:val="20"/>
                <w:lang w:val="en-US" w:eastAsia="en-US"/>
              </w:rPr>
              <w:t>209.2</w:t>
            </w:r>
          </w:p>
        </w:tc>
        <w:tc>
          <w:tcPr>
            <w:tcW w:w="2138"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b/>
                <w:bCs/>
                <w:sz w:val="20"/>
                <w:lang w:val="en-US" w:eastAsia="en-US"/>
              </w:rPr>
            </w:pPr>
            <w:r w:rsidRPr="00C135D7">
              <w:rPr>
                <w:rFonts w:ascii="CG Times" w:hAnsi="CG Times" w:cs="Arial"/>
                <w:b/>
                <w:bCs/>
                <w:sz w:val="20"/>
                <w:lang w:val="en-US" w:eastAsia="en-US"/>
              </w:rPr>
              <w:t>14.0</w:t>
            </w:r>
          </w:p>
        </w:tc>
        <w:tc>
          <w:tcPr>
            <w:tcW w:w="1505" w:type="dxa"/>
            <w:tcBorders>
              <w:top w:val="nil"/>
              <w:left w:val="nil"/>
              <w:bottom w:val="single" w:sz="4" w:space="0" w:color="auto"/>
              <w:right w:val="single" w:sz="4" w:space="0" w:color="auto"/>
            </w:tcBorders>
            <w:shd w:val="clear" w:color="auto" w:fill="auto"/>
            <w:noWrap/>
            <w:vAlign w:val="bottom"/>
          </w:tcPr>
          <w:p w:rsidR="00F7276E" w:rsidRPr="00C135D7" w:rsidRDefault="00F7276E" w:rsidP="00C135D7">
            <w:pPr>
              <w:suppressAutoHyphens w:val="0"/>
              <w:jc w:val="right"/>
              <w:rPr>
                <w:rFonts w:ascii="CG Times" w:hAnsi="CG Times" w:cs="Arial"/>
                <w:b/>
                <w:bCs/>
                <w:sz w:val="20"/>
                <w:lang w:val="en-US" w:eastAsia="en-US"/>
              </w:rPr>
            </w:pPr>
            <w:r w:rsidRPr="00C135D7">
              <w:rPr>
                <w:rFonts w:ascii="CG Times" w:hAnsi="CG Times" w:cs="Arial"/>
                <w:b/>
                <w:bCs/>
                <w:sz w:val="20"/>
                <w:lang w:val="en-US" w:eastAsia="en-US"/>
              </w:rPr>
              <w:t>39.8</w:t>
            </w:r>
          </w:p>
        </w:tc>
      </w:tr>
    </w:tbl>
    <w:p w:rsidR="00C135D7" w:rsidRDefault="00C135D7" w:rsidP="00091948">
      <w:pPr>
        <w:pStyle w:val="Paragrafi0"/>
      </w:pPr>
    </w:p>
    <w:p w:rsidR="00C135D7" w:rsidRDefault="00C135D7"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91948" w:rsidRDefault="00091948" w:rsidP="00091948">
      <w:pPr>
        <w:pStyle w:val="Paragrafi0"/>
      </w:pPr>
    </w:p>
    <w:p w:rsidR="0001438C" w:rsidRDefault="0001438C" w:rsidP="00091948">
      <w:pPr>
        <w:pStyle w:val="Paragrafi0"/>
        <w:sectPr w:rsidR="0001438C" w:rsidSect="000E46C8">
          <w:footnotePr>
            <w:numRestart w:val="eachPage"/>
          </w:footnotePr>
          <w:pgSz w:w="16838" w:h="11906" w:orient="landscape" w:code="9"/>
          <w:pgMar w:top="1418" w:right="1418" w:bottom="1418" w:left="1418" w:header="1304" w:footer="1134" w:gutter="0"/>
          <w:pgNumType w:start="6889"/>
          <w:cols w:space="720"/>
          <w:docGrid w:linePitch="78"/>
        </w:sectPr>
      </w:pPr>
    </w:p>
    <w:p w:rsidR="0001438C" w:rsidRPr="00A95903" w:rsidRDefault="0001438C" w:rsidP="00CF13BE">
      <w:pPr>
        <w:pStyle w:val="Akti"/>
        <w:rPr>
          <w:sz w:val="21"/>
          <w:szCs w:val="21"/>
        </w:rPr>
      </w:pPr>
      <w:r w:rsidRPr="00A95903">
        <w:rPr>
          <w:sz w:val="21"/>
          <w:szCs w:val="21"/>
        </w:rPr>
        <w:t>LIGJ</w:t>
      </w:r>
    </w:p>
    <w:p w:rsidR="0001438C" w:rsidRPr="00A95903" w:rsidRDefault="0001438C" w:rsidP="00CF13BE">
      <w:pPr>
        <w:pStyle w:val="NumriData"/>
        <w:rPr>
          <w:sz w:val="21"/>
          <w:szCs w:val="21"/>
        </w:rPr>
      </w:pPr>
      <w:r w:rsidRPr="00A95903">
        <w:rPr>
          <w:sz w:val="21"/>
          <w:szCs w:val="21"/>
        </w:rPr>
        <w:t>Nr.10 168, datë  22.10.2009</w:t>
      </w:r>
    </w:p>
    <w:p w:rsidR="0001438C" w:rsidRPr="00A95903" w:rsidRDefault="0001438C" w:rsidP="0001438C">
      <w:pPr>
        <w:pStyle w:val="Paragrafi0"/>
        <w:rPr>
          <w:sz w:val="21"/>
          <w:szCs w:val="21"/>
        </w:rPr>
      </w:pPr>
    </w:p>
    <w:p w:rsidR="0001438C" w:rsidRPr="00A95903" w:rsidRDefault="0001438C" w:rsidP="00CF13BE">
      <w:pPr>
        <w:pStyle w:val="Titulli0"/>
        <w:rPr>
          <w:sz w:val="21"/>
          <w:szCs w:val="21"/>
        </w:rPr>
      </w:pPr>
      <w:r w:rsidRPr="00A95903">
        <w:rPr>
          <w:sz w:val="21"/>
          <w:szCs w:val="21"/>
        </w:rPr>
        <w:t>PËR PËRCAKTIMIN E FORMËS DHE TË FORMULËS SË PRIVATIZIMIT TË INSIG, SHA-SË</w:t>
      </w:r>
    </w:p>
    <w:p w:rsidR="0001438C" w:rsidRPr="00A95903" w:rsidRDefault="0001438C" w:rsidP="0001438C">
      <w:pPr>
        <w:pStyle w:val="Paragrafi0"/>
        <w:ind w:firstLine="0"/>
        <w:rPr>
          <w:sz w:val="21"/>
          <w:szCs w:val="21"/>
        </w:rPr>
      </w:pPr>
    </w:p>
    <w:p w:rsidR="0001438C" w:rsidRPr="00A95903" w:rsidRDefault="0001438C" w:rsidP="0001438C">
      <w:pPr>
        <w:pStyle w:val="Paragrafi0"/>
        <w:rPr>
          <w:sz w:val="21"/>
          <w:szCs w:val="21"/>
        </w:rPr>
      </w:pPr>
      <w:r w:rsidRPr="00A95903">
        <w:rPr>
          <w:sz w:val="21"/>
          <w:szCs w:val="21"/>
        </w:rPr>
        <w:t xml:space="preserve">Në mbështetje të neneve 78 dhe 83 pika 1 të Kushtetutës, me propozimin e Këshillit të Ministrave, </w:t>
      </w:r>
    </w:p>
    <w:p w:rsidR="0001438C" w:rsidRPr="00A95903" w:rsidRDefault="0001438C" w:rsidP="0001438C">
      <w:pPr>
        <w:pStyle w:val="Paragrafi0"/>
        <w:rPr>
          <w:sz w:val="21"/>
          <w:szCs w:val="21"/>
        </w:rPr>
      </w:pPr>
    </w:p>
    <w:p w:rsidR="0001438C" w:rsidRPr="00A95903" w:rsidRDefault="0001438C" w:rsidP="00CF13BE">
      <w:pPr>
        <w:pStyle w:val="Institucioni"/>
        <w:rPr>
          <w:sz w:val="21"/>
          <w:szCs w:val="21"/>
        </w:rPr>
      </w:pPr>
      <w:r w:rsidRPr="00A95903">
        <w:rPr>
          <w:sz w:val="21"/>
          <w:szCs w:val="21"/>
        </w:rPr>
        <w:t>KUVENDI</w:t>
      </w:r>
    </w:p>
    <w:p w:rsidR="0001438C" w:rsidRPr="00A95903" w:rsidRDefault="0001438C" w:rsidP="00CF13BE">
      <w:pPr>
        <w:pStyle w:val="Institucioni"/>
        <w:rPr>
          <w:sz w:val="21"/>
          <w:szCs w:val="21"/>
        </w:rPr>
      </w:pPr>
      <w:r w:rsidRPr="00A95903">
        <w:rPr>
          <w:sz w:val="21"/>
          <w:szCs w:val="21"/>
        </w:rPr>
        <w:t>I REPUBLIKËS SË SHQIPËRISË</w:t>
      </w:r>
    </w:p>
    <w:p w:rsidR="0001438C" w:rsidRPr="00A95903" w:rsidRDefault="0001438C" w:rsidP="0001438C">
      <w:pPr>
        <w:pStyle w:val="Paragrafi0"/>
        <w:rPr>
          <w:sz w:val="21"/>
          <w:szCs w:val="21"/>
        </w:rPr>
      </w:pPr>
    </w:p>
    <w:p w:rsidR="0001438C" w:rsidRPr="00A95903" w:rsidRDefault="0001438C" w:rsidP="00CF13BE">
      <w:pPr>
        <w:pStyle w:val="VENDOSI0"/>
        <w:rPr>
          <w:sz w:val="21"/>
          <w:szCs w:val="21"/>
        </w:rPr>
      </w:pPr>
      <w:r w:rsidRPr="00A95903">
        <w:rPr>
          <w:sz w:val="21"/>
          <w:szCs w:val="21"/>
        </w:rPr>
        <w:t>VENDOSI:</w:t>
      </w:r>
    </w:p>
    <w:p w:rsidR="0001438C" w:rsidRPr="00A95903" w:rsidRDefault="0001438C" w:rsidP="0001438C">
      <w:pPr>
        <w:pStyle w:val="Paragrafi0"/>
        <w:rPr>
          <w:sz w:val="21"/>
          <w:szCs w:val="21"/>
        </w:rPr>
      </w:pPr>
    </w:p>
    <w:p w:rsidR="0001438C" w:rsidRPr="00A95903" w:rsidRDefault="0001438C" w:rsidP="00CF13BE">
      <w:pPr>
        <w:pStyle w:val="NeniNr"/>
        <w:rPr>
          <w:sz w:val="21"/>
          <w:szCs w:val="21"/>
        </w:rPr>
      </w:pPr>
      <w:r w:rsidRPr="00A95903">
        <w:rPr>
          <w:sz w:val="21"/>
          <w:szCs w:val="21"/>
        </w:rPr>
        <w:t xml:space="preserve">Neni 1 </w:t>
      </w:r>
    </w:p>
    <w:p w:rsidR="0001438C" w:rsidRPr="00A95903" w:rsidRDefault="0001438C" w:rsidP="00CF13BE">
      <w:pPr>
        <w:pStyle w:val="NeniTitull"/>
        <w:rPr>
          <w:sz w:val="21"/>
          <w:szCs w:val="21"/>
        </w:rPr>
      </w:pPr>
      <w:r w:rsidRPr="00A95903">
        <w:rPr>
          <w:sz w:val="21"/>
          <w:szCs w:val="21"/>
        </w:rPr>
        <w:t>Objekti</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Objekt i këtij ligji është përcaktimi i formës dhe i formulës së transferimit të aksioneve, që zotëron shteti shqiptar, në shoqërinë tregtare INSIG, sha dhe i të drejtave të lidhura me to.</w:t>
      </w:r>
    </w:p>
    <w:p w:rsidR="0001438C" w:rsidRPr="00A95903" w:rsidRDefault="0001438C" w:rsidP="0001438C">
      <w:pPr>
        <w:pStyle w:val="Paragrafi0"/>
        <w:rPr>
          <w:sz w:val="21"/>
          <w:szCs w:val="21"/>
        </w:rPr>
      </w:pPr>
    </w:p>
    <w:p w:rsidR="0001438C" w:rsidRPr="00A95903" w:rsidRDefault="0001438C" w:rsidP="00CF13BE">
      <w:pPr>
        <w:pStyle w:val="NeniNr"/>
        <w:rPr>
          <w:sz w:val="21"/>
          <w:szCs w:val="21"/>
        </w:rPr>
      </w:pPr>
      <w:r w:rsidRPr="00A95903">
        <w:rPr>
          <w:sz w:val="21"/>
          <w:szCs w:val="21"/>
        </w:rPr>
        <w:t xml:space="preserve">Neni 2 </w:t>
      </w:r>
    </w:p>
    <w:p w:rsidR="0001438C" w:rsidRPr="00A95903" w:rsidRDefault="0001438C" w:rsidP="00CF13BE">
      <w:pPr>
        <w:pStyle w:val="NeniTitull"/>
        <w:rPr>
          <w:sz w:val="21"/>
          <w:szCs w:val="21"/>
        </w:rPr>
      </w:pPr>
      <w:r w:rsidRPr="00A95903">
        <w:rPr>
          <w:sz w:val="21"/>
          <w:szCs w:val="21"/>
        </w:rPr>
        <w:t>Forma e privatizimit</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1. Forma e transferimit të 100 për qind të aksioneve të shoqërisë tregtare INSIG, sha-së, të cilat zotërohen nga shteti shqiptar, është transferimi me anë të shitjes, në favor të investitorëve, nëpërmjet procedurës “Tender i hapur ndërkombëtar”, sipas formulës së përcaktuar në nenin 3 të këtij ligji.</w:t>
      </w:r>
    </w:p>
    <w:p w:rsidR="0001438C" w:rsidRPr="00A95903" w:rsidRDefault="0001438C" w:rsidP="0001438C">
      <w:pPr>
        <w:pStyle w:val="Paragrafi0"/>
        <w:rPr>
          <w:sz w:val="21"/>
          <w:szCs w:val="21"/>
        </w:rPr>
      </w:pPr>
      <w:r w:rsidRPr="00A95903">
        <w:rPr>
          <w:sz w:val="21"/>
          <w:szCs w:val="21"/>
        </w:rPr>
        <w:t>2. “Investitor” është shoqëria e njohur në tregun kombëtar dhe ndërkombëtar të sigurimeve ose që ka partneritet me kompani që kanë përvojë në tregun e sigurimeve, që është e suksesshme në treg dhe është në gjendje të tregojë e të përmbushë kapacitetet e kërkuara për zhvillimin e INSIG, sha-së, duke kontribuar në zhvillimin e mëtejshëm të tregut të sigurimeve në Republikën e Shqipërisë.</w:t>
      </w:r>
    </w:p>
    <w:p w:rsidR="0001438C" w:rsidRPr="00A95903" w:rsidRDefault="0001438C" w:rsidP="0001438C">
      <w:pPr>
        <w:pStyle w:val="Paragrafi0"/>
        <w:rPr>
          <w:sz w:val="21"/>
          <w:szCs w:val="21"/>
        </w:rPr>
      </w:pPr>
      <w:r w:rsidRPr="00A95903">
        <w:rPr>
          <w:sz w:val="21"/>
          <w:szCs w:val="21"/>
        </w:rPr>
        <w:t>3. Kriteret e përzgjedhjes së investitorëve dhe kriteret e vlerësimit të ofertave për privatizimin e INSIG, sha-së përcaktohen me vendim të Këshillit të Ministrave.</w:t>
      </w:r>
    </w:p>
    <w:p w:rsidR="0001438C" w:rsidRPr="00A95903" w:rsidRDefault="0001438C" w:rsidP="0001438C">
      <w:pPr>
        <w:pStyle w:val="Paragrafi0"/>
        <w:rPr>
          <w:sz w:val="21"/>
          <w:szCs w:val="21"/>
        </w:rPr>
      </w:pPr>
      <w:r w:rsidRPr="00A95903">
        <w:rPr>
          <w:sz w:val="21"/>
          <w:szCs w:val="21"/>
        </w:rPr>
        <w:t xml:space="preserve"> </w:t>
      </w:r>
    </w:p>
    <w:p w:rsidR="0001438C" w:rsidRPr="00A95903" w:rsidRDefault="0001438C" w:rsidP="00CF13BE">
      <w:pPr>
        <w:pStyle w:val="NeniNr"/>
        <w:rPr>
          <w:sz w:val="21"/>
          <w:szCs w:val="21"/>
        </w:rPr>
      </w:pPr>
      <w:r w:rsidRPr="00A95903">
        <w:rPr>
          <w:sz w:val="21"/>
          <w:szCs w:val="21"/>
        </w:rPr>
        <w:t>Neni 3</w:t>
      </w:r>
    </w:p>
    <w:p w:rsidR="0001438C" w:rsidRPr="00A95903" w:rsidRDefault="0001438C" w:rsidP="00CF13BE">
      <w:pPr>
        <w:pStyle w:val="NeniTitull"/>
        <w:rPr>
          <w:sz w:val="21"/>
          <w:szCs w:val="21"/>
        </w:rPr>
      </w:pPr>
      <w:r w:rsidRPr="00A95903">
        <w:rPr>
          <w:sz w:val="21"/>
          <w:szCs w:val="21"/>
        </w:rPr>
        <w:t>Formula e privatizimit</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Struktura e formulës së privatizimit të INSIG, sha-së është që deri në 100 për qind të aksioneve t’u ofrohen për shitje investitorëve, të cilët përzgjidhen me tender të hapur ndërkombëtar, duke filluar nga data e hyrjes në fuqi të këtij ligji.</w:t>
      </w:r>
    </w:p>
    <w:p w:rsidR="0001438C" w:rsidRPr="00A95903" w:rsidRDefault="0001438C" w:rsidP="0001438C">
      <w:pPr>
        <w:pStyle w:val="Paragrafi0"/>
        <w:rPr>
          <w:sz w:val="21"/>
          <w:szCs w:val="21"/>
        </w:rPr>
      </w:pPr>
    </w:p>
    <w:p w:rsidR="0001438C" w:rsidRPr="00A95903" w:rsidRDefault="0001438C" w:rsidP="00CF13BE">
      <w:pPr>
        <w:pStyle w:val="NeniNr"/>
        <w:rPr>
          <w:sz w:val="21"/>
          <w:szCs w:val="21"/>
        </w:rPr>
      </w:pPr>
      <w:r w:rsidRPr="00A95903">
        <w:rPr>
          <w:sz w:val="21"/>
          <w:szCs w:val="21"/>
        </w:rPr>
        <w:t>Neni 4</w:t>
      </w:r>
    </w:p>
    <w:p w:rsidR="0001438C" w:rsidRPr="00A95903" w:rsidRDefault="0001438C" w:rsidP="00CF13BE">
      <w:pPr>
        <w:pStyle w:val="NeniTitull"/>
        <w:rPr>
          <w:sz w:val="21"/>
          <w:szCs w:val="21"/>
        </w:rPr>
      </w:pPr>
      <w:r w:rsidRPr="00A95903">
        <w:rPr>
          <w:sz w:val="21"/>
          <w:szCs w:val="21"/>
        </w:rPr>
        <w:t>Vlerësimi i çmimit dhe përzgjedhja e vlerësuesit</w:t>
      </w:r>
    </w:p>
    <w:p w:rsidR="0001438C" w:rsidRPr="00A95903" w:rsidRDefault="0001438C" w:rsidP="0001438C">
      <w:pPr>
        <w:pStyle w:val="Paragrafi0"/>
        <w:rPr>
          <w:sz w:val="21"/>
          <w:szCs w:val="21"/>
        </w:rPr>
      </w:pPr>
    </w:p>
    <w:p w:rsidR="00242D05" w:rsidRPr="00A95903" w:rsidRDefault="0001438C" w:rsidP="00A95903">
      <w:pPr>
        <w:pStyle w:val="Paragrafi0"/>
        <w:rPr>
          <w:sz w:val="21"/>
          <w:szCs w:val="21"/>
        </w:rPr>
      </w:pPr>
      <w:r w:rsidRPr="00A95903">
        <w:rPr>
          <w:sz w:val="21"/>
          <w:szCs w:val="21"/>
        </w:rPr>
        <w:t>1. Vlera e të drejtave, që lidhen me aksionet e shtetit në INSIG, sha-në, me të cilën do të fillojnë negociatat për shitjen, është vlera e miratuar me vendimin nr.1578, datë 4.12.2008 të Këshillit të Ministrave “Për miratimin e vlerës së të drejtave, që lidhen me aksionet e shtetit në INSIG, sha-në, me të cilën do të fillojnë negociatat për shitjen e tyre”.</w:t>
      </w:r>
    </w:p>
    <w:p w:rsidR="0001438C" w:rsidRPr="00A95903" w:rsidRDefault="0001438C" w:rsidP="0001438C">
      <w:pPr>
        <w:pStyle w:val="Paragrafi0"/>
        <w:rPr>
          <w:sz w:val="21"/>
          <w:szCs w:val="21"/>
        </w:rPr>
      </w:pPr>
      <w:r w:rsidRPr="00A95903">
        <w:rPr>
          <w:sz w:val="21"/>
          <w:szCs w:val="21"/>
        </w:rPr>
        <w:t>2. Nëse blerësit e mundshëm ofrojnë çmime blerjeje nën vlerën mesatare, negociohet me ofertuesit për rritjen e çmimit të ofruar. Kriteri i përzgjedhjes së blerësit/blerësve do të jetë çmimi, i cili:</w:t>
      </w:r>
    </w:p>
    <w:p w:rsidR="0001438C" w:rsidRPr="00A95903" w:rsidRDefault="0001438C" w:rsidP="0001438C">
      <w:pPr>
        <w:pStyle w:val="Paragrafi0"/>
        <w:rPr>
          <w:sz w:val="21"/>
          <w:szCs w:val="21"/>
        </w:rPr>
      </w:pPr>
      <w:r w:rsidRPr="00A95903">
        <w:rPr>
          <w:sz w:val="21"/>
          <w:szCs w:val="21"/>
        </w:rPr>
        <w:t>a) nuk mund të jetë më i ulët se vlera mesatare, e përcaktuar në raportin e vlerësuesit ndërkombëtar;</w:t>
      </w:r>
    </w:p>
    <w:p w:rsidR="0001438C" w:rsidRPr="00A95903" w:rsidRDefault="0001438C" w:rsidP="0001438C">
      <w:pPr>
        <w:pStyle w:val="Paragrafi0"/>
        <w:rPr>
          <w:sz w:val="21"/>
          <w:szCs w:val="21"/>
        </w:rPr>
      </w:pPr>
      <w:r w:rsidRPr="00A95903">
        <w:rPr>
          <w:sz w:val="21"/>
          <w:szCs w:val="21"/>
        </w:rPr>
        <w:t>b) duhet të jetë më i lartë nga ai i ofruar nga blerësit e kualifikuar në fazat e mëparshme të procesit të tenderit të hapur ndërkombëtar.</w:t>
      </w:r>
    </w:p>
    <w:p w:rsidR="0001438C" w:rsidRPr="00A95903" w:rsidRDefault="0001438C" w:rsidP="0001438C">
      <w:pPr>
        <w:pStyle w:val="Paragrafi0"/>
        <w:rPr>
          <w:sz w:val="21"/>
          <w:szCs w:val="21"/>
        </w:rPr>
      </w:pPr>
      <w:r w:rsidRPr="00A95903">
        <w:rPr>
          <w:sz w:val="21"/>
          <w:szCs w:val="21"/>
        </w:rPr>
        <w:t>3. Projektmarrëveshja miratohet në Këshillin e Ministrave. Marrëveshja e shitjes së aksioneve të INSIG, sha-së nënshkruhet nga Ministri i Financave dhe përfaqësuesi i blerësit.</w:t>
      </w:r>
    </w:p>
    <w:p w:rsidR="0001438C" w:rsidRPr="00A95903" w:rsidRDefault="0001438C" w:rsidP="0001438C">
      <w:pPr>
        <w:pStyle w:val="Paragrafi0"/>
        <w:rPr>
          <w:sz w:val="21"/>
          <w:szCs w:val="21"/>
        </w:rPr>
      </w:pPr>
    </w:p>
    <w:p w:rsidR="0001438C" w:rsidRPr="00A95903" w:rsidRDefault="0001438C" w:rsidP="00CF13BE">
      <w:pPr>
        <w:pStyle w:val="NeniNr"/>
        <w:rPr>
          <w:sz w:val="21"/>
          <w:szCs w:val="21"/>
        </w:rPr>
      </w:pPr>
      <w:r w:rsidRPr="00A95903">
        <w:rPr>
          <w:sz w:val="21"/>
          <w:szCs w:val="21"/>
        </w:rPr>
        <w:t xml:space="preserve">Neni 5 </w:t>
      </w:r>
    </w:p>
    <w:p w:rsidR="0001438C" w:rsidRPr="00A95903" w:rsidRDefault="0001438C" w:rsidP="00CF13BE">
      <w:pPr>
        <w:pStyle w:val="NeniTitull"/>
        <w:rPr>
          <w:sz w:val="21"/>
          <w:szCs w:val="21"/>
        </w:rPr>
      </w:pPr>
      <w:r w:rsidRPr="00A95903">
        <w:rPr>
          <w:sz w:val="21"/>
          <w:szCs w:val="21"/>
        </w:rPr>
        <w:t>Kostoja e privatizimit</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1. Shpenzimet e lidhura me pagesën e këshilltarit të privatizimit dhe ato të lidhura me suksesin e privatizimit përballohen nga arkëtimet, prej shitjes së aksioneve të INSIG, sha-së.</w:t>
      </w:r>
    </w:p>
    <w:p w:rsidR="0001438C" w:rsidRPr="00A95903" w:rsidRDefault="0001438C" w:rsidP="0001438C">
      <w:pPr>
        <w:pStyle w:val="Paragrafi0"/>
        <w:rPr>
          <w:sz w:val="21"/>
          <w:szCs w:val="21"/>
        </w:rPr>
      </w:pPr>
      <w:r w:rsidRPr="00A95903">
        <w:rPr>
          <w:sz w:val="21"/>
          <w:szCs w:val="21"/>
        </w:rPr>
        <w:t>2. Shpenzimet e tjera, të nevojshme gjatë fazës së parë, përpara transferimit të aksioneve   në   favor   të   blerësit/blerësve,   përballohen   si   pjesë   e   kostos operacionale të INSIG, sha-së.</w:t>
      </w:r>
    </w:p>
    <w:p w:rsidR="0001438C" w:rsidRPr="00A95903" w:rsidRDefault="0001438C" w:rsidP="0001438C">
      <w:pPr>
        <w:pStyle w:val="Paragrafi0"/>
        <w:rPr>
          <w:sz w:val="21"/>
          <w:szCs w:val="21"/>
        </w:rPr>
      </w:pPr>
    </w:p>
    <w:p w:rsidR="0001438C" w:rsidRPr="00A95903" w:rsidRDefault="0001438C" w:rsidP="00CF13BE">
      <w:pPr>
        <w:pStyle w:val="NeniNr"/>
        <w:rPr>
          <w:sz w:val="21"/>
          <w:szCs w:val="21"/>
        </w:rPr>
      </w:pPr>
      <w:r w:rsidRPr="00A95903">
        <w:rPr>
          <w:sz w:val="21"/>
          <w:szCs w:val="21"/>
        </w:rPr>
        <w:t xml:space="preserve">Neni 6 </w:t>
      </w:r>
    </w:p>
    <w:p w:rsidR="0001438C" w:rsidRPr="00A95903" w:rsidRDefault="0001438C" w:rsidP="00CF13BE">
      <w:pPr>
        <w:pStyle w:val="NeniTitull"/>
        <w:rPr>
          <w:sz w:val="21"/>
          <w:szCs w:val="21"/>
        </w:rPr>
      </w:pPr>
      <w:r w:rsidRPr="00A95903">
        <w:rPr>
          <w:sz w:val="21"/>
          <w:szCs w:val="21"/>
        </w:rPr>
        <w:t>Monedha e pagesës</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Transferimi i aksioneve në favor të investitorëve të përzgjedhur, sipas këtij ligji, bëhet në një monedhë të huaj, sipas përcaktimit të bërë nga Ministri i Financave.</w:t>
      </w:r>
    </w:p>
    <w:p w:rsidR="0001438C" w:rsidRPr="00A95903" w:rsidRDefault="0001438C" w:rsidP="0001438C">
      <w:pPr>
        <w:pStyle w:val="Paragrafi0"/>
        <w:rPr>
          <w:sz w:val="21"/>
          <w:szCs w:val="21"/>
        </w:rPr>
      </w:pPr>
    </w:p>
    <w:p w:rsidR="0001438C" w:rsidRPr="00A95903" w:rsidRDefault="0001438C" w:rsidP="00CF13BE">
      <w:pPr>
        <w:pStyle w:val="NeniNr"/>
        <w:rPr>
          <w:sz w:val="21"/>
          <w:szCs w:val="21"/>
        </w:rPr>
      </w:pPr>
      <w:r w:rsidRPr="00A95903">
        <w:rPr>
          <w:sz w:val="21"/>
          <w:szCs w:val="21"/>
        </w:rPr>
        <w:t>Neni 7</w:t>
      </w:r>
    </w:p>
    <w:p w:rsidR="0001438C" w:rsidRPr="00A95903" w:rsidRDefault="0001438C" w:rsidP="00CF13BE">
      <w:pPr>
        <w:pStyle w:val="NeniTitull"/>
        <w:rPr>
          <w:sz w:val="21"/>
          <w:szCs w:val="21"/>
        </w:rPr>
      </w:pPr>
      <w:r w:rsidRPr="00A95903">
        <w:rPr>
          <w:sz w:val="21"/>
          <w:szCs w:val="21"/>
        </w:rPr>
        <w:t>Aksionet e mbetura</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Kur edhe pas përzgjedhjes dhe transferimit të aksioneve, sipas këtij ligji, kanë mbetur aksione të pashitura, ato u shiten, me ofertë publike, subjekteve private shqiptare brenda tre vjetëve nga data e transferimit të kësaj pjese të aksioneve.</w:t>
      </w:r>
    </w:p>
    <w:p w:rsidR="0001438C" w:rsidRPr="00A95903" w:rsidRDefault="0001438C" w:rsidP="0001438C">
      <w:pPr>
        <w:pStyle w:val="Paragrafi0"/>
        <w:rPr>
          <w:sz w:val="21"/>
          <w:szCs w:val="21"/>
        </w:rPr>
      </w:pPr>
      <w:r w:rsidRPr="00A95903">
        <w:rPr>
          <w:sz w:val="21"/>
          <w:szCs w:val="21"/>
        </w:rPr>
        <w:t>Pagesa për shitjen e aksioneve subjekteve private shqiptare bëhet në monedhën vendase.</w:t>
      </w:r>
    </w:p>
    <w:p w:rsidR="0001438C" w:rsidRPr="00A95903" w:rsidRDefault="0001438C" w:rsidP="0001438C">
      <w:pPr>
        <w:pStyle w:val="Paragrafi0"/>
        <w:rPr>
          <w:sz w:val="21"/>
          <w:szCs w:val="21"/>
        </w:rPr>
      </w:pPr>
    </w:p>
    <w:p w:rsidR="0001438C" w:rsidRPr="00A95903" w:rsidRDefault="0001438C" w:rsidP="00CF13BE">
      <w:pPr>
        <w:pStyle w:val="NeniNr"/>
        <w:rPr>
          <w:sz w:val="21"/>
          <w:szCs w:val="21"/>
        </w:rPr>
      </w:pPr>
      <w:r w:rsidRPr="00A95903">
        <w:rPr>
          <w:sz w:val="21"/>
          <w:szCs w:val="21"/>
        </w:rPr>
        <w:t>Neni 8</w:t>
      </w:r>
    </w:p>
    <w:p w:rsidR="0001438C" w:rsidRPr="00A95903" w:rsidRDefault="0001438C" w:rsidP="00CF13BE">
      <w:pPr>
        <w:pStyle w:val="NeniTitull"/>
        <w:rPr>
          <w:sz w:val="21"/>
          <w:szCs w:val="21"/>
        </w:rPr>
      </w:pPr>
      <w:r w:rsidRPr="00A95903">
        <w:rPr>
          <w:sz w:val="21"/>
          <w:szCs w:val="21"/>
        </w:rPr>
        <w:t>Detyrimet e investitorëve</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1. Investitorët, pjesëmarrës në procesin e shitjes së aksioneve të INSIG, sha-së, duhet të respektojnë kërkesat e parashikuara nga legjislacioni në fuqi dhe, në mënyrë të veçantë, kërkesat e parashikuara nga legjislacioni tregtar dhe ai i sigurimeve në Republikën e Shqipërisë.</w:t>
      </w:r>
    </w:p>
    <w:p w:rsidR="0001438C" w:rsidRPr="00A95903" w:rsidRDefault="0001438C" w:rsidP="0001438C">
      <w:pPr>
        <w:pStyle w:val="Paragrafi0"/>
        <w:rPr>
          <w:sz w:val="21"/>
          <w:szCs w:val="21"/>
        </w:rPr>
      </w:pPr>
      <w:r w:rsidRPr="00A95903">
        <w:rPr>
          <w:sz w:val="21"/>
          <w:szCs w:val="21"/>
        </w:rPr>
        <w:t>2. Investitorët e përzgjedhur sipas këtij ligji, për zotërimin e aksioneve të INSIG, sha-së, duhet të bien dakord, paraprakisht, për të miratuar çdo ndryshim të nevojshëm në  statusin  e kësaj  shoqërie,  për nënshkrimin  e  aksioneve  të shoqërisë nga aksionerët e rinj, sipas legjislacionit në fuqi.</w:t>
      </w:r>
    </w:p>
    <w:p w:rsidR="0001438C" w:rsidRPr="00A95903" w:rsidRDefault="0001438C" w:rsidP="0001438C">
      <w:pPr>
        <w:pStyle w:val="Paragrafi0"/>
        <w:rPr>
          <w:sz w:val="21"/>
          <w:szCs w:val="21"/>
        </w:rPr>
      </w:pPr>
    </w:p>
    <w:p w:rsidR="0001438C" w:rsidRPr="00A95903" w:rsidRDefault="0001438C" w:rsidP="00CF13BE">
      <w:pPr>
        <w:pStyle w:val="NeniNr"/>
        <w:rPr>
          <w:sz w:val="21"/>
          <w:szCs w:val="21"/>
        </w:rPr>
      </w:pPr>
      <w:r w:rsidRPr="00A95903">
        <w:rPr>
          <w:sz w:val="21"/>
          <w:szCs w:val="21"/>
        </w:rPr>
        <w:t xml:space="preserve">Neni 9 </w:t>
      </w:r>
    </w:p>
    <w:p w:rsidR="0001438C" w:rsidRPr="00A95903" w:rsidRDefault="0001438C" w:rsidP="00CF13BE">
      <w:pPr>
        <w:pStyle w:val="NeniTitull"/>
        <w:rPr>
          <w:sz w:val="21"/>
          <w:szCs w:val="21"/>
        </w:rPr>
      </w:pPr>
      <w:r w:rsidRPr="00A95903">
        <w:rPr>
          <w:sz w:val="21"/>
          <w:szCs w:val="21"/>
        </w:rPr>
        <w:t>Zbatimi i privatizimit</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Ministria e Financave, në bashkëpunim me INSIG, sha-në, kryen procedurat e privatizimit të kësaj shoqërie, në përputhje me dispozitat e këtij ligji.</w:t>
      </w:r>
    </w:p>
    <w:p w:rsidR="0001438C" w:rsidRPr="00A95903" w:rsidRDefault="0001438C" w:rsidP="0001438C">
      <w:pPr>
        <w:pStyle w:val="Paragrafi0"/>
        <w:rPr>
          <w:sz w:val="21"/>
          <w:szCs w:val="21"/>
        </w:rPr>
      </w:pPr>
    </w:p>
    <w:p w:rsidR="0001438C" w:rsidRPr="00A95903" w:rsidRDefault="0001438C" w:rsidP="005D078D">
      <w:pPr>
        <w:pStyle w:val="NeniNr"/>
        <w:rPr>
          <w:sz w:val="21"/>
          <w:szCs w:val="21"/>
        </w:rPr>
      </w:pPr>
      <w:r w:rsidRPr="00A95903">
        <w:rPr>
          <w:sz w:val="21"/>
          <w:szCs w:val="21"/>
        </w:rPr>
        <w:t>Neni 10</w:t>
      </w:r>
    </w:p>
    <w:p w:rsidR="0001438C" w:rsidRPr="00A95903" w:rsidRDefault="0001438C" w:rsidP="005D078D">
      <w:pPr>
        <w:pStyle w:val="NeniTitull"/>
        <w:rPr>
          <w:sz w:val="21"/>
          <w:szCs w:val="21"/>
        </w:rPr>
      </w:pPr>
      <w:r w:rsidRPr="00A95903">
        <w:rPr>
          <w:sz w:val="21"/>
          <w:szCs w:val="21"/>
        </w:rPr>
        <w:t>Nxjerrja e akteve</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Ngarkohet Këshilli i Ministrave të nxjerrë aktet nënligjore në zbatim të këtij ligji.</w:t>
      </w:r>
    </w:p>
    <w:p w:rsidR="0001438C" w:rsidRPr="00A95903" w:rsidRDefault="0001438C" w:rsidP="005D078D">
      <w:pPr>
        <w:pStyle w:val="NeniNr"/>
        <w:rPr>
          <w:sz w:val="21"/>
          <w:szCs w:val="21"/>
        </w:rPr>
      </w:pPr>
      <w:r w:rsidRPr="00A95903">
        <w:rPr>
          <w:sz w:val="21"/>
          <w:szCs w:val="21"/>
        </w:rPr>
        <w:t>Neni 11</w:t>
      </w:r>
    </w:p>
    <w:p w:rsidR="0001438C" w:rsidRPr="00A95903" w:rsidRDefault="0001438C" w:rsidP="005D078D">
      <w:pPr>
        <w:pStyle w:val="NeniTitull"/>
        <w:rPr>
          <w:sz w:val="21"/>
          <w:szCs w:val="21"/>
        </w:rPr>
      </w:pPr>
      <w:r w:rsidRPr="00A95903">
        <w:rPr>
          <w:sz w:val="21"/>
          <w:szCs w:val="21"/>
        </w:rPr>
        <w:t>Shfuqizime</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Ligji nr.9649, datë 27.11.2006 “Për përcaktimin e formës dhe të formulës së privatizimit të INSIG, sha-së”, i ndryshuar, shfuqizohet.</w:t>
      </w:r>
    </w:p>
    <w:p w:rsidR="0001438C" w:rsidRPr="00A95903" w:rsidRDefault="0001438C" w:rsidP="0001438C">
      <w:pPr>
        <w:pStyle w:val="Paragrafi0"/>
        <w:rPr>
          <w:sz w:val="21"/>
          <w:szCs w:val="21"/>
        </w:rPr>
      </w:pPr>
    </w:p>
    <w:p w:rsidR="0001438C" w:rsidRPr="00A95903" w:rsidRDefault="0001438C" w:rsidP="005D078D">
      <w:pPr>
        <w:pStyle w:val="NeniNr"/>
        <w:rPr>
          <w:sz w:val="21"/>
          <w:szCs w:val="21"/>
        </w:rPr>
      </w:pPr>
      <w:r w:rsidRPr="00A95903">
        <w:rPr>
          <w:sz w:val="21"/>
          <w:szCs w:val="21"/>
        </w:rPr>
        <w:t>Neni 12</w:t>
      </w:r>
    </w:p>
    <w:p w:rsidR="0001438C" w:rsidRPr="00A95903" w:rsidRDefault="0001438C" w:rsidP="005D078D">
      <w:pPr>
        <w:pStyle w:val="NeniTitull"/>
        <w:rPr>
          <w:sz w:val="21"/>
          <w:szCs w:val="21"/>
        </w:rPr>
      </w:pPr>
      <w:r w:rsidRPr="00A95903">
        <w:rPr>
          <w:sz w:val="21"/>
          <w:szCs w:val="21"/>
        </w:rPr>
        <w:t>Hyrja në fuqi</w:t>
      </w:r>
    </w:p>
    <w:p w:rsidR="0001438C" w:rsidRPr="00A95903" w:rsidRDefault="0001438C" w:rsidP="0001438C">
      <w:pPr>
        <w:pStyle w:val="Paragrafi0"/>
        <w:rPr>
          <w:sz w:val="21"/>
          <w:szCs w:val="21"/>
        </w:rPr>
      </w:pPr>
    </w:p>
    <w:p w:rsidR="0001438C" w:rsidRPr="00A95903" w:rsidRDefault="0001438C" w:rsidP="0001438C">
      <w:pPr>
        <w:pStyle w:val="Paragrafi0"/>
        <w:rPr>
          <w:sz w:val="21"/>
          <w:szCs w:val="21"/>
        </w:rPr>
      </w:pPr>
      <w:r w:rsidRPr="00A95903">
        <w:rPr>
          <w:sz w:val="21"/>
          <w:szCs w:val="21"/>
        </w:rPr>
        <w:t>Ky ligj hyn në fuqi 15 ditë pas botimit në Fletoren Zyrtare.</w:t>
      </w:r>
    </w:p>
    <w:p w:rsidR="0001438C" w:rsidRPr="00A95903" w:rsidRDefault="0001438C" w:rsidP="0001438C">
      <w:pPr>
        <w:pStyle w:val="Paragrafi0"/>
        <w:rPr>
          <w:sz w:val="21"/>
          <w:szCs w:val="21"/>
        </w:rPr>
      </w:pPr>
    </w:p>
    <w:p w:rsidR="00B27B72" w:rsidRPr="00753ECC" w:rsidRDefault="00B27B72" w:rsidP="00B27B72">
      <w:pPr>
        <w:pStyle w:val="Paragrafi0"/>
        <w:ind w:firstLine="0"/>
        <w:rPr>
          <w:b/>
          <w:sz w:val="23"/>
          <w:szCs w:val="23"/>
        </w:rPr>
      </w:pPr>
      <w:r w:rsidRPr="00753ECC">
        <w:rPr>
          <w:b/>
          <w:sz w:val="23"/>
          <w:szCs w:val="23"/>
        </w:rPr>
        <w:t xml:space="preserve">Shpallur me dekretin nr.6319, datë 5.11.2009 të Presidentit të Republikës së Shqipërisë, </w:t>
      </w:r>
    </w:p>
    <w:p w:rsidR="00B27B72" w:rsidRPr="00753ECC" w:rsidRDefault="00B27B72" w:rsidP="00B27B72">
      <w:pPr>
        <w:pStyle w:val="Paragrafi0"/>
        <w:ind w:firstLine="0"/>
        <w:rPr>
          <w:b/>
          <w:sz w:val="23"/>
          <w:szCs w:val="23"/>
        </w:rPr>
      </w:pPr>
      <w:r w:rsidRPr="00753ECC">
        <w:rPr>
          <w:b/>
          <w:sz w:val="23"/>
          <w:szCs w:val="23"/>
        </w:rPr>
        <w:t>Bamir Topi</w:t>
      </w:r>
    </w:p>
    <w:p w:rsidR="005029A7" w:rsidRPr="00A95903" w:rsidRDefault="005029A7" w:rsidP="005D078D">
      <w:pPr>
        <w:pStyle w:val="Akti"/>
        <w:rPr>
          <w:sz w:val="21"/>
          <w:szCs w:val="21"/>
        </w:rPr>
      </w:pPr>
      <w:r w:rsidRPr="00A95903">
        <w:rPr>
          <w:sz w:val="21"/>
          <w:szCs w:val="21"/>
        </w:rPr>
        <w:t>LIGJ</w:t>
      </w:r>
    </w:p>
    <w:p w:rsidR="005029A7" w:rsidRPr="00A95903" w:rsidRDefault="005029A7" w:rsidP="005D078D">
      <w:pPr>
        <w:pStyle w:val="NumriData"/>
        <w:rPr>
          <w:sz w:val="21"/>
          <w:szCs w:val="21"/>
        </w:rPr>
      </w:pPr>
      <w:r w:rsidRPr="00A95903">
        <w:rPr>
          <w:sz w:val="21"/>
          <w:szCs w:val="21"/>
        </w:rPr>
        <w:t>Nr.10 170, datë 22.10.2009</w:t>
      </w:r>
    </w:p>
    <w:p w:rsidR="005029A7" w:rsidRPr="00A95903" w:rsidRDefault="005029A7" w:rsidP="005029A7">
      <w:pPr>
        <w:pStyle w:val="Paragrafi0"/>
        <w:rPr>
          <w:sz w:val="21"/>
          <w:szCs w:val="21"/>
        </w:rPr>
      </w:pPr>
    </w:p>
    <w:p w:rsidR="005029A7" w:rsidRPr="00A95903" w:rsidRDefault="005029A7" w:rsidP="005D078D">
      <w:pPr>
        <w:pStyle w:val="Titulli0"/>
        <w:rPr>
          <w:sz w:val="21"/>
          <w:szCs w:val="21"/>
        </w:rPr>
      </w:pPr>
      <w:r w:rsidRPr="00A95903">
        <w:rPr>
          <w:sz w:val="21"/>
          <w:szCs w:val="21"/>
        </w:rPr>
        <w:t>Për disa SHTESA DHE ndryshime në ligjin nr.9643,</w:t>
      </w:r>
      <w:r w:rsidR="0077285A" w:rsidRPr="00A95903">
        <w:rPr>
          <w:sz w:val="21"/>
          <w:szCs w:val="21"/>
        </w:rPr>
        <w:t xml:space="preserve"> </w:t>
      </w:r>
      <w:r w:rsidRPr="00A95903">
        <w:rPr>
          <w:sz w:val="21"/>
          <w:szCs w:val="21"/>
        </w:rPr>
        <w:t>datë 20.11.2006 “Për prokurimin publik” , TË ndryshuar</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Në mbështetje të neneve 78 dhe 83 pika 1 të Kushtetutës, me propozimin e Këshillit të Ministrave, </w:t>
      </w:r>
    </w:p>
    <w:p w:rsidR="005029A7" w:rsidRPr="00A95903" w:rsidRDefault="005029A7" w:rsidP="005029A7">
      <w:pPr>
        <w:pStyle w:val="Paragrafi0"/>
        <w:rPr>
          <w:sz w:val="21"/>
          <w:szCs w:val="21"/>
        </w:rPr>
      </w:pPr>
    </w:p>
    <w:p w:rsidR="005029A7" w:rsidRPr="00A95903" w:rsidRDefault="005029A7" w:rsidP="005D078D">
      <w:pPr>
        <w:pStyle w:val="Institucioni"/>
        <w:rPr>
          <w:sz w:val="21"/>
          <w:szCs w:val="21"/>
        </w:rPr>
      </w:pPr>
      <w:r w:rsidRPr="00A95903">
        <w:rPr>
          <w:sz w:val="21"/>
          <w:szCs w:val="21"/>
        </w:rPr>
        <w:t xml:space="preserve">KUVENDI </w:t>
      </w:r>
    </w:p>
    <w:p w:rsidR="005029A7" w:rsidRPr="00A95903" w:rsidRDefault="005029A7" w:rsidP="005D078D">
      <w:pPr>
        <w:pStyle w:val="Institucioni"/>
        <w:rPr>
          <w:sz w:val="21"/>
          <w:szCs w:val="21"/>
        </w:rPr>
      </w:pPr>
      <w:r w:rsidRPr="00A95903">
        <w:rPr>
          <w:sz w:val="21"/>
          <w:szCs w:val="21"/>
        </w:rPr>
        <w:t>I REPUBLIKËS SË SHQIPËRISË</w:t>
      </w:r>
    </w:p>
    <w:p w:rsidR="005029A7" w:rsidRPr="00A95903" w:rsidRDefault="005029A7" w:rsidP="005029A7">
      <w:pPr>
        <w:pStyle w:val="Paragrafi0"/>
        <w:rPr>
          <w:sz w:val="21"/>
          <w:szCs w:val="21"/>
        </w:rPr>
      </w:pPr>
    </w:p>
    <w:p w:rsidR="005029A7" w:rsidRPr="00A95903" w:rsidRDefault="005029A7" w:rsidP="005D078D">
      <w:pPr>
        <w:pStyle w:val="VENDOSI0"/>
        <w:rPr>
          <w:sz w:val="21"/>
          <w:szCs w:val="21"/>
        </w:rPr>
      </w:pPr>
      <w:r w:rsidRPr="00A95903">
        <w:rPr>
          <w:sz w:val="21"/>
          <w:szCs w:val="21"/>
        </w:rPr>
        <w:t>VENDOSI:</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ligjin nr.9643, datë 20.11.2006 “Për prokurimin publik” , të ndryshuar, bëhen shtesat dhe ndryshimet e mëposhtme:</w:t>
      </w:r>
    </w:p>
    <w:p w:rsidR="005029A7" w:rsidRPr="00A95903" w:rsidRDefault="005029A7" w:rsidP="005029A7">
      <w:pPr>
        <w:pStyle w:val="Paragrafi0"/>
        <w:rPr>
          <w:sz w:val="21"/>
          <w:szCs w:val="21"/>
        </w:rPr>
      </w:pPr>
    </w:p>
    <w:p w:rsidR="005029A7" w:rsidRPr="00A95903" w:rsidRDefault="005029A7" w:rsidP="005D078D">
      <w:pPr>
        <w:pStyle w:val="NeniNr"/>
        <w:rPr>
          <w:sz w:val="21"/>
          <w:szCs w:val="21"/>
        </w:rPr>
      </w:pPr>
      <w:r w:rsidRPr="00A95903">
        <w:rPr>
          <w:sz w:val="21"/>
          <w:szCs w:val="21"/>
        </w:rPr>
        <w:t>Neni 1</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3 “Përkufizime” bëhen këto shtesa dhe ndryshime:</w:t>
      </w:r>
    </w:p>
    <w:p w:rsidR="005029A7" w:rsidRPr="00A95903" w:rsidRDefault="005029A7" w:rsidP="005029A7">
      <w:pPr>
        <w:pStyle w:val="Paragrafi0"/>
        <w:rPr>
          <w:sz w:val="21"/>
          <w:szCs w:val="21"/>
        </w:rPr>
      </w:pPr>
      <w:r w:rsidRPr="00A95903">
        <w:rPr>
          <w:sz w:val="21"/>
          <w:szCs w:val="21"/>
        </w:rPr>
        <w:t>1. Pas pikës 2 shtohet pika 2/1 me këtë përmbajtje:</w:t>
      </w:r>
    </w:p>
    <w:p w:rsidR="005029A7" w:rsidRPr="00A95903" w:rsidRDefault="005029A7" w:rsidP="005029A7">
      <w:pPr>
        <w:pStyle w:val="Paragrafi0"/>
        <w:rPr>
          <w:sz w:val="21"/>
          <w:szCs w:val="21"/>
        </w:rPr>
      </w:pPr>
      <w:r w:rsidRPr="00A95903">
        <w:rPr>
          <w:sz w:val="21"/>
          <w:szCs w:val="21"/>
        </w:rPr>
        <w:t>“2/1. Kontratat sektoriale janë kontrata publike, të lidhura nga autoritetet kontraktore, që veprojnë në sektorët e shërbimit ujor, energjetik, të transportit dhe atij postar, ndërmjet një apo më shumë operatorëve ekonomikë, që kanë si qëllim kryerjen e veprimtarive, të përcaktuara në nenin 58/1 të këtij ligji.”.</w:t>
      </w:r>
    </w:p>
    <w:p w:rsidR="005029A7" w:rsidRPr="00A95903" w:rsidRDefault="005029A7" w:rsidP="005029A7">
      <w:pPr>
        <w:pStyle w:val="Paragrafi0"/>
        <w:rPr>
          <w:sz w:val="21"/>
          <w:szCs w:val="21"/>
        </w:rPr>
      </w:pPr>
      <w:r w:rsidRPr="00A95903">
        <w:rPr>
          <w:sz w:val="21"/>
          <w:szCs w:val="21"/>
        </w:rPr>
        <w:t>2. Pika 8/1 ndryshohet si me poshtë:</w:t>
      </w:r>
    </w:p>
    <w:p w:rsidR="005029A7" w:rsidRPr="00A95903" w:rsidRDefault="005029A7" w:rsidP="005029A7">
      <w:pPr>
        <w:pStyle w:val="Paragrafi0"/>
        <w:rPr>
          <w:sz w:val="21"/>
          <w:szCs w:val="21"/>
        </w:rPr>
      </w:pPr>
      <w:r w:rsidRPr="00A95903">
        <w:rPr>
          <w:sz w:val="21"/>
          <w:szCs w:val="21"/>
        </w:rPr>
        <w:t>“8/1. “Marrëveshje kuadër” quhet një marrëveshje ndërmjet një apo më shumë autoriteteve kontraktore dhe një a më shumë operatorëve ekonomikë, qëllimi i së cilës është të vendosë kushtet e kontratave, që do të prokurohen gjatë një periudhe të caktuar kohore, veçanërisht ato që kanë lidhje me çmimin dhe, aty ku është e përshtatshme, me sasitë e parashikuara.”.</w:t>
      </w:r>
    </w:p>
    <w:p w:rsidR="005029A7" w:rsidRPr="00A95903" w:rsidRDefault="005029A7" w:rsidP="005029A7">
      <w:pPr>
        <w:pStyle w:val="Paragrafi0"/>
        <w:rPr>
          <w:sz w:val="21"/>
          <w:szCs w:val="21"/>
        </w:rPr>
      </w:pPr>
      <w:r w:rsidRPr="00A95903">
        <w:rPr>
          <w:sz w:val="21"/>
          <w:szCs w:val="21"/>
        </w:rPr>
        <w:t xml:space="preserve">3. Në pikën 14, shkronja “ç” shfuqizohet. </w:t>
      </w:r>
    </w:p>
    <w:p w:rsidR="005029A7" w:rsidRPr="00A95903" w:rsidRDefault="005029A7" w:rsidP="005029A7">
      <w:pPr>
        <w:pStyle w:val="Paragrafi0"/>
        <w:rPr>
          <w:sz w:val="21"/>
          <w:szCs w:val="21"/>
        </w:rPr>
      </w:pPr>
      <w:r w:rsidRPr="00A95903">
        <w:rPr>
          <w:sz w:val="21"/>
          <w:szCs w:val="21"/>
        </w:rPr>
        <w:t xml:space="preserve">4. Pas pikës 14 shtohet pika 14/1 me këtë përmbajtje: </w:t>
      </w:r>
    </w:p>
    <w:p w:rsidR="005029A7" w:rsidRPr="00A95903" w:rsidRDefault="005029A7" w:rsidP="005029A7">
      <w:pPr>
        <w:pStyle w:val="Paragrafi0"/>
        <w:rPr>
          <w:sz w:val="21"/>
          <w:szCs w:val="21"/>
        </w:rPr>
      </w:pPr>
      <w:r w:rsidRPr="00A95903">
        <w:rPr>
          <w:sz w:val="21"/>
          <w:szCs w:val="21"/>
        </w:rPr>
        <w:t xml:space="preserve">“14/1. “Autoritet kontraktor” është edhe: </w:t>
      </w:r>
    </w:p>
    <w:p w:rsidR="005029A7" w:rsidRPr="00A95903" w:rsidRDefault="005029A7" w:rsidP="00A95903">
      <w:pPr>
        <w:pStyle w:val="Paragrafi0"/>
        <w:rPr>
          <w:sz w:val="21"/>
          <w:szCs w:val="21"/>
        </w:rPr>
      </w:pPr>
      <w:r w:rsidRPr="00A95903">
        <w:rPr>
          <w:sz w:val="21"/>
          <w:szCs w:val="21"/>
        </w:rPr>
        <w:t>a) çdo autoritet kontraktor, siç është përcaktuar në pikën 14, kur ai kryen secilën prej veprimtarive të parashikuara në nenin 58/1të këtij ligji;</w:t>
      </w:r>
    </w:p>
    <w:p w:rsidR="005029A7" w:rsidRPr="00A95903" w:rsidRDefault="005029A7" w:rsidP="005029A7">
      <w:pPr>
        <w:pStyle w:val="Paragrafi0"/>
        <w:rPr>
          <w:sz w:val="21"/>
          <w:szCs w:val="21"/>
        </w:rPr>
      </w:pPr>
      <w:r w:rsidRPr="00A95903">
        <w:rPr>
          <w:sz w:val="21"/>
          <w:szCs w:val="21"/>
        </w:rPr>
        <w:t>b) sipërmarrja publike, nëse kontrata shpallet fituese për qëllime të ushtrimit të secilës prej veprimtarive të parashikuara në nenin 58/1 të këtij ligji. Për qëllim të kësaj dispozite, “sipërmarrje publike” është çdo sipërmarrje, mbi të cilën autoritetet kontraktore, të parashikuara në pikën 14, mund të ushtrojnë, drejtpërdrejt apo tërthorazi, një ndikim dominues, për shkak të pronësisë që kanë mbi të, pjesëmarrjes së tyre financiare në të apo nëpërmjet rregullave që e qeverisin atë. Ndikim dominues vlerësohet kur autoritetet kontraktore, të renditura në pikën 14, drejtpërdrejt apo tërthorazi, në lidhje me një sipërmarrje:</w:t>
      </w:r>
    </w:p>
    <w:p w:rsidR="005029A7" w:rsidRPr="00A95903" w:rsidRDefault="005029A7" w:rsidP="005029A7">
      <w:pPr>
        <w:pStyle w:val="Paragrafi0"/>
        <w:rPr>
          <w:sz w:val="21"/>
          <w:szCs w:val="21"/>
        </w:rPr>
      </w:pPr>
      <w:r w:rsidRPr="00A95903">
        <w:rPr>
          <w:sz w:val="21"/>
          <w:szCs w:val="21"/>
        </w:rPr>
        <w:t xml:space="preserve">i) kanë shumicën e kapitalit të nënshkruar të sipërmarrjes; ose </w:t>
      </w:r>
    </w:p>
    <w:p w:rsidR="005029A7" w:rsidRPr="00A95903" w:rsidRDefault="005029A7" w:rsidP="005029A7">
      <w:pPr>
        <w:pStyle w:val="Paragrafi0"/>
        <w:rPr>
          <w:sz w:val="21"/>
          <w:szCs w:val="21"/>
        </w:rPr>
      </w:pPr>
      <w:r w:rsidRPr="00A95903">
        <w:rPr>
          <w:sz w:val="21"/>
          <w:szCs w:val="21"/>
        </w:rPr>
        <w:t>ii) kontrollojnë shumicën e votave të lidhura me aksionet e lëshuara prej sipërmarrjes; ose</w:t>
      </w:r>
    </w:p>
    <w:p w:rsidR="005029A7" w:rsidRPr="00A95903" w:rsidRDefault="005029A7" w:rsidP="005029A7">
      <w:pPr>
        <w:pStyle w:val="Paragrafi0"/>
        <w:rPr>
          <w:sz w:val="21"/>
          <w:szCs w:val="21"/>
        </w:rPr>
      </w:pPr>
      <w:r w:rsidRPr="00A95903">
        <w:rPr>
          <w:sz w:val="21"/>
          <w:szCs w:val="21"/>
        </w:rPr>
        <w:t>iii) mund të emërojnë më tepër se gjysmën e trupit administrativ, menaxherial apo mbikëqyrës të sipërmarrjes;</w:t>
      </w:r>
    </w:p>
    <w:p w:rsidR="005029A7" w:rsidRPr="00A95903" w:rsidRDefault="005029A7" w:rsidP="005029A7">
      <w:pPr>
        <w:pStyle w:val="Paragrafi0"/>
        <w:rPr>
          <w:sz w:val="21"/>
          <w:szCs w:val="21"/>
        </w:rPr>
      </w:pPr>
      <w:r w:rsidRPr="00A95903">
        <w:rPr>
          <w:sz w:val="21"/>
          <w:szCs w:val="21"/>
        </w:rPr>
        <w:t xml:space="preserve">c) çdo ent tjetër, që nuk është përmendur në shkronjat “a” e “b” , kur kryen njërën prej veprimtarive të parashikuara në nenin 58/1 të këtij ligji ose kryen një kombinim të tyre, mbështetur në të drejtat e veçanta apo ekskluzive, të dhëna nga një autoritet përgjegjës.”. </w:t>
      </w:r>
    </w:p>
    <w:p w:rsidR="005029A7" w:rsidRPr="00A95903" w:rsidRDefault="005029A7" w:rsidP="005029A7">
      <w:pPr>
        <w:pStyle w:val="Paragrafi0"/>
        <w:rPr>
          <w:sz w:val="21"/>
          <w:szCs w:val="21"/>
        </w:rPr>
      </w:pPr>
      <w:r w:rsidRPr="00A95903">
        <w:rPr>
          <w:sz w:val="21"/>
          <w:szCs w:val="21"/>
        </w:rPr>
        <w:t>5. Pika 15 ndryshohet si më poshtë:</w:t>
      </w:r>
    </w:p>
    <w:p w:rsidR="005029A7" w:rsidRPr="00A95903" w:rsidRDefault="005029A7" w:rsidP="005029A7">
      <w:pPr>
        <w:pStyle w:val="Paragrafi0"/>
        <w:rPr>
          <w:sz w:val="21"/>
          <w:szCs w:val="21"/>
        </w:rPr>
      </w:pPr>
      <w:r w:rsidRPr="00A95903">
        <w:rPr>
          <w:sz w:val="21"/>
          <w:szCs w:val="21"/>
        </w:rPr>
        <w:t xml:space="preserve">“15. “Të drejta të veçanta apo ekskluzive” janë të drejtat e dhëna nga një autoritet përgjegjës i Republikës së Shqipërisë nëpërmjet dispozitave legjislative, rregullatore apo administrative, efekti i të cilave është të kufizojë ushtrimin e veprimtarive të parashikuara në nenin 58/1 të këtij ligji, për një apo më shumë ente, e që ndikojnë në mënyrë të ndjeshme në aftësinë e enteve të tjera për të kryer atë veprimtari.”. </w:t>
      </w:r>
    </w:p>
    <w:p w:rsidR="005029A7" w:rsidRPr="00A95903" w:rsidRDefault="005029A7" w:rsidP="005029A7">
      <w:pPr>
        <w:pStyle w:val="Paragrafi0"/>
        <w:rPr>
          <w:sz w:val="21"/>
          <w:szCs w:val="21"/>
        </w:rPr>
      </w:pPr>
      <w:r w:rsidRPr="00A95903">
        <w:rPr>
          <w:sz w:val="21"/>
          <w:szCs w:val="21"/>
        </w:rPr>
        <w:t>6. Pas pikës 28 shtohen pikat 29 e 30 me këtë përmbajtje:</w:t>
      </w:r>
    </w:p>
    <w:p w:rsidR="005029A7" w:rsidRPr="00A95903" w:rsidRDefault="005029A7" w:rsidP="005029A7">
      <w:pPr>
        <w:pStyle w:val="Paragrafi0"/>
        <w:rPr>
          <w:sz w:val="21"/>
          <w:szCs w:val="21"/>
        </w:rPr>
      </w:pPr>
      <w:r w:rsidRPr="00A95903">
        <w:rPr>
          <w:sz w:val="21"/>
          <w:szCs w:val="21"/>
        </w:rPr>
        <w:t>“29. “Shërbime postare” quhen ato shërbime, që kanë të bëjnë me zhdoganimin, klasifikimin, përcaktimin e itinerareve dhe dorëzimin e artikujve postarë.</w:t>
      </w:r>
    </w:p>
    <w:p w:rsidR="005029A7" w:rsidRPr="00A95903" w:rsidRDefault="005029A7" w:rsidP="005029A7">
      <w:pPr>
        <w:pStyle w:val="Paragrafi0"/>
        <w:rPr>
          <w:sz w:val="21"/>
          <w:szCs w:val="21"/>
        </w:rPr>
      </w:pPr>
      <w:r w:rsidRPr="00A95903">
        <w:rPr>
          <w:sz w:val="21"/>
          <w:szCs w:val="21"/>
        </w:rPr>
        <w:t>30. “Artikull postar” është çdo artikull i adresuar në formën e tij përfundimtare, në të cilën do të transportohet, pavarësisht peshës. Përveç artikujve të korrespondencës, artikuj të tillë përfshijnë, për shembull, edhe librat, katalogët, gazetat, periodikët dhe pakot postare, me mallra, me apo pa vlerë tregtare, pavarësisht peshës.”.</w:t>
      </w:r>
    </w:p>
    <w:p w:rsidR="005029A7" w:rsidRPr="00A95903" w:rsidRDefault="005029A7" w:rsidP="005029A7">
      <w:pPr>
        <w:pStyle w:val="Paragrafi0"/>
        <w:rPr>
          <w:sz w:val="21"/>
          <w:szCs w:val="21"/>
        </w:rPr>
      </w:pPr>
    </w:p>
    <w:p w:rsidR="005029A7" w:rsidRPr="00A95903" w:rsidRDefault="005029A7" w:rsidP="005D078D">
      <w:pPr>
        <w:pStyle w:val="NeniNr"/>
        <w:rPr>
          <w:sz w:val="21"/>
          <w:szCs w:val="21"/>
        </w:rPr>
      </w:pPr>
      <w:r w:rsidRPr="00A95903">
        <w:rPr>
          <w:sz w:val="21"/>
          <w:szCs w:val="21"/>
        </w:rPr>
        <w:t>Neni 2</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7 “Përjashtimet e veçanta”, shkronja “dh” ndryshohet si më poshtë:</w:t>
      </w:r>
    </w:p>
    <w:p w:rsidR="005029A7" w:rsidRPr="00A95903" w:rsidRDefault="005029A7" w:rsidP="005029A7">
      <w:pPr>
        <w:pStyle w:val="Paragrafi0"/>
        <w:rPr>
          <w:sz w:val="21"/>
          <w:szCs w:val="21"/>
        </w:rPr>
      </w:pPr>
      <w:r w:rsidRPr="00A95903">
        <w:rPr>
          <w:sz w:val="21"/>
          <w:szCs w:val="21"/>
        </w:rPr>
        <w:t xml:space="preserve">“dh) shërbimet e parashikuara në nenet 58/3, 58/4, 58/5, 58/6, 58/7 të kreut V/1 “Zhvillimi i procedurave për kontratat sektoriale.”. </w:t>
      </w:r>
    </w:p>
    <w:p w:rsidR="005029A7" w:rsidRPr="00A95903" w:rsidRDefault="005029A7" w:rsidP="005029A7">
      <w:pPr>
        <w:pStyle w:val="Paragrafi0"/>
        <w:rPr>
          <w:sz w:val="21"/>
          <w:szCs w:val="21"/>
        </w:rPr>
      </w:pPr>
    </w:p>
    <w:p w:rsidR="005029A7" w:rsidRPr="00A95903" w:rsidRDefault="005029A7" w:rsidP="005D078D">
      <w:pPr>
        <w:pStyle w:val="NeniNr"/>
        <w:rPr>
          <w:sz w:val="21"/>
          <w:szCs w:val="21"/>
        </w:rPr>
      </w:pPr>
      <w:r w:rsidRPr="00A95903">
        <w:rPr>
          <w:sz w:val="21"/>
          <w:szCs w:val="21"/>
        </w:rPr>
        <w:t>Neni 3</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Neni 11/1 “Marrëveshja publike kuadër” shfuqizohet.</w:t>
      </w:r>
    </w:p>
    <w:p w:rsidR="005029A7" w:rsidRPr="00A95903" w:rsidRDefault="005029A7" w:rsidP="005029A7">
      <w:pPr>
        <w:pStyle w:val="Paragrafi0"/>
        <w:rPr>
          <w:sz w:val="21"/>
          <w:szCs w:val="21"/>
        </w:rPr>
      </w:pPr>
    </w:p>
    <w:p w:rsidR="005029A7" w:rsidRPr="00A95903" w:rsidRDefault="005029A7" w:rsidP="005D078D">
      <w:pPr>
        <w:pStyle w:val="NeniNr"/>
        <w:rPr>
          <w:sz w:val="21"/>
          <w:szCs w:val="21"/>
        </w:rPr>
      </w:pPr>
      <w:r w:rsidRPr="00A95903">
        <w:rPr>
          <w:sz w:val="21"/>
          <w:szCs w:val="21"/>
        </w:rPr>
        <w:t>Neni 4</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12 “Përgjegjësia e autoritetit kontraktor”, pas pikës 3 shtohet pika 3/1 me këtë përmbajtje:</w:t>
      </w:r>
    </w:p>
    <w:p w:rsidR="005029A7" w:rsidRPr="00A95903" w:rsidRDefault="005029A7" w:rsidP="005029A7">
      <w:pPr>
        <w:pStyle w:val="Paragrafi0"/>
        <w:rPr>
          <w:sz w:val="21"/>
          <w:szCs w:val="21"/>
        </w:rPr>
      </w:pPr>
      <w:r w:rsidRPr="00A95903">
        <w:rPr>
          <w:sz w:val="21"/>
          <w:szCs w:val="21"/>
        </w:rPr>
        <w:t>“3/1. Në rastin e prokurimit elektronik, administrimi i të dhënave apo i procesverbaleve realizohet nga vetë sistemi, sipas përcaktimit në rregullat e prokurimit me mjete elektronike.”.</w:t>
      </w:r>
    </w:p>
    <w:p w:rsidR="005029A7" w:rsidRPr="00A95903" w:rsidRDefault="005029A7" w:rsidP="005029A7">
      <w:pPr>
        <w:pStyle w:val="Paragrafi0"/>
        <w:rPr>
          <w:sz w:val="21"/>
          <w:szCs w:val="21"/>
        </w:rPr>
      </w:pPr>
    </w:p>
    <w:p w:rsidR="005029A7" w:rsidRPr="00A95903" w:rsidRDefault="005029A7" w:rsidP="005D078D">
      <w:pPr>
        <w:pStyle w:val="NeniNr"/>
        <w:rPr>
          <w:sz w:val="21"/>
          <w:szCs w:val="21"/>
        </w:rPr>
      </w:pPr>
      <w:r w:rsidRPr="00A95903">
        <w:rPr>
          <w:sz w:val="21"/>
          <w:szCs w:val="21"/>
        </w:rPr>
        <w:t>Neni 5</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13 “Agjencia e Prokurimit Publik” bëhen shtesat dhe ndryshimet e mëposhtme:</w:t>
      </w:r>
    </w:p>
    <w:p w:rsidR="005029A7" w:rsidRPr="00A95903" w:rsidRDefault="00B125E5" w:rsidP="005029A7">
      <w:pPr>
        <w:pStyle w:val="Paragrafi0"/>
        <w:rPr>
          <w:sz w:val="21"/>
          <w:szCs w:val="21"/>
        </w:rPr>
      </w:pPr>
      <w:r w:rsidRPr="00A95903">
        <w:rPr>
          <w:sz w:val="21"/>
          <w:szCs w:val="21"/>
        </w:rPr>
        <w:t xml:space="preserve">1. </w:t>
      </w:r>
      <w:r w:rsidR="005029A7" w:rsidRPr="00A95903">
        <w:rPr>
          <w:sz w:val="21"/>
          <w:szCs w:val="21"/>
        </w:rPr>
        <w:t>Në pikën 2, shkronja “ç/1” shfuqizohet.</w:t>
      </w:r>
    </w:p>
    <w:p w:rsidR="005029A7" w:rsidRPr="00A95903" w:rsidRDefault="00B125E5" w:rsidP="005029A7">
      <w:pPr>
        <w:pStyle w:val="Paragrafi0"/>
        <w:rPr>
          <w:sz w:val="21"/>
          <w:szCs w:val="21"/>
        </w:rPr>
      </w:pPr>
      <w:r w:rsidRPr="00A95903">
        <w:rPr>
          <w:sz w:val="21"/>
          <w:szCs w:val="21"/>
        </w:rPr>
        <w:t xml:space="preserve">2. </w:t>
      </w:r>
      <w:r w:rsidR="005029A7" w:rsidRPr="00A95903">
        <w:rPr>
          <w:sz w:val="21"/>
          <w:szCs w:val="21"/>
        </w:rPr>
        <w:t>Në shkronjën “f”, pas fjalës “teknike” shtohet fjala “kombëtare”.</w:t>
      </w:r>
    </w:p>
    <w:p w:rsidR="005029A7" w:rsidRPr="00A95903" w:rsidRDefault="00B125E5" w:rsidP="005029A7">
      <w:pPr>
        <w:pStyle w:val="Paragrafi0"/>
        <w:rPr>
          <w:sz w:val="21"/>
          <w:szCs w:val="21"/>
        </w:rPr>
      </w:pPr>
      <w:r w:rsidRPr="00A95903">
        <w:rPr>
          <w:sz w:val="21"/>
          <w:szCs w:val="21"/>
        </w:rPr>
        <w:t xml:space="preserve">3. </w:t>
      </w:r>
      <w:r w:rsidR="005029A7" w:rsidRPr="00A95903">
        <w:rPr>
          <w:sz w:val="21"/>
          <w:szCs w:val="21"/>
        </w:rPr>
        <w:t>Në shkronjën “gj” fjala “verifikon” zëvendësohet me fjalën “monitoron”.</w:t>
      </w:r>
    </w:p>
    <w:p w:rsidR="005029A7" w:rsidRPr="00A95903" w:rsidRDefault="00B125E5" w:rsidP="005029A7">
      <w:pPr>
        <w:pStyle w:val="Paragrafi0"/>
        <w:rPr>
          <w:sz w:val="21"/>
          <w:szCs w:val="21"/>
        </w:rPr>
      </w:pPr>
      <w:r w:rsidRPr="00A95903">
        <w:rPr>
          <w:sz w:val="21"/>
          <w:szCs w:val="21"/>
        </w:rPr>
        <w:t xml:space="preserve">4. </w:t>
      </w:r>
      <w:r w:rsidR="005029A7" w:rsidRPr="00A95903">
        <w:rPr>
          <w:sz w:val="21"/>
          <w:szCs w:val="21"/>
        </w:rPr>
        <w:t>Shkronja “j” shfuqizohet.</w:t>
      </w:r>
    </w:p>
    <w:p w:rsidR="005029A7" w:rsidRPr="00A95903" w:rsidRDefault="005029A7" w:rsidP="005029A7">
      <w:pPr>
        <w:pStyle w:val="Paragrafi0"/>
        <w:rPr>
          <w:sz w:val="21"/>
          <w:szCs w:val="21"/>
        </w:rPr>
      </w:pPr>
      <w:r w:rsidRPr="00A95903">
        <w:rPr>
          <w:sz w:val="21"/>
          <w:szCs w:val="21"/>
        </w:rPr>
        <w:t xml:space="preserve">5 Në pikën 3 shkronja “b”, fjalët “në nenin 26” zëvendësohen me fjalët “në shkronjën “a” të pikës 1 të nenit 26”. </w:t>
      </w:r>
    </w:p>
    <w:p w:rsidR="005029A7" w:rsidRPr="00A95903" w:rsidRDefault="005029A7" w:rsidP="005029A7">
      <w:pPr>
        <w:pStyle w:val="Paragrafi0"/>
        <w:rPr>
          <w:sz w:val="21"/>
          <w:szCs w:val="21"/>
        </w:rPr>
      </w:pPr>
      <w:r w:rsidRPr="00A95903">
        <w:rPr>
          <w:sz w:val="21"/>
          <w:szCs w:val="21"/>
        </w:rPr>
        <w:t>6. Pika 4 shfuqizohet.</w:t>
      </w:r>
    </w:p>
    <w:p w:rsidR="005029A7" w:rsidRPr="00A95903" w:rsidRDefault="005029A7" w:rsidP="005029A7">
      <w:pPr>
        <w:pStyle w:val="Paragrafi0"/>
        <w:rPr>
          <w:sz w:val="21"/>
          <w:szCs w:val="21"/>
        </w:rPr>
      </w:pPr>
    </w:p>
    <w:p w:rsidR="005029A7" w:rsidRPr="00A95903" w:rsidRDefault="005029A7" w:rsidP="005D078D">
      <w:pPr>
        <w:pStyle w:val="NeniNr"/>
        <w:rPr>
          <w:sz w:val="21"/>
          <w:szCs w:val="21"/>
        </w:rPr>
      </w:pPr>
      <w:r w:rsidRPr="00A95903">
        <w:rPr>
          <w:sz w:val="21"/>
          <w:szCs w:val="21"/>
        </w:rPr>
        <w:t>Neni 6</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Pas nenit 19 “Personeli dhe buxheti i Avokatit të Prokurimeve” shtohen nenet 19/1, 19/2, 19/3, 19/4, 19/5, 19/6 e 19/7 me këtë përmbajtje:</w:t>
      </w:r>
    </w:p>
    <w:p w:rsidR="005029A7" w:rsidRPr="00A95903" w:rsidRDefault="005029A7" w:rsidP="005029A7">
      <w:pPr>
        <w:pStyle w:val="Paragrafi0"/>
        <w:rPr>
          <w:sz w:val="21"/>
          <w:szCs w:val="21"/>
        </w:rPr>
      </w:pPr>
    </w:p>
    <w:p w:rsidR="005029A7" w:rsidRPr="00A95903" w:rsidRDefault="005029A7" w:rsidP="005D078D">
      <w:pPr>
        <w:pStyle w:val="NeniNr"/>
        <w:rPr>
          <w:sz w:val="21"/>
          <w:szCs w:val="21"/>
        </w:rPr>
      </w:pPr>
      <w:r w:rsidRPr="00A95903">
        <w:rPr>
          <w:sz w:val="21"/>
          <w:szCs w:val="21"/>
        </w:rPr>
        <w:t>“Neni 19/1</w:t>
      </w:r>
    </w:p>
    <w:p w:rsidR="005029A7" w:rsidRPr="00A95903" w:rsidRDefault="005029A7" w:rsidP="005D078D">
      <w:pPr>
        <w:pStyle w:val="NeniTitull"/>
        <w:rPr>
          <w:sz w:val="21"/>
          <w:szCs w:val="21"/>
        </w:rPr>
      </w:pPr>
      <w:r w:rsidRPr="00A95903">
        <w:rPr>
          <w:sz w:val="21"/>
          <w:szCs w:val="21"/>
        </w:rPr>
        <w:t>Komisioni i Prokurimit Publik</w:t>
      </w:r>
    </w:p>
    <w:p w:rsidR="005029A7" w:rsidRPr="00A95903" w:rsidRDefault="005029A7" w:rsidP="005029A7">
      <w:pPr>
        <w:pStyle w:val="Paragrafi0"/>
        <w:rPr>
          <w:sz w:val="21"/>
          <w:szCs w:val="21"/>
        </w:rPr>
      </w:pPr>
      <w:r w:rsidRPr="00A95903">
        <w:rPr>
          <w:sz w:val="21"/>
          <w:szCs w:val="21"/>
        </w:rPr>
        <w:tab/>
      </w:r>
    </w:p>
    <w:p w:rsidR="005029A7" w:rsidRPr="00A95903" w:rsidRDefault="005029A7" w:rsidP="005029A7">
      <w:pPr>
        <w:pStyle w:val="Paragrafi0"/>
        <w:rPr>
          <w:sz w:val="21"/>
          <w:szCs w:val="21"/>
        </w:rPr>
      </w:pPr>
      <w:r w:rsidRPr="00A95903">
        <w:rPr>
          <w:sz w:val="21"/>
          <w:szCs w:val="21"/>
        </w:rPr>
        <w:t xml:space="preserve">1. Komisioni i Prokurimit Publik është organi më i lartë në fushën e prokurimeve, që shqyrton ankesat për procedurat e prokurimit, në përputhje me kërkesat e përcaktuara në këtë ligj. </w:t>
      </w:r>
    </w:p>
    <w:p w:rsidR="005029A7" w:rsidRPr="00A95903" w:rsidRDefault="005029A7" w:rsidP="005029A7">
      <w:pPr>
        <w:pStyle w:val="Paragrafi0"/>
        <w:rPr>
          <w:sz w:val="21"/>
          <w:szCs w:val="21"/>
        </w:rPr>
      </w:pPr>
      <w:r w:rsidRPr="00A95903">
        <w:rPr>
          <w:sz w:val="21"/>
          <w:szCs w:val="21"/>
        </w:rPr>
        <w:t xml:space="preserve">2. Komisioni i Prokurimit Publik, në përfundim të shqyrtimit të ankesave, merr vendime, të cilat janë administrativisht përfundimtare. </w:t>
      </w:r>
    </w:p>
    <w:p w:rsidR="005029A7" w:rsidRPr="00A95903" w:rsidRDefault="005029A7" w:rsidP="005029A7">
      <w:pPr>
        <w:pStyle w:val="Paragrafi0"/>
        <w:rPr>
          <w:sz w:val="21"/>
          <w:szCs w:val="21"/>
        </w:rPr>
      </w:pPr>
      <w:r w:rsidRPr="00A95903">
        <w:rPr>
          <w:sz w:val="21"/>
          <w:szCs w:val="21"/>
        </w:rPr>
        <w:t xml:space="preserve">3. Komisioni i Prokurimit Publik është person juridik publik, në varësi të Këshillit të Ministrave, që financohet nga Buxheti i Shtetit. </w:t>
      </w:r>
    </w:p>
    <w:p w:rsidR="005029A7" w:rsidRPr="00A95903" w:rsidRDefault="005029A7" w:rsidP="005029A7">
      <w:pPr>
        <w:pStyle w:val="Paragrafi0"/>
        <w:rPr>
          <w:sz w:val="21"/>
          <w:szCs w:val="21"/>
        </w:rPr>
      </w:pPr>
      <w:r w:rsidRPr="00A95903">
        <w:rPr>
          <w:sz w:val="21"/>
          <w:szCs w:val="21"/>
        </w:rPr>
        <w:t>4. Komisioni i Prokurimit Publik paraqet raport vjetor përpara Këshillit të Ministrave. Përmbajtja e raportit përcaktohet në rregullat e prokurimit publik.</w:t>
      </w:r>
    </w:p>
    <w:p w:rsidR="005029A7" w:rsidRPr="00A95903" w:rsidRDefault="005029A7" w:rsidP="005029A7">
      <w:pPr>
        <w:pStyle w:val="Paragrafi0"/>
        <w:rPr>
          <w:sz w:val="21"/>
          <w:szCs w:val="21"/>
        </w:rPr>
      </w:pPr>
    </w:p>
    <w:p w:rsidR="005029A7" w:rsidRPr="00A95903" w:rsidRDefault="005029A7" w:rsidP="005D078D">
      <w:pPr>
        <w:pStyle w:val="NeniNr"/>
        <w:rPr>
          <w:sz w:val="21"/>
          <w:szCs w:val="21"/>
        </w:rPr>
      </w:pPr>
      <w:r w:rsidRPr="00A95903">
        <w:rPr>
          <w:sz w:val="21"/>
          <w:szCs w:val="21"/>
        </w:rPr>
        <w:t>Neni 19/2</w:t>
      </w:r>
    </w:p>
    <w:p w:rsidR="005029A7" w:rsidRPr="00A95903" w:rsidRDefault="005029A7" w:rsidP="005D078D">
      <w:pPr>
        <w:pStyle w:val="NeniTitull"/>
        <w:rPr>
          <w:sz w:val="21"/>
          <w:szCs w:val="21"/>
        </w:rPr>
      </w:pPr>
      <w:r w:rsidRPr="00A95903">
        <w:rPr>
          <w:sz w:val="21"/>
          <w:szCs w:val="21"/>
        </w:rPr>
        <w:t>Përbërja, zgjedhja dhe mandati i Komisionit të Prokurimit Publik</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1. Komisioni i Prokurimit Publik përbëhet nga 5 anëtarë, nga të cilët, të paktën, 3 janë juristë.</w:t>
      </w:r>
    </w:p>
    <w:p w:rsidR="005029A7" w:rsidRPr="00A95903" w:rsidRDefault="005029A7" w:rsidP="005029A7">
      <w:pPr>
        <w:pStyle w:val="Paragrafi0"/>
        <w:rPr>
          <w:sz w:val="21"/>
          <w:szCs w:val="21"/>
        </w:rPr>
      </w:pPr>
      <w:r w:rsidRPr="00A95903">
        <w:rPr>
          <w:sz w:val="21"/>
          <w:szCs w:val="21"/>
        </w:rPr>
        <w:t>2. Anëtarët e Komisionit të Prokurimit Publik emërohen nga Këshilli i Ministrave, me propozimin e Kryeministrit, me të drejtë rizgjedhjeje vetëm një herë. Këshilli i Ministrave emëron një kryetar dhe një zëvendës të tij nga anëtarët e Komisionit të Prokurimit Publik.</w:t>
      </w:r>
    </w:p>
    <w:p w:rsidR="005029A7" w:rsidRPr="00A95903" w:rsidRDefault="005029A7" w:rsidP="005029A7">
      <w:pPr>
        <w:pStyle w:val="Paragrafi0"/>
        <w:rPr>
          <w:sz w:val="21"/>
          <w:szCs w:val="21"/>
        </w:rPr>
      </w:pPr>
      <w:r w:rsidRPr="00A95903">
        <w:rPr>
          <w:sz w:val="21"/>
          <w:szCs w:val="21"/>
        </w:rPr>
        <w:t>3. Kryetari drejton seancat dhe përfaqëson institucionin me të tretët. Në mungesë të tij zëvendësohet nga nënkryetari.</w:t>
      </w:r>
    </w:p>
    <w:p w:rsidR="005029A7" w:rsidRPr="00A95903" w:rsidRDefault="005029A7" w:rsidP="005029A7">
      <w:pPr>
        <w:pStyle w:val="Paragrafi0"/>
        <w:rPr>
          <w:sz w:val="21"/>
          <w:szCs w:val="21"/>
        </w:rPr>
      </w:pPr>
      <w:r w:rsidRPr="00A95903">
        <w:rPr>
          <w:sz w:val="21"/>
          <w:szCs w:val="21"/>
        </w:rPr>
        <w:t>4. Kryetari dhe nënkryetari duhet të jenë juristë në profesion.</w:t>
      </w:r>
    </w:p>
    <w:p w:rsidR="005029A7" w:rsidRPr="00A95903" w:rsidRDefault="005029A7" w:rsidP="005029A7">
      <w:pPr>
        <w:pStyle w:val="Paragrafi0"/>
        <w:rPr>
          <w:sz w:val="21"/>
          <w:szCs w:val="21"/>
        </w:rPr>
      </w:pPr>
      <w:r w:rsidRPr="00A95903">
        <w:rPr>
          <w:sz w:val="21"/>
          <w:szCs w:val="21"/>
        </w:rPr>
        <w:t>5. Anëtarët e Komisionit të Prokurimit Publik kanë një mandat 5-vjeçar.</w:t>
      </w:r>
    </w:p>
    <w:p w:rsidR="005029A7" w:rsidRPr="00A95903" w:rsidRDefault="005029A7" w:rsidP="005029A7">
      <w:pPr>
        <w:pStyle w:val="Paragrafi0"/>
        <w:rPr>
          <w:sz w:val="21"/>
          <w:szCs w:val="21"/>
        </w:rPr>
      </w:pPr>
    </w:p>
    <w:p w:rsidR="005029A7" w:rsidRPr="00A95903" w:rsidRDefault="005029A7" w:rsidP="005D078D">
      <w:pPr>
        <w:pStyle w:val="NeniNr"/>
        <w:rPr>
          <w:sz w:val="21"/>
          <w:szCs w:val="21"/>
        </w:rPr>
      </w:pPr>
      <w:r w:rsidRPr="00A95903">
        <w:rPr>
          <w:sz w:val="21"/>
          <w:szCs w:val="21"/>
        </w:rPr>
        <w:t>Neni 19/3</w:t>
      </w:r>
    </w:p>
    <w:p w:rsidR="005029A7" w:rsidRPr="00A95903" w:rsidRDefault="005029A7" w:rsidP="005D078D">
      <w:pPr>
        <w:pStyle w:val="NeniTitull"/>
        <w:rPr>
          <w:sz w:val="21"/>
          <w:szCs w:val="21"/>
        </w:rPr>
      </w:pPr>
      <w:r w:rsidRPr="00A95903">
        <w:rPr>
          <w:sz w:val="21"/>
          <w:szCs w:val="21"/>
        </w:rPr>
        <w:t>Kriteret për t’u zgjedhur anëtar i Komisionit të Prokurimit Publik</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Anëtar i Komisionit të Prokurimit Publik mund të zgjidhet shtetasi shqiptar, që plotëson kriteret e mëposhtme:</w:t>
      </w:r>
    </w:p>
    <w:p w:rsidR="005029A7" w:rsidRPr="00A95903" w:rsidRDefault="005029A7" w:rsidP="005029A7">
      <w:pPr>
        <w:pStyle w:val="Paragrafi0"/>
        <w:rPr>
          <w:sz w:val="21"/>
          <w:szCs w:val="21"/>
        </w:rPr>
      </w:pPr>
      <w:r w:rsidRPr="00A95903">
        <w:rPr>
          <w:sz w:val="21"/>
          <w:szCs w:val="21"/>
        </w:rPr>
        <w:t>a) ka zotësi të plotë për të vepruar;</w:t>
      </w:r>
    </w:p>
    <w:p w:rsidR="005029A7" w:rsidRPr="00A95903" w:rsidRDefault="005029A7" w:rsidP="005029A7">
      <w:pPr>
        <w:pStyle w:val="Paragrafi0"/>
        <w:rPr>
          <w:sz w:val="21"/>
          <w:szCs w:val="21"/>
        </w:rPr>
      </w:pPr>
      <w:r w:rsidRPr="00A95903">
        <w:rPr>
          <w:sz w:val="21"/>
          <w:szCs w:val="21"/>
        </w:rPr>
        <w:t>b) ka arsim të lartë;</w:t>
      </w:r>
    </w:p>
    <w:p w:rsidR="005029A7" w:rsidRPr="00A95903" w:rsidRDefault="005029A7" w:rsidP="005029A7">
      <w:pPr>
        <w:pStyle w:val="Paragrafi0"/>
        <w:rPr>
          <w:sz w:val="21"/>
          <w:szCs w:val="21"/>
        </w:rPr>
      </w:pPr>
      <w:r w:rsidRPr="00A95903">
        <w:rPr>
          <w:sz w:val="21"/>
          <w:szCs w:val="21"/>
        </w:rPr>
        <w:t>c) ka përvojë në fushën e prokurimeve, prej të paktën 3 vjetësh dhe përvojë pune 5 vjet;</w:t>
      </w:r>
    </w:p>
    <w:p w:rsidR="005029A7" w:rsidRPr="00A95903" w:rsidRDefault="005029A7" w:rsidP="005029A7">
      <w:pPr>
        <w:pStyle w:val="Paragrafi0"/>
        <w:rPr>
          <w:sz w:val="21"/>
          <w:szCs w:val="21"/>
        </w:rPr>
      </w:pPr>
      <w:r w:rsidRPr="00A95903">
        <w:rPr>
          <w:sz w:val="21"/>
          <w:szCs w:val="21"/>
        </w:rPr>
        <w:t>ç) nuk ka qenë/është dënuar me vendim gjyqësor të formës së prerë për kryerjen e një vepre penale;</w:t>
      </w:r>
    </w:p>
    <w:p w:rsidR="005029A7" w:rsidRPr="00A95903" w:rsidRDefault="005029A7" w:rsidP="005029A7">
      <w:pPr>
        <w:pStyle w:val="Paragrafi0"/>
        <w:rPr>
          <w:sz w:val="21"/>
          <w:szCs w:val="21"/>
        </w:rPr>
      </w:pPr>
      <w:r w:rsidRPr="00A95903">
        <w:rPr>
          <w:sz w:val="21"/>
          <w:szCs w:val="21"/>
        </w:rPr>
        <w:t>d) nuk është larguar nga puna ose nga shërbimi civil me masë disiplinore.</w:t>
      </w:r>
    </w:p>
    <w:p w:rsidR="005029A7" w:rsidRPr="00A95903" w:rsidRDefault="005029A7" w:rsidP="005029A7">
      <w:pPr>
        <w:pStyle w:val="Paragrafi0"/>
        <w:rPr>
          <w:sz w:val="21"/>
          <w:szCs w:val="21"/>
        </w:rPr>
      </w:pPr>
    </w:p>
    <w:p w:rsidR="005029A7" w:rsidRPr="00A95903" w:rsidRDefault="005029A7" w:rsidP="005D078D">
      <w:pPr>
        <w:pStyle w:val="NeniNr"/>
        <w:rPr>
          <w:sz w:val="21"/>
          <w:szCs w:val="21"/>
        </w:rPr>
      </w:pPr>
      <w:r w:rsidRPr="00A95903">
        <w:rPr>
          <w:sz w:val="21"/>
          <w:szCs w:val="21"/>
        </w:rPr>
        <w:t>Neni 19/4</w:t>
      </w:r>
    </w:p>
    <w:p w:rsidR="005029A7" w:rsidRPr="00A95903" w:rsidRDefault="005029A7" w:rsidP="005D078D">
      <w:pPr>
        <w:pStyle w:val="NeniTitull"/>
        <w:rPr>
          <w:sz w:val="21"/>
          <w:szCs w:val="21"/>
        </w:rPr>
      </w:pPr>
      <w:r w:rsidRPr="00A95903">
        <w:rPr>
          <w:sz w:val="21"/>
          <w:szCs w:val="21"/>
        </w:rPr>
        <w:t>Papajtueshmëritë e funksionit të anëtarit të Komisionit të Prokurimit Publik</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Funksioni i anëtarit të Komisionit të Prokurimit Publik është i papajtueshëm me:</w:t>
      </w:r>
    </w:p>
    <w:p w:rsidR="005029A7" w:rsidRPr="00A95903" w:rsidRDefault="005029A7" w:rsidP="005029A7">
      <w:pPr>
        <w:pStyle w:val="Paragrafi0"/>
        <w:rPr>
          <w:sz w:val="21"/>
          <w:szCs w:val="21"/>
        </w:rPr>
      </w:pPr>
      <w:r w:rsidRPr="00A95903">
        <w:rPr>
          <w:sz w:val="21"/>
          <w:szCs w:val="21"/>
        </w:rPr>
        <w:t>a) anëtarësimin në partitë politike dhe pjesëmarrjen në veprimtaritë e tyre;</w:t>
      </w:r>
    </w:p>
    <w:p w:rsidR="005029A7" w:rsidRPr="00A95903" w:rsidRDefault="005029A7" w:rsidP="005029A7">
      <w:pPr>
        <w:pStyle w:val="Paragrafi0"/>
        <w:rPr>
          <w:sz w:val="21"/>
          <w:szCs w:val="21"/>
        </w:rPr>
      </w:pPr>
      <w:r w:rsidRPr="00A95903">
        <w:rPr>
          <w:sz w:val="21"/>
          <w:szCs w:val="21"/>
        </w:rPr>
        <w:t>b) administrimin apo drejtimin e shoqërive tregtare, personalisht ose me anë përfaqësimi;</w:t>
      </w:r>
    </w:p>
    <w:p w:rsidR="005029A7" w:rsidRPr="00A95903" w:rsidRDefault="005029A7" w:rsidP="005029A7">
      <w:pPr>
        <w:pStyle w:val="Paragrafi0"/>
        <w:rPr>
          <w:sz w:val="21"/>
          <w:szCs w:val="21"/>
        </w:rPr>
      </w:pPr>
      <w:r w:rsidRPr="00A95903">
        <w:rPr>
          <w:sz w:val="21"/>
          <w:szCs w:val="21"/>
        </w:rPr>
        <w:t>c) çdo veprimtari tjetër fitimprurëse, me përjashtim të mësimdhënies.</w:t>
      </w:r>
    </w:p>
    <w:p w:rsidR="005029A7" w:rsidRPr="00A95903" w:rsidRDefault="005029A7" w:rsidP="00885760">
      <w:pPr>
        <w:pStyle w:val="NeniNr"/>
        <w:rPr>
          <w:sz w:val="21"/>
          <w:szCs w:val="21"/>
        </w:rPr>
      </w:pPr>
      <w:r w:rsidRPr="00A95903">
        <w:rPr>
          <w:sz w:val="21"/>
          <w:szCs w:val="21"/>
        </w:rPr>
        <w:t>Neni 19/5</w:t>
      </w:r>
    </w:p>
    <w:p w:rsidR="005029A7" w:rsidRPr="00A95903" w:rsidRDefault="005029A7" w:rsidP="00885760">
      <w:pPr>
        <w:pStyle w:val="NeniTitull"/>
        <w:rPr>
          <w:sz w:val="21"/>
          <w:szCs w:val="21"/>
        </w:rPr>
      </w:pPr>
      <w:r w:rsidRPr="00A95903">
        <w:rPr>
          <w:sz w:val="21"/>
          <w:szCs w:val="21"/>
        </w:rPr>
        <w:t>Mbarimi i funksionit të anëtarit të Komisioni të Prokurimit Publik</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1. Funksioni i anëtarit të Komisionit të Prokurimit Publik mbaron para kohe kur:</w:t>
      </w:r>
    </w:p>
    <w:p w:rsidR="005029A7" w:rsidRPr="00A95903" w:rsidRDefault="005029A7" w:rsidP="005029A7">
      <w:pPr>
        <w:pStyle w:val="Paragrafi0"/>
        <w:rPr>
          <w:sz w:val="21"/>
          <w:szCs w:val="21"/>
        </w:rPr>
      </w:pPr>
      <w:r w:rsidRPr="00A95903">
        <w:rPr>
          <w:sz w:val="21"/>
          <w:szCs w:val="21"/>
        </w:rPr>
        <w:t>a) jep dorëheqjen;</w:t>
      </w:r>
    </w:p>
    <w:p w:rsidR="005029A7" w:rsidRPr="00A95903" w:rsidRDefault="005029A7" w:rsidP="005029A7">
      <w:pPr>
        <w:pStyle w:val="Paragrafi0"/>
        <w:rPr>
          <w:sz w:val="21"/>
          <w:szCs w:val="21"/>
        </w:rPr>
      </w:pPr>
      <w:r w:rsidRPr="00A95903">
        <w:rPr>
          <w:sz w:val="21"/>
          <w:szCs w:val="21"/>
        </w:rPr>
        <w:t>b) dënohet nga gjykata me vendim të formës së prerë për kryerjen e një vepre penale;</w:t>
      </w:r>
    </w:p>
    <w:p w:rsidR="005029A7" w:rsidRPr="00A95903" w:rsidRDefault="005029A7" w:rsidP="005029A7">
      <w:pPr>
        <w:pStyle w:val="Paragrafi0"/>
        <w:rPr>
          <w:sz w:val="21"/>
          <w:szCs w:val="21"/>
        </w:rPr>
      </w:pPr>
      <w:r w:rsidRPr="00A95903">
        <w:rPr>
          <w:sz w:val="21"/>
          <w:szCs w:val="21"/>
        </w:rPr>
        <w:t>c) është, për një periudhë 6-mujore, në pamundësi fizike për të ushtruar detyrën;</w:t>
      </w:r>
    </w:p>
    <w:p w:rsidR="005029A7" w:rsidRPr="00A95903" w:rsidRDefault="005029A7" w:rsidP="005029A7">
      <w:pPr>
        <w:pStyle w:val="Paragrafi0"/>
        <w:rPr>
          <w:sz w:val="21"/>
          <w:szCs w:val="21"/>
        </w:rPr>
      </w:pPr>
      <w:r w:rsidRPr="00A95903">
        <w:rPr>
          <w:sz w:val="21"/>
          <w:szCs w:val="21"/>
        </w:rPr>
        <w:t>ç) mbaron mandati.</w:t>
      </w:r>
    </w:p>
    <w:p w:rsidR="005029A7" w:rsidRPr="00A95903" w:rsidRDefault="005029A7" w:rsidP="005029A7">
      <w:pPr>
        <w:pStyle w:val="Paragrafi0"/>
        <w:rPr>
          <w:sz w:val="21"/>
          <w:szCs w:val="21"/>
        </w:rPr>
      </w:pPr>
      <w:r w:rsidRPr="00A95903">
        <w:rPr>
          <w:sz w:val="21"/>
          <w:szCs w:val="21"/>
        </w:rPr>
        <w:t xml:space="preserve">2. Anëtari i Komisionit të Prokurimit Publik shkarkohet nga Këshilli i Ministrave, kur ka një vendim gjykate të formës së prerë: </w:t>
      </w:r>
    </w:p>
    <w:p w:rsidR="005029A7" w:rsidRPr="00A95903" w:rsidRDefault="005029A7" w:rsidP="005029A7">
      <w:pPr>
        <w:pStyle w:val="Paragrafi0"/>
        <w:rPr>
          <w:sz w:val="21"/>
          <w:szCs w:val="21"/>
        </w:rPr>
      </w:pPr>
      <w:r w:rsidRPr="00A95903">
        <w:rPr>
          <w:sz w:val="21"/>
          <w:szCs w:val="21"/>
        </w:rPr>
        <w:t>a) për shkelje të dispozitave të këtij ligji apo të akteve të tjera ligjore;</w:t>
      </w:r>
    </w:p>
    <w:p w:rsidR="005029A7" w:rsidRPr="00A95903" w:rsidRDefault="005029A7" w:rsidP="005029A7">
      <w:pPr>
        <w:pStyle w:val="Paragrafi0"/>
        <w:rPr>
          <w:sz w:val="21"/>
          <w:szCs w:val="21"/>
        </w:rPr>
      </w:pPr>
      <w:r w:rsidRPr="00A95903">
        <w:rPr>
          <w:sz w:val="21"/>
          <w:szCs w:val="21"/>
        </w:rPr>
        <w:t>b) për kryerjen e një veprimtarie, që krijon konflikt interesash;</w:t>
      </w:r>
    </w:p>
    <w:p w:rsidR="005029A7" w:rsidRPr="00A95903" w:rsidRDefault="005029A7" w:rsidP="005029A7">
      <w:pPr>
        <w:pStyle w:val="Paragrafi0"/>
        <w:rPr>
          <w:sz w:val="21"/>
          <w:szCs w:val="21"/>
        </w:rPr>
      </w:pPr>
      <w:r w:rsidRPr="00A95903">
        <w:rPr>
          <w:sz w:val="21"/>
          <w:szCs w:val="21"/>
        </w:rPr>
        <w:t>c) nëse zbulohen raste të papajtueshmërisë së funksionit të tij.</w:t>
      </w:r>
    </w:p>
    <w:p w:rsidR="005029A7" w:rsidRPr="00A95903" w:rsidRDefault="005029A7" w:rsidP="005029A7">
      <w:pPr>
        <w:pStyle w:val="Paragrafi0"/>
        <w:rPr>
          <w:sz w:val="21"/>
          <w:szCs w:val="21"/>
        </w:rPr>
      </w:pPr>
      <w:r w:rsidRPr="00A95903">
        <w:rPr>
          <w:sz w:val="21"/>
          <w:szCs w:val="21"/>
        </w:rPr>
        <w:t>3. Nga konstatimi deri në marrjen e një vendimi të formës së prerë, sipas pikës 2 të këtij neni, me vendim të Këshillit të Ministrave anëtari i komisionit pezullohet nga detyra.</w:t>
      </w:r>
    </w:p>
    <w:p w:rsidR="005029A7" w:rsidRPr="00A95903" w:rsidRDefault="005029A7" w:rsidP="005029A7">
      <w:pPr>
        <w:pStyle w:val="Paragrafi0"/>
        <w:rPr>
          <w:sz w:val="21"/>
          <w:szCs w:val="21"/>
        </w:rPr>
      </w:pPr>
      <w:r w:rsidRPr="00A95903">
        <w:rPr>
          <w:sz w:val="21"/>
          <w:szCs w:val="21"/>
        </w:rPr>
        <w:t>4. Në rast se vendi i anëtarit të Komisionit të Prokurimit Publik mbetet vakant, Këshilli i Ministrave, brenda 30 ditëve nga data e largimit të anëtarit, emëron anëtarin e ri.</w:t>
      </w:r>
    </w:p>
    <w:p w:rsidR="005029A7" w:rsidRPr="00A95903" w:rsidRDefault="005029A7" w:rsidP="005029A7">
      <w:pPr>
        <w:pStyle w:val="Paragrafi0"/>
        <w:rPr>
          <w:sz w:val="21"/>
          <w:szCs w:val="21"/>
        </w:rPr>
      </w:pPr>
    </w:p>
    <w:p w:rsidR="005029A7" w:rsidRPr="00A95903" w:rsidRDefault="005029A7" w:rsidP="00885760">
      <w:pPr>
        <w:pStyle w:val="NeniNr"/>
        <w:rPr>
          <w:sz w:val="21"/>
          <w:szCs w:val="21"/>
        </w:rPr>
      </w:pPr>
      <w:r w:rsidRPr="00A95903">
        <w:rPr>
          <w:sz w:val="21"/>
          <w:szCs w:val="21"/>
        </w:rPr>
        <w:t>Neni 19/6</w:t>
      </w:r>
    </w:p>
    <w:p w:rsidR="005029A7" w:rsidRPr="00A95903" w:rsidRDefault="005029A7" w:rsidP="00885760">
      <w:pPr>
        <w:pStyle w:val="NeniTitull"/>
        <w:rPr>
          <w:sz w:val="21"/>
          <w:szCs w:val="21"/>
        </w:rPr>
      </w:pPr>
      <w:r w:rsidRPr="00A95903">
        <w:rPr>
          <w:sz w:val="21"/>
          <w:szCs w:val="21"/>
        </w:rPr>
        <w:t>Struktura dhe organika e Komisionit të Prokurimit Publik</w:t>
      </w:r>
    </w:p>
    <w:p w:rsidR="005029A7" w:rsidRPr="00A95903" w:rsidRDefault="005029A7" w:rsidP="005029A7">
      <w:pPr>
        <w:pStyle w:val="Paragrafi0"/>
        <w:rPr>
          <w:sz w:val="21"/>
          <w:szCs w:val="21"/>
        </w:rPr>
      </w:pPr>
    </w:p>
    <w:p w:rsidR="00A95903" w:rsidRDefault="005029A7" w:rsidP="005029A7">
      <w:pPr>
        <w:pStyle w:val="Paragrafi0"/>
        <w:rPr>
          <w:sz w:val="21"/>
          <w:szCs w:val="21"/>
        </w:rPr>
      </w:pPr>
      <w:r w:rsidRPr="00A95903">
        <w:rPr>
          <w:sz w:val="21"/>
          <w:szCs w:val="21"/>
        </w:rPr>
        <w:t>1. Struktura dhe organika e Komisionit të Prokurimit Publik përcaktohen me urdhër të Kryeministrit.</w:t>
      </w:r>
    </w:p>
    <w:p w:rsidR="005029A7" w:rsidRPr="00A95903" w:rsidRDefault="005029A7" w:rsidP="005029A7">
      <w:pPr>
        <w:pStyle w:val="Paragrafi0"/>
        <w:rPr>
          <w:sz w:val="21"/>
          <w:szCs w:val="21"/>
        </w:rPr>
      </w:pPr>
      <w:r w:rsidRPr="00A95903">
        <w:rPr>
          <w:sz w:val="21"/>
          <w:szCs w:val="21"/>
        </w:rPr>
        <w:t xml:space="preserve"> </w:t>
      </w:r>
    </w:p>
    <w:p w:rsidR="005029A7" w:rsidRPr="00A95903" w:rsidRDefault="005029A7" w:rsidP="005029A7">
      <w:pPr>
        <w:pStyle w:val="Paragrafi0"/>
        <w:rPr>
          <w:sz w:val="21"/>
          <w:szCs w:val="21"/>
        </w:rPr>
      </w:pPr>
      <w:r w:rsidRPr="00A95903">
        <w:rPr>
          <w:sz w:val="21"/>
          <w:szCs w:val="21"/>
        </w:rPr>
        <w:t>2. Punonjësit e Komisionit të Prokurimit Publik gëzojnë statusin e nëpunësit civil, ndërsa personeli ndihmës emërohet nga kryetari dhe marrëdhëniet e tyre të punës rregullohen nga Kodi i Punës i Republikës së Shqipërisë.</w:t>
      </w:r>
    </w:p>
    <w:p w:rsidR="005029A7" w:rsidRPr="00A95903" w:rsidRDefault="005029A7" w:rsidP="005029A7">
      <w:pPr>
        <w:pStyle w:val="Paragrafi0"/>
        <w:rPr>
          <w:sz w:val="21"/>
          <w:szCs w:val="21"/>
        </w:rPr>
      </w:pPr>
      <w:r w:rsidRPr="00A95903">
        <w:rPr>
          <w:sz w:val="21"/>
          <w:szCs w:val="21"/>
        </w:rPr>
        <w:t xml:space="preserve">3. Vendimet e Komisionit të Prokurimit Publik shqyrtohen në seancë, me pjesëmarrjen e të paktën 3 (tre) anëtarëve, njëri prej të cilëve është kryetari ose zëvendësi i tij. Në përfundim të shqyrtimit, vendimi i marrë nga komisioni publikohet në faqen e internetit. </w:t>
      </w:r>
    </w:p>
    <w:p w:rsidR="005029A7" w:rsidRPr="00A95903" w:rsidRDefault="005029A7" w:rsidP="005029A7">
      <w:pPr>
        <w:pStyle w:val="Paragrafi0"/>
        <w:rPr>
          <w:sz w:val="21"/>
          <w:szCs w:val="21"/>
        </w:rPr>
      </w:pPr>
      <w:r w:rsidRPr="00A95903">
        <w:rPr>
          <w:sz w:val="21"/>
          <w:szCs w:val="21"/>
        </w:rPr>
        <w:t>4. Rregullat e hollësishme të organizimit dhe funksionimit të Komisionit të Prokurimit Publik miratohen nga Këshilli i Ministrave.</w:t>
      </w:r>
    </w:p>
    <w:p w:rsidR="005029A7" w:rsidRPr="00A95903" w:rsidRDefault="005029A7" w:rsidP="005029A7">
      <w:pPr>
        <w:pStyle w:val="Paragrafi0"/>
        <w:rPr>
          <w:sz w:val="21"/>
          <w:szCs w:val="21"/>
        </w:rPr>
      </w:pPr>
    </w:p>
    <w:p w:rsidR="005029A7" w:rsidRPr="00A95903" w:rsidRDefault="005029A7" w:rsidP="00885760">
      <w:pPr>
        <w:pStyle w:val="NeniNr"/>
        <w:rPr>
          <w:sz w:val="21"/>
          <w:szCs w:val="21"/>
        </w:rPr>
      </w:pPr>
      <w:r w:rsidRPr="00A95903">
        <w:rPr>
          <w:sz w:val="21"/>
          <w:szCs w:val="21"/>
        </w:rPr>
        <w:t>Neni 19/7</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Askush nuk duhet të ndikojë mbi anëtarët e komisionit në vendimmarrje. Çdo përpjekje, e drejtpërdrejtë apo e tërthortë, për të ndikuar, dënohet me gjobë, sipas këtij ligji, pavarësisht procedimit civil apo penal, që mund të ketë filluar.”.</w:t>
      </w:r>
      <w:r w:rsidRPr="00A95903">
        <w:rPr>
          <w:sz w:val="21"/>
          <w:szCs w:val="21"/>
        </w:rPr>
        <w:tab/>
        <w:t xml:space="preserve"> </w:t>
      </w:r>
    </w:p>
    <w:p w:rsidR="005029A7" w:rsidRPr="00A95903" w:rsidRDefault="005029A7" w:rsidP="005029A7">
      <w:pPr>
        <w:pStyle w:val="Paragrafi0"/>
        <w:rPr>
          <w:sz w:val="21"/>
          <w:szCs w:val="21"/>
        </w:rPr>
      </w:pPr>
    </w:p>
    <w:p w:rsidR="005029A7" w:rsidRPr="00A95903" w:rsidRDefault="005029A7" w:rsidP="00885760">
      <w:pPr>
        <w:pStyle w:val="NeniNr"/>
        <w:rPr>
          <w:sz w:val="21"/>
          <w:szCs w:val="21"/>
        </w:rPr>
      </w:pPr>
      <w:r w:rsidRPr="00A95903">
        <w:rPr>
          <w:sz w:val="21"/>
          <w:szCs w:val="21"/>
        </w:rPr>
        <w:t>Neni 7</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Në nenin 24 “Anulimi i një procedure prokurimi”, pika 1 ndryshohet si më poshtë: </w:t>
      </w:r>
    </w:p>
    <w:p w:rsidR="005029A7" w:rsidRPr="00A95903" w:rsidRDefault="005029A7" w:rsidP="005029A7">
      <w:pPr>
        <w:pStyle w:val="Paragrafi0"/>
        <w:rPr>
          <w:sz w:val="21"/>
          <w:szCs w:val="21"/>
        </w:rPr>
      </w:pPr>
      <w:r w:rsidRPr="00A95903">
        <w:rPr>
          <w:sz w:val="21"/>
          <w:szCs w:val="21"/>
        </w:rPr>
        <w:t>“1. Autoriteti kontraktor anulon procedurën e prokurimit vetëm:</w:t>
      </w:r>
    </w:p>
    <w:p w:rsidR="005029A7" w:rsidRPr="00A95903" w:rsidRDefault="005029A7" w:rsidP="005029A7">
      <w:pPr>
        <w:pStyle w:val="Paragrafi0"/>
        <w:rPr>
          <w:sz w:val="21"/>
          <w:szCs w:val="21"/>
        </w:rPr>
      </w:pPr>
      <w:r w:rsidRPr="00A95903">
        <w:rPr>
          <w:sz w:val="21"/>
          <w:szCs w:val="21"/>
        </w:rPr>
        <w:t xml:space="preserve">a) për arsye të interesit publik, duke respektuar parimet e barazisë dhe të transparencës; </w:t>
      </w:r>
    </w:p>
    <w:p w:rsidR="005029A7" w:rsidRPr="00A95903" w:rsidRDefault="005029A7" w:rsidP="005029A7">
      <w:pPr>
        <w:pStyle w:val="Paragrafi0"/>
        <w:rPr>
          <w:sz w:val="21"/>
          <w:szCs w:val="21"/>
        </w:rPr>
      </w:pPr>
      <w:r w:rsidRPr="00A95903">
        <w:rPr>
          <w:sz w:val="21"/>
          <w:szCs w:val="21"/>
        </w:rPr>
        <w:t>b) kur Komisioni i Prokurimit Publik vendos anulimin, sipas parashikimit të shkronjës “b” të pikës 3 të nenit 64 të këtij ligji.”.</w:t>
      </w:r>
    </w:p>
    <w:p w:rsidR="005029A7" w:rsidRPr="00A95903" w:rsidRDefault="005029A7" w:rsidP="005029A7">
      <w:pPr>
        <w:pStyle w:val="Paragrafi0"/>
        <w:rPr>
          <w:sz w:val="21"/>
          <w:szCs w:val="21"/>
        </w:rPr>
      </w:pPr>
    </w:p>
    <w:p w:rsidR="005029A7" w:rsidRPr="00A95903" w:rsidRDefault="005029A7" w:rsidP="00885760">
      <w:pPr>
        <w:pStyle w:val="NeniNr"/>
        <w:rPr>
          <w:sz w:val="21"/>
          <w:szCs w:val="21"/>
        </w:rPr>
      </w:pPr>
      <w:r w:rsidRPr="00A95903">
        <w:rPr>
          <w:sz w:val="21"/>
          <w:szCs w:val="21"/>
        </w:rPr>
        <w:t>Neni 8</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32 “Procedura me negocim, me shpallje paraprake të njoftimit” pika 1 shkronja “a”, fjalët “në përgjigje të një procedure të hapur ose të kufizuar” zëvendësohen me fjalët “në përgjigje të dy procedurave të njëpasnjëshme, të hapura ose të kufizuara.”.</w:t>
      </w:r>
    </w:p>
    <w:p w:rsidR="005029A7" w:rsidRPr="00A95903" w:rsidRDefault="005029A7" w:rsidP="005029A7">
      <w:pPr>
        <w:pStyle w:val="Paragrafi0"/>
        <w:rPr>
          <w:sz w:val="21"/>
          <w:szCs w:val="21"/>
        </w:rPr>
      </w:pPr>
    </w:p>
    <w:p w:rsidR="00885760" w:rsidRPr="00A95903" w:rsidRDefault="00885760" w:rsidP="005029A7">
      <w:pPr>
        <w:pStyle w:val="Paragrafi0"/>
        <w:rPr>
          <w:sz w:val="21"/>
          <w:szCs w:val="21"/>
        </w:rPr>
      </w:pPr>
    </w:p>
    <w:p w:rsidR="005029A7" w:rsidRPr="00A95903" w:rsidRDefault="005029A7" w:rsidP="00D63FCF">
      <w:pPr>
        <w:pStyle w:val="NeniNr"/>
        <w:rPr>
          <w:sz w:val="21"/>
          <w:szCs w:val="21"/>
        </w:rPr>
      </w:pPr>
      <w:r w:rsidRPr="00A95903">
        <w:rPr>
          <w:sz w:val="21"/>
          <w:szCs w:val="21"/>
        </w:rPr>
        <w:t>Neni 9</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33 “Procedura me negocim, pa shpallje paraprake të njoftimit” pika 2 bëhen ndryshimet e mëposhtme:</w:t>
      </w:r>
    </w:p>
    <w:p w:rsidR="005029A7" w:rsidRPr="00A95903" w:rsidRDefault="005029A7" w:rsidP="005029A7">
      <w:pPr>
        <w:pStyle w:val="Paragrafi0"/>
        <w:rPr>
          <w:sz w:val="21"/>
          <w:szCs w:val="21"/>
        </w:rPr>
      </w:pPr>
      <w:r w:rsidRPr="00A95903">
        <w:rPr>
          <w:sz w:val="21"/>
          <w:szCs w:val="21"/>
        </w:rPr>
        <w:t>1. Shkronja “a” ndryshohet si më poshtë:</w:t>
      </w:r>
    </w:p>
    <w:p w:rsidR="005029A7" w:rsidRPr="00A95903" w:rsidRDefault="005029A7" w:rsidP="005029A7">
      <w:pPr>
        <w:pStyle w:val="Paragrafi0"/>
        <w:rPr>
          <w:sz w:val="21"/>
          <w:szCs w:val="21"/>
        </w:rPr>
      </w:pPr>
      <w:r w:rsidRPr="00A95903">
        <w:rPr>
          <w:sz w:val="21"/>
          <w:szCs w:val="21"/>
        </w:rPr>
        <w:t xml:space="preserve">“a) kur në përgjigje të dy procedurave të njëpasnjëshme nuk është siguruar konkurrenca minimale dhe për sa kohë që në kushtet fillestare të kontratës të mos jetë bërë asnjë ndryshim thelbësor.”. </w:t>
      </w:r>
    </w:p>
    <w:p w:rsidR="005029A7" w:rsidRPr="00A95903" w:rsidRDefault="005029A7" w:rsidP="005029A7">
      <w:pPr>
        <w:pStyle w:val="Paragrafi0"/>
        <w:rPr>
          <w:sz w:val="21"/>
          <w:szCs w:val="21"/>
        </w:rPr>
      </w:pPr>
      <w:r w:rsidRPr="00A95903">
        <w:rPr>
          <w:sz w:val="21"/>
          <w:szCs w:val="21"/>
        </w:rPr>
        <w:t>2. Në shkronjën “dh” fjalët “në nenet 11/1 e 35/1 të ligjit” zëvendësohen me fjalët “në nenin 35/1 të ligjit”.</w:t>
      </w:r>
    </w:p>
    <w:p w:rsidR="005029A7" w:rsidRPr="00A95903" w:rsidRDefault="005029A7" w:rsidP="005029A7">
      <w:pPr>
        <w:pStyle w:val="Paragrafi0"/>
        <w:rPr>
          <w:sz w:val="21"/>
          <w:szCs w:val="21"/>
        </w:rPr>
      </w:pPr>
    </w:p>
    <w:p w:rsidR="005029A7" w:rsidRPr="00A95903" w:rsidRDefault="005029A7" w:rsidP="00D63FCF">
      <w:pPr>
        <w:pStyle w:val="NeniNr"/>
        <w:rPr>
          <w:sz w:val="21"/>
          <w:szCs w:val="21"/>
        </w:rPr>
      </w:pPr>
      <w:r w:rsidRPr="00A95903">
        <w:rPr>
          <w:sz w:val="21"/>
          <w:szCs w:val="21"/>
        </w:rPr>
        <w:t>Neni 10</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Neni 35/1 “Procedurat e kontratave, që bazohen në marrëveshjen publike kuadër” ndryshohet si më poshtë:</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35/1</w:t>
      </w:r>
    </w:p>
    <w:p w:rsidR="005029A7" w:rsidRPr="00A95903" w:rsidRDefault="005029A7" w:rsidP="0053441D">
      <w:pPr>
        <w:pStyle w:val="NeniTitull"/>
        <w:rPr>
          <w:sz w:val="21"/>
          <w:szCs w:val="21"/>
        </w:rPr>
      </w:pPr>
      <w:r w:rsidRPr="00A95903">
        <w:rPr>
          <w:sz w:val="21"/>
          <w:szCs w:val="21"/>
        </w:rPr>
        <w:t>Marrëveshjet kuadër</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1. Për kontratat publike, autoritetet kontraktore mund të lidhin një marrëveshje kuadër pas kryerjes së një procedure të hapur, të kufizuar apo me negocim, me shpallje paraprake të njoftimit të kontratës, ndërsa për kontratat sektoriale, autoritetet kontraktore mund të lidhin një marrëveshje kuadër edhe pas kryerjes së një procedure me negocim, pa shpallje paraprake të njoftimit.</w:t>
      </w:r>
    </w:p>
    <w:p w:rsidR="005029A7" w:rsidRPr="00A95903" w:rsidRDefault="005029A7" w:rsidP="005029A7">
      <w:pPr>
        <w:pStyle w:val="Paragrafi0"/>
        <w:rPr>
          <w:sz w:val="21"/>
          <w:szCs w:val="21"/>
        </w:rPr>
      </w:pPr>
      <w:r w:rsidRPr="00A95903">
        <w:rPr>
          <w:sz w:val="21"/>
          <w:szCs w:val="21"/>
        </w:rPr>
        <w:t xml:space="preserve">2. Palët në marrëveshjen kuadër zgjidhen duke zbatuar kriteret e përcaktimit të ofertës fituese, në përputhje me nenin 55 të ligjit. </w:t>
      </w:r>
    </w:p>
    <w:p w:rsidR="005029A7" w:rsidRPr="00A95903" w:rsidRDefault="005029A7" w:rsidP="005029A7">
      <w:pPr>
        <w:pStyle w:val="Paragrafi0"/>
        <w:rPr>
          <w:sz w:val="21"/>
          <w:szCs w:val="21"/>
        </w:rPr>
      </w:pPr>
      <w:r w:rsidRPr="00A95903">
        <w:rPr>
          <w:sz w:val="21"/>
          <w:szCs w:val="21"/>
        </w:rPr>
        <w:t>3. Kontratat e bazuara në një marrëveshje kuadër lidhen në përputhje me procedurat e parashtruara në pikat 5 e 6 të këtij neni. Këto procedura mund të zbatohen vetëm ndërmjet enteve kontraktore dhe operatorëve ekonomikë, të cilët kanë qenë që në fillim palë në marrëveshjen kuadër. Kur lidhen kontrata, të bazuara në një marrëveshje kuadër, palët nuk munden, në asnjë rrethanë, të bëjnë ndryshime thelbësore të kushteve të parashtruara në marrëveshjen kuadër, veçanërisht në rastin e parashikuar në pikën 5 të këtij neni.</w:t>
      </w:r>
    </w:p>
    <w:p w:rsidR="005029A7" w:rsidRPr="00A95903" w:rsidRDefault="005029A7" w:rsidP="005029A7">
      <w:pPr>
        <w:pStyle w:val="Paragrafi0"/>
        <w:rPr>
          <w:sz w:val="21"/>
          <w:szCs w:val="21"/>
        </w:rPr>
      </w:pPr>
      <w:r w:rsidRPr="00A95903">
        <w:rPr>
          <w:sz w:val="21"/>
          <w:szCs w:val="21"/>
        </w:rPr>
        <w:t>4. Kohëzgjatja e një marrëveshjeje kuadër nuk mund të jetë më e gjatë se katër vjet, përveç rasteve të jashtëzakonshme, plotësisht të justifikueshme, në veçanti nga subjekti i marrëveshjes kuadër.</w:t>
      </w:r>
    </w:p>
    <w:p w:rsidR="005029A7" w:rsidRPr="00A95903" w:rsidRDefault="005029A7" w:rsidP="005029A7">
      <w:pPr>
        <w:pStyle w:val="Paragrafi0"/>
        <w:rPr>
          <w:sz w:val="21"/>
          <w:szCs w:val="21"/>
        </w:rPr>
      </w:pPr>
      <w:r w:rsidRPr="00A95903">
        <w:rPr>
          <w:sz w:val="21"/>
          <w:szCs w:val="21"/>
        </w:rPr>
        <w:t>5. Kur një marrëveshje kuadër arrihet me një operator të vetëm ekonomik, kontratat e bazuara në këtë marrëveshje lidhen brenda kufijve dhe kushteve të parashtruara në marrëveshjen kuadër. Për prokurimin e këtyre kontratave, autoriteti kontraktor komunikon me shkrim me operatorin palë në marrëveshjen kuadër, duke i kërkuar atij të plotësojë ofertën, në përputhje me kërkesat.</w:t>
      </w:r>
    </w:p>
    <w:p w:rsidR="005029A7" w:rsidRPr="00A95903" w:rsidRDefault="005029A7" w:rsidP="005029A7">
      <w:pPr>
        <w:pStyle w:val="Paragrafi0"/>
        <w:rPr>
          <w:sz w:val="21"/>
          <w:szCs w:val="21"/>
        </w:rPr>
      </w:pPr>
      <w:r w:rsidRPr="00A95903">
        <w:rPr>
          <w:sz w:val="21"/>
          <w:szCs w:val="21"/>
        </w:rPr>
        <w:t xml:space="preserve">6. Kur një marrëveshje kuadër lidhet me disa operatorë ekonomikë, këta të fundit duhet të jenë, të paktën, tre, në numër, për sa kohë që ekziston një numër i mjaftueshëm operatorësh ekonomikë, për të përmbushur kriteret e përzgjedhjes dhe/ose të pranimit të ofertave, që përmbushin kriteret e përcaktimit të ofertës fituese, në përputhje me nenin 55 të ligjit. </w:t>
      </w:r>
    </w:p>
    <w:p w:rsidR="005029A7" w:rsidRPr="00A95903" w:rsidRDefault="005029A7" w:rsidP="005029A7">
      <w:pPr>
        <w:pStyle w:val="Paragrafi0"/>
        <w:rPr>
          <w:sz w:val="21"/>
          <w:szCs w:val="21"/>
        </w:rPr>
      </w:pPr>
      <w:r w:rsidRPr="00A95903">
        <w:rPr>
          <w:sz w:val="21"/>
          <w:szCs w:val="21"/>
        </w:rPr>
        <w:t>Kontratat e bazuara në marrëveshjet kuadër, të arritura ndërmjet disa operatorëve ekonomikë, mund të prokurohen ose:</w:t>
      </w:r>
    </w:p>
    <w:p w:rsidR="005029A7" w:rsidRPr="00A95903" w:rsidRDefault="005029A7" w:rsidP="005029A7">
      <w:pPr>
        <w:pStyle w:val="Paragrafi0"/>
        <w:rPr>
          <w:sz w:val="21"/>
          <w:szCs w:val="21"/>
        </w:rPr>
      </w:pPr>
      <w:r w:rsidRPr="00A95903">
        <w:rPr>
          <w:sz w:val="21"/>
          <w:szCs w:val="21"/>
        </w:rPr>
        <w:t>a) nëpërmjet zbatimit të kushteve të parashtruara në marrëveshjen kuadër, pa rihapur konkurrimin;</w:t>
      </w:r>
    </w:p>
    <w:p w:rsidR="005029A7" w:rsidRPr="00A95903" w:rsidRDefault="005029A7" w:rsidP="005029A7">
      <w:pPr>
        <w:pStyle w:val="Paragrafi0"/>
        <w:rPr>
          <w:sz w:val="21"/>
          <w:szCs w:val="21"/>
        </w:rPr>
      </w:pPr>
      <w:r w:rsidRPr="00A95903">
        <w:rPr>
          <w:sz w:val="21"/>
          <w:szCs w:val="21"/>
        </w:rPr>
        <w:t>b) kur jo të gjitha kushtet janë të parashtruara në marrëveshjen kuadër, kur palët gjenden sërish në konkurrim, sipas të njëjtave kushte dhe, nëse është e nevojshme, në bazë të kushteve të formuluara më saktësisht dhe aty ku kjo është e përshtatshme, kur parashikohen kushte të tjera në specifikimet e marrëveshjes kuadër, në përputhje me procedurën në vijim:</w:t>
      </w:r>
    </w:p>
    <w:p w:rsidR="005029A7" w:rsidRPr="00A95903" w:rsidRDefault="005029A7" w:rsidP="005029A7">
      <w:pPr>
        <w:pStyle w:val="Paragrafi0"/>
        <w:rPr>
          <w:sz w:val="21"/>
          <w:szCs w:val="21"/>
        </w:rPr>
      </w:pPr>
      <w:r w:rsidRPr="00A95903">
        <w:rPr>
          <w:sz w:val="21"/>
          <w:szCs w:val="21"/>
        </w:rPr>
        <w:t>i) për çdo kontratë, që do të prokurohet, autoritetet kontraktore duhet të këshillohen, me shkrim, me operatorët ekonomikë, që janë në gjendje të zbatojnë kontratën;</w:t>
      </w:r>
    </w:p>
    <w:p w:rsidR="005029A7" w:rsidRPr="00A95903" w:rsidRDefault="005029A7" w:rsidP="005029A7">
      <w:pPr>
        <w:pStyle w:val="Paragrafi0"/>
        <w:rPr>
          <w:sz w:val="21"/>
          <w:szCs w:val="21"/>
        </w:rPr>
      </w:pPr>
      <w:r w:rsidRPr="00A95903">
        <w:rPr>
          <w:sz w:val="21"/>
          <w:szCs w:val="21"/>
        </w:rPr>
        <w:t>ii) autoritetet kontraktore duhet të caktojnë një kufi kohor, të mjaftueshëm për dorëzimin e ofertave, për secilën kontratë specifike, duke marrë parasysh kompleksitetin e objektit, që do të prokurohet dhe kohën e nevojshme për të dorëzuar ofertat;</w:t>
      </w:r>
    </w:p>
    <w:p w:rsidR="005029A7" w:rsidRPr="00A95903" w:rsidRDefault="005029A7" w:rsidP="005029A7">
      <w:pPr>
        <w:pStyle w:val="Paragrafi0"/>
        <w:rPr>
          <w:sz w:val="21"/>
          <w:szCs w:val="21"/>
        </w:rPr>
      </w:pPr>
      <w:r w:rsidRPr="00A95903">
        <w:rPr>
          <w:sz w:val="21"/>
          <w:szCs w:val="21"/>
        </w:rPr>
        <w:t>iii) ofertat do të dorëzohen me shkrim dhe përmbajtja e tyre duhet të mbetet konfidenciale, derisa kufiri i përcaktuar kohor për përgjigje të ketë skaduar;</w:t>
      </w:r>
    </w:p>
    <w:p w:rsidR="005029A7" w:rsidRPr="00A95903" w:rsidRDefault="005029A7" w:rsidP="005029A7">
      <w:pPr>
        <w:pStyle w:val="Paragrafi0"/>
        <w:rPr>
          <w:sz w:val="21"/>
          <w:szCs w:val="21"/>
        </w:rPr>
      </w:pPr>
      <w:r w:rsidRPr="00A95903">
        <w:rPr>
          <w:sz w:val="21"/>
          <w:szCs w:val="21"/>
        </w:rPr>
        <w:t>iv) autoritetet kontraktore do t’ia japin secilën kontratë ofertuesit, që ka dorëzuar ofertën më të mirë, në bazë të kritereve të shpalljes së kontratës fituese, të përcaktuara në specifikimet e marrëveshjes kuadër.</w:t>
      </w:r>
    </w:p>
    <w:p w:rsidR="005029A7" w:rsidRPr="00A95903" w:rsidRDefault="005029A7" w:rsidP="005029A7">
      <w:pPr>
        <w:pStyle w:val="Paragrafi0"/>
        <w:rPr>
          <w:sz w:val="21"/>
          <w:szCs w:val="21"/>
        </w:rPr>
      </w:pPr>
      <w:r w:rsidRPr="00A95903">
        <w:rPr>
          <w:sz w:val="21"/>
          <w:szCs w:val="21"/>
        </w:rPr>
        <w:t>7. Autoritetet kontraktore nuk mund t’i keqpërdorin marrëveshjet kuadër për të penguar, kufizuar apo çrregulluar konkurrencën.</w:t>
      </w:r>
    </w:p>
    <w:p w:rsidR="005029A7" w:rsidRPr="00A95903" w:rsidRDefault="005029A7" w:rsidP="005029A7">
      <w:pPr>
        <w:pStyle w:val="Paragrafi0"/>
        <w:rPr>
          <w:sz w:val="21"/>
          <w:szCs w:val="21"/>
        </w:rPr>
      </w:pPr>
      <w:r w:rsidRPr="00A95903">
        <w:rPr>
          <w:sz w:val="21"/>
          <w:szCs w:val="21"/>
        </w:rPr>
        <w:t>8. Në çdo rast, marrëveshja kuadër zbatohet sipas përcaktimeve të parashikuara në rregullat e prokurimit publik.”.</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11</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Neni 37/1 shfuqizohet.</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12</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40 “Ftesa për ofertë” bëhen ndryshimet e mëposhtme:</w:t>
      </w:r>
    </w:p>
    <w:p w:rsidR="005029A7" w:rsidRPr="00A95903" w:rsidRDefault="005029A7" w:rsidP="005029A7">
      <w:pPr>
        <w:pStyle w:val="Paragrafi0"/>
        <w:rPr>
          <w:sz w:val="21"/>
          <w:szCs w:val="21"/>
        </w:rPr>
      </w:pPr>
      <w:r w:rsidRPr="00A95903">
        <w:rPr>
          <w:sz w:val="21"/>
          <w:szCs w:val="21"/>
        </w:rPr>
        <w:t>1. Në pikën 1, pas fjalës “me shkrim” shtohen fjalët “ose me mjete elektronike”.</w:t>
      </w:r>
    </w:p>
    <w:p w:rsidR="005029A7" w:rsidRPr="00A95903" w:rsidRDefault="005029A7" w:rsidP="005029A7">
      <w:pPr>
        <w:pStyle w:val="Paragrafi0"/>
        <w:rPr>
          <w:sz w:val="21"/>
          <w:szCs w:val="21"/>
        </w:rPr>
      </w:pPr>
      <w:r w:rsidRPr="00A95903">
        <w:rPr>
          <w:sz w:val="21"/>
          <w:szCs w:val="21"/>
        </w:rPr>
        <w:t xml:space="preserve">2. Në pikën 4, në fund të fjalisë së parafundit, pas fjalëve “2 kandidatë” shtohen fjalët “me përjashtim të procedurës me negocim, pa shpallje paraprake të njoftimit.”. </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13</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42 “Sqarimet dhe ndryshimi në dokumentet e tenderit”, bëhen ndryshimet e mëposhtme:</w:t>
      </w:r>
    </w:p>
    <w:p w:rsidR="005029A7" w:rsidRPr="00A95903" w:rsidRDefault="005029A7" w:rsidP="005029A7">
      <w:pPr>
        <w:pStyle w:val="Paragrafi0"/>
        <w:rPr>
          <w:sz w:val="21"/>
          <w:szCs w:val="21"/>
        </w:rPr>
      </w:pPr>
      <w:r w:rsidRPr="00A95903">
        <w:rPr>
          <w:sz w:val="21"/>
          <w:szCs w:val="21"/>
        </w:rPr>
        <w:t xml:space="preserve">1. Në pikën 1, fjalia e parafundit shfuqizohet. </w:t>
      </w:r>
    </w:p>
    <w:p w:rsidR="005029A7" w:rsidRPr="00A95903" w:rsidRDefault="005029A7" w:rsidP="005029A7">
      <w:pPr>
        <w:pStyle w:val="Paragrafi0"/>
        <w:rPr>
          <w:sz w:val="21"/>
          <w:szCs w:val="21"/>
        </w:rPr>
      </w:pPr>
      <w:r w:rsidRPr="00A95903">
        <w:rPr>
          <w:sz w:val="21"/>
          <w:szCs w:val="21"/>
        </w:rPr>
        <w:t>2. Në pikën 1, në fjalinë e fundit emërtimi “Agjencinë e Prokurimit Publik” zëvendësohet me emërtimin “Komisionin e Prokurimit Publik”.</w:t>
      </w:r>
    </w:p>
    <w:p w:rsidR="005029A7" w:rsidRPr="00A95903" w:rsidRDefault="005029A7" w:rsidP="005029A7">
      <w:pPr>
        <w:pStyle w:val="Paragrafi0"/>
        <w:rPr>
          <w:sz w:val="21"/>
          <w:szCs w:val="21"/>
        </w:rPr>
      </w:pPr>
      <w:r w:rsidRPr="00A95903">
        <w:rPr>
          <w:sz w:val="21"/>
          <w:szCs w:val="21"/>
        </w:rPr>
        <w:t>3. Pas pikës 2 shtohet pika 2/1 me këtë përmbajtje:</w:t>
      </w:r>
    </w:p>
    <w:p w:rsidR="005029A7" w:rsidRPr="00A95903" w:rsidRDefault="005029A7" w:rsidP="005029A7">
      <w:pPr>
        <w:pStyle w:val="Paragrafi0"/>
        <w:rPr>
          <w:sz w:val="21"/>
          <w:szCs w:val="21"/>
        </w:rPr>
      </w:pPr>
      <w:r w:rsidRPr="00A95903">
        <w:rPr>
          <w:sz w:val="21"/>
          <w:szCs w:val="21"/>
        </w:rPr>
        <w:t>“2/1. Në çdo rast, kur ndryshohen dokumentet e tenderit, autoriteti kontraktor zgjat afatin kohor për dorëzimin e ofertës me 5 ditë, ndërsa për prokurimet mbi kufijtë e lartë monetarë me 10 ditë.”.</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14</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43 “Afatet kohore për dorëzimin e kërkesave për pjesëmarrje dhe për dorëzimin e ofertave” bëhen ndryshimet e mëposhtme:</w:t>
      </w:r>
    </w:p>
    <w:p w:rsidR="005029A7" w:rsidRPr="00A95903" w:rsidRDefault="005029A7" w:rsidP="005029A7">
      <w:pPr>
        <w:pStyle w:val="Paragrafi0"/>
        <w:rPr>
          <w:sz w:val="21"/>
          <w:szCs w:val="21"/>
        </w:rPr>
      </w:pPr>
      <w:r w:rsidRPr="00A95903">
        <w:rPr>
          <w:sz w:val="21"/>
          <w:szCs w:val="21"/>
        </w:rPr>
        <w:t>1. Në pikën 2, fjalët “është botuar njoftimi i kontratës” zëvendësohen me fjalët “është shpallur njoftimi i kontratës në faqen e internetit të Agjencisë së Prokurimit Publik”.</w:t>
      </w:r>
    </w:p>
    <w:p w:rsidR="005029A7" w:rsidRPr="00A95903" w:rsidRDefault="005029A7" w:rsidP="005029A7">
      <w:pPr>
        <w:pStyle w:val="Paragrafi0"/>
        <w:rPr>
          <w:sz w:val="21"/>
          <w:szCs w:val="21"/>
        </w:rPr>
      </w:pPr>
      <w:r w:rsidRPr="00A95903">
        <w:rPr>
          <w:sz w:val="21"/>
          <w:szCs w:val="21"/>
        </w:rPr>
        <w:t>2. Në pikat 3 shkronja “a”, 5, 6 shkronja “a” dhe 7 fjalët “është botuar njoftimi i kontratës” zëvendësohen me fjalët “është shpallur njoftimi i kontratës në faqen e internetit të Agjencisë së Prokurimit Publik”.</w:t>
      </w:r>
    </w:p>
    <w:p w:rsidR="005029A7" w:rsidRPr="00A95903" w:rsidRDefault="005029A7" w:rsidP="005029A7">
      <w:pPr>
        <w:pStyle w:val="Paragrafi0"/>
        <w:rPr>
          <w:sz w:val="21"/>
          <w:szCs w:val="21"/>
        </w:rPr>
      </w:pPr>
      <w:r w:rsidRPr="00A95903">
        <w:rPr>
          <w:sz w:val="21"/>
          <w:szCs w:val="21"/>
        </w:rPr>
        <w:t xml:space="preserve">3. Pika 2/1 shfuqizohet. </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15</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45 “Kriteret e përjashtimit të kandidatëve ose ofertuesve” pika 2 bëhen ndryshimet e mëposhtme:</w:t>
      </w:r>
    </w:p>
    <w:p w:rsidR="005029A7" w:rsidRPr="00A95903" w:rsidRDefault="005029A7" w:rsidP="005029A7">
      <w:pPr>
        <w:pStyle w:val="Paragrafi0"/>
        <w:rPr>
          <w:sz w:val="21"/>
          <w:szCs w:val="21"/>
        </w:rPr>
      </w:pPr>
      <w:r w:rsidRPr="00A95903">
        <w:rPr>
          <w:sz w:val="21"/>
          <w:szCs w:val="21"/>
        </w:rPr>
        <w:t>1. Shkronja “a” ndryshohet si më poshtë:</w:t>
      </w:r>
    </w:p>
    <w:p w:rsidR="005029A7" w:rsidRPr="00A95903" w:rsidRDefault="005029A7" w:rsidP="005029A7">
      <w:pPr>
        <w:pStyle w:val="Paragrafi0"/>
        <w:rPr>
          <w:sz w:val="21"/>
          <w:szCs w:val="21"/>
        </w:rPr>
      </w:pPr>
      <w:r w:rsidRPr="00A95903">
        <w:rPr>
          <w:sz w:val="21"/>
          <w:szCs w:val="21"/>
        </w:rPr>
        <w:t>“a) ka falimentuar dhe kapitalet e tij janë në proces ekzekutimi nga përmbaruesit;”.</w:t>
      </w:r>
    </w:p>
    <w:p w:rsidR="005029A7" w:rsidRPr="00A95903" w:rsidRDefault="005029A7" w:rsidP="005029A7">
      <w:pPr>
        <w:pStyle w:val="Paragrafi0"/>
        <w:rPr>
          <w:sz w:val="21"/>
          <w:szCs w:val="21"/>
        </w:rPr>
      </w:pPr>
      <w:r w:rsidRPr="00A95903">
        <w:rPr>
          <w:sz w:val="21"/>
          <w:szCs w:val="21"/>
        </w:rPr>
        <w:t>2. Shkronja “ç” shfuqizohet.</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 xml:space="preserve"> Neni 16 </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49 “Sigurimi i ofertës” pika 1/1 ndryshohet si më poshtë:</w:t>
      </w:r>
    </w:p>
    <w:p w:rsidR="005029A7" w:rsidRPr="00A95903" w:rsidRDefault="005029A7" w:rsidP="005029A7">
      <w:pPr>
        <w:pStyle w:val="Paragrafi0"/>
        <w:rPr>
          <w:sz w:val="21"/>
          <w:szCs w:val="21"/>
        </w:rPr>
      </w:pPr>
      <w:r w:rsidRPr="00A95903">
        <w:rPr>
          <w:sz w:val="21"/>
          <w:szCs w:val="21"/>
        </w:rPr>
        <w:t>“1/1. Autoritetet kontraktore, në procedurat e prokurimit të kontratave sektoriale mund t’u kërkojnë ofertuesve të paraqesin sigurimin e ofertës.”.</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17</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52 “Hapja e ofertave”, pas pikës 5 shtohet pika 6 me këtë përmbajtje:</w:t>
      </w:r>
    </w:p>
    <w:p w:rsidR="005029A7" w:rsidRPr="00A95903" w:rsidRDefault="005029A7" w:rsidP="005029A7">
      <w:pPr>
        <w:pStyle w:val="Paragrafi0"/>
        <w:rPr>
          <w:sz w:val="21"/>
          <w:szCs w:val="21"/>
        </w:rPr>
      </w:pPr>
      <w:r w:rsidRPr="00A95903">
        <w:rPr>
          <w:sz w:val="21"/>
          <w:szCs w:val="21"/>
        </w:rPr>
        <w:t>“6. Në rastin e prokurimit me mjete elektronike, hapja e ofertave bëhet si më poshtë:</w:t>
      </w:r>
    </w:p>
    <w:p w:rsidR="005029A7" w:rsidRPr="00A95903" w:rsidRDefault="005029A7" w:rsidP="005029A7">
      <w:pPr>
        <w:pStyle w:val="Paragrafi0"/>
        <w:rPr>
          <w:sz w:val="21"/>
          <w:szCs w:val="21"/>
        </w:rPr>
      </w:pPr>
      <w:r w:rsidRPr="00A95903">
        <w:rPr>
          <w:sz w:val="21"/>
          <w:szCs w:val="21"/>
        </w:rPr>
        <w:t> a) Autoriteti kontraktor i hap të gjitha ofertat në datën, vendin dhe kohën e përcaktuar në dokumentet e tenderit, pas mbarimit të afatit përfundimtar për paraqitjen e ofertave ose pas mbarimit të afatit përfundimtar, të përcaktuar pas zgjatjes së këtij afati, në përputhje me procedurat e specifikuara në dokumentet e tenderit, sipas rregullave të prokurimit me mjete elektronike.</w:t>
      </w:r>
    </w:p>
    <w:p w:rsidR="005029A7" w:rsidRPr="00A95903" w:rsidRDefault="005029A7" w:rsidP="005029A7">
      <w:pPr>
        <w:pStyle w:val="Paragrafi0"/>
        <w:rPr>
          <w:sz w:val="21"/>
          <w:szCs w:val="21"/>
        </w:rPr>
      </w:pPr>
      <w:r w:rsidRPr="00A95903">
        <w:rPr>
          <w:sz w:val="21"/>
          <w:szCs w:val="21"/>
        </w:rPr>
        <w:t>b) Duke qenë se dokumentacioni i paraqitur nga ofertuesit regjistrohet automatikisht në sistem, pikat 2, 3, 4 e 5 nuk zbatohen në rastin e prokurimit me mjete elektronike.”.</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18</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55 “Kriteret e përcaktimit të ofertës fituese”, në fund të pikës 4 shtohet fjalia me këtë përmbajtje:</w:t>
      </w:r>
    </w:p>
    <w:p w:rsidR="005029A7" w:rsidRPr="00A95903" w:rsidRDefault="005029A7" w:rsidP="005029A7">
      <w:pPr>
        <w:pStyle w:val="Paragrafi0"/>
        <w:rPr>
          <w:sz w:val="21"/>
          <w:szCs w:val="21"/>
        </w:rPr>
      </w:pPr>
      <w:r w:rsidRPr="00A95903">
        <w:rPr>
          <w:sz w:val="21"/>
          <w:szCs w:val="21"/>
        </w:rPr>
        <w:t>“Në rastin e prokurimit me mjete elektronike, sistemi administron automatikisht të dhënat, vlerësimet dhe komentet mbi to, duke njoftuar, në rrugë elektronike, ofertuesit.”.</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19</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58</w:t>
      </w:r>
      <w:bookmarkStart w:id="1" w:name="_Toc146620217"/>
      <w:r w:rsidRPr="00A95903">
        <w:rPr>
          <w:sz w:val="21"/>
          <w:szCs w:val="21"/>
        </w:rPr>
        <w:t xml:space="preserve"> “Njoftimi i fituesit dhe nënshkrimi i kontratës</w:t>
      </w:r>
      <w:bookmarkEnd w:id="1"/>
      <w:r w:rsidRPr="00A95903">
        <w:rPr>
          <w:sz w:val="21"/>
          <w:szCs w:val="21"/>
        </w:rPr>
        <w:t>” pika 5, fjalët “në listën e tenderave” zëvendësohen me fjalët “në listën e ofertave”.</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 xml:space="preserve">Neni 20 </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Pas nenit 58 “Njoftimi i fituesit dhe nënshkrimi i kontratës” të kreut V shtohet kreu V/1 “Zhvillimi i procedurave për kontratat sektoriale” me këtë përmbajtje: </w:t>
      </w:r>
    </w:p>
    <w:p w:rsidR="005029A7" w:rsidRPr="00A95903" w:rsidRDefault="005029A7" w:rsidP="005029A7">
      <w:pPr>
        <w:pStyle w:val="Paragrafi0"/>
        <w:rPr>
          <w:sz w:val="21"/>
          <w:szCs w:val="21"/>
        </w:rPr>
      </w:pPr>
    </w:p>
    <w:p w:rsidR="005029A7" w:rsidRPr="00A95903" w:rsidRDefault="005029A7" w:rsidP="0053441D">
      <w:pPr>
        <w:pStyle w:val="KapitulliNr"/>
        <w:rPr>
          <w:sz w:val="21"/>
          <w:szCs w:val="21"/>
        </w:rPr>
      </w:pPr>
      <w:r w:rsidRPr="00A95903">
        <w:rPr>
          <w:sz w:val="21"/>
          <w:szCs w:val="21"/>
        </w:rPr>
        <w:t>“KREU V/1</w:t>
      </w:r>
    </w:p>
    <w:p w:rsidR="005029A7" w:rsidRPr="00A95903" w:rsidRDefault="005029A7" w:rsidP="0053441D">
      <w:pPr>
        <w:pStyle w:val="KapitulliTitull"/>
        <w:rPr>
          <w:sz w:val="21"/>
          <w:szCs w:val="21"/>
        </w:rPr>
      </w:pPr>
      <w:r w:rsidRPr="00A95903">
        <w:rPr>
          <w:sz w:val="21"/>
          <w:szCs w:val="21"/>
        </w:rPr>
        <w:t>ZHVILLIMI I PROCEDURAVE PËR KONTRATAT SEKTORIALE</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58/1</w:t>
      </w:r>
    </w:p>
    <w:p w:rsidR="005029A7" w:rsidRPr="00A95903" w:rsidRDefault="005029A7" w:rsidP="0053441D">
      <w:pPr>
        <w:pStyle w:val="NeniTitull"/>
        <w:rPr>
          <w:sz w:val="21"/>
          <w:szCs w:val="21"/>
        </w:rPr>
      </w:pPr>
      <w:r w:rsidRPr="00A95903">
        <w:rPr>
          <w:sz w:val="21"/>
          <w:szCs w:val="21"/>
        </w:rPr>
        <w:t>Kontratat sektoriale</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1. Ky kre përmban dispozita të veçanta, që zbatohen nga autoritetet kontraktore, të cilat veprojnë në sektorët e shërbimit ujor, energjetik, të transportit dhe atij postar, kur ato prokurojnë kontrata sektoriale. Për qëllim të këtij kreu, kontratat sektoriale janë kontrata publike, të lidhura nga autoritetet kontraktore, siç parashikohet në pikën 14/1 të nenit 3, nëse kontrata është për kryerjen e secilës prej veprimtarive të mëposhtme: </w:t>
      </w:r>
    </w:p>
    <w:p w:rsidR="005029A7" w:rsidRPr="00A95903" w:rsidRDefault="00F31E98" w:rsidP="005029A7">
      <w:pPr>
        <w:pStyle w:val="Paragrafi0"/>
        <w:rPr>
          <w:sz w:val="21"/>
          <w:szCs w:val="21"/>
        </w:rPr>
      </w:pPr>
      <w:r w:rsidRPr="00A95903">
        <w:rPr>
          <w:sz w:val="21"/>
          <w:szCs w:val="21"/>
        </w:rPr>
        <w:t xml:space="preserve">a) </w:t>
      </w:r>
      <w:r w:rsidR="005029A7" w:rsidRPr="00A95903">
        <w:rPr>
          <w:sz w:val="21"/>
          <w:szCs w:val="21"/>
        </w:rPr>
        <w:t xml:space="preserve">ofrimin ose përdorimin e rrjeteve fikse, që kanë për qëllim t’i ofrojnë publikut shërbime për prodhimin, transportin a shpërndarjen e energjisë elektrike, të gazit apo të nxehtësisë ose furnizimin me energji elektrike, gaz a nxehtësi të këtyre rrjeteve; </w:t>
      </w:r>
    </w:p>
    <w:p w:rsidR="005029A7" w:rsidRPr="00A95903" w:rsidRDefault="00F31E98" w:rsidP="005029A7">
      <w:pPr>
        <w:pStyle w:val="Paragrafi0"/>
        <w:rPr>
          <w:sz w:val="21"/>
          <w:szCs w:val="21"/>
        </w:rPr>
      </w:pPr>
      <w:r w:rsidRPr="00A95903">
        <w:rPr>
          <w:sz w:val="21"/>
          <w:szCs w:val="21"/>
        </w:rPr>
        <w:t xml:space="preserve">b) </w:t>
      </w:r>
      <w:r w:rsidR="005029A7" w:rsidRPr="00A95903">
        <w:rPr>
          <w:sz w:val="21"/>
          <w:szCs w:val="21"/>
        </w:rPr>
        <w:t>shfrytëzimin e një zone gjeografike, për qëllime eksplorimi, me mundësinë për të nxjerrë naftë, gaz, qymyr apo karburante të tjera, të ngurta, furnizimin e aeroporteve dhe të porteve detare a tokësore ose të strukturave të tjera, të terminaleve për transportuesit ajrorë, detarë ose të ujërave tokësore;</w:t>
      </w:r>
    </w:p>
    <w:p w:rsidR="006773EF" w:rsidRPr="00A95903" w:rsidRDefault="006773EF" w:rsidP="005029A7">
      <w:pPr>
        <w:pStyle w:val="Paragrafi0"/>
        <w:rPr>
          <w:sz w:val="21"/>
          <w:szCs w:val="21"/>
        </w:rPr>
      </w:pPr>
    </w:p>
    <w:p w:rsidR="005029A7" w:rsidRPr="00A95903" w:rsidRDefault="00F31E98" w:rsidP="005029A7">
      <w:pPr>
        <w:pStyle w:val="Paragrafi0"/>
        <w:rPr>
          <w:sz w:val="21"/>
          <w:szCs w:val="21"/>
        </w:rPr>
      </w:pPr>
      <w:r w:rsidRPr="00A95903">
        <w:rPr>
          <w:sz w:val="21"/>
          <w:szCs w:val="21"/>
        </w:rPr>
        <w:t xml:space="preserve">c) </w:t>
      </w:r>
      <w:r w:rsidR="005029A7" w:rsidRPr="00A95903">
        <w:rPr>
          <w:sz w:val="21"/>
          <w:szCs w:val="21"/>
        </w:rPr>
        <w:t>ofrimin ose përdorimin e rrjeteve, që kanë për qëllim t’i ofrojnë publikut shërbime për prodhimin, transportin a shpërndarjen e ujit të pijshëm apo furnizimin me ujë të pijshëm të këtyre rrjeteve a menaxhimin e tyre;</w:t>
      </w:r>
    </w:p>
    <w:p w:rsidR="005029A7" w:rsidRPr="00A95903" w:rsidRDefault="005029A7" w:rsidP="005029A7">
      <w:pPr>
        <w:pStyle w:val="Paragrafi0"/>
        <w:rPr>
          <w:sz w:val="21"/>
          <w:szCs w:val="21"/>
        </w:rPr>
      </w:pPr>
      <w:r w:rsidRPr="00A95903">
        <w:rPr>
          <w:sz w:val="21"/>
          <w:szCs w:val="21"/>
        </w:rPr>
        <w:t xml:space="preserve">ç) ofrimin ose përdorimin e rrjeteve, që kanë për qëllim t’i ofrojnë publikut shërbime në fushën e transportit, nëpërmjet hekurudhave, sistemeve automatike, tramvajeve, autobusëve elektrikë a teleferikëve; </w:t>
      </w:r>
    </w:p>
    <w:p w:rsidR="005029A7" w:rsidRPr="00A95903" w:rsidRDefault="005029A7" w:rsidP="005029A7">
      <w:pPr>
        <w:pStyle w:val="Paragrafi0"/>
        <w:rPr>
          <w:sz w:val="21"/>
          <w:szCs w:val="21"/>
        </w:rPr>
      </w:pPr>
      <w:r w:rsidRPr="00A95903">
        <w:rPr>
          <w:sz w:val="21"/>
          <w:szCs w:val="21"/>
        </w:rPr>
        <w:t xml:space="preserve">d) ofrimin ose përdorimin e rrjeteve, që kanë për qëllim t’i ofrojnë publikut shërbime në fushën e transportit me autobus; </w:t>
      </w:r>
    </w:p>
    <w:p w:rsidR="005029A7" w:rsidRPr="00A95903" w:rsidRDefault="005029A7" w:rsidP="005029A7">
      <w:pPr>
        <w:pStyle w:val="Paragrafi0"/>
        <w:rPr>
          <w:sz w:val="21"/>
          <w:szCs w:val="21"/>
        </w:rPr>
      </w:pPr>
      <w:r w:rsidRPr="00A95903">
        <w:rPr>
          <w:sz w:val="21"/>
          <w:szCs w:val="21"/>
        </w:rPr>
        <w:t>dh) ofrimin e shërbimeve postare.</w:t>
      </w:r>
    </w:p>
    <w:p w:rsidR="005029A7" w:rsidRPr="00A95903" w:rsidRDefault="005029A7" w:rsidP="005029A7">
      <w:pPr>
        <w:pStyle w:val="Paragrafi0"/>
        <w:rPr>
          <w:sz w:val="21"/>
          <w:szCs w:val="21"/>
        </w:rPr>
      </w:pPr>
      <w:r w:rsidRPr="00A95903">
        <w:rPr>
          <w:sz w:val="21"/>
          <w:szCs w:val="21"/>
        </w:rPr>
        <w:t>2. Autoritetet kontraktore, që prokurojnë kontrata sektoriale, zbatojnë dispozitat e krerëve të tjerë të ligjit, përveç rastit kur parashikohet ndryshe në këtë kre.</w:t>
      </w:r>
    </w:p>
    <w:p w:rsidR="005029A7" w:rsidRPr="00A95903" w:rsidRDefault="005029A7" w:rsidP="005029A7">
      <w:pPr>
        <w:pStyle w:val="Paragrafi0"/>
        <w:rPr>
          <w:sz w:val="21"/>
          <w:szCs w:val="21"/>
        </w:rPr>
      </w:pPr>
      <w:r w:rsidRPr="00A95903">
        <w:rPr>
          <w:sz w:val="21"/>
          <w:szCs w:val="21"/>
        </w:rPr>
        <w:t xml:space="preserve">3. Autoritetet kontraktore zbatojnë dispozitat e këtij kreu edhe për lidhjen e kontratave që parashikohen në shkronjën “c” të pikës 1 dhe që: </w:t>
      </w:r>
    </w:p>
    <w:p w:rsidR="005029A7" w:rsidRPr="00A95903" w:rsidRDefault="005029A7" w:rsidP="005029A7">
      <w:pPr>
        <w:pStyle w:val="Paragrafi0"/>
        <w:rPr>
          <w:sz w:val="21"/>
          <w:szCs w:val="21"/>
        </w:rPr>
      </w:pPr>
      <w:r w:rsidRPr="00A95903">
        <w:rPr>
          <w:sz w:val="21"/>
          <w:szCs w:val="21"/>
        </w:rPr>
        <w:t xml:space="preserve">a) kanë lidhje me projekte inxhinierike hidraulike, të ujitjes apo të drenazhimit të tokës, me kusht që vëllimi i ujit, që do të përdoret për furnizimin me ujë të pijshëm, të përbëjë jo më tepër se 20 për qind të vëllimit të përgjithshëm të bërë të disponueshëm nga këto projekte apo nga infrastruktura ujitëse a drenazhuese; ose </w:t>
      </w:r>
    </w:p>
    <w:p w:rsidR="005029A7" w:rsidRPr="00A95903" w:rsidRDefault="005029A7" w:rsidP="005029A7">
      <w:pPr>
        <w:pStyle w:val="Paragrafi0"/>
        <w:rPr>
          <w:sz w:val="21"/>
          <w:szCs w:val="21"/>
        </w:rPr>
      </w:pPr>
      <w:r w:rsidRPr="00A95903">
        <w:rPr>
          <w:sz w:val="21"/>
          <w:szCs w:val="21"/>
        </w:rPr>
        <w:t>b) kanë lidhje me zhvendosjen apo trajtimin e ujërave të zeza, për sistemet e kanalizimeve dhe të trajtimit të këtyre ujërave dhe me veprimtaritë, që kanë lidhje me përfitimin e ujit të pijshëm.</w:t>
      </w:r>
    </w:p>
    <w:p w:rsidR="005029A7" w:rsidRPr="00A95903" w:rsidRDefault="005029A7" w:rsidP="005029A7">
      <w:pPr>
        <w:pStyle w:val="Paragrafi0"/>
        <w:rPr>
          <w:sz w:val="21"/>
          <w:szCs w:val="21"/>
        </w:rPr>
      </w:pPr>
      <w:r w:rsidRPr="00A95903">
        <w:rPr>
          <w:sz w:val="21"/>
          <w:szCs w:val="21"/>
        </w:rPr>
        <w:t xml:space="preserve">4. Për sa u përket shërbimeve të transportit, të parashikuara në shkronjat “ç” e “d” të pikës 1 të këtij neni, një rrjet vlerësohet se ekziston atëherë kur shërbimi ofrohet në kushtet e punës, të parashtruara nga një autoritet përkatës, siç janë kushtet e linjave që do të shërbehen, në kapacitetin që do të ofrohet apo në frekuencën e shërbimit. </w:t>
      </w:r>
    </w:p>
    <w:p w:rsidR="005029A7" w:rsidRPr="00A95903" w:rsidRDefault="005029A7" w:rsidP="005029A7">
      <w:pPr>
        <w:pStyle w:val="Paragrafi0"/>
        <w:rPr>
          <w:sz w:val="21"/>
          <w:szCs w:val="21"/>
        </w:rPr>
      </w:pPr>
      <w:r w:rsidRPr="00A95903">
        <w:rPr>
          <w:sz w:val="21"/>
          <w:szCs w:val="21"/>
        </w:rPr>
        <w:t xml:space="preserve">5. Autoritetet kontraktore, që lidhin kontratat e parashikuara në shkronjën “dh” të pikës 1 zbatojnë dispozitat e këtij kreu edhe për kontratat, që kanë lidhje me ofrimin e shërbimeve të mëposhtme: menaxhimin e shërbimit postar, para dhe pas dërgimit, transmetimit të dokumenteve të koduara, me mjete elektronike komunikimi, menaxhimin e bazave të të dhënave të adresave, transmetimin e postës së regjistruar elektronike, shërbimet financiare, filatelike dhe logjistike, veçanërisht, transportimin e mallrave të përdorimit të gjerë, si edhe paketimin e magazinimin e tyre. </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58/2</w:t>
      </w:r>
    </w:p>
    <w:p w:rsidR="005029A7" w:rsidRPr="00A95903" w:rsidRDefault="005029A7" w:rsidP="0053441D">
      <w:pPr>
        <w:pStyle w:val="NeniTitull"/>
        <w:rPr>
          <w:sz w:val="21"/>
          <w:szCs w:val="21"/>
        </w:rPr>
      </w:pPr>
      <w:r w:rsidRPr="00A95903">
        <w:rPr>
          <w:sz w:val="21"/>
          <w:szCs w:val="21"/>
        </w:rPr>
        <w:t>Prokurimet që përfshijnë disa veprimtari të ndryshme</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1. Një kontratë, që synon të mbulojë disa veprimtari të ndryshme, është objekt i rregullave të zbatueshme për veprimtarinë kryesore të synuar. </w:t>
      </w:r>
    </w:p>
    <w:p w:rsidR="005029A7" w:rsidRPr="00A95903" w:rsidRDefault="005029A7" w:rsidP="005029A7">
      <w:pPr>
        <w:pStyle w:val="Paragrafi0"/>
        <w:rPr>
          <w:sz w:val="21"/>
          <w:szCs w:val="21"/>
        </w:rPr>
      </w:pPr>
      <w:r w:rsidRPr="00A95903">
        <w:rPr>
          <w:sz w:val="21"/>
          <w:szCs w:val="21"/>
        </w:rPr>
        <w:t>Sidoqoftë, zgjedhja ndërmjet dhënies së një kontrate të vetme dhe dhënies së një numri kontratash të veçanta nuk mund të kryhet me objektivin e përjashtimit të saj nga fusha e këtij kreu apo, aty ku është e mundur, nga dispozita të tjera të këtij ligji.</w:t>
      </w:r>
    </w:p>
    <w:p w:rsidR="005029A7" w:rsidRPr="00A95903" w:rsidRDefault="005029A7" w:rsidP="005029A7">
      <w:pPr>
        <w:pStyle w:val="Paragrafi0"/>
        <w:rPr>
          <w:sz w:val="21"/>
          <w:szCs w:val="21"/>
        </w:rPr>
      </w:pPr>
      <w:r w:rsidRPr="00A95903">
        <w:rPr>
          <w:sz w:val="21"/>
          <w:szCs w:val="21"/>
        </w:rPr>
        <w:t>2. Nëse njëra prej veprimtarive, për të cilën është përgatitur kontrata, është objekt i këtij kreu dhe veprimtaria tjetër i krerëve I e V të këtij ligji dhe nëse është objektivisht e pamundur të përcaktohet se cilën veprimtari kryesore mbulon kontrata, atëherë kontrata prokurohet në përputhje me krerët I e V.</w:t>
      </w:r>
    </w:p>
    <w:p w:rsidR="005029A7" w:rsidRPr="00A95903" w:rsidRDefault="005029A7" w:rsidP="005029A7">
      <w:pPr>
        <w:pStyle w:val="Paragrafi0"/>
        <w:rPr>
          <w:sz w:val="21"/>
          <w:szCs w:val="21"/>
        </w:rPr>
      </w:pPr>
      <w:r w:rsidRPr="00A95903">
        <w:rPr>
          <w:sz w:val="21"/>
          <w:szCs w:val="21"/>
        </w:rPr>
        <w:t>3. Nëse njëra prej veprimtarive, për të cilën është përgatitur kontrata, është objekt i këtij kreu dhe tjetra nuk është objekt as i këtij kreu apo edhe i krerëve I e V dhe nëse është objektivisht e pamundur të përcaktohet se cilën veprimtari kryesore mbulon kontrata, atëherë kontrata prokurohet në përputhje me këtë kre.</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58/3</w:t>
      </w:r>
    </w:p>
    <w:p w:rsidR="005029A7" w:rsidRPr="00A95903" w:rsidRDefault="005029A7" w:rsidP="0053441D">
      <w:pPr>
        <w:pStyle w:val="NeniTitull"/>
        <w:rPr>
          <w:sz w:val="21"/>
          <w:szCs w:val="21"/>
        </w:rPr>
      </w:pPr>
      <w:r w:rsidRPr="00A95903">
        <w:rPr>
          <w:sz w:val="21"/>
          <w:szCs w:val="21"/>
        </w:rPr>
        <w:t>Kontratat e lidhura për qëllime të rishitjes apo dhënies me qira palëve të treta</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Ky kre nuk është i zbatueshëm për kontratat sektoriale, të lidhura nga autoritetet kontraktore për qëllime të rishitjes apo dhënies me qira të objektit të kontratës palëve të treta, me kusht që autoriteti kontraktor të mos ketë të drejtë, të veçantë apo ekskluzive, për ta shitur apo dhënë me qira objektin e kontratës dhe që autoritetet e tjera të mund ta shesin dhe ta japin me qira pa kufizime dhe me të njëjtat kushte si autoriteti kontraktor.</w:t>
      </w:r>
    </w:p>
    <w:p w:rsidR="0053441D" w:rsidRPr="00A95903" w:rsidRDefault="0053441D"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58/4</w:t>
      </w:r>
    </w:p>
    <w:p w:rsidR="005029A7" w:rsidRPr="00A95903" w:rsidRDefault="005029A7" w:rsidP="0053441D">
      <w:pPr>
        <w:pStyle w:val="NeniTitull"/>
        <w:rPr>
          <w:sz w:val="21"/>
          <w:szCs w:val="21"/>
        </w:rPr>
      </w:pPr>
      <w:r w:rsidRPr="00A95903">
        <w:rPr>
          <w:sz w:val="21"/>
          <w:szCs w:val="21"/>
        </w:rPr>
        <w:t>Kontratat për sipërmarrje të lidhura, për një bashkim operatorësh ekonomikë apo për një ent kontraktor, që është pjesë e një bashkimi operatorësh ekonomikë</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1. Ky kre nuk është i zbatueshëm për kontratat sektoriale të lidhura nga autoriteti kontraktor për një sipërmarrje të lidhur apo për një bashkim operatorësh ekonomikë, të formuar ekskluzivisht nga një numër autoritetesh kontraktore, për kryerjen e veprimtarive, që parashikohen në nenin 58/1, për një sipërmarje të lidhur me njërin prej këtyre enteve kontraktore, me kusht që të përmbushen kushtet e parashtruara në pikën 3 të këtij neni.</w:t>
      </w:r>
    </w:p>
    <w:p w:rsidR="005029A7" w:rsidRPr="00A95903" w:rsidRDefault="005029A7" w:rsidP="005029A7">
      <w:pPr>
        <w:pStyle w:val="Paragrafi0"/>
        <w:rPr>
          <w:sz w:val="21"/>
          <w:szCs w:val="21"/>
        </w:rPr>
      </w:pPr>
      <w:r w:rsidRPr="00A95903">
        <w:rPr>
          <w:sz w:val="21"/>
          <w:szCs w:val="21"/>
        </w:rPr>
        <w:t>2. Për qëllime të këtij neni, “sipërmarrje e lidhur” nënkupton çdo sipërmarrje:</w:t>
      </w:r>
    </w:p>
    <w:p w:rsidR="005029A7" w:rsidRPr="00A95903" w:rsidRDefault="005029A7" w:rsidP="005029A7">
      <w:pPr>
        <w:pStyle w:val="Paragrafi0"/>
        <w:rPr>
          <w:sz w:val="21"/>
          <w:szCs w:val="21"/>
        </w:rPr>
      </w:pPr>
      <w:r w:rsidRPr="00A95903">
        <w:rPr>
          <w:sz w:val="21"/>
          <w:szCs w:val="21"/>
        </w:rPr>
        <w:t xml:space="preserve"> a) llogaritë vjetore të së cilës janë të konsoliduara me ato të autoritetit kontraktor, në përputhje me rregullat e kontabilitetit; </w:t>
      </w:r>
    </w:p>
    <w:p w:rsidR="005029A7" w:rsidRPr="00A95903" w:rsidRDefault="005029A7" w:rsidP="005029A7">
      <w:pPr>
        <w:pStyle w:val="Paragrafi0"/>
        <w:rPr>
          <w:sz w:val="21"/>
          <w:szCs w:val="21"/>
        </w:rPr>
      </w:pPr>
      <w:r w:rsidRPr="00A95903">
        <w:rPr>
          <w:sz w:val="21"/>
          <w:szCs w:val="21"/>
        </w:rPr>
        <w:t xml:space="preserve"> b) mbi të cilën autoriteti kontraktor mund të ushtrojë, drejtpërdrejt ose tërthorazi, ndikim dominues, sipas kuptimit të shkronjës “b” të pikës 14/1 të nenit 3, apo e cila mund të ushtrojë një ndikim dominues mbi autoritetin kontraktor, ose e cila, së bashku me autoritetin kontraktor, është subjekt i ndikimit dominues të një sipërmarrjeje tjetër, si rrjedhojë e pronësisë, pjesëmarrjes financiare apo e rregullave që e drejtojnë atë.</w:t>
      </w:r>
    </w:p>
    <w:p w:rsidR="005029A7" w:rsidRPr="00A95903" w:rsidRDefault="005029A7" w:rsidP="005029A7">
      <w:pPr>
        <w:pStyle w:val="Paragrafi0"/>
        <w:rPr>
          <w:sz w:val="21"/>
          <w:szCs w:val="21"/>
        </w:rPr>
      </w:pPr>
      <w:r w:rsidRPr="00A95903">
        <w:rPr>
          <w:sz w:val="21"/>
          <w:szCs w:val="21"/>
        </w:rPr>
        <w:t>3. Pika 1 e këtij neni është e zbatueshme nëse, të paktën, 80 për qind e xhiros mesatare së sipërmarrjes së lidhur, gjatë tri viteve të mëparshme vjen si rezultat i ofrimit të këtyre shërbimeve, furnizimeve apo punimeve për sipërmarrjet, me të cilat ajo është lidhur. Kur, për shkak të datës në të cilën është krijuar apo ka filluar veprimtarinë një sipërmarrje e lidhur, xhiroja nuk është e disponueshme për 3 vitet pararendëse, mjafton që ajo sipërmarrje të tregojë se xhiroja e paraqitur më sipër është e besueshme, sidomos nëpërmjet parashikimeve të bëra për të ardhmen e biznesit. Kur më tepër se një sipërmarrje e lidhur me autoritetin kontraktor ofron të njëjtat shërbime, furnizime ose punime të ngjashme, përqindja e mësipërme llogaritet duke marrë parasysh xhiron e përgjithshme, që vjen, përkatësisht, nga ofrimi i shërbimeve, furnizimeve apo punimeve të atyre sipërmarrjeve të lidhura.</w:t>
      </w:r>
    </w:p>
    <w:p w:rsidR="005029A7" w:rsidRPr="00A95903" w:rsidRDefault="005029A7" w:rsidP="005029A7">
      <w:pPr>
        <w:pStyle w:val="Paragrafi0"/>
        <w:rPr>
          <w:sz w:val="21"/>
          <w:szCs w:val="21"/>
        </w:rPr>
      </w:pPr>
      <w:r w:rsidRPr="00A95903">
        <w:rPr>
          <w:sz w:val="21"/>
          <w:szCs w:val="21"/>
        </w:rPr>
        <w:t>4. Ky kre nuk është, gjithashtu, i zbatueshëm për kontratat e lidhura:</w:t>
      </w:r>
    </w:p>
    <w:p w:rsidR="005029A7" w:rsidRPr="00A95903" w:rsidRDefault="005029A7" w:rsidP="005029A7">
      <w:pPr>
        <w:pStyle w:val="Paragrafi0"/>
        <w:rPr>
          <w:sz w:val="21"/>
          <w:szCs w:val="21"/>
        </w:rPr>
      </w:pPr>
      <w:r w:rsidRPr="00A95903">
        <w:rPr>
          <w:sz w:val="21"/>
          <w:szCs w:val="21"/>
        </w:rPr>
        <w:t>a) prej një bashkimi operatorësh ekonomikë, të krijuar ekskluzivisht nga një numër entesh kontraktore, për kryerjen e veprimtarive brenda kuptimit të asaj që parashikohet në nenin 58/1 të këtij ligji, për njërën prej këtyre enteve kontraktore;</w:t>
      </w:r>
    </w:p>
    <w:p w:rsidR="005029A7" w:rsidRPr="00A95903" w:rsidRDefault="005029A7" w:rsidP="005029A7">
      <w:pPr>
        <w:pStyle w:val="Paragrafi0"/>
        <w:rPr>
          <w:sz w:val="21"/>
          <w:szCs w:val="21"/>
        </w:rPr>
      </w:pPr>
      <w:r w:rsidRPr="00A95903">
        <w:rPr>
          <w:sz w:val="21"/>
          <w:szCs w:val="21"/>
        </w:rPr>
        <w:t>b) nga një ent kontraktor, pjesë e një sipërmarrjeje të përbashkët, me kusht që kjo sipërmarrje të jetë krijuar për të kryer veprimtarinë në fjalë, brenda një periudhe prej, të paktën, tre vjetësh dhe që instrumenti i krijimit të sipërmarrjes së përbashkët të përcaktojë se entet kontraktore, të cilat e formojnë atë, janë pjesë e saj, të paktën, për të njëjtën periudhë kohore.</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58/5</w:t>
      </w:r>
    </w:p>
    <w:p w:rsidR="005029A7" w:rsidRPr="00A95903" w:rsidRDefault="005029A7" w:rsidP="0053441D">
      <w:pPr>
        <w:pStyle w:val="NeniTitull"/>
        <w:rPr>
          <w:sz w:val="21"/>
          <w:szCs w:val="21"/>
        </w:rPr>
      </w:pPr>
      <w:r w:rsidRPr="00A95903">
        <w:rPr>
          <w:sz w:val="21"/>
          <w:szCs w:val="21"/>
        </w:rPr>
        <w:t>Përjashtimet specifike për sektorin e energjisë dhe të ujit</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1. Ky kre nuk është i zbatueshëm për kontratat sektoriale, të lidhura nga autoritetet kontraktore të parashikuara në shkronjat “b” e “c”  të pikës 14/1 të nenit 3, për qëllime të kryerjes së një veprimtarie, që ka të bëjë me ofrimin e gazit apo të nxehtësisë për rrjetet e përmendura në paragrafin e parë, të pikës 1 të nenit 58/1 të këtij ligji, nëse: </w:t>
      </w:r>
    </w:p>
    <w:p w:rsidR="005029A7" w:rsidRPr="00A95903" w:rsidRDefault="00F31E98" w:rsidP="005029A7">
      <w:pPr>
        <w:pStyle w:val="Paragrafi0"/>
        <w:rPr>
          <w:sz w:val="21"/>
          <w:szCs w:val="21"/>
        </w:rPr>
      </w:pPr>
      <w:r w:rsidRPr="00A95903">
        <w:rPr>
          <w:sz w:val="21"/>
          <w:szCs w:val="21"/>
        </w:rPr>
        <w:t xml:space="preserve">a) </w:t>
      </w:r>
      <w:r w:rsidR="005029A7" w:rsidRPr="00A95903">
        <w:rPr>
          <w:sz w:val="21"/>
          <w:szCs w:val="21"/>
        </w:rPr>
        <w:t>prodhimi i gazit apo i nxehtësisë është një pasojë e pashmangshme për kryerjen e një veprimtarie tjetër, që nuk përshkruhet në nenin 58/1 të këtij ligji; dhe</w:t>
      </w:r>
    </w:p>
    <w:p w:rsidR="005029A7" w:rsidRPr="00A95903" w:rsidRDefault="00F31E98" w:rsidP="005029A7">
      <w:pPr>
        <w:pStyle w:val="Paragrafi0"/>
        <w:rPr>
          <w:sz w:val="21"/>
          <w:szCs w:val="21"/>
        </w:rPr>
      </w:pPr>
      <w:r w:rsidRPr="00A95903">
        <w:rPr>
          <w:sz w:val="21"/>
          <w:szCs w:val="21"/>
        </w:rPr>
        <w:t xml:space="preserve">b) </w:t>
      </w:r>
      <w:r w:rsidR="005029A7" w:rsidRPr="00A95903">
        <w:rPr>
          <w:sz w:val="21"/>
          <w:szCs w:val="21"/>
        </w:rPr>
        <w:t>qëllimi i ofrimit të gazit ose i nxehtësisë është vetëm për të përdorur prodhimin për qëllime ekonomike dhe kur ai nuk kalon 20 për qind të xhiros mesatare të operatorit ekonomik gjatë periudhës së tri viteve të mëparshme, përfshirë vitin në të cilin është lidhur kontrata.</w:t>
      </w:r>
    </w:p>
    <w:p w:rsidR="005029A7" w:rsidRPr="00A95903" w:rsidRDefault="005029A7" w:rsidP="005029A7">
      <w:pPr>
        <w:pStyle w:val="Paragrafi0"/>
        <w:rPr>
          <w:sz w:val="21"/>
          <w:szCs w:val="21"/>
        </w:rPr>
      </w:pPr>
      <w:r w:rsidRPr="00A95903">
        <w:rPr>
          <w:sz w:val="21"/>
          <w:szCs w:val="21"/>
        </w:rPr>
        <w:t>2. Ky ligj nuk është i zbatueshëm për kontratat sektoriale, të lidhura nga autoritetet kontraktore, siç parashikohet në shkronjat “b” e “c” të pikës 14/1 të nenit 3, për qëllime të kryerjes së një veprimtarie, që ka të bëjë me ofrimin e energjisë elektrike për rrjetet e parashikuara në shkronjën “a” të pikës 1 të nenit 58/1 të këtij, nëse:</w:t>
      </w:r>
    </w:p>
    <w:p w:rsidR="005029A7" w:rsidRPr="00A95903" w:rsidRDefault="00F31E98" w:rsidP="005029A7">
      <w:pPr>
        <w:pStyle w:val="Paragrafi0"/>
        <w:rPr>
          <w:sz w:val="21"/>
          <w:szCs w:val="21"/>
        </w:rPr>
      </w:pPr>
      <w:r w:rsidRPr="00A95903">
        <w:rPr>
          <w:sz w:val="21"/>
          <w:szCs w:val="21"/>
        </w:rPr>
        <w:t xml:space="preserve">a) </w:t>
      </w:r>
      <w:r w:rsidR="005029A7" w:rsidRPr="00A95903">
        <w:rPr>
          <w:sz w:val="21"/>
          <w:szCs w:val="21"/>
        </w:rPr>
        <w:t>prodhimi i energjisë elektrike është i nevojshëm për të kryer një veprimtari të ndryshme nga ajo e parashikuar në nenin 58/1 të këtij ligji;</w:t>
      </w:r>
    </w:p>
    <w:p w:rsidR="005029A7" w:rsidRPr="00A95903" w:rsidRDefault="00F31E98" w:rsidP="005029A7">
      <w:pPr>
        <w:pStyle w:val="Paragrafi0"/>
        <w:rPr>
          <w:sz w:val="21"/>
          <w:szCs w:val="21"/>
        </w:rPr>
      </w:pPr>
      <w:r w:rsidRPr="00A95903">
        <w:rPr>
          <w:sz w:val="21"/>
          <w:szCs w:val="21"/>
        </w:rPr>
        <w:t xml:space="preserve">b) </w:t>
      </w:r>
      <w:r w:rsidR="005029A7" w:rsidRPr="00A95903">
        <w:rPr>
          <w:sz w:val="21"/>
          <w:szCs w:val="21"/>
        </w:rPr>
        <w:t>ofrimi i energjisë elektrike varet vetëm nga konsumi vetjak dhe nuk tejkalon 30 për qind të prodhimit të përgjithshëm gjatë periudhës së tri viteve të mëparshme, përfshirë vitin në të cilin është lidhur kontrata.</w:t>
      </w:r>
    </w:p>
    <w:p w:rsidR="005029A7" w:rsidRPr="00A95903" w:rsidRDefault="005029A7" w:rsidP="005029A7">
      <w:pPr>
        <w:pStyle w:val="Paragrafi0"/>
        <w:rPr>
          <w:sz w:val="21"/>
          <w:szCs w:val="21"/>
        </w:rPr>
      </w:pPr>
      <w:r w:rsidRPr="00A95903">
        <w:rPr>
          <w:sz w:val="21"/>
          <w:szCs w:val="21"/>
        </w:rPr>
        <w:t>3. Ky kre nuk është i zbatueshëm për kontratat sektoriale, të lidhura nga autoritetet kontraktore të parashikuara në shkronjat “b” e “c” të pikës 14/1 të nenit 3, për qëllime të kryerjes së një veprimtarie, që ka të bëjë me ofrimin e ujit të pijshëm për rrjetet e parashikuara në shkronjën “c” të pikës 1 të nenit 58/1 të këtij ligji, nëse:</w:t>
      </w:r>
    </w:p>
    <w:p w:rsidR="005029A7" w:rsidRPr="00A95903" w:rsidRDefault="00F31E98" w:rsidP="005029A7">
      <w:pPr>
        <w:pStyle w:val="Paragrafi0"/>
        <w:rPr>
          <w:sz w:val="21"/>
          <w:szCs w:val="21"/>
        </w:rPr>
      </w:pPr>
      <w:r w:rsidRPr="00A95903">
        <w:rPr>
          <w:sz w:val="21"/>
          <w:szCs w:val="21"/>
        </w:rPr>
        <w:t xml:space="preserve">a) </w:t>
      </w:r>
      <w:r w:rsidR="005029A7" w:rsidRPr="00A95903">
        <w:rPr>
          <w:sz w:val="21"/>
          <w:szCs w:val="21"/>
        </w:rPr>
        <w:t>prodhimi i ujit të pijshëm është i nevojshëm për kryerjen e një veprimtarie të ndryshme nga ajo e parashikuar në nenin 58/1 të këtij ligji;</w:t>
      </w:r>
    </w:p>
    <w:p w:rsidR="005029A7" w:rsidRPr="00A95903" w:rsidRDefault="00F31E98" w:rsidP="005029A7">
      <w:pPr>
        <w:pStyle w:val="Paragrafi0"/>
        <w:rPr>
          <w:sz w:val="21"/>
          <w:szCs w:val="21"/>
        </w:rPr>
      </w:pPr>
      <w:r w:rsidRPr="00A95903">
        <w:rPr>
          <w:sz w:val="21"/>
          <w:szCs w:val="21"/>
        </w:rPr>
        <w:t xml:space="preserve">b) </w:t>
      </w:r>
      <w:r w:rsidR="005029A7" w:rsidRPr="00A95903">
        <w:rPr>
          <w:sz w:val="21"/>
          <w:szCs w:val="21"/>
        </w:rPr>
        <w:t>ofrimi i ujit të pijshëm varet vetëm nga konsumi vetjak dhe nuk tejkalon 30 për qind të prodhimit të përgjithshëm gjatë periudhës së tri viteve të mëparshme, përfshirë vitin në të cilin është lidhur kontrata.</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58/6</w:t>
      </w:r>
    </w:p>
    <w:p w:rsidR="005029A7" w:rsidRPr="00A95903" w:rsidRDefault="005029A7" w:rsidP="0053441D">
      <w:pPr>
        <w:pStyle w:val="NeniTitull"/>
        <w:rPr>
          <w:sz w:val="21"/>
          <w:szCs w:val="21"/>
        </w:rPr>
      </w:pPr>
      <w:r w:rsidRPr="00A95903">
        <w:rPr>
          <w:sz w:val="21"/>
          <w:szCs w:val="21"/>
        </w:rPr>
        <w:t>Përjashtimi nga blerja e energjisë, e karburanteve dhe e ujit</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1. Autoritetet kontraktore, që kryejnë veprimtarinë e parashikuar në shkronjën “a” të pikës 1 të nenit 58/1 të këtij ligji, nuk i zbatojnë dispozitat e këtij kreu për të lidhur kontrata sektoriale për furnizimin me energji elektrike, nxehtësi ose karburante, të përdorura për prodhimin e energjisë. Kjo veprimtari rregullohet me akte të tjera ligjore ose nënligjore.</w:t>
      </w:r>
    </w:p>
    <w:p w:rsidR="005029A7" w:rsidRPr="00A95903" w:rsidRDefault="005029A7" w:rsidP="005029A7">
      <w:pPr>
        <w:pStyle w:val="Paragrafi0"/>
        <w:rPr>
          <w:sz w:val="21"/>
          <w:szCs w:val="21"/>
        </w:rPr>
      </w:pPr>
      <w:r w:rsidRPr="00A95903">
        <w:rPr>
          <w:sz w:val="21"/>
          <w:szCs w:val="21"/>
        </w:rPr>
        <w:t>2. Autoritetet kontraktore, që kryejnë veprimtarinë e parashikuar në shkronjën “c” të pikës 1 të nenit 58/1 të këtij ligji, nuk i zbatojnë dispozitat e këtij kreu për lidhjen e kontratave për furnizimin me ujë.</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58/7</w:t>
      </w:r>
    </w:p>
    <w:p w:rsidR="005029A7" w:rsidRPr="00A95903" w:rsidRDefault="005029A7" w:rsidP="0053441D">
      <w:pPr>
        <w:pStyle w:val="NeniTitull"/>
        <w:rPr>
          <w:sz w:val="21"/>
          <w:szCs w:val="21"/>
        </w:rPr>
      </w:pPr>
      <w:r w:rsidRPr="00A95903">
        <w:rPr>
          <w:sz w:val="21"/>
          <w:szCs w:val="21"/>
        </w:rPr>
        <w:t>Përjashtimi i shërbimeve të transportit me autobus</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Autoriteti kontraktor, që kryen veprimtarinë e parashikuar në shkronjën “dh” të pikës 1 të nenit 58/1 të këtij ligji, në bazë të të drejtave të veçanta, nuk zbaton dispozitat e këtij kreu, nëse shërbimet e rregullta të transportit mund të ofrohen, gjithashtu, nga shoqëri të tjera transporti, në të njëjtën zonë dhe me të njëjtat kushte. </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58/8</w:t>
      </w:r>
    </w:p>
    <w:p w:rsidR="005029A7" w:rsidRPr="00A95903" w:rsidRDefault="005029A7" w:rsidP="0053441D">
      <w:pPr>
        <w:pStyle w:val="NeniTitull"/>
        <w:rPr>
          <w:sz w:val="21"/>
          <w:szCs w:val="21"/>
        </w:rPr>
      </w:pPr>
      <w:r w:rsidRPr="00A95903">
        <w:rPr>
          <w:sz w:val="21"/>
          <w:szCs w:val="21"/>
        </w:rPr>
        <w:t>Procedurat për prokurimin e kontratave sektoriale</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1. Për procedurat e prokurimit të të gjitha kontratave sektoriale, autoritetet kontraktore gjithmonë mund të përdorin procedurën e hapur, të kufizuar apo të negociuar, me shpallje të njoftimit. </w:t>
      </w:r>
    </w:p>
    <w:p w:rsidR="005029A7" w:rsidRPr="00A95903" w:rsidRDefault="005029A7" w:rsidP="005029A7">
      <w:pPr>
        <w:pStyle w:val="Paragrafi0"/>
        <w:rPr>
          <w:sz w:val="21"/>
          <w:szCs w:val="21"/>
        </w:rPr>
      </w:pPr>
      <w:r w:rsidRPr="00A95903">
        <w:rPr>
          <w:sz w:val="21"/>
          <w:szCs w:val="21"/>
        </w:rPr>
        <w:t xml:space="preserve">2. Autoritetet kontraktore mund të prokurojnë kontrata sektoriale me procedurë me negocim, pa shpallje të njoftimit, kur: </w:t>
      </w:r>
    </w:p>
    <w:p w:rsidR="005029A7" w:rsidRPr="00A95903" w:rsidRDefault="005029A7" w:rsidP="005029A7">
      <w:pPr>
        <w:pStyle w:val="Paragrafi0"/>
        <w:rPr>
          <w:sz w:val="21"/>
          <w:szCs w:val="21"/>
        </w:rPr>
      </w:pPr>
      <w:r w:rsidRPr="00A95903">
        <w:rPr>
          <w:sz w:val="21"/>
          <w:szCs w:val="21"/>
        </w:rPr>
        <w:t>a) nuk është dorëzuar asnjë ofertë apo nuk ka asnjë ofertë apo aplikim të përshtatshëm në përgjigje të procedurës së hapur, të kufizuar ose të negociuar, me shpallje paraprake të njoftimit, me kusht që të mos ketë ndryshime thelbësore të kushteve fillestare të kontratës;</w:t>
      </w:r>
    </w:p>
    <w:p w:rsidR="005029A7" w:rsidRPr="00A95903" w:rsidRDefault="005029A7" w:rsidP="005029A7">
      <w:pPr>
        <w:pStyle w:val="Paragrafi0"/>
        <w:rPr>
          <w:sz w:val="21"/>
          <w:szCs w:val="21"/>
        </w:rPr>
      </w:pPr>
      <w:r w:rsidRPr="00A95903">
        <w:rPr>
          <w:sz w:val="21"/>
          <w:szCs w:val="21"/>
        </w:rPr>
        <w:t>b) për arsye teknike apo artistike, ose për arsye, që kanë lidhje me të drejtat ekskluzive, kontrata mund të ekzekutohet vetëm nga një operator ekonomik i veçantë;</w:t>
      </w:r>
    </w:p>
    <w:p w:rsidR="005029A7" w:rsidRPr="00A95903" w:rsidRDefault="005029A7" w:rsidP="005029A7">
      <w:pPr>
        <w:pStyle w:val="Paragrafi0"/>
        <w:rPr>
          <w:sz w:val="21"/>
          <w:szCs w:val="21"/>
        </w:rPr>
      </w:pPr>
      <w:r w:rsidRPr="00A95903">
        <w:rPr>
          <w:sz w:val="21"/>
          <w:szCs w:val="21"/>
        </w:rPr>
        <w:t>c) për arsye të nevojës ekstreme, të shkaktuar nga ngjarje të paparashikueshme nga autoriteti kontraktor, afati kohor, i parashikuar në nenin 43 të këtij ligji, për njoftimin e kontratës për procedurat e hapura, të kufizuara ose me negocim, me shpallje të njoftimit, nuk mund të respektohet. Rrethanat e përmendura për të justifikuar nevojën ekstreme nuk duhet të shkaktohen, në asnjë rast, nga veprimi ose mosveprimi i autoritetit kontraktor. Kushtet dhe rrethanat e përdorimit të kësaj procedure përcaktohen në rregullat e prokurimit;</w:t>
      </w:r>
    </w:p>
    <w:p w:rsidR="005029A7" w:rsidRPr="00A95903" w:rsidRDefault="005029A7" w:rsidP="005029A7">
      <w:pPr>
        <w:pStyle w:val="Paragrafi0"/>
        <w:rPr>
          <w:sz w:val="21"/>
          <w:szCs w:val="21"/>
        </w:rPr>
      </w:pPr>
      <w:r w:rsidRPr="00A95903">
        <w:rPr>
          <w:sz w:val="21"/>
          <w:szCs w:val="21"/>
        </w:rPr>
        <w:t xml:space="preserve">ç) një kontratë shpallet fituese, në bazë të marrëveshjes kuadër, me kusht që të respektohen kërkesat e nenit 58/9 të këtij ligji. </w:t>
      </w:r>
    </w:p>
    <w:p w:rsidR="005029A7" w:rsidRPr="00A95903" w:rsidRDefault="005029A7" w:rsidP="005029A7">
      <w:pPr>
        <w:pStyle w:val="Paragrafi0"/>
        <w:rPr>
          <w:sz w:val="21"/>
          <w:szCs w:val="21"/>
        </w:rPr>
      </w:pPr>
      <w:r w:rsidRPr="00A95903">
        <w:rPr>
          <w:sz w:val="21"/>
          <w:szCs w:val="21"/>
        </w:rPr>
        <w:t>3. Procedurat me negocim, pa shpallje paraprake të njoftimit, mund të përdoren për kontratat sektoriale, objekti i të cilave janë:</w:t>
      </w:r>
    </w:p>
    <w:p w:rsidR="005029A7" w:rsidRPr="00A95903" w:rsidRDefault="005029A7" w:rsidP="005029A7">
      <w:pPr>
        <w:pStyle w:val="Paragrafi0"/>
        <w:rPr>
          <w:sz w:val="21"/>
          <w:szCs w:val="21"/>
        </w:rPr>
      </w:pPr>
      <w:r w:rsidRPr="00A95903">
        <w:rPr>
          <w:sz w:val="21"/>
          <w:szCs w:val="21"/>
        </w:rPr>
        <w:t>a) kur mallrat e përfshira prodhohen krejtësisht për qëllime kërkimore, eksperimentimi, studimi apo zhvillimi. Kjo dispozitë nuk zbatohet për prodhimin në sasi me qëllim krijimin e një qëndrueshmërie ekonomike apo mbulimin e kostove kërkimore dhe të atyre zhvillimore;</w:t>
      </w:r>
    </w:p>
    <w:p w:rsidR="005029A7" w:rsidRPr="00A95903" w:rsidRDefault="005029A7" w:rsidP="005029A7">
      <w:pPr>
        <w:pStyle w:val="Paragrafi0"/>
        <w:rPr>
          <w:sz w:val="21"/>
          <w:szCs w:val="21"/>
        </w:rPr>
      </w:pPr>
      <w:r w:rsidRPr="00A95903">
        <w:rPr>
          <w:sz w:val="21"/>
          <w:szCs w:val="21"/>
        </w:rPr>
        <w:t xml:space="preserve">b) për furnizime shtesë nga furnitori fillestar, të vlerësuara qoftë si zëvendësim i pjesshëm i furnizimeve normale apo i instalimeve ekzistuese ose si zgjerim i furnizimeve apo i instalimeve aktuale, ku një ndryshim i furnitorit do ta detyronte autoritetin kontraktor të blinte materiale, që do të kishin specifikime të ndryshme teknike, të cilat do të rezultonin në mospërputhshmëri ose në vështirësi të mëdha teknike gjatë shfrytëzimit dhe mirëmbajtjes. Në këtë rast, kontrata shtesë nënshkruhet brenda një kufiri kohor prej 3 muajsh nga përfundimi i kontratës fillestare dhe nuk duhet të kalojë vlerën 20 për qind të vlerës së përgjithshme të kontratës fillestare; </w:t>
      </w:r>
    </w:p>
    <w:p w:rsidR="005029A7" w:rsidRPr="00A95903" w:rsidRDefault="005029A7" w:rsidP="005029A7">
      <w:pPr>
        <w:pStyle w:val="Paragrafi0"/>
        <w:rPr>
          <w:sz w:val="21"/>
          <w:szCs w:val="21"/>
        </w:rPr>
      </w:pPr>
      <w:r w:rsidRPr="00A95903">
        <w:rPr>
          <w:sz w:val="21"/>
          <w:szCs w:val="21"/>
        </w:rPr>
        <w:t xml:space="preserve">c) për furnizime të kuotuara dhe të blera në tregun e mallrave të përdorimit të gjerë; </w:t>
      </w:r>
    </w:p>
    <w:p w:rsidR="005029A7" w:rsidRPr="00A95903" w:rsidRDefault="005029A7" w:rsidP="005029A7">
      <w:pPr>
        <w:pStyle w:val="Paragrafi0"/>
        <w:rPr>
          <w:sz w:val="21"/>
          <w:szCs w:val="21"/>
        </w:rPr>
      </w:pPr>
      <w:r w:rsidRPr="00A95903">
        <w:rPr>
          <w:sz w:val="21"/>
          <w:szCs w:val="21"/>
        </w:rPr>
        <w:t xml:space="preserve">ç) për blerje me leverdi, kur është e mundur të prokurohen furnizime, duke shfrytëzuar një mundësi veçanërisht të mirë, të disponueshme vetëm për një periudhë të shkurtër kohe, me një çmim shumë më të ulët se çmimet normale të tregut; </w:t>
      </w:r>
    </w:p>
    <w:p w:rsidR="005029A7" w:rsidRPr="00A95903" w:rsidRDefault="005029A7" w:rsidP="005029A7">
      <w:pPr>
        <w:pStyle w:val="Paragrafi0"/>
        <w:rPr>
          <w:sz w:val="21"/>
          <w:szCs w:val="21"/>
        </w:rPr>
      </w:pPr>
      <w:r w:rsidRPr="00A95903">
        <w:rPr>
          <w:sz w:val="21"/>
          <w:szCs w:val="21"/>
        </w:rPr>
        <w:t xml:space="preserve">d) për blerje furnizimesh, me kushte veçanërisht favorizuese, nga një furnitor, në likuidim përfundimtar të biznesit të vet ose nga marrësit apo likuiduesit e një falimentimi, me marrëveshje me kreditorët ose me një procedurë të ngjashme, në përputhje me ligjet dhe rregullat kombëtare në fuqi. </w:t>
      </w:r>
    </w:p>
    <w:p w:rsidR="005029A7" w:rsidRPr="00A95903" w:rsidRDefault="005029A7" w:rsidP="005029A7">
      <w:pPr>
        <w:pStyle w:val="Paragrafi0"/>
        <w:rPr>
          <w:sz w:val="21"/>
          <w:szCs w:val="21"/>
        </w:rPr>
      </w:pPr>
      <w:r w:rsidRPr="00A95903">
        <w:rPr>
          <w:sz w:val="21"/>
          <w:szCs w:val="21"/>
        </w:rPr>
        <w:t xml:space="preserve">4. Procedurat me negocim, pa shpallje paraprake të njoftimit të kontratës, mund të përdoren për kontratat sektoriale, objekti i së cilave janë: </w:t>
      </w:r>
    </w:p>
    <w:p w:rsidR="005029A7" w:rsidRPr="00A95903" w:rsidRDefault="005029A7" w:rsidP="005029A7">
      <w:pPr>
        <w:pStyle w:val="Paragrafi0"/>
        <w:rPr>
          <w:sz w:val="21"/>
          <w:szCs w:val="21"/>
        </w:rPr>
      </w:pPr>
      <w:r w:rsidRPr="00A95903">
        <w:rPr>
          <w:sz w:val="21"/>
          <w:szCs w:val="21"/>
        </w:rPr>
        <w:t>a) për punime apo shërbime shtesë, të cilat nuk kanë qenë të përfshira në kontratën fillestare, por që, nëpërmjet rrethanave të paparashikuara, bëhen të domosdoshme për ecurinë e punimeve apo të shërbimeve, të përshkruara në kontratë, me kusht që kontrata të lidhet me operatorin ekonomik, i cili është duke i kryer këto punime apo shërbime, për sa kohë që vlera e përgjithshme e kontratave të lidhura për punimet dhe shërbimet shtesë nuk duhet të kalojë 20 për qind të vlerës së përgjithshme të kontratës fillestare, kur punime a shërbime të tilla:</w:t>
      </w:r>
    </w:p>
    <w:p w:rsidR="005029A7" w:rsidRPr="00A95903" w:rsidRDefault="005029A7" w:rsidP="005029A7">
      <w:pPr>
        <w:pStyle w:val="Paragrafi0"/>
        <w:rPr>
          <w:sz w:val="21"/>
          <w:szCs w:val="21"/>
        </w:rPr>
      </w:pPr>
      <w:r w:rsidRPr="00A95903">
        <w:rPr>
          <w:sz w:val="21"/>
          <w:szCs w:val="21"/>
        </w:rPr>
        <w:t xml:space="preserve">i) nuk mund të ndahen teknikisht apo ekonomikisht nga kontrata fillestare, pa shkaktuar probleme të mëdha për autoritetin kontraktor; </w:t>
      </w:r>
    </w:p>
    <w:p w:rsidR="005029A7" w:rsidRPr="00A95903" w:rsidRDefault="005029A7" w:rsidP="005029A7">
      <w:pPr>
        <w:pStyle w:val="Paragrafi0"/>
        <w:rPr>
          <w:sz w:val="21"/>
          <w:szCs w:val="21"/>
        </w:rPr>
      </w:pPr>
      <w:r w:rsidRPr="00A95903">
        <w:rPr>
          <w:sz w:val="21"/>
          <w:szCs w:val="21"/>
        </w:rPr>
        <w:t>ii) megjithëse mund të ndahen nga kryerja e kontratës fillestare, janë tepër të domosdoshme për përfundimin e saj;</w:t>
      </w:r>
    </w:p>
    <w:p w:rsidR="005029A7" w:rsidRPr="00A95903" w:rsidRDefault="005029A7" w:rsidP="005029A7">
      <w:pPr>
        <w:pStyle w:val="Paragrafi0"/>
        <w:rPr>
          <w:sz w:val="21"/>
          <w:szCs w:val="21"/>
        </w:rPr>
      </w:pPr>
      <w:r w:rsidRPr="00A95903">
        <w:rPr>
          <w:sz w:val="21"/>
          <w:szCs w:val="21"/>
        </w:rPr>
        <w:t>b) për punime të reja, që kanë të bëjnë me përsëritjen e punimeve të ngjashme, që i besohen operatorit ekonomik, me të cilin të njëjtat autoritete kontraktore kanë lidhur kontratën fillestare, me kusht që këto punime apo shërbime të jenë në përputhje me një projekt bazë, për të cilin është lidhur kontrata fillestare, në bazë të një procedure prokurimi. Sapo projekti i parë është gati për tender, përdorimi i kësaj procedure bëhet i ditur në njoftimin e kontratës për kontratën fillestare dhe vlera e përgjithshme e përllogaritur e shpenzimeve të punimeve merret parasysh nga autoriteti kontraktor. Procedura e parashikuar në këtë shkronjë mund të përdoret vetëm gjatë 3 viteve që pasojnë përfundimin e kontratës origjinale. Në asnjë rast, kontrata shtesë nuk duhet të kalojë 20 për qind të vlerës së përgjithshme të kontratës fillestare.</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58/9</w:t>
      </w:r>
    </w:p>
    <w:p w:rsidR="005029A7" w:rsidRPr="00A95903" w:rsidRDefault="005029A7" w:rsidP="0053441D">
      <w:pPr>
        <w:pStyle w:val="NeniTitull"/>
        <w:rPr>
          <w:sz w:val="21"/>
          <w:szCs w:val="21"/>
        </w:rPr>
      </w:pPr>
      <w:r w:rsidRPr="00A95903">
        <w:rPr>
          <w:sz w:val="21"/>
          <w:szCs w:val="21"/>
        </w:rPr>
        <w:t>Thirrja për konkurrim</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Autoriteti kontraktor është i detyruar të njoftojë për qëllimin e tij për prokurimin e një kontrate sektoriale, nëpërmjet një njoftimi për konkurrim, e cila mund të ketë formën: </w:t>
      </w:r>
    </w:p>
    <w:p w:rsidR="005029A7" w:rsidRPr="00A95903" w:rsidRDefault="00D342F3" w:rsidP="005029A7">
      <w:pPr>
        <w:pStyle w:val="Paragrafi0"/>
        <w:rPr>
          <w:sz w:val="21"/>
          <w:szCs w:val="21"/>
        </w:rPr>
      </w:pPr>
      <w:r w:rsidRPr="00A95903">
        <w:rPr>
          <w:sz w:val="21"/>
          <w:szCs w:val="21"/>
        </w:rPr>
        <w:t xml:space="preserve">a) </w:t>
      </w:r>
      <w:r w:rsidR="005029A7" w:rsidRPr="00A95903">
        <w:rPr>
          <w:sz w:val="21"/>
          <w:szCs w:val="21"/>
        </w:rPr>
        <w:t xml:space="preserve">e një njoftimi kontrate, siç parashikohet në nenin 38 të ligjit; </w:t>
      </w:r>
    </w:p>
    <w:p w:rsidR="005029A7" w:rsidRPr="00A95903" w:rsidRDefault="005029A7" w:rsidP="005029A7">
      <w:pPr>
        <w:pStyle w:val="Paragrafi0"/>
        <w:rPr>
          <w:sz w:val="21"/>
          <w:szCs w:val="21"/>
        </w:rPr>
      </w:pPr>
      <w:r w:rsidRPr="00A95903">
        <w:rPr>
          <w:sz w:val="21"/>
          <w:szCs w:val="21"/>
        </w:rPr>
        <w:t xml:space="preserve">b) e një njoftimi për ekzistencën e një sistemi kualifikimi, siç parashikohet në nenin 58/10 të këtij ligji. </w:t>
      </w:r>
    </w:p>
    <w:p w:rsidR="005029A7" w:rsidRPr="00A95903" w:rsidRDefault="005029A7" w:rsidP="0053441D">
      <w:pPr>
        <w:pStyle w:val="NeniNr"/>
        <w:rPr>
          <w:sz w:val="21"/>
          <w:szCs w:val="21"/>
        </w:rPr>
      </w:pPr>
      <w:r w:rsidRPr="00A95903">
        <w:rPr>
          <w:sz w:val="21"/>
          <w:szCs w:val="21"/>
        </w:rPr>
        <w:t>Neni 58/10</w:t>
      </w:r>
    </w:p>
    <w:p w:rsidR="005029A7" w:rsidRPr="00A95903" w:rsidRDefault="005029A7" w:rsidP="0053441D">
      <w:pPr>
        <w:pStyle w:val="NeniTitull"/>
        <w:rPr>
          <w:sz w:val="21"/>
          <w:szCs w:val="21"/>
        </w:rPr>
      </w:pPr>
      <w:r w:rsidRPr="00A95903">
        <w:rPr>
          <w:sz w:val="21"/>
          <w:szCs w:val="21"/>
        </w:rPr>
        <w:t>Sistemet e kualifikimit</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1. Autoritetet kontraktore, nëse kanë dëshirë, mund të hartojnë dhe të vënë në përdorim një sistem kualifikimi për operatorët ekonomikë dhe, në këtë rast, duhet të sigurohen se këta operatorë janë gjatë të gjithë kohës në gjendje për të kërkuar kualifikim.</w:t>
      </w:r>
    </w:p>
    <w:p w:rsidR="005029A7" w:rsidRPr="00A95903" w:rsidRDefault="005029A7" w:rsidP="005029A7">
      <w:pPr>
        <w:pStyle w:val="Paragrafi0"/>
        <w:rPr>
          <w:sz w:val="21"/>
          <w:szCs w:val="21"/>
        </w:rPr>
      </w:pPr>
      <w:r w:rsidRPr="00A95903">
        <w:rPr>
          <w:sz w:val="21"/>
          <w:szCs w:val="21"/>
        </w:rPr>
        <w:t>2. Kur autoritetet kontraktore zgjedhin të krijojnë një sistem kualifikimi, sistemi do të jetë objekt i një njoftimi, që tregon qëllimin e krijimit të tij dhe mënyrat e zbatimit të rregullave për pjesëmarrjen në sistem. Kur kohëzgjatja e funksionimit të sistemit do të jetë më shumë se tre vjet, njoftimi do të botohet çdo vit, ndërsa kur kohëzgjatja e funksionimit do të jetë më e shkurtër, mjafton një njoftim fillestar.</w:t>
      </w:r>
    </w:p>
    <w:p w:rsidR="005029A7" w:rsidRPr="00A95903" w:rsidRDefault="005029A7" w:rsidP="005029A7">
      <w:pPr>
        <w:pStyle w:val="Paragrafi0"/>
        <w:rPr>
          <w:sz w:val="21"/>
          <w:szCs w:val="21"/>
        </w:rPr>
      </w:pPr>
      <w:r w:rsidRPr="00A95903">
        <w:rPr>
          <w:sz w:val="21"/>
          <w:szCs w:val="21"/>
        </w:rPr>
        <w:t xml:space="preserve">3. Sistemet e kualifikimit mund të përfshijnë shkallë të ndryshme. Kriteret dhe rregullat e kualifikimit duhet të vendosen nga autoriteti kontraktor, në bazë të kritereve objektive dhe, kur kërkohet, kriteret dhe rregullat mund të ndyshojnë. Kriteret dhe rregullat për kualifikim duhet të jenë të disponueshme për operatorët ekonomikë, sipas kërkesës. Ndyshimet e këtyre kritereve dhe të rregullave duhet t’u komunikohen të gjithë operatorëve ekonomikë të interesuar. </w:t>
      </w:r>
    </w:p>
    <w:p w:rsidR="005029A7" w:rsidRPr="00A95903" w:rsidRDefault="005029A7" w:rsidP="005029A7">
      <w:pPr>
        <w:pStyle w:val="Paragrafi0"/>
        <w:rPr>
          <w:sz w:val="21"/>
          <w:szCs w:val="21"/>
        </w:rPr>
      </w:pPr>
      <w:r w:rsidRPr="00A95903">
        <w:rPr>
          <w:sz w:val="21"/>
          <w:szCs w:val="21"/>
        </w:rPr>
        <w:t>4. Kriteret dhe rregullat për kualifikim, të parashikuara në pikën 3 të këtij neni, mund të përfshijnë kriteret e përjashtimit, të renditura në nenet 45 e 46 të ligjit, për termat dhe kushtet e përcaktuara në të. Kur autoriteti kontraktor është i tillë, sipas kuptimit të pikës 14 të nenit 3 të ligjit, këto kritere dhe rregulla do të përfshijnë kriteret e përjashtimit, të renditura në pikën 1 të nenit 45.</w:t>
      </w:r>
    </w:p>
    <w:p w:rsidR="005029A7" w:rsidRPr="00A95903" w:rsidRDefault="005029A7" w:rsidP="005029A7">
      <w:pPr>
        <w:pStyle w:val="Paragrafi0"/>
        <w:rPr>
          <w:sz w:val="21"/>
          <w:szCs w:val="21"/>
        </w:rPr>
      </w:pPr>
      <w:r w:rsidRPr="00A95903">
        <w:rPr>
          <w:sz w:val="21"/>
          <w:szCs w:val="21"/>
        </w:rPr>
        <w:t>5. Kur kriteret dhe rregullat për kualifikim, të parashikuara në pikën 3 të këtij neni, përfshijnë kërkesa, që kanë lidhje me kapacitetin ekonomik dhe financiar të operatorit ekonomik, ky i fundit mundet, nëse është e nevojshme, të mbështetet në kapacitetin e operatorëve të tjerë, cilado qoftë natyra ligjore e lidhjes së tij me to. Në këtë rast, operatori ekonomik duhet t’i provojë autoritetit kontraktor se këto burime do t’i vihen atij në dispozicion përgjatë të gjithë kohës së vlefshmërisë së sistemit të kualifikimit, për shembull, duke dhënë një deklaratë se do t’i marrë nga një tjetër operator ekonomik për këtë qëllim.</w:t>
      </w:r>
    </w:p>
    <w:p w:rsidR="005029A7" w:rsidRPr="00A95903" w:rsidRDefault="005029A7" w:rsidP="005029A7">
      <w:pPr>
        <w:pStyle w:val="Paragrafi0"/>
        <w:rPr>
          <w:sz w:val="21"/>
          <w:szCs w:val="21"/>
        </w:rPr>
      </w:pPr>
      <w:r w:rsidRPr="00A95903">
        <w:rPr>
          <w:sz w:val="21"/>
          <w:szCs w:val="21"/>
        </w:rPr>
        <w:t>Në të njëjtat kushte, një grup operatorësh ekonomikë, siç parashikohet në pikën 2 të nenit 44, mund të mbështetet në kapacitetin e pjesëmarrësve në grup ose të enteve të tjera.</w:t>
      </w:r>
    </w:p>
    <w:p w:rsidR="005029A7" w:rsidRPr="00A95903" w:rsidRDefault="005029A7" w:rsidP="005029A7">
      <w:pPr>
        <w:pStyle w:val="Paragrafi0"/>
        <w:rPr>
          <w:sz w:val="21"/>
          <w:szCs w:val="21"/>
        </w:rPr>
      </w:pPr>
      <w:r w:rsidRPr="00A95903">
        <w:rPr>
          <w:sz w:val="21"/>
          <w:szCs w:val="21"/>
        </w:rPr>
        <w:t xml:space="preserve">6. Aty ku kriteret dhe rregullat për kualifikim, të parashikuara në pikën 3 të këtij neni, përfshijnë kërkesa, që kanë lidhje me kapacitetin teknik dhe/ose profesional të operatorit ekonomik, ky i fundit mundet, aty ku është e nevojshme, të mbështetet te kapaciteti i enteve të tjera, cilado qoftë natyra ligjore e lidhjes ndërmjet tij dhe enteve të tjera. Në këtë rast, operatori ekonomik duhet t’i provojë autoritetit kontraktor se këto burime do të jenë të disponueshme gjatë të gjithë periudhës së vlefshmërisë së sistemit të kualifikimit, për shembull, duke hartuar një deklaratë sipërmarrjeje nga këto ente, të cilat ia bëjnë të disponueshme këto burime operatorit ekonomik. Në të njëjtat kushte, një grup operatorësh ekonomikë, siç parashikohet në pikën 2 të nenit 44, mund të mbështeten në aftësitë e pjesëmarrësve në grup apo të enteve të tjera. </w:t>
      </w:r>
    </w:p>
    <w:p w:rsidR="005029A7" w:rsidRDefault="005029A7" w:rsidP="005029A7">
      <w:pPr>
        <w:pStyle w:val="Paragrafi0"/>
        <w:rPr>
          <w:sz w:val="21"/>
          <w:szCs w:val="21"/>
        </w:rPr>
      </w:pPr>
      <w:r w:rsidRPr="00A95903">
        <w:rPr>
          <w:sz w:val="21"/>
          <w:szCs w:val="21"/>
        </w:rPr>
        <w:t>7. Një dokument i shkruar i operatorëve ekonomikë duhet të ruhet dhe mund të ndahet në kategori, në varësi të llojit të kontratës, për të cilën kualifikimi është i vlefshëm.</w:t>
      </w:r>
    </w:p>
    <w:p w:rsidR="00A95903" w:rsidRDefault="00A95903" w:rsidP="005029A7">
      <w:pPr>
        <w:pStyle w:val="Paragrafi0"/>
        <w:rPr>
          <w:sz w:val="21"/>
          <w:szCs w:val="21"/>
        </w:rPr>
      </w:pPr>
    </w:p>
    <w:p w:rsidR="00A95903" w:rsidRPr="00A95903" w:rsidRDefault="00A95903"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8. Kur një ftesë për konkurrim bëhet nëpërmjet një njoftimi, për ekzistencën e një sistemi kualifikimi, ofertuesit, në një procedurë të kufizuar ose pjesëmarrësit në një procedurë me negocim, zgjidhen nga kandidatët e kualifikuar, në përputhje me këtë sistem. </w:t>
      </w:r>
    </w:p>
    <w:p w:rsidR="005029A7" w:rsidRPr="00A95903" w:rsidRDefault="005029A7" w:rsidP="005029A7">
      <w:pPr>
        <w:pStyle w:val="Paragrafi0"/>
        <w:rPr>
          <w:sz w:val="21"/>
          <w:szCs w:val="21"/>
        </w:rPr>
      </w:pPr>
      <w:r w:rsidRPr="00A95903">
        <w:rPr>
          <w:sz w:val="21"/>
          <w:szCs w:val="21"/>
        </w:rPr>
        <w:t>9. Autoritetet kontraktore, të cilat krijojnë dhe vënë në zbatim një sistem kualifikimi, informojnë kandidatët për vendimin e tyre për kualifikimin, brenda një periudhe prej gjashtë muajsh. Nëse marrja e vendimit zgjat më tepër se katër muaj nga dorëzimi i një aplikimi, autoriteti kontraktor informon kandidatin brenda dy muajve nga aplikimi, për arsyet që justifikojnë periudhën më të gjatë dhe për datën, kur aplikimi i tij do të pranohet ose refuzohet.</w:t>
      </w:r>
    </w:p>
    <w:p w:rsidR="005029A7" w:rsidRPr="00A95903" w:rsidRDefault="005029A7" w:rsidP="005029A7">
      <w:pPr>
        <w:pStyle w:val="Paragrafi0"/>
        <w:rPr>
          <w:sz w:val="21"/>
          <w:szCs w:val="21"/>
        </w:rPr>
      </w:pPr>
      <w:r w:rsidRPr="00A95903">
        <w:rPr>
          <w:sz w:val="21"/>
          <w:szCs w:val="21"/>
        </w:rPr>
        <w:t>10. Kandidatët, të cilët nuk do të kualifikohen, njoftohen për këtë vendim dhe për arsyet e refuzimit, sa më shpejt që të jetë e mundur dhe, në asnjë rrethanë, më vonë se 15 ditë nga data e marrjes së vendimit. Arsyet bazohen në kriteret e kualifikimit, të parashikuara në pikën 3 të këtij neni.</w:t>
      </w:r>
    </w:p>
    <w:p w:rsidR="005029A7" w:rsidRPr="00A95903" w:rsidRDefault="005029A7" w:rsidP="005029A7">
      <w:pPr>
        <w:pStyle w:val="Paragrafi0"/>
        <w:rPr>
          <w:sz w:val="21"/>
          <w:szCs w:val="21"/>
        </w:rPr>
      </w:pPr>
      <w:r w:rsidRPr="00A95903">
        <w:rPr>
          <w:sz w:val="21"/>
          <w:szCs w:val="21"/>
        </w:rPr>
        <w:t>11. Autoritetet kontraktore, të cilat krijojnë dhe vënë në funksionim një sistem kualifikimi, mund ta refuzojnë kualifikimin e një operatori ekonomik vetëm për arsye të bazuara mbi kriteret e kualifikimit, të parashikuara në pikën 3 të këtij neni. Çdo njoftim për ta refuzuar kualifikimin i njoftohet me shkrim operatorit ekonomik, të paktën 15 ditë përpara datës së parashikuar të përfundimit të kualifikimit, së bashku me arsyen që justifikon veprimin e propozuar.”.</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21</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63 “Të drejtat e personit të interesuar” bëhen ndryshimet e mëposhtme:</w:t>
      </w:r>
    </w:p>
    <w:p w:rsidR="005029A7" w:rsidRPr="00A95903" w:rsidRDefault="005029A7" w:rsidP="005029A7">
      <w:pPr>
        <w:pStyle w:val="Paragrafi0"/>
        <w:rPr>
          <w:sz w:val="21"/>
          <w:szCs w:val="21"/>
        </w:rPr>
      </w:pPr>
      <w:r w:rsidRPr="00A95903">
        <w:rPr>
          <w:sz w:val="21"/>
          <w:szCs w:val="21"/>
        </w:rPr>
        <w:t>1. Në pikën 2 fjalët “brenda 5 ditë pune” zëvendësohen me fjalët “brenda 7 ditëve”.</w:t>
      </w:r>
    </w:p>
    <w:p w:rsidR="005029A7" w:rsidRPr="00A95903" w:rsidRDefault="005029A7" w:rsidP="005029A7">
      <w:pPr>
        <w:pStyle w:val="Paragrafi0"/>
        <w:rPr>
          <w:sz w:val="21"/>
          <w:szCs w:val="21"/>
        </w:rPr>
      </w:pPr>
      <w:r w:rsidRPr="00A95903">
        <w:rPr>
          <w:sz w:val="21"/>
          <w:szCs w:val="21"/>
        </w:rPr>
        <w:t>2. Në pikat 5, 6 e 9, fjalët “brenda 5 ditëve” zëvendësohen me fjalët “brenda 7 ditëve”.</w:t>
      </w:r>
    </w:p>
    <w:p w:rsidR="005029A7" w:rsidRPr="00A95903" w:rsidRDefault="005029A7" w:rsidP="005029A7">
      <w:pPr>
        <w:pStyle w:val="Paragrafi0"/>
        <w:rPr>
          <w:sz w:val="21"/>
          <w:szCs w:val="21"/>
        </w:rPr>
      </w:pPr>
      <w:r w:rsidRPr="00A95903">
        <w:rPr>
          <w:sz w:val="21"/>
          <w:szCs w:val="21"/>
        </w:rPr>
        <w:t xml:space="preserve">3. Në fjalitë e para të pikave 6 e 7 dhe kudo, ku është përdorur në këtë nen, emërtimi “në Agjencinë e Prokurimit Publik” zëvendësohet me emërtimin “në Komisionin e Prokurimit Publik”. </w:t>
      </w:r>
    </w:p>
    <w:p w:rsidR="005029A7" w:rsidRPr="00A95903" w:rsidRDefault="005029A7" w:rsidP="005029A7">
      <w:pPr>
        <w:pStyle w:val="Paragrafi0"/>
        <w:rPr>
          <w:sz w:val="21"/>
          <w:szCs w:val="21"/>
        </w:rPr>
      </w:pPr>
      <w:r w:rsidRPr="00A95903">
        <w:rPr>
          <w:sz w:val="21"/>
          <w:szCs w:val="21"/>
        </w:rPr>
        <w:t>4. Në fjalinë e fundit të pikës 6, pas fjalëve “i dërgohet” shtohet fjala “detyrimisht.”.</w:t>
      </w:r>
    </w:p>
    <w:p w:rsidR="005029A7" w:rsidRPr="00A95903" w:rsidRDefault="005029A7" w:rsidP="005029A7">
      <w:pPr>
        <w:pStyle w:val="Paragrafi0"/>
        <w:rPr>
          <w:sz w:val="21"/>
          <w:szCs w:val="21"/>
        </w:rPr>
      </w:pPr>
      <w:r w:rsidRPr="00A95903">
        <w:rPr>
          <w:sz w:val="21"/>
          <w:szCs w:val="21"/>
        </w:rPr>
        <w:t xml:space="preserve">5. Në fund të fjalisë së parë të pikës 7, pas fjalëve “përshkrimi i shkeljes” shtohen fjalët “pretendimi i ankuesit për vendimin përfundimtar, shkallët e ankimit, shoqëruar me dokumentacionin përkatës dhe vendimin e autoritetit kontraktor”. </w:t>
      </w:r>
    </w:p>
    <w:p w:rsidR="005029A7" w:rsidRPr="00A95903" w:rsidRDefault="005029A7" w:rsidP="005029A7">
      <w:pPr>
        <w:pStyle w:val="Paragrafi0"/>
        <w:rPr>
          <w:sz w:val="21"/>
          <w:szCs w:val="21"/>
        </w:rPr>
      </w:pPr>
      <w:r w:rsidRPr="00A95903">
        <w:rPr>
          <w:sz w:val="21"/>
          <w:szCs w:val="21"/>
        </w:rPr>
        <w:t>6. Në fund të pikës 8 shtohet fjalia me këtë përmbajtje:</w:t>
      </w:r>
    </w:p>
    <w:p w:rsidR="005029A7" w:rsidRPr="00A95903" w:rsidRDefault="005029A7" w:rsidP="005029A7">
      <w:pPr>
        <w:pStyle w:val="Paragrafi0"/>
        <w:rPr>
          <w:sz w:val="21"/>
          <w:szCs w:val="21"/>
        </w:rPr>
      </w:pPr>
      <w:r w:rsidRPr="00A95903">
        <w:rPr>
          <w:sz w:val="21"/>
          <w:szCs w:val="21"/>
        </w:rPr>
        <w:t>“Autoriteti kontraktor i dërgon menjëherë informacion Komisionit të Prokurimit Publik, kur merr dijeni se ankesa i është paraqitur këtij komisioni.”.</w:t>
      </w:r>
    </w:p>
    <w:p w:rsidR="005029A7" w:rsidRPr="00A95903" w:rsidRDefault="005029A7" w:rsidP="005029A7">
      <w:pPr>
        <w:pStyle w:val="Paragrafi0"/>
        <w:rPr>
          <w:sz w:val="21"/>
          <w:szCs w:val="21"/>
        </w:rPr>
      </w:pPr>
      <w:r w:rsidRPr="00A95903">
        <w:rPr>
          <w:sz w:val="21"/>
          <w:szCs w:val="21"/>
        </w:rPr>
        <w:t>7. Pas pikës 9 shtohet pika 10 me këtë përmbajtje:</w:t>
      </w:r>
    </w:p>
    <w:p w:rsidR="005029A7" w:rsidRPr="00A95903" w:rsidRDefault="005029A7" w:rsidP="005029A7">
      <w:pPr>
        <w:pStyle w:val="Paragrafi0"/>
        <w:rPr>
          <w:sz w:val="21"/>
          <w:szCs w:val="21"/>
        </w:rPr>
      </w:pPr>
      <w:r w:rsidRPr="00A95903">
        <w:rPr>
          <w:sz w:val="21"/>
          <w:szCs w:val="21"/>
        </w:rPr>
        <w:t>“10. Çdo ankesë në Komisionin e Prokurimit Publik bëhet kundrejt pagesës. Rregullat dhe tarifa e pagesës përcaktohen me vendim të Këshillit të Ministrave.”.</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22</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Kudo në nenin 64 emërtimi “Agjencia e Prokurimit Publik” zëvendësohet me emërtimin “Komisioni i Prokurimit Publik”.</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23</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Pas nenit 64 shtohen nenet 64/1, 64/2 e 64/3 me këtë përmbajtje:</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64/1</w:t>
      </w:r>
    </w:p>
    <w:p w:rsidR="005029A7" w:rsidRPr="00A95903" w:rsidRDefault="005029A7" w:rsidP="0053441D">
      <w:pPr>
        <w:pStyle w:val="NeniTitull"/>
        <w:rPr>
          <w:sz w:val="21"/>
          <w:szCs w:val="21"/>
        </w:rPr>
      </w:pPr>
      <w:r w:rsidRPr="00A95903">
        <w:rPr>
          <w:sz w:val="21"/>
          <w:szCs w:val="21"/>
        </w:rPr>
        <w:t>Procedura e rishikimit administrativ</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1. Komisioni i Prokurimit Publik mund të fillojë një procedurë rishikimi administrativ, kur i paraqitet ankesë nga persona të interesuar në procedura prokurimi.</w:t>
      </w:r>
    </w:p>
    <w:p w:rsidR="005029A7" w:rsidRPr="00A95903" w:rsidRDefault="005029A7" w:rsidP="005029A7">
      <w:pPr>
        <w:pStyle w:val="Paragrafi0"/>
        <w:rPr>
          <w:sz w:val="21"/>
          <w:szCs w:val="21"/>
        </w:rPr>
      </w:pPr>
      <w:r w:rsidRPr="00A95903">
        <w:rPr>
          <w:sz w:val="21"/>
          <w:szCs w:val="21"/>
        </w:rPr>
        <w:t>2. Gjatë rishikimit administrativ, Komisioni i Prokurimit Publik ka të drejtë:</w:t>
      </w:r>
    </w:p>
    <w:p w:rsidR="005029A7" w:rsidRPr="00A95903" w:rsidRDefault="005029A7" w:rsidP="005029A7">
      <w:pPr>
        <w:pStyle w:val="Paragrafi0"/>
        <w:rPr>
          <w:sz w:val="21"/>
          <w:szCs w:val="21"/>
        </w:rPr>
      </w:pPr>
      <w:r w:rsidRPr="00A95903">
        <w:rPr>
          <w:sz w:val="21"/>
          <w:szCs w:val="21"/>
        </w:rPr>
        <w:t>a) t’u kërkojë palëve dokumentacion ose të dhëna, për të mbështetur pretendimet e tyre;</w:t>
      </w:r>
    </w:p>
    <w:p w:rsidR="005029A7" w:rsidRPr="00A95903" w:rsidRDefault="005029A7" w:rsidP="005029A7">
      <w:pPr>
        <w:pStyle w:val="Paragrafi0"/>
        <w:rPr>
          <w:sz w:val="21"/>
          <w:szCs w:val="21"/>
        </w:rPr>
      </w:pPr>
      <w:r w:rsidRPr="00A95903">
        <w:rPr>
          <w:sz w:val="21"/>
          <w:szCs w:val="21"/>
        </w:rPr>
        <w:t>b) të kërkojë të dhëna e shpjegime nga çdo organ i administratës qendrore dhe vendore, si dhe të marrë çdo dosje apo material, që ka lidhje me hetimin administrativ;</w:t>
      </w:r>
    </w:p>
    <w:p w:rsidR="005029A7" w:rsidRPr="00A95903" w:rsidRDefault="005029A7" w:rsidP="005029A7">
      <w:pPr>
        <w:pStyle w:val="Paragrafi0"/>
        <w:rPr>
          <w:sz w:val="21"/>
          <w:szCs w:val="21"/>
        </w:rPr>
      </w:pPr>
      <w:r w:rsidRPr="00A95903">
        <w:rPr>
          <w:sz w:val="21"/>
          <w:szCs w:val="21"/>
        </w:rPr>
        <w:t>c) të marrë në pyetje çdo person që, sipas tij, është i lidhur me procedurën e rishikimit;</w:t>
      </w:r>
    </w:p>
    <w:p w:rsidR="005029A7" w:rsidRPr="00A95903" w:rsidRDefault="005029A7" w:rsidP="005029A7">
      <w:pPr>
        <w:pStyle w:val="Paragrafi0"/>
        <w:rPr>
          <w:sz w:val="21"/>
          <w:szCs w:val="21"/>
        </w:rPr>
      </w:pPr>
      <w:r w:rsidRPr="00A95903">
        <w:rPr>
          <w:sz w:val="21"/>
          <w:szCs w:val="21"/>
        </w:rPr>
        <w:t>ç) të kërkojë ekspertizat përkatëse nga ekspertë të palëve të treta.</w:t>
      </w:r>
    </w:p>
    <w:p w:rsidR="005029A7" w:rsidRPr="00A95903" w:rsidRDefault="005029A7" w:rsidP="005029A7">
      <w:pPr>
        <w:pStyle w:val="Paragrafi0"/>
        <w:rPr>
          <w:sz w:val="21"/>
          <w:szCs w:val="21"/>
        </w:rPr>
      </w:pPr>
      <w:r w:rsidRPr="00A95903">
        <w:rPr>
          <w:sz w:val="21"/>
          <w:szCs w:val="21"/>
        </w:rPr>
        <w:t>3. Komisioni i Prokurimit Publik ka të drejtë të caktojë një afat për përgjigjen ndaj kërkesave të tij për të dhënat dhe për dorëzimin e dokumenteve përkatëse, sipas legjislacionit që rregullon procedurat administrative.</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64/2</w:t>
      </w:r>
    </w:p>
    <w:p w:rsidR="005029A7" w:rsidRPr="00A95903" w:rsidRDefault="005029A7" w:rsidP="0053441D">
      <w:pPr>
        <w:pStyle w:val="NeniTitull"/>
        <w:rPr>
          <w:sz w:val="21"/>
          <w:szCs w:val="21"/>
        </w:rPr>
      </w:pPr>
      <w:r w:rsidRPr="00A95903">
        <w:rPr>
          <w:sz w:val="21"/>
          <w:szCs w:val="21"/>
        </w:rPr>
        <w:t>Vendimet e Komisionit të Prokurimit Publik</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1. Pas përfundimit të shqyrtimit administrativ, Komisioni i Prokurimit Publik mund të marrë këto vendime:</w:t>
      </w:r>
    </w:p>
    <w:p w:rsidR="005029A7" w:rsidRPr="00A95903" w:rsidRDefault="005029A7" w:rsidP="005029A7">
      <w:pPr>
        <w:pStyle w:val="Paragrafi0"/>
        <w:rPr>
          <w:sz w:val="21"/>
          <w:szCs w:val="21"/>
        </w:rPr>
      </w:pPr>
      <w:r w:rsidRPr="00A95903">
        <w:rPr>
          <w:sz w:val="21"/>
          <w:szCs w:val="21"/>
        </w:rPr>
        <w:t>a) të pushojë gjykimin, duke qenë se veprimet ose mosveprimet e autoritetit kontraktor, që ka realizuar procedurën e prokurimit, nuk përbëjnë shkelje të këtij ligji ose të dispozitave administrative apo penale. Në këtë rast, Komisioni i Prokurimit Publik i sqaron, me shkrim, ankimuesit arsyet për pushimin e gjykimit;</w:t>
      </w:r>
    </w:p>
    <w:p w:rsidR="005029A7" w:rsidRPr="00A95903" w:rsidRDefault="005029A7" w:rsidP="005029A7">
      <w:pPr>
        <w:pStyle w:val="Paragrafi0"/>
        <w:rPr>
          <w:sz w:val="21"/>
          <w:szCs w:val="21"/>
        </w:rPr>
      </w:pPr>
      <w:r w:rsidRPr="00A95903">
        <w:rPr>
          <w:sz w:val="21"/>
          <w:szCs w:val="21"/>
        </w:rPr>
        <w:t>b) t’i japë autoritetit kontraktor, të përfshirë, një vendim me shkrim, për të ndalur sjelljen e jashtëligjshme, brenda një afati të caktuar kohor.</w:t>
      </w:r>
    </w:p>
    <w:p w:rsidR="005029A7" w:rsidRPr="00A95903" w:rsidRDefault="005029A7" w:rsidP="005029A7">
      <w:pPr>
        <w:pStyle w:val="Paragrafi0"/>
        <w:rPr>
          <w:sz w:val="21"/>
          <w:szCs w:val="21"/>
        </w:rPr>
      </w:pPr>
      <w:r w:rsidRPr="00A95903">
        <w:rPr>
          <w:sz w:val="21"/>
          <w:szCs w:val="21"/>
        </w:rPr>
        <w:t>2. Autoritetet kontraktore duhet të zbatojnë vendimin e dhënë ose të kërkojnë rishikimin e vendimit të Komisionit të Prokurimit Publik brenda 10 ditëve nga marrja dijeni për vendimin. Nëse këto veprime i kanë sjellë efektet e tyre, atëherë Komisioni i Prokurimit Publik u këshillon personave të dëmtuar të ngrenë padi në gjykatë ose të bëjnë kallëzim penal.</w:t>
      </w:r>
    </w:p>
    <w:p w:rsidR="005029A7" w:rsidRPr="00A95903" w:rsidRDefault="005029A7" w:rsidP="005029A7">
      <w:pPr>
        <w:pStyle w:val="Paragrafi0"/>
        <w:rPr>
          <w:sz w:val="21"/>
          <w:szCs w:val="21"/>
        </w:rPr>
      </w:pPr>
      <w:r w:rsidRPr="00A95903">
        <w:rPr>
          <w:sz w:val="21"/>
          <w:szCs w:val="21"/>
        </w:rPr>
        <w:t>3. Nëse Komisioni i Prokurimit Publik gjykon se një zyrtar i autoritetit kontraktor ka kryer një shkelje të qëllimshme të këtij ligji, atëherë i raporton shkeljen autoritetit përkatës.</w:t>
      </w:r>
    </w:p>
    <w:p w:rsidR="005029A7" w:rsidRPr="00A95903" w:rsidRDefault="005029A7" w:rsidP="005029A7">
      <w:pPr>
        <w:pStyle w:val="Paragrafi0"/>
        <w:ind w:firstLine="0"/>
        <w:rPr>
          <w:sz w:val="21"/>
          <w:szCs w:val="21"/>
        </w:rPr>
      </w:pPr>
    </w:p>
    <w:p w:rsidR="005029A7" w:rsidRPr="00A95903" w:rsidRDefault="005029A7" w:rsidP="0053441D">
      <w:pPr>
        <w:pStyle w:val="NeniNr"/>
        <w:rPr>
          <w:sz w:val="21"/>
          <w:szCs w:val="21"/>
        </w:rPr>
      </w:pPr>
      <w:r w:rsidRPr="00A95903">
        <w:rPr>
          <w:sz w:val="21"/>
          <w:szCs w:val="21"/>
        </w:rPr>
        <w:t>Neni 64/3</w:t>
      </w:r>
    </w:p>
    <w:p w:rsidR="005029A7" w:rsidRPr="00A95903" w:rsidRDefault="005029A7" w:rsidP="0053441D">
      <w:pPr>
        <w:pStyle w:val="NeniTitull"/>
        <w:rPr>
          <w:sz w:val="21"/>
          <w:szCs w:val="21"/>
        </w:rPr>
      </w:pPr>
      <w:r w:rsidRPr="00A95903">
        <w:rPr>
          <w:sz w:val="21"/>
          <w:szCs w:val="21"/>
        </w:rPr>
        <w:t>Ankimi në gjykatë</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1. Ankuesi ka të drejtë që, kundër vendimit të Komisionit të Prokurimit Publik, brenda 5 ditëve nga njoftimi i vendimit apo plotësimi i afatit të caktuar, sipas nenit 63 të këtij ligji, e kur ky komision nuk e ka shqyrtuar ankimin, të bëjë padi për shqyrtim të mosmarrëveshjes administrative në gjykatën përkatëse.</w:t>
      </w:r>
    </w:p>
    <w:p w:rsidR="005029A7" w:rsidRPr="00A95903" w:rsidRDefault="005029A7" w:rsidP="005029A7">
      <w:pPr>
        <w:pStyle w:val="Paragrafi0"/>
        <w:rPr>
          <w:sz w:val="21"/>
          <w:szCs w:val="21"/>
        </w:rPr>
      </w:pPr>
      <w:r w:rsidRPr="00A95903">
        <w:rPr>
          <w:sz w:val="21"/>
          <w:szCs w:val="21"/>
        </w:rPr>
        <w:t>2. Shqyrtimi i këtij ankimi në gjykatë nuk pezullon procedurat e prokurimit, të lidhjes së kontratës publike të prokurimit të mallrave, shërbimeve apo punëve nga autoriteti kontraktor ose ekzekutimin e detyrimeve, sipas kontratës së prokurimit nga palët respektive.”.</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24</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Në nenin 66 “Veprimet pas përfundimit të hetimit administrativ” bëhen këto ndryshime</w:t>
      </w:r>
    </w:p>
    <w:p w:rsidR="005029A7" w:rsidRPr="00A95903" w:rsidRDefault="00D342F3" w:rsidP="005029A7">
      <w:pPr>
        <w:pStyle w:val="Paragrafi0"/>
        <w:rPr>
          <w:sz w:val="21"/>
          <w:szCs w:val="21"/>
        </w:rPr>
      </w:pPr>
      <w:r w:rsidRPr="00A95903">
        <w:rPr>
          <w:sz w:val="21"/>
          <w:szCs w:val="21"/>
        </w:rPr>
        <w:t xml:space="preserve">1. </w:t>
      </w:r>
      <w:r w:rsidR="005029A7" w:rsidRPr="00A95903">
        <w:rPr>
          <w:sz w:val="21"/>
          <w:szCs w:val="21"/>
        </w:rPr>
        <w:t>Në pikën 1 shkronja “a”, fjalia e dytë shfuqizohet.</w:t>
      </w:r>
    </w:p>
    <w:p w:rsidR="005029A7" w:rsidRPr="00A95903" w:rsidRDefault="00D342F3" w:rsidP="005029A7">
      <w:pPr>
        <w:pStyle w:val="Paragrafi0"/>
        <w:rPr>
          <w:sz w:val="21"/>
          <w:szCs w:val="21"/>
        </w:rPr>
      </w:pPr>
      <w:r w:rsidRPr="00A95903">
        <w:rPr>
          <w:sz w:val="21"/>
          <w:szCs w:val="21"/>
        </w:rPr>
        <w:t xml:space="preserve">2. </w:t>
      </w:r>
      <w:r w:rsidR="005029A7" w:rsidRPr="00A95903">
        <w:rPr>
          <w:sz w:val="21"/>
          <w:szCs w:val="21"/>
        </w:rPr>
        <w:t>Pika 2 shfuqizohet.</w:t>
      </w:r>
    </w:p>
    <w:p w:rsidR="005029A7" w:rsidRPr="00A95903" w:rsidRDefault="005029A7" w:rsidP="005029A7">
      <w:pPr>
        <w:pStyle w:val="Paragrafi0"/>
        <w:rPr>
          <w:sz w:val="21"/>
          <w:szCs w:val="21"/>
        </w:rPr>
      </w:pPr>
    </w:p>
    <w:p w:rsidR="005029A7" w:rsidRPr="00A95903" w:rsidRDefault="005029A7" w:rsidP="0053441D">
      <w:pPr>
        <w:pStyle w:val="NeniNr"/>
        <w:rPr>
          <w:sz w:val="21"/>
          <w:szCs w:val="21"/>
        </w:rPr>
      </w:pPr>
      <w:r w:rsidRPr="00A95903">
        <w:rPr>
          <w:sz w:val="21"/>
          <w:szCs w:val="21"/>
        </w:rPr>
        <w:t>Neni 25</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Neni 67 “Sanksionet për mosbashkëpunim me Agjencinë e Prokurimit Publik” shfuqizohet.</w:t>
      </w:r>
    </w:p>
    <w:p w:rsidR="005029A7" w:rsidRPr="00A95903" w:rsidRDefault="005029A7" w:rsidP="0053441D">
      <w:pPr>
        <w:pStyle w:val="Paragrafi0"/>
        <w:ind w:firstLine="0"/>
        <w:rPr>
          <w:sz w:val="21"/>
          <w:szCs w:val="21"/>
        </w:rPr>
      </w:pPr>
    </w:p>
    <w:p w:rsidR="005029A7" w:rsidRPr="00A95903" w:rsidRDefault="005029A7" w:rsidP="0053441D">
      <w:pPr>
        <w:pStyle w:val="NeniNr"/>
        <w:rPr>
          <w:sz w:val="21"/>
          <w:szCs w:val="21"/>
        </w:rPr>
      </w:pPr>
      <w:r w:rsidRPr="00A95903">
        <w:rPr>
          <w:sz w:val="21"/>
          <w:szCs w:val="21"/>
        </w:rPr>
        <w:t>Neni 26</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Neni 68 “Ankimi në gjykatë” shfuqizohet.</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27</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Në nenin 70 “Procedura e hetimit” pika 2, paragrafi i dytë shfuqizohet. </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28</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Pas nenit 71 “Veprimet pas përfundimit të hetimit” shtohet neni 71/1 “Rekomandimet legjislative” me këtë përmbajtje:</w:t>
      </w:r>
    </w:p>
    <w:p w:rsidR="005029A7" w:rsidRPr="00A95903" w:rsidRDefault="00B355DC" w:rsidP="008E46B2">
      <w:pPr>
        <w:pStyle w:val="NeniNr"/>
        <w:rPr>
          <w:sz w:val="21"/>
          <w:szCs w:val="21"/>
        </w:rPr>
      </w:pPr>
      <w:r w:rsidRPr="00A95903">
        <w:rPr>
          <w:sz w:val="21"/>
          <w:szCs w:val="21"/>
        </w:rPr>
        <w:t xml:space="preserve"> </w:t>
      </w:r>
      <w:r w:rsidR="005029A7" w:rsidRPr="00A95903">
        <w:rPr>
          <w:sz w:val="21"/>
          <w:szCs w:val="21"/>
        </w:rPr>
        <w:t>“Neni 71/1</w:t>
      </w:r>
    </w:p>
    <w:p w:rsidR="005029A7" w:rsidRPr="00A95903" w:rsidRDefault="005029A7" w:rsidP="008E46B2">
      <w:pPr>
        <w:pStyle w:val="NeniTitull"/>
        <w:rPr>
          <w:sz w:val="21"/>
          <w:szCs w:val="21"/>
        </w:rPr>
      </w:pPr>
      <w:r w:rsidRPr="00A95903">
        <w:rPr>
          <w:sz w:val="21"/>
          <w:szCs w:val="21"/>
        </w:rPr>
        <w:t>Rekomandimet legjislative</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Kur Avokati i Prokurimeve, gjatë shqyrtimit të ankesës, vëren se përmbajtja e ligjit ose e akteve të tjera normative, dalë në zbatim të tij, krijon mundësi për shkelje të procedurave të prokurimit publik, ka të drejtë:</w:t>
      </w:r>
    </w:p>
    <w:p w:rsidR="005029A7" w:rsidRPr="00A95903" w:rsidRDefault="005029A7" w:rsidP="005029A7">
      <w:pPr>
        <w:pStyle w:val="Paragrafi0"/>
        <w:rPr>
          <w:sz w:val="21"/>
          <w:szCs w:val="21"/>
        </w:rPr>
      </w:pPr>
      <w:r w:rsidRPr="00A95903">
        <w:rPr>
          <w:sz w:val="21"/>
          <w:szCs w:val="21"/>
        </w:rPr>
        <w:t xml:space="preserve">a) të rekomandojë propozime për ndryshimin dhe përmirësimin e tyre; </w:t>
      </w:r>
    </w:p>
    <w:p w:rsidR="005029A7" w:rsidRPr="00A95903" w:rsidRDefault="005029A7" w:rsidP="005029A7">
      <w:pPr>
        <w:pStyle w:val="Paragrafi0"/>
        <w:rPr>
          <w:sz w:val="21"/>
          <w:szCs w:val="21"/>
        </w:rPr>
      </w:pPr>
      <w:r w:rsidRPr="00A95903">
        <w:rPr>
          <w:sz w:val="21"/>
          <w:szCs w:val="21"/>
        </w:rPr>
        <w:t>b) t'u propozojë autoriteteve kontraktore, që i kanë miratuar ato, ndryshimin ose përmirësimin e rregulloreve administrative, nëse këto rregullore janë në kundërshtim me këtë ligj.”.</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29</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Neni 72 “Kundërvajtjet administrative” ndryshohet si më poshtë: </w:t>
      </w:r>
    </w:p>
    <w:p w:rsidR="005029A7" w:rsidRPr="00A95903" w:rsidRDefault="005029A7" w:rsidP="008E46B2">
      <w:pPr>
        <w:pStyle w:val="NeniNr"/>
        <w:rPr>
          <w:sz w:val="21"/>
          <w:szCs w:val="21"/>
        </w:rPr>
      </w:pPr>
      <w:r w:rsidRPr="00A95903">
        <w:rPr>
          <w:sz w:val="21"/>
          <w:szCs w:val="21"/>
        </w:rPr>
        <w:br/>
        <w:t>“Neni 72</w:t>
      </w:r>
    </w:p>
    <w:p w:rsidR="005029A7" w:rsidRPr="00A95903" w:rsidRDefault="005029A7" w:rsidP="008E46B2">
      <w:pPr>
        <w:pStyle w:val="NeniTitull"/>
        <w:rPr>
          <w:sz w:val="21"/>
          <w:szCs w:val="21"/>
        </w:rPr>
      </w:pPr>
      <w:r w:rsidRPr="00A95903">
        <w:rPr>
          <w:sz w:val="21"/>
          <w:szCs w:val="21"/>
        </w:rPr>
        <w:t>Kundërvajtjet administrative</w:t>
      </w:r>
    </w:p>
    <w:p w:rsidR="005029A7" w:rsidRPr="00A95903" w:rsidRDefault="005029A7" w:rsidP="005029A7">
      <w:pPr>
        <w:pStyle w:val="Paragrafi0"/>
        <w:rPr>
          <w:sz w:val="21"/>
          <w:szCs w:val="21"/>
        </w:rPr>
      </w:pPr>
    </w:p>
    <w:p w:rsidR="005029A7" w:rsidRPr="00A95903" w:rsidRDefault="00D342F3" w:rsidP="005029A7">
      <w:pPr>
        <w:pStyle w:val="Paragrafi0"/>
        <w:rPr>
          <w:sz w:val="21"/>
          <w:szCs w:val="21"/>
        </w:rPr>
      </w:pPr>
      <w:r w:rsidRPr="00A95903">
        <w:rPr>
          <w:sz w:val="21"/>
          <w:szCs w:val="21"/>
        </w:rPr>
        <w:t xml:space="preserve">1. </w:t>
      </w:r>
      <w:r w:rsidR="005029A7" w:rsidRPr="00A95903">
        <w:rPr>
          <w:sz w:val="21"/>
          <w:szCs w:val="21"/>
        </w:rPr>
        <w:t>Mosrespektimi i rregullave të prokurimit, në përputhje me dispozitat e këtij ligji, kur nuk përbën vepër penale, përbën kundërvajtje administrative dhe dënohet me gjobë si më poshtë:</w:t>
      </w:r>
    </w:p>
    <w:p w:rsidR="005029A7" w:rsidRPr="00A95903" w:rsidRDefault="005029A7" w:rsidP="005029A7">
      <w:pPr>
        <w:pStyle w:val="Paragrafi0"/>
        <w:rPr>
          <w:sz w:val="21"/>
          <w:szCs w:val="21"/>
        </w:rPr>
      </w:pPr>
      <w:r w:rsidRPr="00A95903">
        <w:rPr>
          <w:sz w:val="21"/>
          <w:szCs w:val="21"/>
        </w:rPr>
        <w:t>a) autoriteti kontraktor, që nuk përmbush detyrimin e përcaktuar në pikën 2 të nenit 12 të këtij ligji, me gjobë nga 50 000 deri në 100 000 lekë;</w:t>
      </w:r>
    </w:p>
    <w:p w:rsidR="005029A7" w:rsidRPr="00A95903" w:rsidRDefault="005029A7" w:rsidP="005029A7">
      <w:pPr>
        <w:pStyle w:val="Paragrafi0"/>
        <w:rPr>
          <w:sz w:val="21"/>
          <w:szCs w:val="21"/>
        </w:rPr>
      </w:pPr>
      <w:r w:rsidRPr="00A95903">
        <w:rPr>
          <w:sz w:val="21"/>
          <w:szCs w:val="21"/>
        </w:rPr>
        <w:t xml:space="preserve"> b) autoriteti kontraktor, që nuk përmbush detyrimin e krijimit të një regjistri të përcaktuar në pikën 3 të nenit 12 të këtij ligji, me gjobë nga 30 000 deri në 50 000 lekë;</w:t>
      </w:r>
    </w:p>
    <w:p w:rsidR="005029A7" w:rsidRPr="00A95903" w:rsidRDefault="005029A7" w:rsidP="005029A7">
      <w:pPr>
        <w:pStyle w:val="Paragrafi0"/>
        <w:rPr>
          <w:sz w:val="21"/>
          <w:szCs w:val="21"/>
        </w:rPr>
      </w:pPr>
      <w:r w:rsidRPr="00A95903">
        <w:rPr>
          <w:sz w:val="21"/>
          <w:szCs w:val="21"/>
        </w:rPr>
        <w:t xml:space="preserve">c) Autoriteti kontraktor, që nuk përmbush detyrimin e dorëzimit të raporteve të veprimtarisë së tij të prokurimit, sipas </w:t>
      </w:r>
      <w:r w:rsidR="00E56481" w:rsidRPr="00A95903">
        <w:rPr>
          <w:sz w:val="21"/>
          <w:szCs w:val="21"/>
        </w:rPr>
        <w:t xml:space="preserve"> </w:t>
      </w:r>
      <w:r w:rsidRPr="00A95903">
        <w:rPr>
          <w:sz w:val="21"/>
          <w:szCs w:val="21"/>
        </w:rPr>
        <w:t xml:space="preserve">afatit </w:t>
      </w:r>
      <w:r w:rsidR="00E56481" w:rsidRPr="00A95903">
        <w:rPr>
          <w:sz w:val="21"/>
          <w:szCs w:val="21"/>
        </w:rPr>
        <w:t xml:space="preserve"> </w:t>
      </w:r>
      <w:r w:rsidRPr="00A95903">
        <w:rPr>
          <w:sz w:val="21"/>
          <w:szCs w:val="21"/>
        </w:rPr>
        <w:t xml:space="preserve">të </w:t>
      </w:r>
      <w:r w:rsidR="00E56481" w:rsidRPr="00A95903">
        <w:rPr>
          <w:sz w:val="21"/>
          <w:szCs w:val="21"/>
        </w:rPr>
        <w:t xml:space="preserve"> </w:t>
      </w:r>
      <w:r w:rsidRPr="00A95903">
        <w:rPr>
          <w:sz w:val="21"/>
          <w:szCs w:val="21"/>
        </w:rPr>
        <w:t xml:space="preserve">përcaktuar në pikën 1 të nenit 12 të </w:t>
      </w:r>
      <w:r w:rsidR="00E56481" w:rsidRPr="00A95903">
        <w:rPr>
          <w:sz w:val="21"/>
          <w:szCs w:val="21"/>
        </w:rPr>
        <w:t xml:space="preserve"> </w:t>
      </w:r>
      <w:r w:rsidRPr="00A95903">
        <w:rPr>
          <w:sz w:val="21"/>
          <w:szCs w:val="21"/>
        </w:rPr>
        <w:t>këtij</w:t>
      </w:r>
      <w:r w:rsidR="00E56481" w:rsidRPr="00A95903">
        <w:rPr>
          <w:sz w:val="21"/>
          <w:szCs w:val="21"/>
        </w:rPr>
        <w:t xml:space="preserve"> </w:t>
      </w:r>
      <w:r w:rsidRPr="00A95903">
        <w:rPr>
          <w:sz w:val="21"/>
          <w:szCs w:val="21"/>
        </w:rPr>
        <w:t xml:space="preserve"> ligji, me gjobë </w:t>
      </w:r>
      <w:r w:rsidR="00E56481" w:rsidRPr="00A95903">
        <w:rPr>
          <w:sz w:val="21"/>
          <w:szCs w:val="21"/>
        </w:rPr>
        <w:t xml:space="preserve"> </w:t>
      </w:r>
      <w:r w:rsidRPr="00A95903">
        <w:rPr>
          <w:sz w:val="21"/>
          <w:szCs w:val="21"/>
        </w:rPr>
        <w:t>nga 15 000 deri 30 000 lekë;</w:t>
      </w:r>
    </w:p>
    <w:p w:rsidR="005029A7" w:rsidRPr="00A95903" w:rsidRDefault="005029A7" w:rsidP="005029A7">
      <w:pPr>
        <w:pStyle w:val="Paragrafi0"/>
        <w:rPr>
          <w:sz w:val="21"/>
          <w:szCs w:val="21"/>
        </w:rPr>
      </w:pPr>
      <w:r w:rsidRPr="00A95903">
        <w:rPr>
          <w:sz w:val="21"/>
          <w:szCs w:val="21"/>
        </w:rPr>
        <w:t xml:space="preserve">ç) autoriteti kontraktor, që nuk përmbush detyrimin për formën e komunikimit, për shkëmbimin dhe ruajtjen e informacionit, të përcaktuar në nenet 21 pika 3 e 22 të këtij ligji, me gjobë nga 50 000 deri në 100 000 lekë; </w:t>
      </w:r>
    </w:p>
    <w:p w:rsidR="005029A7" w:rsidRPr="00A95903" w:rsidRDefault="005029A7" w:rsidP="005029A7">
      <w:pPr>
        <w:pStyle w:val="Paragrafi0"/>
        <w:rPr>
          <w:sz w:val="21"/>
          <w:szCs w:val="21"/>
        </w:rPr>
      </w:pPr>
      <w:r w:rsidRPr="00A95903">
        <w:rPr>
          <w:sz w:val="21"/>
          <w:szCs w:val="21"/>
        </w:rPr>
        <w:t>d) autoriteti kontraktor, që nuk përmbush detyrimin e parashikuar në nenin 23 të këtij ligji, me gjobë nga 30 000 deri në 50 000 lekë;</w:t>
      </w:r>
    </w:p>
    <w:p w:rsidR="005029A7" w:rsidRPr="00A95903" w:rsidRDefault="005029A7" w:rsidP="005029A7">
      <w:pPr>
        <w:pStyle w:val="Paragrafi0"/>
        <w:rPr>
          <w:sz w:val="21"/>
          <w:szCs w:val="21"/>
        </w:rPr>
      </w:pPr>
      <w:r w:rsidRPr="00A95903">
        <w:rPr>
          <w:sz w:val="21"/>
          <w:szCs w:val="21"/>
        </w:rPr>
        <w:t>dh) autoriteti kontraktor, që nuk përmbush detyrimin e përcaktuar në nenin 25 të këtij ligji, me gjobë nga 50 000 deri në 80 000 lekë;</w:t>
      </w:r>
    </w:p>
    <w:p w:rsidR="005029A7" w:rsidRPr="00A95903" w:rsidRDefault="005029A7" w:rsidP="005029A7">
      <w:pPr>
        <w:pStyle w:val="Paragrafi0"/>
        <w:rPr>
          <w:sz w:val="21"/>
          <w:szCs w:val="21"/>
        </w:rPr>
      </w:pPr>
      <w:r w:rsidRPr="00A95903">
        <w:rPr>
          <w:sz w:val="21"/>
          <w:szCs w:val="21"/>
        </w:rPr>
        <w:t>e) autoriteti kontraktor, që nuk përmbush detyrimin e përcaktuar në nenin 38 të këtij ligji, me gjobë nga 50 000 deri në 100 000 lekë;</w:t>
      </w:r>
    </w:p>
    <w:p w:rsidR="005029A7" w:rsidRPr="00A95903" w:rsidRDefault="005029A7" w:rsidP="005029A7">
      <w:pPr>
        <w:pStyle w:val="Paragrafi0"/>
        <w:rPr>
          <w:sz w:val="21"/>
          <w:szCs w:val="21"/>
        </w:rPr>
      </w:pPr>
      <w:r w:rsidRPr="00A95903">
        <w:rPr>
          <w:sz w:val="21"/>
          <w:szCs w:val="21"/>
        </w:rPr>
        <w:t>ë) autoriteti kontraktor, që nuk përmbush detyrimin e përcaktuar në nenin 42 të këtij ligji, me gjobë nga 50 000 deri në 100 000 lekë;</w:t>
      </w:r>
    </w:p>
    <w:p w:rsidR="005029A7" w:rsidRPr="00A95903" w:rsidRDefault="005029A7" w:rsidP="005029A7">
      <w:pPr>
        <w:pStyle w:val="Paragrafi0"/>
        <w:rPr>
          <w:sz w:val="21"/>
          <w:szCs w:val="21"/>
        </w:rPr>
      </w:pPr>
      <w:r w:rsidRPr="00A95903">
        <w:rPr>
          <w:sz w:val="21"/>
          <w:szCs w:val="21"/>
        </w:rPr>
        <w:t>f) personat, që përpiqen të ndikojnë në vendimmarrjen e Komisionit të Prokurimit Publik, në kundërshtim me nenin 19/7 të këtij ligji, me gjobë nga 50 000 deri 100 000 lekë.</w:t>
      </w:r>
    </w:p>
    <w:p w:rsidR="005029A7" w:rsidRPr="00A95903" w:rsidRDefault="005029A7" w:rsidP="005029A7">
      <w:pPr>
        <w:pStyle w:val="Paragrafi0"/>
        <w:rPr>
          <w:sz w:val="21"/>
          <w:szCs w:val="21"/>
        </w:rPr>
      </w:pPr>
      <w:r w:rsidRPr="00A95903">
        <w:rPr>
          <w:sz w:val="21"/>
          <w:szCs w:val="21"/>
        </w:rPr>
        <w:t>2. Brenda 5 ditëve nga data e marrjes së njoftimit për vënien e gjobës, autoriteti kontraktor, në përputhje me Kodin e Procedurës Civile, mund të bëjë ankim në gjykatë.”.</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30</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Neni 73 “Sanksionet për mosbashkëpunimin me Avokatin e Prokurimeve” ndryshohet si më poshtë:</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73</w:t>
      </w:r>
    </w:p>
    <w:p w:rsidR="005029A7" w:rsidRPr="00A95903" w:rsidRDefault="005029A7" w:rsidP="008E46B2">
      <w:pPr>
        <w:pStyle w:val="NeniTitull"/>
        <w:rPr>
          <w:sz w:val="21"/>
          <w:szCs w:val="21"/>
        </w:rPr>
      </w:pPr>
      <w:r w:rsidRPr="00A95903">
        <w:rPr>
          <w:sz w:val="21"/>
          <w:szCs w:val="21"/>
        </w:rPr>
        <w:t>Sanksionet për mosbashkëpunim</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Refuzimi i nëpunësit civil, i funksionarit ose i autoritetit publik për të bashkëpunuar me Komisionin e Prokurimit Publik, Agjencinë e Prokurimit Publik dhe Avokatin e Prokurimeve përbën shkak që këto institucione t’i kërkojnë autoritetit përgjegjës dhënien e masave disiplinore.”.</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31</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Neni 74 “Rekomandimet legjislative” shfuqizohet.</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32</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Pas nenit 75/1 “Dispozitë e veçantë” shtohet neni 75/2 me këtë përmbajtje:</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75/2</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 xml:space="preserve">Procedurat për kontratat sektoriale, të nisura para hyrjes në fuqi të këtij ligji, do të vazhdojnë të realizohen sipas ligjit nr.9643, datë 20.11.2006 “Për prokurimin publik” , të ndryshuar.”. </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33</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Pas nenit 76 “Emërimi i Avokatit të Prokurimeve” shtohen nenet 76/1 e 76/2 me këtë përmbajtje:</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76/1</w:t>
      </w:r>
    </w:p>
    <w:p w:rsidR="005029A7" w:rsidRPr="00A95903" w:rsidRDefault="005029A7" w:rsidP="008E46B2">
      <w:pPr>
        <w:pStyle w:val="NeniTitull"/>
        <w:rPr>
          <w:sz w:val="21"/>
          <w:szCs w:val="21"/>
        </w:rPr>
      </w:pPr>
      <w:r w:rsidRPr="00A95903">
        <w:rPr>
          <w:sz w:val="21"/>
          <w:szCs w:val="21"/>
        </w:rPr>
        <w:t>Emërimi i anëtarëve të Komisionit të Prokurimit Publik</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Ngarkohet Këshilli i Ministrave që, brenda 1 muaji nga hyrja në fuqi e këtij ligji, të emërojë kryetarin, zëvendëskryetarin dhe anëtarët e Komisionit të Prokurimit Publik, në zbatim të pikës 2 të nenit 19/2 të këtij ligji.</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76/2</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r w:rsidRPr="00A95903">
        <w:rPr>
          <w:sz w:val="21"/>
          <w:szCs w:val="21"/>
        </w:rPr>
        <w:t>Shqyrtimi i ankesave nga komisioni do të fillojë 4 muaj pas krijimit të tij. Deri atëherë shqyrtimi i ankesave do të bëhet nga Agjencia e Prokurimit Publik, sipas rregullave dhe afateve të përcaktuara në këtë ligj.”.</w:t>
      </w:r>
    </w:p>
    <w:p w:rsidR="005029A7" w:rsidRPr="00A95903" w:rsidRDefault="005029A7" w:rsidP="005029A7">
      <w:pPr>
        <w:pStyle w:val="Paragrafi0"/>
        <w:rPr>
          <w:sz w:val="21"/>
          <w:szCs w:val="21"/>
        </w:rPr>
      </w:pPr>
    </w:p>
    <w:p w:rsidR="005029A7" w:rsidRPr="00A95903" w:rsidRDefault="005029A7" w:rsidP="008E46B2">
      <w:pPr>
        <w:pStyle w:val="NeniNr"/>
        <w:rPr>
          <w:sz w:val="21"/>
          <w:szCs w:val="21"/>
        </w:rPr>
      </w:pPr>
      <w:r w:rsidRPr="00A95903">
        <w:rPr>
          <w:sz w:val="21"/>
          <w:szCs w:val="21"/>
        </w:rPr>
        <w:t>Neni 34</w:t>
      </w:r>
    </w:p>
    <w:p w:rsidR="005029A7" w:rsidRPr="00A95903" w:rsidRDefault="005029A7" w:rsidP="008E46B2">
      <w:pPr>
        <w:pStyle w:val="NeniTitull"/>
        <w:rPr>
          <w:sz w:val="21"/>
          <w:szCs w:val="21"/>
        </w:rPr>
      </w:pPr>
      <w:r w:rsidRPr="00A95903">
        <w:rPr>
          <w:sz w:val="21"/>
          <w:szCs w:val="21"/>
        </w:rPr>
        <w:t>Hyrja në fuqi</w:t>
      </w:r>
    </w:p>
    <w:p w:rsidR="005029A7" w:rsidRPr="00A95903" w:rsidRDefault="005029A7" w:rsidP="005029A7">
      <w:pPr>
        <w:pStyle w:val="Paragrafi0"/>
        <w:rPr>
          <w:sz w:val="21"/>
          <w:szCs w:val="21"/>
        </w:rPr>
      </w:pPr>
    </w:p>
    <w:p w:rsidR="005029A7" w:rsidRPr="00A95903" w:rsidRDefault="005029A7" w:rsidP="005029A7">
      <w:pPr>
        <w:pStyle w:val="Paragrafi0"/>
        <w:rPr>
          <w:sz w:val="21"/>
          <w:szCs w:val="21"/>
        </w:rPr>
      </w:pPr>
      <w:bookmarkStart w:id="2" w:name="_Toc146625561"/>
      <w:bookmarkEnd w:id="2"/>
      <w:r w:rsidRPr="00A95903">
        <w:rPr>
          <w:sz w:val="21"/>
          <w:szCs w:val="21"/>
        </w:rPr>
        <w:t>Ky ligj hyn në fuqi 15 ditë pas botimit në Fletoren Zyrtare.</w:t>
      </w:r>
    </w:p>
    <w:p w:rsidR="005029A7" w:rsidRPr="00A95903" w:rsidRDefault="005029A7" w:rsidP="005029A7">
      <w:pPr>
        <w:pStyle w:val="Paragrafi0"/>
        <w:rPr>
          <w:sz w:val="21"/>
          <w:szCs w:val="21"/>
        </w:rPr>
      </w:pPr>
    </w:p>
    <w:p w:rsidR="00A86D76" w:rsidRPr="00B355DC" w:rsidRDefault="00A86D76" w:rsidP="00A86D76">
      <w:pPr>
        <w:pStyle w:val="Paragrafi0"/>
        <w:ind w:firstLine="0"/>
        <w:rPr>
          <w:b/>
          <w:sz w:val="23"/>
          <w:szCs w:val="23"/>
        </w:rPr>
      </w:pPr>
      <w:r w:rsidRPr="00B355DC">
        <w:rPr>
          <w:b/>
          <w:sz w:val="23"/>
          <w:szCs w:val="23"/>
        </w:rPr>
        <w:t>Shpa</w:t>
      </w:r>
      <w:r w:rsidR="00854C39" w:rsidRPr="00B355DC">
        <w:rPr>
          <w:b/>
          <w:sz w:val="23"/>
          <w:szCs w:val="23"/>
        </w:rPr>
        <w:t>llur me dekretin nr.6321, datë 5.11</w:t>
      </w:r>
      <w:r w:rsidRPr="00B355DC">
        <w:rPr>
          <w:b/>
          <w:sz w:val="23"/>
          <w:szCs w:val="23"/>
        </w:rPr>
        <w:t xml:space="preserve">.2009 të Presidentit të Republikës së Shqipërisë, </w:t>
      </w:r>
    </w:p>
    <w:p w:rsidR="00A86D76" w:rsidRPr="00B355DC" w:rsidRDefault="00A86D76" w:rsidP="00A86D76">
      <w:pPr>
        <w:pStyle w:val="Paragrafi0"/>
        <w:ind w:firstLine="0"/>
        <w:rPr>
          <w:b/>
          <w:sz w:val="23"/>
          <w:szCs w:val="23"/>
        </w:rPr>
      </w:pPr>
      <w:r w:rsidRPr="00B355DC">
        <w:rPr>
          <w:b/>
          <w:sz w:val="23"/>
          <w:szCs w:val="23"/>
        </w:rPr>
        <w:t>Bamir Topi</w:t>
      </w:r>
    </w:p>
    <w:p w:rsidR="002E464B" w:rsidRPr="00A95903" w:rsidRDefault="002E464B" w:rsidP="005029A7">
      <w:pPr>
        <w:pStyle w:val="Paragrafi0"/>
        <w:rPr>
          <w:sz w:val="21"/>
          <w:szCs w:val="21"/>
        </w:rPr>
      </w:pPr>
    </w:p>
    <w:p w:rsidR="002E464B" w:rsidRDefault="002E464B" w:rsidP="005029A7">
      <w:pPr>
        <w:pStyle w:val="Paragrafi0"/>
      </w:pPr>
    </w:p>
    <w:p w:rsidR="00DD6292" w:rsidRDefault="00DD6292"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Default="00A9338D" w:rsidP="005029A7">
      <w:pPr>
        <w:pStyle w:val="Paragrafi0"/>
      </w:pPr>
    </w:p>
    <w:p w:rsidR="00A9338D" w:rsidRPr="00CD5584" w:rsidRDefault="00A9338D" w:rsidP="00A9338D">
      <w:pPr>
        <w:pStyle w:val="Akti"/>
        <w:rPr>
          <w:sz w:val="21"/>
          <w:szCs w:val="21"/>
        </w:rPr>
      </w:pPr>
      <w:r w:rsidRPr="00CD5584">
        <w:rPr>
          <w:sz w:val="21"/>
          <w:szCs w:val="21"/>
        </w:rPr>
        <w:t>Ndreqje gabimi</w:t>
      </w:r>
    </w:p>
    <w:p w:rsidR="00A9338D" w:rsidRPr="00CD5584" w:rsidRDefault="00A9338D" w:rsidP="00A9338D">
      <w:pPr>
        <w:pStyle w:val="Paragrafi0"/>
        <w:rPr>
          <w:sz w:val="21"/>
          <w:szCs w:val="21"/>
        </w:rPr>
      </w:pPr>
    </w:p>
    <w:p w:rsidR="00A9338D" w:rsidRPr="00CD5584" w:rsidRDefault="00A9338D" w:rsidP="00A9338D">
      <w:pPr>
        <w:pStyle w:val="Paragrafi0"/>
        <w:rPr>
          <w:sz w:val="21"/>
          <w:szCs w:val="21"/>
        </w:rPr>
      </w:pPr>
      <w:r w:rsidRPr="00CD5584">
        <w:rPr>
          <w:sz w:val="21"/>
          <w:szCs w:val="21"/>
        </w:rPr>
        <w:t>Në vendimin nr.27, datë 27.7.2009, me objekt: Shfuqizimi si të papajtueshëm me Kushtetutën e Republikës së Shqipërisë, i vendimeve nr.752, datë 16.2.2005 të Gjykatës së Rrethit Gjyqësor Tiranë; nr.799, datë 7.7.2005 të Gjykatës së Apelit Tiranë dhe i vendimit nr.00-2006-256 (770), datë 2.6.2006 të Kolegjit Civil të Gjykatës së Lartë“, i publikuar në Fletoren Zyrtare nr.119, datë 22 gusht 2009, në pjesën e fundit:</w:t>
      </w:r>
    </w:p>
    <w:p w:rsidR="00A9338D" w:rsidRPr="00CD5584" w:rsidRDefault="00A9338D" w:rsidP="00A9338D">
      <w:pPr>
        <w:pStyle w:val="Paragrafi0"/>
        <w:rPr>
          <w:sz w:val="21"/>
          <w:szCs w:val="21"/>
        </w:rPr>
      </w:pPr>
      <w:r w:rsidRPr="00CD5584">
        <w:rPr>
          <w:b/>
          <w:sz w:val="21"/>
          <w:szCs w:val="21"/>
        </w:rPr>
        <w:t>Është</w:t>
      </w:r>
      <w:r w:rsidRPr="00CD5584">
        <w:rPr>
          <w:sz w:val="21"/>
          <w:szCs w:val="21"/>
        </w:rPr>
        <w:t xml:space="preserve">: Anëtarë pro:Vladimir Kristo (Kryetar), Vitore Tusha, Kujtim Puto, Admir Thanza, </w:t>
      </w:r>
    </w:p>
    <w:p w:rsidR="00A9338D" w:rsidRPr="00CD5584" w:rsidRDefault="00A9338D" w:rsidP="00A9338D">
      <w:pPr>
        <w:pStyle w:val="Paragrafi0"/>
        <w:rPr>
          <w:b/>
          <w:sz w:val="21"/>
          <w:szCs w:val="21"/>
        </w:rPr>
      </w:pPr>
      <w:r w:rsidRPr="00CD5584">
        <w:rPr>
          <w:b/>
          <w:sz w:val="21"/>
          <w:szCs w:val="21"/>
        </w:rPr>
        <w:t xml:space="preserve">Bëhet: </w:t>
      </w:r>
      <w:r w:rsidRPr="00CD5584">
        <w:rPr>
          <w:sz w:val="21"/>
          <w:szCs w:val="21"/>
        </w:rPr>
        <w:t xml:space="preserve">Anëtarë pro:Vladimir Kristo (Kryetar),Vitore Tusha, Kujtim Puto, Admir Thanza, </w:t>
      </w:r>
      <w:r w:rsidRPr="00CD5584">
        <w:rPr>
          <w:b/>
          <w:sz w:val="21"/>
          <w:szCs w:val="21"/>
        </w:rPr>
        <w:t>Fehmi Abdiu.</w:t>
      </w: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DD6292" w:rsidRDefault="00DD6292" w:rsidP="005029A7">
      <w:pPr>
        <w:pStyle w:val="Paragrafi0"/>
      </w:pPr>
    </w:p>
    <w:p w:rsidR="002E464B" w:rsidRPr="002E464B" w:rsidRDefault="002E464B" w:rsidP="002E464B">
      <w:pPr>
        <w:pStyle w:val="Paragrafi0"/>
      </w:pPr>
    </w:p>
    <w:p w:rsidR="005F3DD3" w:rsidRPr="005F3DD3" w:rsidRDefault="005F3DD3" w:rsidP="005F3DD3">
      <w:pPr>
        <w:pStyle w:val="Paragrafi0"/>
      </w:pPr>
    </w:p>
    <w:sectPr w:rsidR="005F3DD3" w:rsidRPr="005F3DD3" w:rsidSect="00CD5584">
      <w:footnotePr>
        <w:numRestart w:val="eachPage"/>
      </w:footnotePr>
      <w:pgSz w:w="11906" w:h="16838" w:code="9"/>
      <w:pgMar w:top="1418" w:right="1418" w:bottom="1418" w:left="1418" w:header="1304" w:footer="1134" w:gutter="0"/>
      <w:pgNumType w:start="6898"/>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086" w:rsidRDefault="00510086">
      <w:r>
        <w:separator/>
      </w:r>
    </w:p>
  </w:endnote>
  <w:endnote w:type="continuationSeparator" w:id="0">
    <w:p w:rsidR="00510086" w:rsidRDefault="00510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77C" w:rsidRDefault="0029277C" w:rsidP="00AE7F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9277C" w:rsidRDefault="0029277C" w:rsidP="0049712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77C" w:rsidRDefault="0029277C" w:rsidP="00AE7F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B3031">
      <w:rPr>
        <w:rStyle w:val="PageNumber"/>
        <w:noProof/>
      </w:rPr>
      <w:t>6891</w:t>
    </w:r>
    <w:r>
      <w:rPr>
        <w:rStyle w:val="PageNumber"/>
      </w:rPr>
      <w:fldChar w:fldCharType="end"/>
    </w:r>
  </w:p>
  <w:p w:rsidR="0029277C" w:rsidRDefault="0029277C" w:rsidP="0049712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086" w:rsidRDefault="00510086">
      <w:r>
        <w:separator/>
      </w:r>
    </w:p>
  </w:footnote>
  <w:footnote w:type="continuationSeparator" w:id="0">
    <w:p w:rsidR="00510086" w:rsidRDefault="00510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77C" w:rsidRPr="00A66D94" w:rsidRDefault="0029277C" w:rsidP="008530FF">
    <w:pPr>
      <w:pStyle w:val="Header"/>
      <w:pBdr>
        <w:bottom w:val="single" w:sz="4" w:space="1" w:color="auto"/>
      </w:pBdr>
      <w:tabs>
        <w:tab w:val="clear" w:pos="3686"/>
        <w:tab w:val="center" w:pos="7371"/>
      </w:tabs>
      <w:rPr>
        <w:b/>
        <w:color w:val="000080"/>
        <w:szCs w:val="18"/>
      </w:rPr>
    </w:pPr>
    <w:r w:rsidRPr="00A66D94">
      <w:rPr>
        <w:b/>
        <w:color w:val="000080"/>
        <w:szCs w:val="18"/>
      </w:rPr>
      <w:t xml:space="preserve">PERKTHIM ZYRTAR        </w:t>
    </w:r>
    <w:r>
      <w:rPr>
        <w:b/>
        <w:color w:val="000080"/>
        <w:szCs w:val="18"/>
      </w:rPr>
      <w:t xml:space="preserve">                  TRADUCTION OFFICIELLE       </w:t>
    </w:r>
    <w:r w:rsidRPr="00A66D94">
      <w:rPr>
        <w:b/>
        <w:color w:val="000080"/>
        <w:szCs w:val="18"/>
      </w:rPr>
      <w:t xml:space="preserve"> </w:t>
    </w:r>
    <w:r>
      <w:rPr>
        <w:b/>
        <w:color w:val="000080"/>
        <w:szCs w:val="18"/>
      </w:rPr>
      <w:t xml:space="preserve">              </w:t>
    </w:r>
    <w:r w:rsidRPr="00A66D94">
      <w:rPr>
        <w:b/>
        <w:color w:val="000080"/>
        <w:szCs w:val="18"/>
      </w:rPr>
      <w:t xml:space="preserve"> OFFICIAL TRANSLATION</w:t>
    </w:r>
  </w:p>
  <w:p w:rsidR="0029277C" w:rsidRDefault="0029277C">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tab/>
      <w:t xml:space="preserve">GRORI v. </w:t>
    </w:r>
    <w:smartTag w:uri="urn:schemas-microsoft-com:office:smarttags" w:element="place">
      <w:smartTag w:uri="urn:schemas-microsoft-com:office:smarttags" w:element="country-region">
        <w:r>
          <w:t>ALBANIA</w:t>
        </w:r>
      </w:smartTag>
    </w:smartTag>
    <w:r>
      <w:t xml:space="preserve"> JUDGMENT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27681"/>
    <w:multiLevelType w:val="hybridMultilevel"/>
    <w:tmpl w:val="AC48EF68"/>
    <w:lvl w:ilvl="0" w:tplc="FCE0C39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8701C3"/>
    <w:multiLevelType w:val="hybridMultilevel"/>
    <w:tmpl w:val="9ABE12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9028A5"/>
    <w:multiLevelType w:val="hybridMultilevel"/>
    <w:tmpl w:val="8A50A60A"/>
    <w:lvl w:ilvl="0" w:tplc="86422ACE">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0F376A20"/>
    <w:multiLevelType w:val="hybridMultilevel"/>
    <w:tmpl w:val="76B46256"/>
    <w:lvl w:ilvl="0" w:tplc="0409000F">
      <w:start w:val="1"/>
      <w:numFmt w:val="decimal"/>
      <w:lvlText w:val="%1."/>
      <w:lvlJc w:val="left"/>
      <w:pPr>
        <w:tabs>
          <w:tab w:val="num" w:pos="720"/>
        </w:tabs>
        <w:ind w:left="720" w:hanging="360"/>
      </w:pPr>
    </w:lvl>
    <w:lvl w:ilvl="1" w:tplc="EF10FBB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FE7BF3"/>
    <w:multiLevelType w:val="hybridMultilevel"/>
    <w:tmpl w:val="33FA48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7D54E8"/>
    <w:multiLevelType w:val="hybridMultilevel"/>
    <w:tmpl w:val="D60AC9F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070EBA"/>
    <w:multiLevelType w:val="hybridMultilevel"/>
    <w:tmpl w:val="1EC245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03242A"/>
    <w:multiLevelType w:val="hybridMultilevel"/>
    <w:tmpl w:val="B43CF46A"/>
    <w:lvl w:ilvl="0" w:tplc="540824B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3917E70"/>
    <w:multiLevelType w:val="hybridMultilevel"/>
    <w:tmpl w:val="2DF806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1E6E1D"/>
    <w:multiLevelType w:val="hybridMultilevel"/>
    <w:tmpl w:val="1CDEC7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35032C"/>
    <w:multiLevelType w:val="hybridMultilevel"/>
    <w:tmpl w:val="5E7885D2"/>
    <w:lvl w:ilvl="0" w:tplc="0409000F">
      <w:start w:val="1"/>
      <w:numFmt w:val="decimal"/>
      <w:lvlText w:val="%1."/>
      <w:lvlJc w:val="left"/>
      <w:pPr>
        <w:tabs>
          <w:tab w:val="num" w:pos="1080"/>
        </w:tabs>
        <w:ind w:left="1080" w:hanging="360"/>
      </w:pPr>
    </w:lvl>
    <w:lvl w:ilvl="1" w:tplc="CD1420E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972035B"/>
    <w:multiLevelType w:val="hybridMultilevel"/>
    <w:tmpl w:val="D65AD102"/>
    <w:lvl w:ilvl="0" w:tplc="0409000F">
      <w:start w:val="1"/>
      <w:numFmt w:val="decimal"/>
      <w:lvlText w:val="%1."/>
      <w:lvlJc w:val="left"/>
      <w:pPr>
        <w:tabs>
          <w:tab w:val="num" w:pos="720"/>
        </w:tabs>
        <w:ind w:left="720" w:hanging="360"/>
      </w:pPr>
      <w:rPr>
        <w:rFonts w:hint="default"/>
      </w:rPr>
    </w:lvl>
    <w:lvl w:ilvl="1" w:tplc="C5AE3E0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9965C3E"/>
    <w:multiLevelType w:val="hybridMultilevel"/>
    <w:tmpl w:val="852EB03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2660C5E"/>
    <w:multiLevelType w:val="hybridMultilevel"/>
    <w:tmpl w:val="B09AB51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BE93F0F"/>
    <w:multiLevelType w:val="hybridMultilevel"/>
    <w:tmpl w:val="6C5A1A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EF27880"/>
    <w:multiLevelType w:val="hybridMultilevel"/>
    <w:tmpl w:val="66B6B5F0"/>
    <w:lvl w:ilvl="0" w:tplc="0409000F">
      <w:start w:val="1"/>
      <w:numFmt w:val="decimal"/>
      <w:lvlText w:val="%1."/>
      <w:lvlJc w:val="left"/>
      <w:pPr>
        <w:tabs>
          <w:tab w:val="num" w:pos="720"/>
        </w:tabs>
        <w:ind w:left="720" w:hanging="360"/>
      </w:pPr>
      <w:rPr>
        <w:rFonts w:hint="default"/>
      </w:rPr>
    </w:lvl>
    <w:lvl w:ilvl="1" w:tplc="C8A6344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0F12B54"/>
    <w:multiLevelType w:val="multilevel"/>
    <w:tmpl w:val="F1D8926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1"/>
  </w:num>
  <w:num w:numId="2">
    <w:abstractNumId w:val="8"/>
  </w:num>
  <w:num w:numId="3">
    <w:abstractNumId w:val="14"/>
  </w:num>
  <w:num w:numId="4">
    <w:abstractNumId w:val="10"/>
  </w:num>
  <w:num w:numId="5">
    <w:abstractNumId w:val="0"/>
  </w:num>
  <w:num w:numId="6">
    <w:abstractNumId w:val="11"/>
  </w:num>
  <w:num w:numId="7">
    <w:abstractNumId w:val="15"/>
  </w:num>
  <w:num w:numId="8">
    <w:abstractNumId w:val="9"/>
  </w:num>
  <w:num w:numId="9">
    <w:abstractNumId w:val="4"/>
  </w:num>
  <w:num w:numId="10">
    <w:abstractNumId w:val="3"/>
  </w:num>
  <w:num w:numId="11">
    <w:abstractNumId w:val="7"/>
  </w:num>
  <w:num w:numId="12">
    <w:abstractNumId w:val="6"/>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2"/>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530FF"/>
    <w:rsid w:val="00001ED4"/>
    <w:rsid w:val="0000253A"/>
    <w:rsid w:val="0000363C"/>
    <w:rsid w:val="00004CDC"/>
    <w:rsid w:val="00005805"/>
    <w:rsid w:val="0000659F"/>
    <w:rsid w:val="00010C90"/>
    <w:rsid w:val="000116E2"/>
    <w:rsid w:val="00013366"/>
    <w:rsid w:val="00014340"/>
    <w:rsid w:val="0001438C"/>
    <w:rsid w:val="000152A2"/>
    <w:rsid w:val="00016505"/>
    <w:rsid w:val="00016606"/>
    <w:rsid w:val="00016B7F"/>
    <w:rsid w:val="0001780C"/>
    <w:rsid w:val="00017EBE"/>
    <w:rsid w:val="00017F82"/>
    <w:rsid w:val="00021355"/>
    <w:rsid w:val="0002384E"/>
    <w:rsid w:val="000239EC"/>
    <w:rsid w:val="00023ED4"/>
    <w:rsid w:val="000253C1"/>
    <w:rsid w:val="00026801"/>
    <w:rsid w:val="0002748B"/>
    <w:rsid w:val="00030428"/>
    <w:rsid w:val="00030839"/>
    <w:rsid w:val="00030B1F"/>
    <w:rsid w:val="000312C8"/>
    <w:rsid w:val="00032605"/>
    <w:rsid w:val="00034158"/>
    <w:rsid w:val="000353B2"/>
    <w:rsid w:val="0003682E"/>
    <w:rsid w:val="0003789B"/>
    <w:rsid w:val="00037937"/>
    <w:rsid w:val="00040422"/>
    <w:rsid w:val="000415DF"/>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0148"/>
    <w:rsid w:val="000607D4"/>
    <w:rsid w:val="000624EF"/>
    <w:rsid w:val="00062AA9"/>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1948"/>
    <w:rsid w:val="00096F6A"/>
    <w:rsid w:val="00097D2E"/>
    <w:rsid w:val="000A03EC"/>
    <w:rsid w:val="000A0CC4"/>
    <w:rsid w:val="000A44EA"/>
    <w:rsid w:val="000A5791"/>
    <w:rsid w:val="000A6264"/>
    <w:rsid w:val="000A7BA3"/>
    <w:rsid w:val="000B0775"/>
    <w:rsid w:val="000B0ADE"/>
    <w:rsid w:val="000B2043"/>
    <w:rsid w:val="000B3B20"/>
    <w:rsid w:val="000B48A0"/>
    <w:rsid w:val="000B5F74"/>
    <w:rsid w:val="000B6FDE"/>
    <w:rsid w:val="000B7659"/>
    <w:rsid w:val="000B7702"/>
    <w:rsid w:val="000C01D9"/>
    <w:rsid w:val="000C2D93"/>
    <w:rsid w:val="000C42B2"/>
    <w:rsid w:val="000C430A"/>
    <w:rsid w:val="000C4B13"/>
    <w:rsid w:val="000C4D31"/>
    <w:rsid w:val="000C4FFA"/>
    <w:rsid w:val="000C517F"/>
    <w:rsid w:val="000C596A"/>
    <w:rsid w:val="000C6057"/>
    <w:rsid w:val="000C60BF"/>
    <w:rsid w:val="000C61F8"/>
    <w:rsid w:val="000C6BA6"/>
    <w:rsid w:val="000C71F4"/>
    <w:rsid w:val="000C750C"/>
    <w:rsid w:val="000D0E2E"/>
    <w:rsid w:val="000D1F2B"/>
    <w:rsid w:val="000D24B7"/>
    <w:rsid w:val="000D5C29"/>
    <w:rsid w:val="000D648F"/>
    <w:rsid w:val="000D65A1"/>
    <w:rsid w:val="000E09FD"/>
    <w:rsid w:val="000E0BD9"/>
    <w:rsid w:val="000E0DE0"/>
    <w:rsid w:val="000E14D7"/>
    <w:rsid w:val="000E1D7D"/>
    <w:rsid w:val="000E41BC"/>
    <w:rsid w:val="000E42C9"/>
    <w:rsid w:val="000E46C8"/>
    <w:rsid w:val="000E47F5"/>
    <w:rsid w:val="000E7D2B"/>
    <w:rsid w:val="000F0CDA"/>
    <w:rsid w:val="000F0EC8"/>
    <w:rsid w:val="000F2AD5"/>
    <w:rsid w:val="000F3B8B"/>
    <w:rsid w:val="000F5F01"/>
    <w:rsid w:val="0010101E"/>
    <w:rsid w:val="001030E4"/>
    <w:rsid w:val="00103440"/>
    <w:rsid w:val="00104F42"/>
    <w:rsid w:val="0011007C"/>
    <w:rsid w:val="001108EA"/>
    <w:rsid w:val="00110C87"/>
    <w:rsid w:val="00113297"/>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E58"/>
    <w:rsid w:val="00134F17"/>
    <w:rsid w:val="00134F2A"/>
    <w:rsid w:val="001375E3"/>
    <w:rsid w:val="0014092F"/>
    <w:rsid w:val="00143D16"/>
    <w:rsid w:val="00144030"/>
    <w:rsid w:val="001441DD"/>
    <w:rsid w:val="001445FD"/>
    <w:rsid w:val="00144D75"/>
    <w:rsid w:val="0014598C"/>
    <w:rsid w:val="00145B2F"/>
    <w:rsid w:val="0015073A"/>
    <w:rsid w:val="0015074C"/>
    <w:rsid w:val="0015202D"/>
    <w:rsid w:val="00152456"/>
    <w:rsid w:val="001532F4"/>
    <w:rsid w:val="00154AC0"/>
    <w:rsid w:val="00154D78"/>
    <w:rsid w:val="00155B8F"/>
    <w:rsid w:val="00157A6E"/>
    <w:rsid w:val="00160350"/>
    <w:rsid w:val="00160724"/>
    <w:rsid w:val="001623F8"/>
    <w:rsid w:val="00162839"/>
    <w:rsid w:val="00162C4F"/>
    <w:rsid w:val="00163B8A"/>
    <w:rsid w:val="00165E3C"/>
    <w:rsid w:val="001664E1"/>
    <w:rsid w:val="001719D2"/>
    <w:rsid w:val="001743DB"/>
    <w:rsid w:val="001763D1"/>
    <w:rsid w:val="00177753"/>
    <w:rsid w:val="001812DB"/>
    <w:rsid w:val="00183704"/>
    <w:rsid w:val="0018508F"/>
    <w:rsid w:val="00186D2B"/>
    <w:rsid w:val="001906D2"/>
    <w:rsid w:val="00191231"/>
    <w:rsid w:val="00191FDA"/>
    <w:rsid w:val="00194A4D"/>
    <w:rsid w:val="001952F8"/>
    <w:rsid w:val="0019562E"/>
    <w:rsid w:val="0019795D"/>
    <w:rsid w:val="00197CB4"/>
    <w:rsid w:val="001A02D5"/>
    <w:rsid w:val="001A2871"/>
    <w:rsid w:val="001A2C51"/>
    <w:rsid w:val="001A3A7E"/>
    <w:rsid w:val="001A3BE3"/>
    <w:rsid w:val="001A4548"/>
    <w:rsid w:val="001A4E0B"/>
    <w:rsid w:val="001A5C54"/>
    <w:rsid w:val="001B05F9"/>
    <w:rsid w:val="001B06BA"/>
    <w:rsid w:val="001B0A97"/>
    <w:rsid w:val="001B10B7"/>
    <w:rsid w:val="001B2E8C"/>
    <w:rsid w:val="001B39D0"/>
    <w:rsid w:val="001B3AC8"/>
    <w:rsid w:val="001C1609"/>
    <w:rsid w:val="001C19B3"/>
    <w:rsid w:val="001C1ADE"/>
    <w:rsid w:val="001C2458"/>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E6AD6"/>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D05"/>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5D2D"/>
    <w:rsid w:val="00287798"/>
    <w:rsid w:val="00290D06"/>
    <w:rsid w:val="002917CD"/>
    <w:rsid w:val="002923C0"/>
    <w:rsid w:val="0029277C"/>
    <w:rsid w:val="00292DE9"/>
    <w:rsid w:val="0029358C"/>
    <w:rsid w:val="00294A8B"/>
    <w:rsid w:val="00296798"/>
    <w:rsid w:val="002A0B57"/>
    <w:rsid w:val="002A1B39"/>
    <w:rsid w:val="002A1F05"/>
    <w:rsid w:val="002A48CD"/>
    <w:rsid w:val="002A5416"/>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14E"/>
    <w:rsid w:val="002E38D0"/>
    <w:rsid w:val="002E39B7"/>
    <w:rsid w:val="002E464B"/>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3DF4"/>
    <w:rsid w:val="0034544B"/>
    <w:rsid w:val="003460C1"/>
    <w:rsid w:val="00346A8A"/>
    <w:rsid w:val="003470D6"/>
    <w:rsid w:val="003504D9"/>
    <w:rsid w:val="00354C70"/>
    <w:rsid w:val="00354CF6"/>
    <w:rsid w:val="00355A50"/>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2FB2"/>
    <w:rsid w:val="003931B3"/>
    <w:rsid w:val="00396179"/>
    <w:rsid w:val="00397546"/>
    <w:rsid w:val="003A0F41"/>
    <w:rsid w:val="003A18A9"/>
    <w:rsid w:val="003A1EDA"/>
    <w:rsid w:val="003A2ADD"/>
    <w:rsid w:val="003A34DD"/>
    <w:rsid w:val="003A3C7E"/>
    <w:rsid w:val="003A4F0D"/>
    <w:rsid w:val="003A521D"/>
    <w:rsid w:val="003A59E8"/>
    <w:rsid w:val="003A5DB1"/>
    <w:rsid w:val="003B18BA"/>
    <w:rsid w:val="003B370C"/>
    <w:rsid w:val="003B5043"/>
    <w:rsid w:val="003B5D62"/>
    <w:rsid w:val="003B6718"/>
    <w:rsid w:val="003B7283"/>
    <w:rsid w:val="003B7803"/>
    <w:rsid w:val="003B7E4B"/>
    <w:rsid w:val="003C021F"/>
    <w:rsid w:val="003C34AC"/>
    <w:rsid w:val="003C39AE"/>
    <w:rsid w:val="003C3AA4"/>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D79EF"/>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284F"/>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96871"/>
    <w:rsid w:val="00497125"/>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0E0"/>
    <w:rsid w:val="004C3481"/>
    <w:rsid w:val="004C4427"/>
    <w:rsid w:val="004C4B01"/>
    <w:rsid w:val="004C505A"/>
    <w:rsid w:val="004C5AA4"/>
    <w:rsid w:val="004C6138"/>
    <w:rsid w:val="004C798A"/>
    <w:rsid w:val="004D1DD3"/>
    <w:rsid w:val="004D490B"/>
    <w:rsid w:val="004D53B7"/>
    <w:rsid w:val="004D5538"/>
    <w:rsid w:val="004D71CF"/>
    <w:rsid w:val="004D7450"/>
    <w:rsid w:val="004D7643"/>
    <w:rsid w:val="004D7EC5"/>
    <w:rsid w:val="004E19EF"/>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29A7"/>
    <w:rsid w:val="00503766"/>
    <w:rsid w:val="00503ABF"/>
    <w:rsid w:val="0050447A"/>
    <w:rsid w:val="00505C74"/>
    <w:rsid w:val="00510086"/>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3EE5"/>
    <w:rsid w:val="0053441D"/>
    <w:rsid w:val="00535A8A"/>
    <w:rsid w:val="005362E4"/>
    <w:rsid w:val="00536D4B"/>
    <w:rsid w:val="00536DB6"/>
    <w:rsid w:val="00537D3B"/>
    <w:rsid w:val="00540E4B"/>
    <w:rsid w:val="0054268F"/>
    <w:rsid w:val="00542C6C"/>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66B85"/>
    <w:rsid w:val="0057084C"/>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97247"/>
    <w:rsid w:val="005A1632"/>
    <w:rsid w:val="005A2745"/>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78D"/>
    <w:rsid w:val="005D0EFC"/>
    <w:rsid w:val="005D3BF4"/>
    <w:rsid w:val="005D778C"/>
    <w:rsid w:val="005E0926"/>
    <w:rsid w:val="005E1300"/>
    <w:rsid w:val="005E3F56"/>
    <w:rsid w:val="005E4476"/>
    <w:rsid w:val="005E52FC"/>
    <w:rsid w:val="005E55F7"/>
    <w:rsid w:val="005E5EF2"/>
    <w:rsid w:val="005E6E32"/>
    <w:rsid w:val="005F1B52"/>
    <w:rsid w:val="005F1C45"/>
    <w:rsid w:val="005F3DD3"/>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1723E"/>
    <w:rsid w:val="0062204B"/>
    <w:rsid w:val="00625423"/>
    <w:rsid w:val="00626E38"/>
    <w:rsid w:val="006276FD"/>
    <w:rsid w:val="0062770E"/>
    <w:rsid w:val="00630305"/>
    <w:rsid w:val="00632252"/>
    <w:rsid w:val="00634970"/>
    <w:rsid w:val="0063569C"/>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2CC"/>
    <w:rsid w:val="006545B6"/>
    <w:rsid w:val="00655AC3"/>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773EF"/>
    <w:rsid w:val="006810AB"/>
    <w:rsid w:val="00682F33"/>
    <w:rsid w:val="00683536"/>
    <w:rsid w:val="006837F1"/>
    <w:rsid w:val="00683F12"/>
    <w:rsid w:val="00685A19"/>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0E2"/>
    <w:rsid w:val="006B211A"/>
    <w:rsid w:val="006B2EF9"/>
    <w:rsid w:val="006B33EE"/>
    <w:rsid w:val="006B3DA5"/>
    <w:rsid w:val="006B785D"/>
    <w:rsid w:val="006B797E"/>
    <w:rsid w:val="006B7BCE"/>
    <w:rsid w:val="006C10D2"/>
    <w:rsid w:val="006C11F5"/>
    <w:rsid w:val="006C2034"/>
    <w:rsid w:val="006C40C4"/>
    <w:rsid w:val="006C46E1"/>
    <w:rsid w:val="006C659B"/>
    <w:rsid w:val="006C6838"/>
    <w:rsid w:val="006C6C4B"/>
    <w:rsid w:val="006C6CC1"/>
    <w:rsid w:val="006D2B34"/>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17C15"/>
    <w:rsid w:val="00717EB1"/>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1B23"/>
    <w:rsid w:val="0075220F"/>
    <w:rsid w:val="007524FF"/>
    <w:rsid w:val="00753ECC"/>
    <w:rsid w:val="0075595B"/>
    <w:rsid w:val="0075636F"/>
    <w:rsid w:val="00756B4E"/>
    <w:rsid w:val="0075728B"/>
    <w:rsid w:val="00760AA6"/>
    <w:rsid w:val="00761FEB"/>
    <w:rsid w:val="0076487C"/>
    <w:rsid w:val="00766B78"/>
    <w:rsid w:val="007708DE"/>
    <w:rsid w:val="007719C1"/>
    <w:rsid w:val="0077285A"/>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808"/>
    <w:rsid w:val="007A11CE"/>
    <w:rsid w:val="007A278B"/>
    <w:rsid w:val="007A2CB0"/>
    <w:rsid w:val="007A2F8A"/>
    <w:rsid w:val="007A3B06"/>
    <w:rsid w:val="007A4824"/>
    <w:rsid w:val="007B1ED0"/>
    <w:rsid w:val="007B335A"/>
    <w:rsid w:val="007B39AC"/>
    <w:rsid w:val="007B5384"/>
    <w:rsid w:val="007B55A8"/>
    <w:rsid w:val="007B5E8F"/>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B00"/>
    <w:rsid w:val="00826DB2"/>
    <w:rsid w:val="00826E48"/>
    <w:rsid w:val="00831966"/>
    <w:rsid w:val="00832A02"/>
    <w:rsid w:val="008349DC"/>
    <w:rsid w:val="00837999"/>
    <w:rsid w:val="0084152F"/>
    <w:rsid w:val="00843D8C"/>
    <w:rsid w:val="00844A57"/>
    <w:rsid w:val="0084505E"/>
    <w:rsid w:val="00847C72"/>
    <w:rsid w:val="0085040F"/>
    <w:rsid w:val="0085046D"/>
    <w:rsid w:val="00851193"/>
    <w:rsid w:val="008518B1"/>
    <w:rsid w:val="008530FF"/>
    <w:rsid w:val="008533FC"/>
    <w:rsid w:val="00854C39"/>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760"/>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6B2"/>
    <w:rsid w:val="008E4829"/>
    <w:rsid w:val="008E64BD"/>
    <w:rsid w:val="008E65BC"/>
    <w:rsid w:val="008E7307"/>
    <w:rsid w:val="008F0846"/>
    <w:rsid w:val="008F1BE3"/>
    <w:rsid w:val="008F3C07"/>
    <w:rsid w:val="008F4E21"/>
    <w:rsid w:val="008F5979"/>
    <w:rsid w:val="008F5DE0"/>
    <w:rsid w:val="008F6034"/>
    <w:rsid w:val="008F62F8"/>
    <w:rsid w:val="008F6A9E"/>
    <w:rsid w:val="008F7093"/>
    <w:rsid w:val="008F71A1"/>
    <w:rsid w:val="00900DD8"/>
    <w:rsid w:val="00901184"/>
    <w:rsid w:val="009011D6"/>
    <w:rsid w:val="009013AA"/>
    <w:rsid w:val="009016F3"/>
    <w:rsid w:val="0090402D"/>
    <w:rsid w:val="00904842"/>
    <w:rsid w:val="00906F47"/>
    <w:rsid w:val="00910D1B"/>
    <w:rsid w:val="0091129D"/>
    <w:rsid w:val="009115A7"/>
    <w:rsid w:val="00913360"/>
    <w:rsid w:val="00913BAD"/>
    <w:rsid w:val="00914865"/>
    <w:rsid w:val="00916097"/>
    <w:rsid w:val="00916215"/>
    <w:rsid w:val="009166AF"/>
    <w:rsid w:val="0091681E"/>
    <w:rsid w:val="00920951"/>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588A"/>
    <w:rsid w:val="00947074"/>
    <w:rsid w:val="009475C0"/>
    <w:rsid w:val="00947AB8"/>
    <w:rsid w:val="00947AF2"/>
    <w:rsid w:val="00947E87"/>
    <w:rsid w:val="00947F08"/>
    <w:rsid w:val="009511B0"/>
    <w:rsid w:val="00951AED"/>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05D0"/>
    <w:rsid w:val="009820D2"/>
    <w:rsid w:val="009830F9"/>
    <w:rsid w:val="00984C25"/>
    <w:rsid w:val="00984E74"/>
    <w:rsid w:val="009865D7"/>
    <w:rsid w:val="0098676C"/>
    <w:rsid w:val="00990A5D"/>
    <w:rsid w:val="009925DA"/>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28"/>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579FF"/>
    <w:rsid w:val="00A622B5"/>
    <w:rsid w:val="00A64616"/>
    <w:rsid w:val="00A64DC9"/>
    <w:rsid w:val="00A67374"/>
    <w:rsid w:val="00A67CEB"/>
    <w:rsid w:val="00A67D65"/>
    <w:rsid w:val="00A67FDB"/>
    <w:rsid w:val="00A70520"/>
    <w:rsid w:val="00A70A4F"/>
    <w:rsid w:val="00A7248F"/>
    <w:rsid w:val="00A731A2"/>
    <w:rsid w:val="00A73E2D"/>
    <w:rsid w:val="00A76288"/>
    <w:rsid w:val="00A80C9A"/>
    <w:rsid w:val="00A81297"/>
    <w:rsid w:val="00A86120"/>
    <w:rsid w:val="00A86C08"/>
    <w:rsid w:val="00A86D76"/>
    <w:rsid w:val="00A909F5"/>
    <w:rsid w:val="00A9111F"/>
    <w:rsid w:val="00A91B13"/>
    <w:rsid w:val="00A9338D"/>
    <w:rsid w:val="00A93486"/>
    <w:rsid w:val="00A95020"/>
    <w:rsid w:val="00A95903"/>
    <w:rsid w:val="00A95AEE"/>
    <w:rsid w:val="00A97655"/>
    <w:rsid w:val="00AA0126"/>
    <w:rsid w:val="00AA0509"/>
    <w:rsid w:val="00AA1654"/>
    <w:rsid w:val="00AA1C46"/>
    <w:rsid w:val="00AA2013"/>
    <w:rsid w:val="00AA38A8"/>
    <w:rsid w:val="00AA402E"/>
    <w:rsid w:val="00AA578A"/>
    <w:rsid w:val="00AA752B"/>
    <w:rsid w:val="00AB098B"/>
    <w:rsid w:val="00AB21C2"/>
    <w:rsid w:val="00AB3031"/>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64D4"/>
    <w:rsid w:val="00AD76A8"/>
    <w:rsid w:val="00AD76C3"/>
    <w:rsid w:val="00AE0346"/>
    <w:rsid w:val="00AE0FFC"/>
    <w:rsid w:val="00AE119D"/>
    <w:rsid w:val="00AE2C3A"/>
    <w:rsid w:val="00AE5EAF"/>
    <w:rsid w:val="00AE7833"/>
    <w:rsid w:val="00AE7F55"/>
    <w:rsid w:val="00AF04D7"/>
    <w:rsid w:val="00AF09C3"/>
    <w:rsid w:val="00AF11BA"/>
    <w:rsid w:val="00AF140B"/>
    <w:rsid w:val="00AF3CC5"/>
    <w:rsid w:val="00AF5982"/>
    <w:rsid w:val="00AF6FC9"/>
    <w:rsid w:val="00AF7938"/>
    <w:rsid w:val="00AF7EF6"/>
    <w:rsid w:val="00B01885"/>
    <w:rsid w:val="00B0397B"/>
    <w:rsid w:val="00B046E0"/>
    <w:rsid w:val="00B0655D"/>
    <w:rsid w:val="00B100FE"/>
    <w:rsid w:val="00B10E27"/>
    <w:rsid w:val="00B10E45"/>
    <w:rsid w:val="00B125E5"/>
    <w:rsid w:val="00B12790"/>
    <w:rsid w:val="00B14D3F"/>
    <w:rsid w:val="00B152CC"/>
    <w:rsid w:val="00B15CCB"/>
    <w:rsid w:val="00B16297"/>
    <w:rsid w:val="00B21FA3"/>
    <w:rsid w:val="00B221B7"/>
    <w:rsid w:val="00B231C6"/>
    <w:rsid w:val="00B236B1"/>
    <w:rsid w:val="00B24ACD"/>
    <w:rsid w:val="00B27796"/>
    <w:rsid w:val="00B27B72"/>
    <w:rsid w:val="00B3028C"/>
    <w:rsid w:val="00B304AB"/>
    <w:rsid w:val="00B30A87"/>
    <w:rsid w:val="00B317DB"/>
    <w:rsid w:val="00B3192D"/>
    <w:rsid w:val="00B31AA8"/>
    <w:rsid w:val="00B320FC"/>
    <w:rsid w:val="00B34681"/>
    <w:rsid w:val="00B355DC"/>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234"/>
    <w:rsid w:val="00B8431C"/>
    <w:rsid w:val="00B845AA"/>
    <w:rsid w:val="00B84698"/>
    <w:rsid w:val="00B8484C"/>
    <w:rsid w:val="00B852B1"/>
    <w:rsid w:val="00B87542"/>
    <w:rsid w:val="00B87DCC"/>
    <w:rsid w:val="00B9326D"/>
    <w:rsid w:val="00B94772"/>
    <w:rsid w:val="00B94AE5"/>
    <w:rsid w:val="00B95C43"/>
    <w:rsid w:val="00B95F14"/>
    <w:rsid w:val="00B96401"/>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D76C6"/>
    <w:rsid w:val="00BE025B"/>
    <w:rsid w:val="00BE0564"/>
    <w:rsid w:val="00BE1622"/>
    <w:rsid w:val="00BE1DDF"/>
    <w:rsid w:val="00BE72B3"/>
    <w:rsid w:val="00BE741A"/>
    <w:rsid w:val="00BF214C"/>
    <w:rsid w:val="00BF3863"/>
    <w:rsid w:val="00BF3CC0"/>
    <w:rsid w:val="00BF3F95"/>
    <w:rsid w:val="00BF47D7"/>
    <w:rsid w:val="00BF6A44"/>
    <w:rsid w:val="00BF6E17"/>
    <w:rsid w:val="00C004EF"/>
    <w:rsid w:val="00C04730"/>
    <w:rsid w:val="00C049A9"/>
    <w:rsid w:val="00C04C46"/>
    <w:rsid w:val="00C0606C"/>
    <w:rsid w:val="00C0738A"/>
    <w:rsid w:val="00C07D45"/>
    <w:rsid w:val="00C11335"/>
    <w:rsid w:val="00C134DA"/>
    <w:rsid w:val="00C135D7"/>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68A"/>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40"/>
    <w:rsid w:val="00C81682"/>
    <w:rsid w:val="00C82995"/>
    <w:rsid w:val="00C84E1D"/>
    <w:rsid w:val="00C860EA"/>
    <w:rsid w:val="00C864F7"/>
    <w:rsid w:val="00C90A36"/>
    <w:rsid w:val="00C911CC"/>
    <w:rsid w:val="00C93866"/>
    <w:rsid w:val="00C93FA3"/>
    <w:rsid w:val="00C95E3B"/>
    <w:rsid w:val="00CA0577"/>
    <w:rsid w:val="00CA0746"/>
    <w:rsid w:val="00CA07EF"/>
    <w:rsid w:val="00CA1E67"/>
    <w:rsid w:val="00CA1E81"/>
    <w:rsid w:val="00CA2433"/>
    <w:rsid w:val="00CA3522"/>
    <w:rsid w:val="00CA4FE2"/>
    <w:rsid w:val="00CA51CA"/>
    <w:rsid w:val="00CA6FC1"/>
    <w:rsid w:val="00CA7AD0"/>
    <w:rsid w:val="00CB08E1"/>
    <w:rsid w:val="00CB1A2D"/>
    <w:rsid w:val="00CB3498"/>
    <w:rsid w:val="00CB44E7"/>
    <w:rsid w:val="00CB4694"/>
    <w:rsid w:val="00CB74AE"/>
    <w:rsid w:val="00CB7CB2"/>
    <w:rsid w:val="00CB7EBB"/>
    <w:rsid w:val="00CC0F30"/>
    <w:rsid w:val="00CC1BCA"/>
    <w:rsid w:val="00CC2512"/>
    <w:rsid w:val="00CC25BB"/>
    <w:rsid w:val="00CC3C92"/>
    <w:rsid w:val="00CC7AA1"/>
    <w:rsid w:val="00CD14E7"/>
    <w:rsid w:val="00CD158C"/>
    <w:rsid w:val="00CD1CD5"/>
    <w:rsid w:val="00CD1F3A"/>
    <w:rsid w:val="00CD3859"/>
    <w:rsid w:val="00CD5371"/>
    <w:rsid w:val="00CD5584"/>
    <w:rsid w:val="00CD6BA3"/>
    <w:rsid w:val="00CD728E"/>
    <w:rsid w:val="00CD74E5"/>
    <w:rsid w:val="00CD758C"/>
    <w:rsid w:val="00CE086B"/>
    <w:rsid w:val="00CE179E"/>
    <w:rsid w:val="00CE3B1B"/>
    <w:rsid w:val="00CE3BE8"/>
    <w:rsid w:val="00CE47D5"/>
    <w:rsid w:val="00CE4D53"/>
    <w:rsid w:val="00CE605F"/>
    <w:rsid w:val="00CE6530"/>
    <w:rsid w:val="00CE6CC0"/>
    <w:rsid w:val="00CF0AF9"/>
    <w:rsid w:val="00CF1020"/>
    <w:rsid w:val="00CF13BE"/>
    <w:rsid w:val="00CF1764"/>
    <w:rsid w:val="00CF7D56"/>
    <w:rsid w:val="00D02DFD"/>
    <w:rsid w:val="00D03F6E"/>
    <w:rsid w:val="00D046F8"/>
    <w:rsid w:val="00D06106"/>
    <w:rsid w:val="00D07148"/>
    <w:rsid w:val="00D078B5"/>
    <w:rsid w:val="00D07F47"/>
    <w:rsid w:val="00D11AEB"/>
    <w:rsid w:val="00D11FE6"/>
    <w:rsid w:val="00D13A72"/>
    <w:rsid w:val="00D14D49"/>
    <w:rsid w:val="00D14F5E"/>
    <w:rsid w:val="00D16C78"/>
    <w:rsid w:val="00D2018C"/>
    <w:rsid w:val="00D210BC"/>
    <w:rsid w:val="00D21120"/>
    <w:rsid w:val="00D220AD"/>
    <w:rsid w:val="00D22173"/>
    <w:rsid w:val="00D24E9D"/>
    <w:rsid w:val="00D274FC"/>
    <w:rsid w:val="00D2751E"/>
    <w:rsid w:val="00D27D65"/>
    <w:rsid w:val="00D32262"/>
    <w:rsid w:val="00D3253A"/>
    <w:rsid w:val="00D32652"/>
    <w:rsid w:val="00D32BD6"/>
    <w:rsid w:val="00D3409E"/>
    <w:rsid w:val="00D342F3"/>
    <w:rsid w:val="00D34E95"/>
    <w:rsid w:val="00D358F6"/>
    <w:rsid w:val="00D40735"/>
    <w:rsid w:val="00D4083D"/>
    <w:rsid w:val="00D410AC"/>
    <w:rsid w:val="00D41B26"/>
    <w:rsid w:val="00D42A69"/>
    <w:rsid w:val="00D42F46"/>
    <w:rsid w:val="00D440A8"/>
    <w:rsid w:val="00D50BDE"/>
    <w:rsid w:val="00D51774"/>
    <w:rsid w:val="00D51C6D"/>
    <w:rsid w:val="00D525D5"/>
    <w:rsid w:val="00D53C6C"/>
    <w:rsid w:val="00D5465B"/>
    <w:rsid w:val="00D55569"/>
    <w:rsid w:val="00D56EEC"/>
    <w:rsid w:val="00D601C0"/>
    <w:rsid w:val="00D60C1C"/>
    <w:rsid w:val="00D60C59"/>
    <w:rsid w:val="00D61D9D"/>
    <w:rsid w:val="00D61EBE"/>
    <w:rsid w:val="00D623C3"/>
    <w:rsid w:val="00D62D8F"/>
    <w:rsid w:val="00D62E93"/>
    <w:rsid w:val="00D63381"/>
    <w:rsid w:val="00D63B97"/>
    <w:rsid w:val="00D63FC4"/>
    <w:rsid w:val="00D63FCF"/>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E72"/>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45D2"/>
    <w:rsid w:val="00DB5141"/>
    <w:rsid w:val="00DB53F0"/>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292"/>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3036"/>
    <w:rsid w:val="00E24687"/>
    <w:rsid w:val="00E24AD0"/>
    <w:rsid w:val="00E254F0"/>
    <w:rsid w:val="00E262B2"/>
    <w:rsid w:val="00E269BA"/>
    <w:rsid w:val="00E26EC0"/>
    <w:rsid w:val="00E30183"/>
    <w:rsid w:val="00E3100F"/>
    <w:rsid w:val="00E326FA"/>
    <w:rsid w:val="00E34938"/>
    <w:rsid w:val="00E35950"/>
    <w:rsid w:val="00E35CA9"/>
    <w:rsid w:val="00E35F12"/>
    <w:rsid w:val="00E367E4"/>
    <w:rsid w:val="00E3746C"/>
    <w:rsid w:val="00E40E3A"/>
    <w:rsid w:val="00E40E93"/>
    <w:rsid w:val="00E41938"/>
    <w:rsid w:val="00E444F6"/>
    <w:rsid w:val="00E45827"/>
    <w:rsid w:val="00E4586A"/>
    <w:rsid w:val="00E464FA"/>
    <w:rsid w:val="00E472BF"/>
    <w:rsid w:val="00E47701"/>
    <w:rsid w:val="00E55949"/>
    <w:rsid w:val="00E56080"/>
    <w:rsid w:val="00E56424"/>
    <w:rsid w:val="00E56481"/>
    <w:rsid w:val="00E61F48"/>
    <w:rsid w:val="00E62A2A"/>
    <w:rsid w:val="00E6386F"/>
    <w:rsid w:val="00E64461"/>
    <w:rsid w:val="00E65AE7"/>
    <w:rsid w:val="00E65C36"/>
    <w:rsid w:val="00E662F1"/>
    <w:rsid w:val="00E66CA9"/>
    <w:rsid w:val="00E71324"/>
    <w:rsid w:val="00E71BDD"/>
    <w:rsid w:val="00E71D15"/>
    <w:rsid w:val="00E7222B"/>
    <w:rsid w:val="00E73EE2"/>
    <w:rsid w:val="00E74F19"/>
    <w:rsid w:val="00E76425"/>
    <w:rsid w:val="00E768E6"/>
    <w:rsid w:val="00E76EF6"/>
    <w:rsid w:val="00E777DA"/>
    <w:rsid w:val="00E778D3"/>
    <w:rsid w:val="00E83136"/>
    <w:rsid w:val="00E834AF"/>
    <w:rsid w:val="00E83B78"/>
    <w:rsid w:val="00E842D0"/>
    <w:rsid w:val="00E843DA"/>
    <w:rsid w:val="00E900E7"/>
    <w:rsid w:val="00E9166E"/>
    <w:rsid w:val="00E92750"/>
    <w:rsid w:val="00E93259"/>
    <w:rsid w:val="00E943E3"/>
    <w:rsid w:val="00E96895"/>
    <w:rsid w:val="00E96982"/>
    <w:rsid w:val="00E977BC"/>
    <w:rsid w:val="00EA06F4"/>
    <w:rsid w:val="00EA177B"/>
    <w:rsid w:val="00EA1CC0"/>
    <w:rsid w:val="00EA28AE"/>
    <w:rsid w:val="00EA305A"/>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6051"/>
    <w:rsid w:val="00EF73CA"/>
    <w:rsid w:val="00EF7E31"/>
    <w:rsid w:val="00F022A2"/>
    <w:rsid w:val="00F02C33"/>
    <w:rsid w:val="00F042D3"/>
    <w:rsid w:val="00F11706"/>
    <w:rsid w:val="00F12732"/>
    <w:rsid w:val="00F13129"/>
    <w:rsid w:val="00F1345A"/>
    <w:rsid w:val="00F15A54"/>
    <w:rsid w:val="00F15C00"/>
    <w:rsid w:val="00F17FCD"/>
    <w:rsid w:val="00F2187B"/>
    <w:rsid w:val="00F22CF6"/>
    <w:rsid w:val="00F24CFB"/>
    <w:rsid w:val="00F25957"/>
    <w:rsid w:val="00F25E06"/>
    <w:rsid w:val="00F2678B"/>
    <w:rsid w:val="00F274F6"/>
    <w:rsid w:val="00F278CC"/>
    <w:rsid w:val="00F2798F"/>
    <w:rsid w:val="00F27BE9"/>
    <w:rsid w:val="00F27F4A"/>
    <w:rsid w:val="00F3083F"/>
    <w:rsid w:val="00F30F21"/>
    <w:rsid w:val="00F31E98"/>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276E"/>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970F5"/>
    <w:rsid w:val="00FA0E41"/>
    <w:rsid w:val="00FA13DF"/>
    <w:rsid w:val="00FA164F"/>
    <w:rsid w:val="00FA1CF2"/>
    <w:rsid w:val="00FA247F"/>
    <w:rsid w:val="00FA364F"/>
    <w:rsid w:val="00FA36CC"/>
    <w:rsid w:val="00FA4178"/>
    <w:rsid w:val="00FA687A"/>
    <w:rsid w:val="00FA73BF"/>
    <w:rsid w:val="00FA796B"/>
    <w:rsid w:val="00FB05E1"/>
    <w:rsid w:val="00FB0D1F"/>
    <w:rsid w:val="00FB4018"/>
    <w:rsid w:val="00FB5B12"/>
    <w:rsid w:val="00FB7558"/>
    <w:rsid w:val="00FB7650"/>
    <w:rsid w:val="00FC0FDE"/>
    <w:rsid w:val="00FC19E3"/>
    <w:rsid w:val="00FC1D83"/>
    <w:rsid w:val="00FC21E0"/>
    <w:rsid w:val="00FC30FE"/>
    <w:rsid w:val="00FC3560"/>
    <w:rsid w:val="00FC3C6E"/>
    <w:rsid w:val="00FC5D3D"/>
    <w:rsid w:val="00FC6AB0"/>
    <w:rsid w:val="00FC7E5F"/>
    <w:rsid w:val="00FD0744"/>
    <w:rsid w:val="00FD0EA0"/>
    <w:rsid w:val="00FD1061"/>
    <w:rsid w:val="00FD246D"/>
    <w:rsid w:val="00FD5F42"/>
    <w:rsid w:val="00FD6657"/>
    <w:rsid w:val="00FD7020"/>
    <w:rsid w:val="00FD7308"/>
    <w:rsid w:val="00FE0D74"/>
    <w:rsid w:val="00FE20E2"/>
    <w:rsid w:val="00FE5C72"/>
    <w:rsid w:val="00FE6FED"/>
    <w:rsid w:val="00FE7953"/>
    <w:rsid w:val="00FF22F6"/>
    <w:rsid w:val="00FF44E9"/>
    <w:rsid w:val="00FF462A"/>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8ED5830-B66B-43C7-9A1F-437EDD5B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0FF"/>
    <w:pPr>
      <w:suppressAutoHyphens/>
    </w:pPr>
    <w:rPr>
      <w:sz w:val="24"/>
      <w:lang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530FF"/>
    <w:pPr>
      <w:keepNext/>
      <w:spacing w:before="240" w:after="120"/>
      <w:ind w:left="284" w:hanging="284"/>
      <w:outlineLvl w:val="1"/>
    </w:pPr>
    <w:rPr>
      <w:b/>
    </w:rPr>
  </w:style>
  <w:style w:type="paragraph" w:styleId="Heading3">
    <w:name w:val="heading 3"/>
    <w:basedOn w:val="Normal"/>
    <w:next w:val="Normal"/>
    <w:qFormat/>
    <w:rsid w:val="008530FF"/>
    <w:pPr>
      <w:keepNext/>
      <w:spacing w:before="120" w:after="60"/>
      <w:ind w:left="1418" w:hanging="851"/>
      <w:outlineLvl w:val="2"/>
    </w:pPr>
    <w:rPr>
      <w:i/>
    </w:rPr>
  </w:style>
  <w:style w:type="paragraph" w:styleId="Heading4">
    <w:name w:val="heading 4"/>
    <w:basedOn w:val="Normal"/>
    <w:next w:val="Normal"/>
    <w:qFormat/>
    <w:rsid w:val="008530FF"/>
    <w:pPr>
      <w:widowControl w:val="0"/>
      <w:outlineLvl w:val="3"/>
    </w:pPr>
    <w:rPr>
      <w:rFonts w:ascii="Courier" w:hAnsi="Courier"/>
      <w:snapToGrid w:val="0"/>
      <w:lang w:val="en-US" w:eastAsia="en-US"/>
    </w:rPr>
  </w:style>
  <w:style w:type="paragraph" w:styleId="Heading5">
    <w:name w:val="heading 5"/>
    <w:basedOn w:val="Normal"/>
    <w:next w:val="Normal"/>
    <w:qFormat/>
    <w:rsid w:val="008530FF"/>
    <w:pPr>
      <w:widowControl w:val="0"/>
      <w:outlineLvl w:val="4"/>
    </w:pPr>
    <w:rPr>
      <w:rFonts w:ascii="Courier" w:hAnsi="Courier"/>
      <w:snapToGrid w:val="0"/>
      <w:lang w:val="en-US" w:eastAsia="en-US"/>
    </w:rPr>
  </w:style>
  <w:style w:type="paragraph" w:styleId="Heading6">
    <w:name w:val="heading 6"/>
    <w:basedOn w:val="Normal"/>
    <w:next w:val="Normal"/>
    <w:qFormat/>
    <w:rsid w:val="008530FF"/>
    <w:pPr>
      <w:widowControl w:val="0"/>
      <w:outlineLvl w:val="5"/>
    </w:pPr>
    <w:rPr>
      <w:rFonts w:ascii="Courier" w:hAnsi="Courier"/>
      <w:snapToGrid w:val="0"/>
      <w:lang w:val="en-US" w:eastAsia="en-US"/>
    </w:rPr>
  </w:style>
  <w:style w:type="paragraph" w:styleId="Heading7">
    <w:name w:val="heading 7"/>
    <w:basedOn w:val="Normal"/>
    <w:next w:val="Normal"/>
    <w:qFormat/>
    <w:rsid w:val="008530FF"/>
    <w:pPr>
      <w:widowControl w:val="0"/>
      <w:outlineLvl w:val="6"/>
    </w:pPr>
    <w:rPr>
      <w:rFonts w:ascii="Courier" w:hAnsi="Courier"/>
      <w:snapToGrid w:val="0"/>
      <w:lang w:val="en-US" w:eastAsia="en-US"/>
    </w:rPr>
  </w:style>
  <w:style w:type="paragraph" w:styleId="Heading8">
    <w:name w:val="heading 8"/>
    <w:basedOn w:val="Normal"/>
    <w:next w:val="Normal"/>
    <w:qFormat/>
    <w:rsid w:val="008530FF"/>
    <w:pPr>
      <w:widowControl w:val="0"/>
      <w:outlineLvl w:val="7"/>
    </w:pPr>
    <w:rPr>
      <w:rFonts w:ascii="Courier" w:hAnsi="Courier"/>
      <w:snapToGrid w:val="0"/>
      <w:lang w:val="en-US" w:eastAsia="en-US"/>
    </w:rPr>
  </w:style>
  <w:style w:type="paragraph" w:styleId="Heading9">
    <w:name w:val="heading 9"/>
    <w:basedOn w:val="Normal"/>
    <w:next w:val="Normal"/>
    <w:qFormat/>
    <w:rsid w:val="008530FF"/>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eastAsia="MS Mincho" w:hAnsi="Tahoma"/>
      <w:sz w:val="20"/>
      <w:lang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lang w:val="sq-AL"/>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lang w:val="en-US" w:eastAsia="en-US"/>
    </w:rPr>
  </w:style>
  <w:style w:type="character" w:customStyle="1" w:styleId="ParagrafiChar">
    <w:name w:val="Paragrafi Char"/>
    <w:basedOn w:val="DefaultParagraphFont"/>
    <w:link w:val="Paragrafi0"/>
    <w:rsid w:val="00C11335"/>
    <w:rPr>
      <w:rFonts w:ascii="CG Times" w:eastAsia="MS Mincho" w:hAnsi="CG Times"/>
      <w:sz w:val="22"/>
      <w:lang w:val="en-US" w:eastAsia="en-US" w:bidi="ar-SA"/>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eastAsia="MS Mincho" w:hAnsi="Arial"/>
      <w:sz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rPr>
  </w:style>
  <w:style w:type="paragraph" w:customStyle="1" w:styleId="OpiHA">
    <w:name w:val="Opi_H_A"/>
    <w:basedOn w:val="JuHIRoman"/>
    <w:next w:val="OpiPara"/>
    <w:rsid w:val="008530FF"/>
    <w:pPr>
      <w:tabs>
        <w:tab w:val="clear" w:pos="357"/>
      </w:tabs>
    </w:pPr>
    <w:rPr>
      <w:b/>
    </w:rPr>
  </w:style>
  <w:style w:type="paragraph" w:customStyle="1" w:styleId="JuHIRoman">
    <w:name w:val="Ju_H_I_Roman"/>
    <w:basedOn w:val="JuHHead"/>
    <w:next w:val="JuPara"/>
    <w:rsid w:val="008530FF"/>
    <w:pPr>
      <w:tabs>
        <w:tab w:val="left" w:pos="357"/>
      </w:tabs>
      <w:spacing w:before="360"/>
      <w:ind w:left="357" w:hanging="357"/>
    </w:pPr>
    <w:rPr>
      <w:sz w:val="24"/>
    </w:rPr>
  </w:style>
  <w:style w:type="paragraph" w:customStyle="1" w:styleId="JuHHead">
    <w:name w:val="Ju_H_Head"/>
    <w:basedOn w:val="Normal"/>
    <w:next w:val="JuPara"/>
    <w:link w:val="JuHHeadChar"/>
    <w:rsid w:val="008530FF"/>
    <w:pPr>
      <w:keepNext/>
      <w:keepLines/>
      <w:spacing w:before="720" w:after="240"/>
      <w:jc w:val="both"/>
    </w:pPr>
    <w:rPr>
      <w:sz w:val="28"/>
    </w:rPr>
  </w:style>
  <w:style w:type="paragraph" w:customStyle="1" w:styleId="JuPara">
    <w:name w:val="Ju_Para"/>
    <w:aliases w:val="Left,First line:  0 cm"/>
    <w:basedOn w:val="Normal"/>
    <w:link w:val="JuParaCar"/>
    <w:rsid w:val="008530FF"/>
    <w:pPr>
      <w:ind w:firstLine="284"/>
      <w:jc w:val="both"/>
    </w:pPr>
  </w:style>
  <w:style w:type="character" w:customStyle="1" w:styleId="JuParaCar">
    <w:name w:val="Ju_Para Car"/>
    <w:basedOn w:val="DefaultParagraphFont"/>
    <w:link w:val="JuPara"/>
    <w:rsid w:val="008530FF"/>
    <w:rPr>
      <w:sz w:val="24"/>
      <w:lang w:val="en-GB" w:eastAsia="fr-FR" w:bidi="ar-SA"/>
    </w:rPr>
  </w:style>
  <w:style w:type="character" w:customStyle="1" w:styleId="JuHHeadChar">
    <w:name w:val="Ju_H_Head Char"/>
    <w:basedOn w:val="DefaultParagraphFont"/>
    <w:link w:val="JuHHead"/>
    <w:rsid w:val="008530FF"/>
    <w:rPr>
      <w:sz w:val="28"/>
      <w:lang w:val="en-GB" w:eastAsia="fr-FR" w:bidi="ar-SA"/>
    </w:rPr>
  </w:style>
  <w:style w:type="paragraph" w:customStyle="1" w:styleId="OpiPara">
    <w:name w:val="Opi_Para"/>
    <w:basedOn w:val="JuPara"/>
    <w:rsid w:val="008530FF"/>
  </w:style>
  <w:style w:type="paragraph" w:customStyle="1" w:styleId="OpiH1">
    <w:name w:val="Opi_H_1."/>
    <w:basedOn w:val="OpiHA"/>
    <w:next w:val="OpiPara"/>
    <w:rsid w:val="008530FF"/>
    <w:pPr>
      <w:spacing w:before="240" w:after="120"/>
      <w:ind w:left="635"/>
    </w:pPr>
    <w:rPr>
      <w:b w:val="0"/>
      <w:i/>
    </w:rPr>
  </w:style>
  <w:style w:type="paragraph" w:customStyle="1" w:styleId="OpiHa0">
    <w:name w:val="Opi_H_a"/>
    <w:basedOn w:val="OpiH1"/>
    <w:next w:val="OpiPara"/>
    <w:rsid w:val="008530FF"/>
    <w:pPr>
      <w:ind w:left="834"/>
    </w:pPr>
    <w:rPr>
      <w:b/>
      <w:i w:val="0"/>
      <w:sz w:val="20"/>
    </w:rPr>
  </w:style>
  <w:style w:type="paragraph" w:customStyle="1" w:styleId="OpiHHead">
    <w:name w:val="Opi_H_Head"/>
    <w:basedOn w:val="JuHHead"/>
    <w:next w:val="OpiPara"/>
    <w:rsid w:val="008530FF"/>
    <w:pPr>
      <w:spacing w:before="0"/>
      <w:jc w:val="center"/>
    </w:pPr>
  </w:style>
  <w:style w:type="paragraph" w:customStyle="1" w:styleId="OpiHi">
    <w:name w:val="Opi_H_i"/>
    <w:basedOn w:val="OpiHa0"/>
    <w:next w:val="OpiPara"/>
    <w:rsid w:val="008530FF"/>
    <w:pPr>
      <w:ind w:left="1038"/>
    </w:pPr>
    <w:rPr>
      <w:b w:val="0"/>
      <w:i/>
    </w:rPr>
  </w:style>
  <w:style w:type="paragraph" w:styleId="Footer">
    <w:name w:val="footer"/>
    <w:basedOn w:val="Normal"/>
    <w:link w:val="FooterChar"/>
    <w:rsid w:val="008530FF"/>
    <w:pPr>
      <w:tabs>
        <w:tab w:val="center" w:pos="3686"/>
        <w:tab w:val="right" w:pos="7371"/>
      </w:tabs>
    </w:pPr>
    <w:rPr>
      <w:sz w:val="18"/>
    </w:rPr>
  </w:style>
  <w:style w:type="character" w:customStyle="1" w:styleId="FooterChar">
    <w:name w:val="Footer Char"/>
    <w:basedOn w:val="DefaultParagraphFont"/>
    <w:link w:val="Footer"/>
    <w:rsid w:val="008530FF"/>
    <w:rPr>
      <w:sz w:val="18"/>
      <w:lang w:val="en-GB" w:eastAsia="fr-FR" w:bidi="ar-SA"/>
    </w:rPr>
  </w:style>
  <w:style w:type="paragraph" w:customStyle="1" w:styleId="JuJudges">
    <w:name w:val="Ju_Judges"/>
    <w:basedOn w:val="Normal"/>
    <w:link w:val="JuJudgesChar"/>
    <w:rsid w:val="008530FF"/>
    <w:pPr>
      <w:tabs>
        <w:tab w:val="left" w:pos="567"/>
        <w:tab w:val="left" w:pos="1134"/>
      </w:tabs>
    </w:pPr>
  </w:style>
  <w:style w:type="character" w:customStyle="1" w:styleId="JuJudgesChar">
    <w:name w:val="Ju_Judges Char"/>
    <w:basedOn w:val="DefaultParagraphFont"/>
    <w:link w:val="JuJudges"/>
    <w:rsid w:val="008530FF"/>
    <w:rPr>
      <w:sz w:val="24"/>
      <w:lang w:val="en-GB" w:eastAsia="fr-FR" w:bidi="ar-SA"/>
    </w:rPr>
  </w:style>
  <w:style w:type="character" w:customStyle="1" w:styleId="JuNames">
    <w:name w:val="Ju_Names"/>
    <w:basedOn w:val="DefaultParagraphFont"/>
    <w:rsid w:val="008530FF"/>
    <w:rPr>
      <w:smallCaps/>
    </w:rPr>
  </w:style>
  <w:style w:type="paragraph" w:customStyle="1" w:styleId="JuHA">
    <w:name w:val="Ju_H_A"/>
    <w:basedOn w:val="JuHIRoman"/>
    <w:next w:val="JuPara"/>
    <w:link w:val="JuHAChar"/>
    <w:rsid w:val="008530FF"/>
    <w:pPr>
      <w:tabs>
        <w:tab w:val="clear" w:pos="357"/>
        <w:tab w:val="left" w:pos="584"/>
      </w:tabs>
      <w:ind w:left="584" w:hanging="352"/>
    </w:pPr>
    <w:rPr>
      <w:b/>
    </w:rPr>
  </w:style>
  <w:style w:type="character" w:customStyle="1" w:styleId="JuHAChar">
    <w:name w:val="Ju_H_A Char"/>
    <w:basedOn w:val="DefaultParagraphFont"/>
    <w:link w:val="JuHA"/>
    <w:rsid w:val="008530FF"/>
    <w:rPr>
      <w:b/>
      <w:sz w:val="24"/>
      <w:lang w:val="en-GB" w:eastAsia="fr-FR" w:bidi="ar-SA"/>
    </w:rPr>
  </w:style>
  <w:style w:type="paragraph" w:customStyle="1" w:styleId="JuQuot">
    <w:name w:val="Ju_Quot"/>
    <w:basedOn w:val="JuPara"/>
    <w:link w:val="JuQuotChar"/>
    <w:rsid w:val="008530FF"/>
    <w:pPr>
      <w:spacing w:before="120" w:after="120"/>
      <w:ind w:left="425" w:firstLine="142"/>
    </w:pPr>
  </w:style>
  <w:style w:type="character" w:customStyle="1" w:styleId="JuQuotChar">
    <w:name w:val="Ju_Quot Char"/>
    <w:basedOn w:val="JuParaCharCharChar"/>
    <w:link w:val="JuQuot"/>
    <w:rsid w:val="008530FF"/>
    <w:rPr>
      <w:sz w:val="24"/>
      <w:lang w:val="en-GB" w:eastAsia="fr-FR" w:bidi="ar-SA"/>
    </w:rPr>
  </w:style>
  <w:style w:type="character" w:customStyle="1" w:styleId="JuParaCharCharChar">
    <w:name w:val="Ju_Para Char Char Char"/>
    <w:basedOn w:val="DefaultParagraphFont"/>
    <w:link w:val="JuParaCharChar"/>
    <w:rsid w:val="008530FF"/>
    <w:rPr>
      <w:sz w:val="24"/>
      <w:lang w:val="en-GB" w:eastAsia="fr-FR" w:bidi="ar-SA"/>
    </w:rPr>
  </w:style>
  <w:style w:type="paragraph" w:customStyle="1" w:styleId="JuParaCharChar">
    <w:name w:val="Ju_Para Char Char"/>
    <w:basedOn w:val="Normal"/>
    <w:link w:val="JuParaCharCharChar"/>
    <w:rsid w:val="008530FF"/>
    <w:pPr>
      <w:ind w:firstLine="284"/>
      <w:jc w:val="both"/>
    </w:pPr>
  </w:style>
  <w:style w:type="paragraph" w:customStyle="1" w:styleId="JuSigned">
    <w:name w:val="Ju_Signed"/>
    <w:basedOn w:val="Normal"/>
    <w:next w:val="JuParaLast"/>
    <w:rsid w:val="008530FF"/>
    <w:pPr>
      <w:tabs>
        <w:tab w:val="center" w:pos="1219"/>
        <w:tab w:val="center" w:pos="6379"/>
      </w:tabs>
      <w:spacing w:before="720"/>
    </w:pPr>
  </w:style>
  <w:style w:type="paragraph" w:customStyle="1" w:styleId="JuParaLast">
    <w:name w:val="Ju_Para_Last"/>
    <w:basedOn w:val="JuPara"/>
    <w:next w:val="JuPara"/>
    <w:rsid w:val="008530FF"/>
    <w:pPr>
      <w:spacing w:before="240"/>
    </w:pPr>
  </w:style>
  <w:style w:type="paragraph" w:customStyle="1" w:styleId="JuCase">
    <w:name w:val="Ju_Case"/>
    <w:basedOn w:val="JuPara"/>
    <w:next w:val="JuPara"/>
    <w:rsid w:val="008530FF"/>
    <w:rPr>
      <w:b/>
    </w:rPr>
  </w:style>
  <w:style w:type="paragraph" w:customStyle="1" w:styleId="JuList">
    <w:name w:val="Ju_List"/>
    <w:basedOn w:val="JuPara"/>
    <w:rsid w:val="008530FF"/>
    <w:pPr>
      <w:ind w:left="340" w:hanging="340"/>
    </w:pPr>
  </w:style>
  <w:style w:type="paragraph" w:customStyle="1" w:styleId="JuHArticle">
    <w:name w:val="Ju_H_Article"/>
    <w:basedOn w:val="JuHa0"/>
    <w:next w:val="JuQuot"/>
    <w:rsid w:val="008530FF"/>
    <w:pPr>
      <w:ind w:left="0" w:firstLine="0"/>
      <w:jc w:val="center"/>
    </w:pPr>
  </w:style>
  <w:style w:type="paragraph" w:customStyle="1" w:styleId="JuHa0">
    <w:name w:val="Ju_H_a"/>
    <w:basedOn w:val="JuH1"/>
    <w:next w:val="JuPara"/>
    <w:rsid w:val="008530FF"/>
    <w:pPr>
      <w:tabs>
        <w:tab w:val="clear" w:pos="731"/>
        <w:tab w:val="left" w:pos="975"/>
      </w:tabs>
      <w:ind w:left="975" w:hanging="340"/>
    </w:pPr>
    <w:rPr>
      <w:b/>
      <w:i w:val="0"/>
      <w:sz w:val="20"/>
    </w:rPr>
  </w:style>
  <w:style w:type="paragraph" w:customStyle="1" w:styleId="JuH1">
    <w:name w:val="Ju_H_1."/>
    <w:basedOn w:val="JuHA"/>
    <w:next w:val="JuPara"/>
    <w:link w:val="JuH1Char"/>
    <w:rsid w:val="008530FF"/>
    <w:pPr>
      <w:tabs>
        <w:tab w:val="clear" w:pos="584"/>
        <w:tab w:val="left" w:pos="731"/>
      </w:tabs>
      <w:spacing w:before="240" w:after="120"/>
      <w:ind w:left="732" w:hanging="301"/>
    </w:pPr>
    <w:rPr>
      <w:b w:val="0"/>
      <w:i/>
    </w:rPr>
  </w:style>
  <w:style w:type="character" w:customStyle="1" w:styleId="JuH1Char">
    <w:name w:val="Ju_H_1. Char"/>
    <w:basedOn w:val="JuHAChar"/>
    <w:link w:val="JuH1"/>
    <w:rsid w:val="008530FF"/>
    <w:rPr>
      <w:b/>
      <w:i/>
      <w:sz w:val="24"/>
      <w:lang w:val="en-GB" w:eastAsia="fr-FR" w:bidi="ar-SA"/>
    </w:rPr>
  </w:style>
  <w:style w:type="paragraph" w:customStyle="1" w:styleId="JuQuotList">
    <w:name w:val="Ju_Quot_List"/>
    <w:basedOn w:val="JuQuot"/>
    <w:rsid w:val="008530FF"/>
    <w:pPr>
      <w:tabs>
        <w:tab w:val="left" w:pos="1021"/>
      </w:tabs>
      <w:ind w:left="567" w:firstLine="0"/>
    </w:pPr>
  </w:style>
  <w:style w:type="paragraph" w:customStyle="1" w:styleId="JuCourt">
    <w:name w:val="Ju_Court"/>
    <w:basedOn w:val="JuJudges"/>
    <w:rsid w:val="008530FF"/>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8530FF"/>
  </w:style>
  <w:style w:type="paragraph" w:customStyle="1" w:styleId="OpiTranslation">
    <w:name w:val="Opi_Translation"/>
    <w:basedOn w:val="OpiHHead"/>
    <w:next w:val="OpiPara"/>
    <w:rsid w:val="008530FF"/>
    <w:rPr>
      <w:sz w:val="24"/>
    </w:rPr>
  </w:style>
  <w:style w:type="paragraph" w:customStyle="1" w:styleId="JuHi">
    <w:name w:val="Ju_H_i"/>
    <w:basedOn w:val="JuHa0"/>
    <w:next w:val="JuPara"/>
    <w:rsid w:val="008530FF"/>
    <w:pPr>
      <w:tabs>
        <w:tab w:val="clear" w:pos="975"/>
        <w:tab w:val="left" w:pos="1191"/>
      </w:tabs>
      <w:ind w:left="1190" w:hanging="357"/>
    </w:pPr>
    <w:rPr>
      <w:b w:val="0"/>
      <w:i/>
    </w:rPr>
  </w:style>
  <w:style w:type="paragraph" w:styleId="Header">
    <w:name w:val="header"/>
    <w:basedOn w:val="Normal"/>
    <w:rsid w:val="008530FF"/>
    <w:pPr>
      <w:tabs>
        <w:tab w:val="center" w:pos="3686"/>
        <w:tab w:val="right" w:pos="7371"/>
      </w:tabs>
    </w:pPr>
    <w:rPr>
      <w:sz w:val="18"/>
    </w:rPr>
  </w:style>
  <w:style w:type="character" w:styleId="PageNumber">
    <w:name w:val="page number"/>
    <w:basedOn w:val="DefaultParagraphFont"/>
    <w:rsid w:val="008530FF"/>
    <w:rPr>
      <w:sz w:val="18"/>
    </w:rPr>
  </w:style>
  <w:style w:type="paragraph" w:customStyle="1" w:styleId="JuH">
    <w:name w:val="Ju_H_–"/>
    <w:basedOn w:val="JuHalpha"/>
    <w:next w:val="JuPara"/>
    <w:rsid w:val="008530FF"/>
    <w:pPr>
      <w:tabs>
        <w:tab w:val="clear" w:pos="1372"/>
      </w:tabs>
      <w:ind w:left="1236" w:firstLine="0"/>
    </w:pPr>
    <w:rPr>
      <w:i/>
    </w:rPr>
  </w:style>
  <w:style w:type="paragraph" w:customStyle="1" w:styleId="JuHalpha">
    <w:name w:val="Ju_H_alpha"/>
    <w:basedOn w:val="JuHi"/>
    <w:next w:val="JuPara"/>
    <w:rsid w:val="008530FF"/>
    <w:pPr>
      <w:tabs>
        <w:tab w:val="clear" w:pos="1191"/>
        <w:tab w:val="left" w:pos="1372"/>
      </w:tabs>
      <w:ind w:left="1373" w:hanging="335"/>
    </w:pPr>
    <w:rPr>
      <w:i w:val="0"/>
    </w:rPr>
  </w:style>
  <w:style w:type="paragraph" w:customStyle="1" w:styleId="JuLista">
    <w:name w:val="Ju_List_a"/>
    <w:basedOn w:val="JuList"/>
    <w:rsid w:val="008530FF"/>
    <w:pPr>
      <w:ind w:left="346" w:firstLine="0"/>
    </w:pPr>
  </w:style>
  <w:style w:type="paragraph" w:customStyle="1" w:styleId="JuListi">
    <w:name w:val="Ju_List_i"/>
    <w:basedOn w:val="JuLista"/>
    <w:rsid w:val="008530FF"/>
    <w:pPr>
      <w:ind w:left="794"/>
    </w:pPr>
  </w:style>
  <w:style w:type="paragraph" w:customStyle="1" w:styleId="JuInitialled">
    <w:name w:val="Ju_Initialled"/>
    <w:basedOn w:val="JuSigned"/>
    <w:rsid w:val="008530FF"/>
    <w:pPr>
      <w:jc w:val="right"/>
    </w:pPr>
  </w:style>
  <w:style w:type="paragraph" w:customStyle="1" w:styleId="JuHeader">
    <w:name w:val="Ju_Header"/>
    <w:basedOn w:val="Header"/>
    <w:rsid w:val="008530FF"/>
  </w:style>
  <w:style w:type="paragraph" w:customStyle="1" w:styleId="DecHTitle">
    <w:name w:val="Dec_H_Title"/>
    <w:basedOn w:val="Normal"/>
    <w:rsid w:val="008530FF"/>
    <w:pPr>
      <w:spacing w:after="240"/>
      <w:jc w:val="center"/>
    </w:pPr>
    <w:rPr>
      <w:sz w:val="28"/>
    </w:rPr>
  </w:style>
  <w:style w:type="paragraph" w:customStyle="1" w:styleId="DecHCase">
    <w:name w:val="Dec_H_Case"/>
    <w:basedOn w:val="DecHTitle"/>
    <w:next w:val="JuPara"/>
    <w:rsid w:val="008530FF"/>
    <w:rPr>
      <w:sz w:val="24"/>
    </w:rPr>
  </w:style>
  <w:style w:type="paragraph" w:customStyle="1" w:styleId="DecList">
    <w:name w:val="Dec_List"/>
    <w:basedOn w:val="Normal"/>
    <w:rsid w:val="008530FF"/>
    <w:pPr>
      <w:spacing w:before="240"/>
      <w:ind w:left="284"/>
      <w:jc w:val="both"/>
    </w:pPr>
  </w:style>
  <w:style w:type="paragraph" w:customStyle="1" w:styleId="JuParaSub">
    <w:name w:val="Ju_Para_Sub"/>
    <w:basedOn w:val="JuPara"/>
    <w:rsid w:val="008530FF"/>
    <w:pPr>
      <w:ind w:left="284"/>
    </w:pPr>
    <w:rPr>
      <w:szCs w:val="24"/>
    </w:rPr>
  </w:style>
  <w:style w:type="paragraph" w:customStyle="1" w:styleId="JuQuotSub">
    <w:name w:val="Ju_Quot_Sub"/>
    <w:basedOn w:val="JuQuot"/>
    <w:rsid w:val="008530FF"/>
    <w:pPr>
      <w:ind w:left="567"/>
    </w:pPr>
  </w:style>
  <w:style w:type="paragraph" w:customStyle="1" w:styleId="PJuPara">
    <w:name w:val="P_Ju_Para"/>
    <w:basedOn w:val="Normal"/>
    <w:rsid w:val="008530FF"/>
    <w:pPr>
      <w:ind w:firstLine="284"/>
      <w:jc w:val="both"/>
    </w:pPr>
  </w:style>
  <w:style w:type="paragraph" w:customStyle="1" w:styleId="PJuQuot">
    <w:name w:val="P_Ju_Quot"/>
    <w:basedOn w:val="Normal"/>
    <w:rsid w:val="008530FF"/>
    <w:pPr>
      <w:spacing w:before="120" w:after="120"/>
      <w:ind w:left="403" w:firstLine="176"/>
      <w:jc w:val="both"/>
    </w:pPr>
    <w:rPr>
      <w:sz w:val="20"/>
    </w:rPr>
  </w:style>
  <w:style w:type="paragraph" w:customStyle="1" w:styleId="PListArticleSubject">
    <w:name w:val="P_List_ArticleSubject"/>
    <w:basedOn w:val="Normal"/>
    <w:rsid w:val="008530FF"/>
    <w:pPr>
      <w:tabs>
        <w:tab w:val="left" w:pos="2977"/>
      </w:tabs>
      <w:ind w:left="2977" w:hanging="2977"/>
    </w:pPr>
  </w:style>
  <w:style w:type="paragraph" w:customStyle="1" w:styleId="SuCoverTitle1">
    <w:name w:val="Su_Cover_Title1"/>
    <w:basedOn w:val="Normal"/>
    <w:next w:val="SuCoverTitle2"/>
    <w:rsid w:val="008530FF"/>
    <w:pPr>
      <w:spacing w:before="2500"/>
      <w:jc w:val="center"/>
    </w:pPr>
    <w:rPr>
      <w:sz w:val="22"/>
    </w:rPr>
  </w:style>
  <w:style w:type="paragraph" w:customStyle="1" w:styleId="SuCoverTitle2">
    <w:name w:val="Su_Cover_Title2"/>
    <w:basedOn w:val="SuCoverTitle1"/>
    <w:next w:val="Normal"/>
    <w:rsid w:val="008530FF"/>
    <w:pPr>
      <w:spacing w:before="240"/>
    </w:pPr>
    <w:rPr>
      <w:sz w:val="18"/>
    </w:rPr>
  </w:style>
  <w:style w:type="paragraph" w:customStyle="1" w:styleId="SuPara">
    <w:name w:val="Su_Para"/>
    <w:basedOn w:val="SuKeywords"/>
    <w:rsid w:val="008530FF"/>
    <w:pPr>
      <w:spacing w:before="0" w:after="0"/>
    </w:pPr>
    <w:rPr>
      <w:i w:val="0"/>
    </w:rPr>
  </w:style>
  <w:style w:type="paragraph" w:customStyle="1" w:styleId="SuKeywords">
    <w:name w:val="Su_Keywords"/>
    <w:basedOn w:val="SuHHead"/>
    <w:rsid w:val="008530FF"/>
    <w:pPr>
      <w:spacing w:before="120"/>
    </w:pPr>
    <w:rPr>
      <w:b w:val="0"/>
      <w:i/>
    </w:rPr>
  </w:style>
  <w:style w:type="paragraph" w:customStyle="1" w:styleId="SuHHead">
    <w:name w:val="Su_H_Head"/>
    <w:basedOn w:val="SuSubject"/>
    <w:rsid w:val="008530FF"/>
    <w:pPr>
      <w:spacing w:after="120"/>
    </w:pPr>
  </w:style>
  <w:style w:type="paragraph" w:customStyle="1" w:styleId="SuSubject">
    <w:name w:val="Su_Subject"/>
    <w:basedOn w:val="SuSummary"/>
    <w:rsid w:val="008530FF"/>
    <w:pPr>
      <w:spacing w:before="360"/>
      <w:jc w:val="both"/>
    </w:pPr>
    <w:rPr>
      <w:b/>
      <w:sz w:val="22"/>
    </w:rPr>
  </w:style>
  <w:style w:type="paragraph" w:customStyle="1" w:styleId="SuSummary">
    <w:name w:val="Su_Summary"/>
    <w:basedOn w:val="Normal"/>
    <w:next w:val="SuSubject"/>
    <w:rsid w:val="008530FF"/>
    <w:pPr>
      <w:spacing w:after="240"/>
      <w:jc w:val="center"/>
    </w:pPr>
  </w:style>
  <w:style w:type="paragraph" w:customStyle="1" w:styleId="PListCaseNo">
    <w:name w:val="P_List_CaseNo"/>
    <w:basedOn w:val="Normal"/>
    <w:rsid w:val="008530FF"/>
    <w:pPr>
      <w:tabs>
        <w:tab w:val="left" w:pos="1276"/>
      </w:tabs>
      <w:spacing w:line="288" w:lineRule="auto"/>
      <w:ind w:left="1276" w:hanging="1276"/>
    </w:pPr>
  </w:style>
  <w:style w:type="paragraph" w:customStyle="1" w:styleId="PListCases">
    <w:name w:val="P_List_Cases"/>
    <w:basedOn w:val="Normal"/>
    <w:rsid w:val="008530FF"/>
    <w:pPr>
      <w:spacing w:line="288" w:lineRule="auto"/>
    </w:pPr>
  </w:style>
  <w:style w:type="paragraph" w:customStyle="1" w:styleId="PTextIntro">
    <w:name w:val="P_Text_Intro"/>
    <w:basedOn w:val="Normal"/>
    <w:rsid w:val="008530FF"/>
    <w:pPr>
      <w:jc w:val="both"/>
    </w:pPr>
    <w:rPr>
      <w:i/>
      <w:sz w:val="20"/>
    </w:rPr>
  </w:style>
  <w:style w:type="paragraph" w:customStyle="1" w:styleId="PTitleCover">
    <w:name w:val="P_Title_Cover"/>
    <w:basedOn w:val="Normal"/>
    <w:rsid w:val="008530FF"/>
    <w:pPr>
      <w:spacing w:before="2500"/>
      <w:jc w:val="center"/>
    </w:pPr>
    <w:rPr>
      <w:b/>
      <w:smallCaps/>
      <w:sz w:val="30"/>
    </w:rPr>
  </w:style>
  <w:style w:type="paragraph" w:customStyle="1" w:styleId="PTitle1Alpha">
    <w:name w:val="P_Title1_Alpha"/>
    <w:basedOn w:val="Normal"/>
    <w:next w:val="Normal"/>
    <w:rsid w:val="008530FF"/>
    <w:pPr>
      <w:spacing w:after="120"/>
      <w:jc w:val="center"/>
    </w:pPr>
    <w:rPr>
      <w:b/>
      <w:smallCaps/>
      <w:sz w:val="30"/>
    </w:rPr>
  </w:style>
  <w:style w:type="paragraph" w:customStyle="1" w:styleId="PTitle1IndexArticle">
    <w:name w:val="P_Title1_IndexArticle"/>
    <w:basedOn w:val="Normal"/>
    <w:rsid w:val="008530FF"/>
    <w:pPr>
      <w:spacing w:after="120"/>
      <w:jc w:val="center"/>
    </w:pPr>
    <w:rPr>
      <w:b/>
      <w:smallCaps/>
      <w:sz w:val="30"/>
    </w:rPr>
  </w:style>
  <w:style w:type="paragraph" w:customStyle="1" w:styleId="PTitle1IndexKey">
    <w:name w:val="P_Title1_IndexKey"/>
    <w:basedOn w:val="Normal"/>
    <w:rsid w:val="008530FF"/>
    <w:pPr>
      <w:spacing w:after="600"/>
      <w:jc w:val="center"/>
    </w:pPr>
    <w:rPr>
      <w:b/>
      <w:smallCaps/>
      <w:sz w:val="30"/>
    </w:rPr>
  </w:style>
  <w:style w:type="paragraph" w:customStyle="1" w:styleId="PTitle1Num">
    <w:name w:val="P_Title1_Num"/>
    <w:basedOn w:val="Normal"/>
    <w:next w:val="PListCaseNo"/>
    <w:rsid w:val="008530FF"/>
    <w:pPr>
      <w:spacing w:after="720"/>
      <w:jc w:val="center"/>
    </w:pPr>
    <w:rPr>
      <w:b/>
      <w:smallCaps/>
      <w:sz w:val="30"/>
    </w:rPr>
  </w:style>
  <w:style w:type="paragraph" w:customStyle="1" w:styleId="PTitle2Country">
    <w:name w:val="P_Title2_Country"/>
    <w:basedOn w:val="Normal"/>
    <w:next w:val="PListCases"/>
    <w:rsid w:val="008530FF"/>
    <w:pPr>
      <w:keepNext/>
      <w:keepLines/>
      <w:spacing w:before="600" w:after="360"/>
    </w:pPr>
    <w:rPr>
      <w:b/>
    </w:rPr>
  </w:style>
  <w:style w:type="paragraph" w:customStyle="1" w:styleId="PTitle2Letters">
    <w:name w:val="P_Title2_Letters"/>
    <w:basedOn w:val="Normal"/>
    <w:next w:val="PListCases"/>
    <w:rsid w:val="008530FF"/>
    <w:pPr>
      <w:keepNext/>
      <w:keepLines/>
      <w:spacing w:before="600" w:after="360"/>
    </w:pPr>
    <w:rPr>
      <w:b/>
      <w:sz w:val="28"/>
    </w:rPr>
  </w:style>
  <w:style w:type="paragraph" w:customStyle="1" w:styleId="PTitle2Part">
    <w:name w:val="P_Title2_Part"/>
    <w:basedOn w:val="Normal"/>
    <w:rsid w:val="008530FF"/>
    <w:pPr>
      <w:keepNext/>
      <w:keepLines/>
      <w:spacing w:before="600" w:after="240"/>
      <w:jc w:val="center"/>
    </w:pPr>
    <w:rPr>
      <w:b/>
      <w:caps/>
    </w:rPr>
  </w:style>
  <w:style w:type="paragraph" w:customStyle="1" w:styleId="PTitle3Article">
    <w:name w:val="P_Title3_Article"/>
    <w:basedOn w:val="Normal"/>
    <w:rsid w:val="008530FF"/>
    <w:pPr>
      <w:keepNext/>
      <w:keepLines/>
      <w:spacing w:before="360" w:after="120"/>
      <w:jc w:val="center"/>
    </w:pPr>
    <w:rPr>
      <w:b/>
      <w:smallCaps/>
      <w:sz w:val="22"/>
    </w:rPr>
  </w:style>
  <w:style w:type="paragraph" w:customStyle="1" w:styleId="PTitle4ArticleSub">
    <w:name w:val="P_Title4_Article_Sub"/>
    <w:basedOn w:val="PTitle3Article"/>
    <w:rsid w:val="008530FF"/>
    <w:pPr>
      <w:spacing w:before="240"/>
    </w:pPr>
    <w:rPr>
      <w:smallCaps w:val="0"/>
      <w:sz w:val="20"/>
    </w:rPr>
  </w:style>
  <w:style w:type="paragraph" w:customStyle="1" w:styleId="PTitle5Subject">
    <w:name w:val="P_Title5_Subject"/>
    <w:basedOn w:val="Normal"/>
    <w:rsid w:val="008530FF"/>
    <w:pPr>
      <w:keepNext/>
      <w:keepLines/>
      <w:spacing w:before="240" w:after="120"/>
      <w:jc w:val="both"/>
    </w:pPr>
    <w:rPr>
      <w:b/>
      <w:i/>
    </w:rPr>
  </w:style>
  <w:style w:type="paragraph" w:customStyle="1" w:styleId="PTitle6SubjectSub">
    <w:name w:val="P_Title6_Subject_Sub"/>
    <w:basedOn w:val="Normal"/>
    <w:rsid w:val="008530FF"/>
    <w:pPr>
      <w:keepNext/>
      <w:keepLines/>
      <w:spacing w:before="240" w:after="120"/>
      <w:ind w:left="284"/>
      <w:jc w:val="both"/>
    </w:pPr>
    <w:rPr>
      <w:b/>
      <w:sz w:val="20"/>
    </w:rPr>
  </w:style>
  <w:style w:type="paragraph" w:customStyle="1" w:styleId="PTitle7CaseName">
    <w:name w:val="P_Title7_CaseName"/>
    <w:basedOn w:val="Normal"/>
    <w:rsid w:val="008530FF"/>
    <w:pPr>
      <w:keepLines/>
      <w:spacing w:after="240"/>
      <w:jc w:val="right"/>
    </w:pPr>
    <w:rPr>
      <w:sz w:val="22"/>
    </w:rPr>
  </w:style>
  <w:style w:type="paragraph" w:customStyle="1" w:styleId="OpiParaSub">
    <w:name w:val="Opi_Para_Sub"/>
    <w:basedOn w:val="JuParaSub"/>
    <w:rsid w:val="008530FF"/>
  </w:style>
  <w:style w:type="paragraph" w:customStyle="1" w:styleId="OpiQuotSub">
    <w:name w:val="Opi_Quot_Sub"/>
    <w:basedOn w:val="JuQuotSub"/>
    <w:rsid w:val="008530FF"/>
  </w:style>
  <w:style w:type="character" w:styleId="Hyperlink">
    <w:name w:val="Hyperlink"/>
    <w:basedOn w:val="DefaultParagraphFont"/>
    <w:rsid w:val="008530FF"/>
    <w:rPr>
      <w:color w:val="0000FF"/>
      <w:u w:val="single"/>
    </w:rPr>
  </w:style>
  <w:style w:type="paragraph" w:customStyle="1" w:styleId="JuH1CharCharCharCharChar">
    <w:name w:val="Ju_H_1. Char Char Char Char Char"/>
    <w:basedOn w:val="JuHA"/>
    <w:next w:val="JuParaCharChar"/>
    <w:link w:val="JuH1CharCharCharCharCharChar"/>
    <w:rsid w:val="008530FF"/>
    <w:pPr>
      <w:tabs>
        <w:tab w:val="clear" w:pos="584"/>
        <w:tab w:val="left" w:pos="731"/>
      </w:tabs>
      <w:spacing w:before="240" w:after="120"/>
      <w:ind w:left="732" w:hanging="301"/>
    </w:pPr>
    <w:rPr>
      <w:i/>
    </w:rPr>
  </w:style>
  <w:style w:type="character" w:customStyle="1" w:styleId="JuH1CharCharCharCharCharChar">
    <w:name w:val="Ju_H_1. Char Char Char Char Char Char"/>
    <w:basedOn w:val="JuHAChar"/>
    <w:link w:val="JuH1CharCharCharCharChar"/>
    <w:rsid w:val="008530FF"/>
    <w:rPr>
      <w:b/>
      <w:i/>
      <w:sz w:val="24"/>
      <w:lang w:val="en-GB" w:eastAsia="fr-FR" w:bidi="ar-SA"/>
    </w:rPr>
  </w:style>
  <w:style w:type="character" w:customStyle="1" w:styleId="hit1">
    <w:name w:val="hit1"/>
    <w:basedOn w:val="DefaultParagraphFont"/>
    <w:rsid w:val="008530FF"/>
    <w:rPr>
      <w:color w:val="FF0000"/>
    </w:rPr>
  </w:style>
  <w:style w:type="paragraph" w:customStyle="1" w:styleId="ju-005fpara">
    <w:name w:val="ju-005fpara"/>
    <w:basedOn w:val="Normal"/>
    <w:rsid w:val="008530FF"/>
    <w:pPr>
      <w:suppressAutoHyphens w:val="0"/>
      <w:spacing w:before="100" w:beforeAutospacing="1" w:after="100" w:afterAutospacing="1"/>
    </w:pPr>
    <w:rPr>
      <w:szCs w:val="24"/>
      <w:lang w:eastAsia="en-GB"/>
    </w:rPr>
  </w:style>
  <w:style w:type="paragraph" w:styleId="NormalWeb">
    <w:name w:val="Normal (Web)"/>
    <w:basedOn w:val="Normal"/>
    <w:rsid w:val="008530FF"/>
    <w:pPr>
      <w:suppressAutoHyphens w:val="0"/>
      <w:spacing w:before="100" w:beforeAutospacing="1" w:after="100" w:afterAutospacing="1"/>
    </w:pPr>
    <w:rPr>
      <w:szCs w:val="24"/>
      <w:lang w:eastAsia="en-GB"/>
    </w:rPr>
  </w:style>
  <w:style w:type="character" w:styleId="Strong">
    <w:name w:val="Strong"/>
    <w:basedOn w:val="DefaultParagraphFont"/>
    <w:qFormat/>
    <w:rsid w:val="008530FF"/>
    <w:rPr>
      <w:b/>
      <w:bCs/>
    </w:rPr>
  </w:style>
  <w:style w:type="paragraph" w:customStyle="1" w:styleId="cptmaintitle">
    <w:name w:val="cptmaintitle"/>
    <w:basedOn w:val="Normal"/>
    <w:rsid w:val="008530FF"/>
    <w:pPr>
      <w:suppressAutoHyphens w:val="0"/>
      <w:ind w:left="1701"/>
    </w:pPr>
    <w:rPr>
      <w:rFonts w:ascii="Arial" w:hAnsi="Arial" w:cs="Arial"/>
      <w:b/>
      <w:bCs/>
      <w:sz w:val="32"/>
      <w:szCs w:val="32"/>
      <w:lang w:eastAsia="en-GB"/>
    </w:rPr>
  </w:style>
  <w:style w:type="character" w:customStyle="1" w:styleId="ju-005fpara--char">
    <w:name w:val="ju-005fpara--char"/>
    <w:basedOn w:val="DefaultParagraphFont"/>
    <w:rsid w:val="008530FF"/>
  </w:style>
  <w:style w:type="paragraph" w:customStyle="1" w:styleId="ju-005fh-005fa">
    <w:name w:val="ju-005fh-005fa"/>
    <w:basedOn w:val="Normal"/>
    <w:rsid w:val="008530FF"/>
    <w:pPr>
      <w:suppressAutoHyphens w:val="0"/>
      <w:spacing w:before="100" w:beforeAutospacing="1" w:after="100" w:afterAutospacing="1"/>
    </w:pPr>
    <w:rPr>
      <w:szCs w:val="24"/>
      <w:lang w:eastAsia="en-GB"/>
    </w:rPr>
  </w:style>
  <w:style w:type="character" w:customStyle="1" w:styleId="ju--005fpara----char--char">
    <w:name w:val="ju--005fpara----char--char"/>
    <w:basedOn w:val="DefaultParagraphFont"/>
    <w:rsid w:val="008530FF"/>
  </w:style>
  <w:style w:type="paragraph" w:customStyle="1" w:styleId="ju-005fpara-0020char-0020char">
    <w:name w:val="ju-005fpara-0020char-0020char"/>
    <w:basedOn w:val="Normal"/>
    <w:rsid w:val="008530FF"/>
    <w:pPr>
      <w:suppressAutoHyphens w:val="0"/>
      <w:spacing w:before="100" w:beforeAutospacing="1" w:after="100" w:afterAutospacing="1"/>
    </w:pPr>
    <w:rPr>
      <w:szCs w:val="24"/>
      <w:lang w:eastAsia="en-GB"/>
    </w:rPr>
  </w:style>
  <w:style w:type="character" w:customStyle="1" w:styleId="ju-005fpara-0020char-0020char--char">
    <w:name w:val="ju-005fpara-0020char-0020char--char"/>
    <w:basedOn w:val="DefaultParagraphFont"/>
    <w:rsid w:val="008530FF"/>
  </w:style>
  <w:style w:type="character" w:customStyle="1" w:styleId="ju--005fpara--0020char----char--char">
    <w:name w:val="ju--005fpara--0020char----char--char"/>
    <w:basedOn w:val="DefaultParagraphFont"/>
    <w:rsid w:val="008530FF"/>
  </w:style>
  <w:style w:type="character" w:customStyle="1" w:styleId="JuParaChar2">
    <w:name w:val="Ju_Para Char2"/>
    <w:basedOn w:val="DefaultParagraphFont"/>
    <w:rsid w:val="008530FF"/>
    <w:rPr>
      <w:sz w:val="24"/>
      <w:lang w:val="en-GB" w:eastAsia="fr-FR" w:bidi="ar-SA"/>
    </w:rPr>
  </w:style>
  <w:style w:type="character" w:customStyle="1" w:styleId="normal--char">
    <w:name w:val="normal--char"/>
    <w:basedOn w:val="DefaultParagraphFont"/>
    <w:rsid w:val="008530FF"/>
  </w:style>
  <w:style w:type="paragraph" w:customStyle="1" w:styleId="ju-005fh-005f1-002e">
    <w:name w:val="ju-005fh-005f1-002e"/>
    <w:basedOn w:val="Normal"/>
    <w:rsid w:val="008530FF"/>
    <w:pPr>
      <w:suppressAutoHyphens w:val="0"/>
      <w:spacing w:before="100" w:beforeAutospacing="1" w:after="100" w:afterAutospacing="1"/>
    </w:pPr>
    <w:rPr>
      <w:szCs w:val="24"/>
      <w:lang w:eastAsia="en-GB"/>
    </w:rPr>
  </w:style>
  <w:style w:type="character" w:customStyle="1" w:styleId="JuParaChar1">
    <w:name w:val="Ju_Para Char1"/>
    <w:basedOn w:val="DefaultParagraphFont"/>
    <w:rsid w:val="008530FF"/>
    <w:rPr>
      <w:sz w:val="24"/>
      <w:lang w:val="en-GB" w:eastAsia="ar-SA" w:bidi="ar-SA"/>
    </w:rPr>
  </w:style>
  <w:style w:type="character" w:customStyle="1" w:styleId="JuQuotChar1">
    <w:name w:val="Ju_Quot Char1"/>
    <w:basedOn w:val="JuParaChar1"/>
    <w:rsid w:val="008530FF"/>
    <w:rPr>
      <w:sz w:val="24"/>
      <w:lang w:val="en-GB" w:eastAsia="ar-SA" w:bidi="ar-SA"/>
    </w:rPr>
  </w:style>
  <w:style w:type="character" w:customStyle="1" w:styleId="ju----005fpara--------char----char--char">
    <w:name w:val="ju----005fpara--------char----char--char"/>
    <w:basedOn w:val="DefaultParagraphFont"/>
    <w:rsid w:val="008530FF"/>
  </w:style>
  <w:style w:type="character" w:customStyle="1" w:styleId="opi-005fpara--char">
    <w:name w:val="opi-005fpara--char"/>
    <w:basedOn w:val="DefaultParagraphFont"/>
    <w:rsid w:val="008530FF"/>
  </w:style>
  <w:style w:type="paragraph" w:customStyle="1" w:styleId="opi-005fpara">
    <w:name w:val="opi-005fpara"/>
    <w:basedOn w:val="Normal"/>
    <w:rsid w:val="008530FF"/>
    <w:pPr>
      <w:suppressAutoHyphens w:val="0"/>
      <w:spacing w:before="100" w:beforeAutospacing="1" w:after="100" w:afterAutospacing="1"/>
    </w:pPr>
    <w:rPr>
      <w:szCs w:val="24"/>
      <w:lang w:eastAsia="en-GB"/>
    </w:rPr>
  </w:style>
  <w:style w:type="paragraph" w:customStyle="1" w:styleId="ju-005fpara-0020char-0020char-0020char-0020char-0020char-0020char">
    <w:name w:val="ju-005fpara-0020char-0020char-0020char-0020char-0020char-0020char"/>
    <w:basedOn w:val="Normal"/>
    <w:rsid w:val="008530FF"/>
    <w:pPr>
      <w:suppressAutoHyphens w:val="0"/>
      <w:spacing w:before="100" w:beforeAutospacing="1" w:after="100" w:afterAutospacing="1"/>
    </w:pPr>
    <w:rPr>
      <w:szCs w:val="24"/>
      <w:lang w:eastAsia="en-GB"/>
    </w:rPr>
  </w:style>
  <w:style w:type="character" w:customStyle="1" w:styleId="ju-005fpara-0020char-0020char-0020char-0020char-0020char-0020char--char">
    <w:name w:val="ju-005fpara-0020char-0020char-0020char-0020char-0020char-0020char--char"/>
    <w:basedOn w:val="DefaultParagraphFont"/>
    <w:rsid w:val="008530FF"/>
  </w:style>
  <w:style w:type="paragraph" w:customStyle="1" w:styleId="normal0">
    <w:name w:val="normal"/>
    <w:basedOn w:val="Normal"/>
    <w:rsid w:val="008530FF"/>
    <w:pPr>
      <w:suppressAutoHyphens w:val="0"/>
      <w:spacing w:before="100" w:beforeAutospacing="1" w:after="100" w:afterAutospacing="1"/>
    </w:pPr>
    <w:rPr>
      <w:szCs w:val="24"/>
      <w:lang w:eastAsia="en-GB"/>
    </w:rPr>
  </w:style>
  <w:style w:type="paragraph" w:customStyle="1" w:styleId="JuParaChar">
    <w:name w:val="Ju_Para Char"/>
    <w:basedOn w:val="Normal"/>
    <w:rsid w:val="008530FF"/>
    <w:pPr>
      <w:ind w:firstLine="284"/>
      <w:jc w:val="both"/>
    </w:pPr>
  </w:style>
  <w:style w:type="paragraph" w:customStyle="1" w:styleId="ju-005fh-005fi-005froman">
    <w:name w:val="ju-005fh-005fi-005froman"/>
    <w:basedOn w:val="Normal"/>
    <w:rsid w:val="008530FF"/>
    <w:pPr>
      <w:suppressAutoHyphens w:val="0"/>
      <w:spacing w:before="100" w:beforeAutospacing="1" w:after="100" w:afterAutospacing="1"/>
    </w:pPr>
    <w:rPr>
      <w:szCs w:val="24"/>
      <w:lang w:eastAsia="en-GB"/>
    </w:rPr>
  </w:style>
  <w:style w:type="paragraph" w:customStyle="1" w:styleId="ju-005fquot">
    <w:name w:val="ju-005fquot"/>
    <w:basedOn w:val="Normal"/>
    <w:rsid w:val="008530FF"/>
    <w:pPr>
      <w:suppressAutoHyphens w:val="0"/>
      <w:spacing w:before="100" w:beforeAutospacing="1" w:after="100" w:afterAutospacing="1"/>
    </w:pPr>
    <w:rPr>
      <w:szCs w:val="24"/>
      <w:lang w:eastAsia="en-GB"/>
    </w:rPr>
  </w:style>
  <w:style w:type="paragraph" w:customStyle="1" w:styleId="StyleJustifiedLeft025Hanging025">
    <w:name w:val="Style Justified Left:  0.25&quot; Hanging:  0.25&quot;"/>
    <w:basedOn w:val="Normal"/>
    <w:autoRedefine/>
    <w:rsid w:val="008530FF"/>
    <w:pPr>
      <w:suppressAutoHyphens w:val="0"/>
      <w:ind w:left="720" w:hanging="360"/>
      <w:jc w:val="both"/>
    </w:pPr>
    <w:rPr>
      <w:sz w:val="28"/>
      <w:lang w:val="en-US" w:eastAsia="en-US"/>
    </w:rPr>
  </w:style>
  <w:style w:type="paragraph" w:styleId="BodyText2">
    <w:name w:val="Body Text 2"/>
    <w:basedOn w:val="Normal"/>
    <w:rsid w:val="008530FF"/>
    <w:pPr>
      <w:suppressAutoHyphens w:val="0"/>
      <w:jc w:val="both"/>
    </w:pPr>
    <w:rPr>
      <w:rFonts w:ascii="Arial" w:hAnsi="Arial"/>
      <w:lang w:val="en-US" w:eastAsia="en-US"/>
    </w:rPr>
  </w:style>
  <w:style w:type="paragraph" w:customStyle="1" w:styleId="ju-005fpara-002cleft-002cfirst-0020line-003a-0020-00200-0020cm">
    <w:name w:val="ju-005fpara-002cleft-002cfirst-0020line-003a-0020-00200-0020cm"/>
    <w:basedOn w:val="Normal"/>
    <w:rsid w:val="008530FF"/>
    <w:pPr>
      <w:suppressAutoHyphens w:val="0"/>
      <w:spacing w:before="100" w:beforeAutospacing="1" w:after="100" w:afterAutospacing="1"/>
    </w:pPr>
    <w:rPr>
      <w:szCs w:val="24"/>
      <w:lang w:eastAsia="en-GB"/>
    </w:rPr>
  </w:style>
  <w:style w:type="character" w:customStyle="1" w:styleId="ju-005fpara-002cleft-002cfirst-0020line-003a-0020-00200-0020cm--char">
    <w:name w:val="ju-005fpara-002cleft-002cfirst-0020line-003a-0020-00200-0020cm--char"/>
    <w:basedOn w:val="DefaultParagraphFont"/>
    <w:rsid w:val="008530FF"/>
  </w:style>
  <w:style w:type="character" w:styleId="FollowedHyperlink">
    <w:name w:val="FollowedHyperlink"/>
    <w:basedOn w:val="DefaultParagraphFont"/>
    <w:rsid w:val="008530FF"/>
    <w:rPr>
      <w:color w:val="800080"/>
      <w:u w:val="single"/>
    </w:rPr>
  </w:style>
  <w:style w:type="paragraph" w:styleId="BodyTextIndent">
    <w:name w:val="Body Text Indent"/>
    <w:basedOn w:val="Normal"/>
    <w:rsid w:val="00091948"/>
    <w:pPr>
      <w:suppressAutoHyphens w:val="0"/>
      <w:ind w:firstLine="540"/>
      <w:jc w:val="both"/>
    </w:pPr>
    <w:rPr>
      <w:bCs/>
      <w:sz w:val="28"/>
      <w:szCs w:val="28"/>
      <w:lang w:val="it-IT" w:eastAsia="en-US"/>
    </w:rPr>
  </w:style>
  <w:style w:type="paragraph" w:styleId="BodyTextIndent2">
    <w:name w:val="Body Text Indent 2"/>
    <w:basedOn w:val="Normal"/>
    <w:rsid w:val="0001438C"/>
    <w:pPr>
      <w:widowControl w:val="0"/>
      <w:suppressAutoHyphens w:val="0"/>
      <w:autoSpaceDE w:val="0"/>
      <w:autoSpaceDN w:val="0"/>
      <w:adjustRightInd w:val="0"/>
      <w:ind w:firstLine="600"/>
      <w:jc w:val="both"/>
    </w:pPr>
    <w:rPr>
      <w:sz w:val="28"/>
      <w:lang w:val="sq-AL" w:eastAsia="en-US"/>
    </w:rPr>
  </w:style>
  <w:style w:type="paragraph" w:styleId="BodyTextIndent3">
    <w:name w:val="Body Text Indent 3"/>
    <w:basedOn w:val="Normal"/>
    <w:rsid w:val="0001438C"/>
    <w:pPr>
      <w:widowControl w:val="0"/>
      <w:suppressAutoHyphens w:val="0"/>
      <w:autoSpaceDE w:val="0"/>
      <w:autoSpaceDN w:val="0"/>
      <w:adjustRightInd w:val="0"/>
      <w:ind w:firstLine="600"/>
    </w:pPr>
    <w:rPr>
      <w:sz w:val="28"/>
      <w:lang w:val="sq-AL" w:eastAsia="en-US"/>
    </w:rPr>
  </w:style>
  <w:style w:type="paragraph" w:styleId="BodyText">
    <w:name w:val="Body Text"/>
    <w:basedOn w:val="Normal"/>
    <w:rsid w:val="0001438C"/>
    <w:pPr>
      <w:widowControl w:val="0"/>
      <w:suppressAutoHyphens w:val="0"/>
      <w:autoSpaceDE w:val="0"/>
      <w:autoSpaceDN w:val="0"/>
      <w:adjustRightInd w:val="0"/>
    </w:pPr>
    <w:rPr>
      <w:sz w:val="28"/>
      <w:lang w:val="sq-AL" w:eastAsia="en-US"/>
    </w:rPr>
  </w:style>
  <w:style w:type="paragraph" w:styleId="Title">
    <w:name w:val="Title"/>
    <w:basedOn w:val="Normal"/>
    <w:qFormat/>
    <w:rsid w:val="0001438C"/>
    <w:pPr>
      <w:widowControl w:val="0"/>
      <w:suppressAutoHyphens w:val="0"/>
      <w:autoSpaceDE w:val="0"/>
      <w:autoSpaceDN w:val="0"/>
      <w:adjustRightInd w:val="0"/>
      <w:jc w:val="center"/>
    </w:pPr>
    <w:rPr>
      <w:b/>
      <w:bCs/>
      <w:sz w:val="28"/>
      <w:lang w:val="sq-AL" w:eastAsia="en-US"/>
    </w:rPr>
  </w:style>
  <w:style w:type="character" w:styleId="Emphasis">
    <w:name w:val="Emphasis"/>
    <w:basedOn w:val="DefaultParagraphFont"/>
    <w:qFormat/>
    <w:rsid w:val="005029A7"/>
    <w:rPr>
      <w:i/>
      <w:iCs/>
    </w:rPr>
  </w:style>
  <w:style w:type="paragraph" w:customStyle="1" w:styleId="nenititull0">
    <w:name w:val="nenititull"/>
    <w:basedOn w:val="Normal"/>
    <w:rsid w:val="005029A7"/>
    <w:pPr>
      <w:suppressAutoHyphens w:val="0"/>
      <w:spacing w:before="100" w:beforeAutospacing="1" w:after="100" w:afterAutospacing="1"/>
    </w:pPr>
    <w:rPr>
      <w:szCs w:val="24"/>
      <w:lang w:val="en-US" w:eastAsia="en-US"/>
    </w:rPr>
  </w:style>
  <w:style w:type="paragraph" w:customStyle="1" w:styleId="neninr0">
    <w:name w:val="neninr"/>
    <w:basedOn w:val="Normal"/>
    <w:rsid w:val="005029A7"/>
    <w:pPr>
      <w:suppressAutoHyphens w:val="0"/>
      <w:spacing w:before="100" w:beforeAutospacing="1" w:after="100" w:afterAutospacing="1"/>
    </w:pPr>
    <w:rPr>
      <w:szCs w:val="24"/>
      <w:lang w:val="en-US" w:eastAsia="en-US"/>
    </w:rPr>
  </w:style>
  <w:style w:type="paragraph" w:styleId="BodyText3">
    <w:name w:val="Body Text 3"/>
    <w:basedOn w:val="Normal"/>
    <w:rsid w:val="005029A7"/>
    <w:pPr>
      <w:tabs>
        <w:tab w:val="left" w:pos="0"/>
        <w:tab w:val="right" w:pos="284"/>
      </w:tabs>
      <w:suppressAutoHyphens w:val="0"/>
      <w:jc w:val="center"/>
    </w:pPr>
    <w:rPr>
      <w:b/>
      <w:bCs/>
      <w:color w:val="000000"/>
      <w:sz w:val="28"/>
      <w:szCs w:val="28"/>
      <w:lang w:val="sq-A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8903">
      <w:bodyDiv w:val="1"/>
      <w:marLeft w:val="0"/>
      <w:marRight w:val="0"/>
      <w:marTop w:val="0"/>
      <w:marBottom w:val="0"/>
      <w:divBdr>
        <w:top w:val="none" w:sz="0" w:space="0" w:color="auto"/>
        <w:left w:val="none" w:sz="0" w:space="0" w:color="auto"/>
        <w:bottom w:val="none" w:sz="0" w:space="0" w:color="auto"/>
        <w:right w:val="none" w:sz="0" w:space="0" w:color="auto"/>
      </w:divBdr>
    </w:div>
    <w:div w:id="419982388">
      <w:bodyDiv w:val="1"/>
      <w:marLeft w:val="0"/>
      <w:marRight w:val="0"/>
      <w:marTop w:val="0"/>
      <w:marBottom w:val="0"/>
      <w:divBdr>
        <w:top w:val="none" w:sz="0" w:space="0" w:color="auto"/>
        <w:left w:val="none" w:sz="0" w:space="0" w:color="auto"/>
        <w:bottom w:val="none" w:sz="0" w:space="0" w:color="auto"/>
        <w:right w:val="none" w:sz="0" w:space="0" w:color="auto"/>
      </w:divBdr>
    </w:div>
    <w:div w:id="951673434">
      <w:bodyDiv w:val="1"/>
      <w:marLeft w:val="0"/>
      <w:marRight w:val="0"/>
      <w:marTop w:val="0"/>
      <w:marBottom w:val="0"/>
      <w:divBdr>
        <w:top w:val="none" w:sz="0" w:space="0" w:color="auto"/>
        <w:left w:val="none" w:sz="0" w:space="0" w:color="auto"/>
        <w:bottom w:val="none" w:sz="0" w:space="0" w:color="auto"/>
        <w:right w:val="none" w:sz="0" w:space="0" w:color="auto"/>
      </w:divBdr>
    </w:div>
    <w:div w:id="985158745">
      <w:bodyDiv w:val="1"/>
      <w:marLeft w:val="0"/>
      <w:marRight w:val="0"/>
      <w:marTop w:val="0"/>
      <w:marBottom w:val="0"/>
      <w:divBdr>
        <w:top w:val="none" w:sz="0" w:space="0" w:color="auto"/>
        <w:left w:val="none" w:sz="0" w:space="0" w:color="auto"/>
        <w:bottom w:val="none" w:sz="0" w:space="0" w:color="auto"/>
        <w:right w:val="none" w:sz="0" w:space="0" w:color="auto"/>
      </w:divBdr>
    </w:div>
    <w:div w:id="190980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12363</Words>
  <Characters>70470</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SEKSIONI I KATËRT</vt:lpstr>
    </vt:vector>
  </TitlesOfParts>
  <Company/>
  <LinksUpToDate>false</LinksUpToDate>
  <CharactersWithSpaces>82668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SEKSIONI I KATËRT</dc:title>
  <dc:subject/>
  <dc:creator>n.fagu</dc:creator>
  <cp:keywords/>
  <dc:description/>
  <cp:lastModifiedBy>Inida Noga</cp:lastModifiedBy>
  <cp:revision>2</cp:revision>
  <cp:lastPrinted>2009-11-16T13:13:00Z</cp:lastPrinted>
  <dcterms:created xsi:type="dcterms:W3CDTF">2019-02-20T18:07:00Z</dcterms:created>
  <dcterms:modified xsi:type="dcterms:W3CDTF">2019-02-20T18:07:00Z</dcterms:modified>
</cp:coreProperties>
</file>