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209" w:rsidRPr="00707546" w:rsidRDefault="00436ECF" w:rsidP="00D444DE">
      <w:pPr>
        <w:pStyle w:val="Titulli0"/>
        <w:rPr>
          <w:lang w:val="it-IT"/>
        </w:rPr>
      </w:pPr>
      <w:bookmarkStart w:id="0" w:name="_GoBack"/>
      <w:bookmarkEnd w:id="0"/>
      <w:r w:rsidRPr="00707546">
        <w:rPr>
          <w:lang w:val="it-IT"/>
        </w:rPr>
        <w:t>GJYKATA Eu</w:t>
      </w:r>
      <w:r w:rsidR="00946209" w:rsidRPr="00707546">
        <w:rPr>
          <w:lang w:val="it-IT"/>
        </w:rPr>
        <w:t>ROPIANE E TË DREJTAVE TË NJERIUT</w:t>
      </w:r>
    </w:p>
    <w:p w:rsidR="00946209" w:rsidRPr="00707546" w:rsidRDefault="00946209" w:rsidP="00D444DE">
      <w:pPr>
        <w:pStyle w:val="Titulli0"/>
        <w:rPr>
          <w:lang w:val="it-IT"/>
        </w:rPr>
      </w:pPr>
    </w:p>
    <w:p w:rsidR="00946209" w:rsidRPr="00707546" w:rsidRDefault="00D444DE" w:rsidP="00D444DE">
      <w:pPr>
        <w:pStyle w:val="Titulli0"/>
        <w:rPr>
          <w:lang w:val="it-IT"/>
        </w:rPr>
      </w:pPr>
      <w:r w:rsidRPr="00707546">
        <w:rPr>
          <w:lang w:val="it-IT"/>
        </w:rPr>
        <w:tab/>
      </w:r>
    </w:p>
    <w:p w:rsidR="00946209" w:rsidRPr="00707546" w:rsidRDefault="00946209" w:rsidP="00D444DE">
      <w:pPr>
        <w:pStyle w:val="Titulli0"/>
        <w:rPr>
          <w:b w:val="0"/>
          <w:lang w:val="it-IT"/>
        </w:rPr>
      </w:pPr>
      <w:r w:rsidRPr="00707546">
        <w:rPr>
          <w:b w:val="0"/>
          <w:lang w:val="it-IT"/>
        </w:rPr>
        <w:t>SEKSIONI I KATËRT</w:t>
      </w:r>
    </w:p>
    <w:p w:rsidR="00946209" w:rsidRPr="00707546" w:rsidRDefault="00946209" w:rsidP="00D444DE">
      <w:pPr>
        <w:pStyle w:val="Titulli0"/>
        <w:rPr>
          <w:b w:val="0"/>
          <w:lang w:val="it-IT"/>
        </w:rPr>
      </w:pPr>
      <w:r w:rsidRPr="00707546">
        <w:rPr>
          <w:b w:val="0"/>
          <w:lang w:val="it-IT"/>
        </w:rPr>
        <w:t>VENDIM MBI PRANUESHMËRINË E</w:t>
      </w:r>
    </w:p>
    <w:p w:rsidR="00946209" w:rsidRPr="00707546" w:rsidRDefault="00946209" w:rsidP="00D444DE">
      <w:pPr>
        <w:pStyle w:val="NeniNr"/>
        <w:rPr>
          <w:lang w:val="it-IT"/>
        </w:rPr>
      </w:pPr>
      <w:r w:rsidRPr="00707546">
        <w:rPr>
          <w:lang w:val="it-IT"/>
        </w:rPr>
        <w:t>Ankimit nr</w:t>
      </w:r>
      <w:r w:rsidR="005603E3" w:rsidRPr="00707546">
        <w:rPr>
          <w:lang w:val="it-IT"/>
        </w:rPr>
        <w:t>.</w:t>
      </w:r>
      <w:r w:rsidRPr="00707546">
        <w:rPr>
          <w:lang w:val="it-IT"/>
        </w:rPr>
        <w:t>11186/03</w:t>
      </w:r>
    </w:p>
    <w:p w:rsidR="00946209" w:rsidRPr="00707546" w:rsidRDefault="00946209" w:rsidP="00D444DE">
      <w:pPr>
        <w:pStyle w:val="NeniNr"/>
        <w:rPr>
          <w:lang w:val="it-IT"/>
        </w:rPr>
      </w:pPr>
      <w:r w:rsidRPr="00707546">
        <w:rPr>
          <w:lang w:val="it-IT"/>
        </w:rPr>
        <w:t xml:space="preserve">nga Qerim </w:t>
      </w:r>
      <w:r w:rsidR="005603E3" w:rsidRPr="00707546">
        <w:rPr>
          <w:lang w:val="it-IT"/>
        </w:rPr>
        <w:t>Jakupi</w:t>
      </w:r>
    </w:p>
    <w:p w:rsidR="00946209" w:rsidRPr="00707546" w:rsidRDefault="00946209" w:rsidP="00D444DE">
      <w:pPr>
        <w:pStyle w:val="NeniNr"/>
        <w:rPr>
          <w:lang w:val="it-IT"/>
        </w:rPr>
      </w:pPr>
      <w:r w:rsidRPr="00707546">
        <w:rPr>
          <w:lang w:val="it-IT"/>
        </w:rPr>
        <w:t>kundër Shqipërisë</w:t>
      </w:r>
    </w:p>
    <w:p w:rsidR="00946209" w:rsidRPr="00707546" w:rsidRDefault="00946209" w:rsidP="00D444DE">
      <w:pPr>
        <w:pStyle w:val="NeniNr"/>
        <w:rPr>
          <w:lang w:val="it-IT"/>
        </w:rPr>
      </w:pPr>
    </w:p>
    <w:p w:rsidR="00946209" w:rsidRPr="00707546" w:rsidRDefault="005603E3" w:rsidP="00946209">
      <w:pPr>
        <w:pStyle w:val="Paragrafi0"/>
        <w:rPr>
          <w:lang w:val="it-IT"/>
        </w:rPr>
      </w:pPr>
      <w:r w:rsidRPr="00707546">
        <w:rPr>
          <w:lang w:val="it-IT"/>
        </w:rPr>
        <w:t>Gjykata Eu</w:t>
      </w:r>
      <w:r w:rsidR="00946209" w:rsidRPr="00707546">
        <w:rPr>
          <w:lang w:val="it-IT"/>
        </w:rPr>
        <w:t>rop</w:t>
      </w:r>
      <w:r w:rsidRPr="00707546">
        <w:rPr>
          <w:lang w:val="it-IT"/>
        </w:rPr>
        <w:t>iane e të Drejtave të Njeriut (seksioni i katërt) e mbledhur më 1 d</w:t>
      </w:r>
      <w:r w:rsidR="00946209" w:rsidRPr="00707546">
        <w:rPr>
          <w:lang w:val="it-IT"/>
        </w:rPr>
        <w:t>hjetor 2009 si trup gjykues i përbërë nga:</w:t>
      </w:r>
    </w:p>
    <w:p w:rsidR="00946209" w:rsidRPr="00707546" w:rsidRDefault="00946209" w:rsidP="00946209">
      <w:pPr>
        <w:pStyle w:val="Paragrafi0"/>
        <w:rPr>
          <w:lang w:val="it-IT"/>
        </w:rPr>
      </w:pPr>
      <w:r w:rsidRPr="00707546">
        <w:rPr>
          <w:lang w:val="it-IT"/>
        </w:rPr>
        <w:t xml:space="preserve">Nicolas Bratza, </w:t>
      </w:r>
      <w:r w:rsidR="005603E3" w:rsidRPr="00707546">
        <w:rPr>
          <w:lang w:val="it-IT"/>
        </w:rPr>
        <w:t>k</w:t>
      </w:r>
      <w:r w:rsidRPr="00707546">
        <w:rPr>
          <w:lang w:val="it-IT"/>
        </w:rPr>
        <w:t>yetar</w:t>
      </w:r>
    </w:p>
    <w:p w:rsidR="00946209" w:rsidRPr="00707546" w:rsidRDefault="00946209" w:rsidP="00946209">
      <w:pPr>
        <w:pStyle w:val="Paragrafi0"/>
        <w:rPr>
          <w:lang w:val="it-IT"/>
        </w:rPr>
      </w:pPr>
      <w:r w:rsidRPr="00707546">
        <w:rPr>
          <w:lang w:val="it-IT"/>
        </w:rPr>
        <w:t>Giovanni Bonello,</w:t>
      </w:r>
    </w:p>
    <w:p w:rsidR="00946209" w:rsidRPr="00051732" w:rsidRDefault="00946209" w:rsidP="00946209">
      <w:pPr>
        <w:pStyle w:val="Paragrafi0"/>
      </w:pPr>
      <w:r w:rsidRPr="00051732">
        <w:t>David Thor Bjorgvinsson,</w:t>
      </w:r>
    </w:p>
    <w:p w:rsidR="00946209" w:rsidRPr="00051732" w:rsidRDefault="00946209" w:rsidP="00946209">
      <w:pPr>
        <w:pStyle w:val="Paragrafi0"/>
      </w:pPr>
      <w:r w:rsidRPr="00051732">
        <w:t>Jan Sikuta,</w:t>
      </w:r>
    </w:p>
    <w:p w:rsidR="00946209" w:rsidRPr="00051732" w:rsidRDefault="00946209" w:rsidP="00946209">
      <w:pPr>
        <w:pStyle w:val="Paragrafi0"/>
      </w:pPr>
      <w:r w:rsidRPr="00051732">
        <w:t>Paivi Hirvela,</w:t>
      </w:r>
    </w:p>
    <w:p w:rsidR="00946209" w:rsidRPr="00051732" w:rsidRDefault="00946209" w:rsidP="00946209">
      <w:pPr>
        <w:pStyle w:val="Paragrafi0"/>
      </w:pPr>
      <w:r w:rsidRPr="00051732">
        <w:t>Ledi Bianku,</w:t>
      </w:r>
    </w:p>
    <w:p w:rsidR="00946209" w:rsidRPr="00051732" w:rsidRDefault="00946209" w:rsidP="00946209">
      <w:pPr>
        <w:pStyle w:val="Paragrafi0"/>
      </w:pPr>
      <w:r w:rsidRPr="00051732">
        <w:t>Nevojsa Vucinic, gjykatës</w:t>
      </w:r>
    </w:p>
    <w:p w:rsidR="00946209" w:rsidRPr="00051732" w:rsidRDefault="00946209" w:rsidP="00946209">
      <w:pPr>
        <w:pStyle w:val="Paragrafi0"/>
      </w:pPr>
      <w:r w:rsidRPr="00051732">
        <w:t xml:space="preserve">dhe Fatos Araci, </w:t>
      </w:r>
      <w:r w:rsidR="00436ECF">
        <w:t>zëvendës</w:t>
      </w:r>
      <w:r w:rsidR="005603E3" w:rsidRPr="00051732">
        <w:t>sekretar i seksionit</w:t>
      </w:r>
    </w:p>
    <w:p w:rsidR="00946209" w:rsidRPr="00051732" w:rsidRDefault="005603E3" w:rsidP="00946209">
      <w:pPr>
        <w:pStyle w:val="Paragrafi0"/>
      </w:pPr>
      <w:r>
        <w:t>d</w:t>
      </w:r>
      <w:r w:rsidRPr="00051732">
        <w:t xml:space="preserve">uke marrë në konsideratë </w:t>
      </w:r>
      <w:r w:rsidR="00946209" w:rsidRPr="00051732">
        <w:t xml:space="preserve">ankimin e mësipërm të depozituar më </w:t>
      </w:r>
      <w:r w:rsidR="00436ECF">
        <w:t>17 m</w:t>
      </w:r>
      <w:r w:rsidR="00946209" w:rsidRPr="00051732">
        <w:t xml:space="preserve">ars 2003, </w:t>
      </w:r>
    </w:p>
    <w:p w:rsidR="00946209" w:rsidRPr="00051732" w:rsidRDefault="005603E3" w:rsidP="00946209">
      <w:pPr>
        <w:pStyle w:val="Paragrafi0"/>
      </w:pPr>
      <w:r w:rsidRPr="00051732">
        <w:t xml:space="preserve">duke marrë në konsideratë </w:t>
      </w:r>
      <w:r w:rsidR="009B04E3">
        <w:t>vërejtjet e paraqitura nga q</w:t>
      </w:r>
      <w:r w:rsidR="00946209" w:rsidRPr="00051732">
        <w:t>everia e paditur dhe vërejtjet në përgjigjen e paraqitur nga ankuesi,</w:t>
      </w:r>
    </w:p>
    <w:p w:rsidR="00946209" w:rsidRPr="00707546" w:rsidRDefault="00436ECF" w:rsidP="00946209">
      <w:pPr>
        <w:pStyle w:val="Paragrafi0"/>
        <w:rPr>
          <w:lang w:val="it-IT"/>
        </w:rPr>
      </w:pPr>
      <w:r w:rsidRPr="00707546">
        <w:rPr>
          <w:lang w:val="it-IT"/>
        </w:rPr>
        <w:t>p</w:t>
      </w:r>
      <w:r w:rsidR="00946209" w:rsidRPr="00707546">
        <w:rPr>
          <w:lang w:val="it-IT"/>
        </w:rPr>
        <w:t>asi kanë shqyrtuar çështjen, vendosi si më poshtë:</w:t>
      </w:r>
    </w:p>
    <w:p w:rsidR="00946209" w:rsidRPr="00707546" w:rsidRDefault="00946209" w:rsidP="00946209">
      <w:pPr>
        <w:pStyle w:val="Paragrafi0"/>
        <w:rPr>
          <w:lang w:val="it-IT"/>
        </w:rPr>
      </w:pPr>
    </w:p>
    <w:p w:rsidR="00946209" w:rsidRPr="00051732" w:rsidRDefault="00946209" w:rsidP="00946209">
      <w:pPr>
        <w:pStyle w:val="Paragrafi0"/>
      </w:pPr>
      <w:r w:rsidRPr="00051732">
        <w:t>FAKTET</w:t>
      </w:r>
    </w:p>
    <w:p w:rsidR="00946209" w:rsidRPr="00051732" w:rsidRDefault="009B04E3" w:rsidP="00946209">
      <w:pPr>
        <w:pStyle w:val="Paragrafi0"/>
      </w:pPr>
      <w:r>
        <w:t>Ankuesi, z.</w:t>
      </w:r>
      <w:r w:rsidR="00946209" w:rsidRPr="00051732">
        <w:t xml:space="preserve">Qerim Jakupi, është një shtetas shqiptar i lindur në vitin 1937 dhe banues në Lushnjë. Ai përfaqësohet në Gjykatë nga </w:t>
      </w:r>
      <w:r>
        <w:t>z</w:t>
      </w:r>
      <w:r w:rsidR="00946209" w:rsidRPr="00051732">
        <w:t>. A. Shehu, avokat që ushtron profesionin e tij</w:t>
      </w:r>
      <w:r w:rsidR="00436ECF">
        <w:t xml:space="preserve"> në Tiranë. Qeveria s</w:t>
      </w:r>
      <w:r>
        <w:t>hqiptare (Qeveria</w:t>
      </w:r>
      <w:r w:rsidR="00946209" w:rsidRPr="00051732">
        <w:t xml:space="preserve">) u përfaqësua nga personat e autorizuar në atë kohë, </w:t>
      </w:r>
      <w:r>
        <w:t>z</w:t>
      </w:r>
      <w:r w:rsidR="00946209" w:rsidRPr="00051732">
        <w:t xml:space="preserve">. </w:t>
      </w:r>
      <w:smartTag w:uri="urn:schemas-microsoft-com:office:smarttags" w:element="place">
        <w:r w:rsidR="00946209" w:rsidRPr="00051732">
          <w:t>S. Puto</w:t>
        </w:r>
      </w:smartTag>
      <w:r w:rsidR="00946209" w:rsidRPr="00051732">
        <w:t xml:space="preserve"> dhe </w:t>
      </w:r>
      <w:r>
        <w:t>z</w:t>
      </w:r>
      <w:r w:rsidR="00946209" w:rsidRPr="00051732">
        <w:t xml:space="preserve">nj.B. Bulica. </w:t>
      </w:r>
    </w:p>
    <w:p w:rsidR="00946209" w:rsidRPr="00051732" w:rsidRDefault="00946209" w:rsidP="00946209">
      <w:pPr>
        <w:pStyle w:val="Paragrafi0"/>
      </w:pPr>
    </w:p>
    <w:p w:rsidR="00946209" w:rsidRPr="00051732" w:rsidRDefault="00D444DE" w:rsidP="00946209">
      <w:pPr>
        <w:pStyle w:val="Paragrafi0"/>
      </w:pPr>
      <w:r>
        <w:t xml:space="preserve">A. </w:t>
      </w:r>
      <w:r w:rsidR="00946209" w:rsidRPr="00051732">
        <w:t>Rrethanat e çështjes</w:t>
      </w:r>
    </w:p>
    <w:p w:rsidR="00946209" w:rsidRPr="00051732" w:rsidRDefault="00946209" w:rsidP="00946209">
      <w:pPr>
        <w:pStyle w:val="Paragrafi0"/>
      </w:pPr>
      <w:r w:rsidRPr="00051732">
        <w:t>Faktet e çështjes të paraqitura nga palët, m</w:t>
      </w:r>
      <w:r w:rsidR="00436ECF">
        <w:t>und të përmblidhen si më poshtë:</w:t>
      </w:r>
    </w:p>
    <w:p w:rsidR="00946209" w:rsidRPr="00051732" w:rsidRDefault="00946209" w:rsidP="00946209">
      <w:pPr>
        <w:pStyle w:val="Paragrafi0"/>
      </w:pPr>
      <w:r w:rsidRPr="00051732">
        <w:t xml:space="preserve">Më 16 </w:t>
      </w:r>
      <w:r w:rsidR="00105CF2">
        <w:t>p</w:t>
      </w:r>
      <w:r w:rsidRPr="00051732">
        <w:t>rill 1992, këshilli bashkiak i Lushnjës i dha ankuesit një leje ndërtimi për të ngritur një godinë të përkohshme. Ankuesi e përdori këtë leje për të hapur një bar-kafe. Megjithatë, leja nuk përcaktonte kohëzgjatjen e vlefshmërisë së saj.</w:t>
      </w:r>
    </w:p>
    <w:p w:rsidR="00946209" w:rsidRPr="00051732" w:rsidRDefault="00946209" w:rsidP="00946209">
      <w:pPr>
        <w:pStyle w:val="Paragrafi0"/>
      </w:pPr>
      <w:r w:rsidRPr="00051732">
        <w:t xml:space="preserve">Në 1993, u dekretua </w:t>
      </w:r>
      <w:r w:rsidR="00105CF2" w:rsidRPr="00051732">
        <w:t xml:space="preserve">ligji mbi planifikimin urban </w:t>
      </w:r>
      <w:r w:rsidRPr="00051732">
        <w:t>(</w:t>
      </w:r>
      <w:r w:rsidR="00436ECF">
        <w:t>l</w:t>
      </w:r>
      <w:r w:rsidR="00105CF2">
        <w:t>igji i vitit 1993</w:t>
      </w:r>
      <w:r w:rsidRPr="00051732">
        <w:t xml:space="preserve">). Ai parashikonte se lejet e ndërtimit për godinat e përkohshme kishin vlefshmëri për një vit. Ligji i vitit 1993 u shfuqizua nga </w:t>
      </w:r>
      <w:r w:rsidR="00105CF2" w:rsidRPr="00051732">
        <w:t>ligji i planifikimit urban</w:t>
      </w:r>
      <w:r w:rsidR="00436ECF">
        <w:t xml:space="preserve"> i vitit 1998 (l</w:t>
      </w:r>
      <w:r w:rsidR="00105CF2">
        <w:t>igji i vitit 1998</w:t>
      </w:r>
      <w:r w:rsidRPr="00051732">
        <w:t xml:space="preserve">) që mori të njëjtat masa për vlefshmërinë e lejeve të ndërtimit në lidhje me godinat e përkohshme. </w:t>
      </w:r>
    </w:p>
    <w:p w:rsidR="00946209" w:rsidRPr="00051732" w:rsidRDefault="00105CF2" w:rsidP="00946209">
      <w:pPr>
        <w:pStyle w:val="Paragrafi0"/>
      </w:pPr>
      <w:r>
        <w:t>Më 23 d</w:t>
      </w:r>
      <w:r w:rsidR="00946209" w:rsidRPr="00051732">
        <w:t xml:space="preserve">hjetor 1999, </w:t>
      </w:r>
      <w:r w:rsidRPr="00051732">
        <w:t xml:space="preserve">policia ndërtimore e rrethit </w:t>
      </w:r>
      <w:r w:rsidR="00946209" w:rsidRPr="00051732">
        <w:t>Fier (</w:t>
      </w:r>
      <w:r w:rsidR="00436ECF" w:rsidRPr="00051732">
        <w:t xml:space="preserve">policia ndërtimore- </w:t>
      </w:r>
      <w:r w:rsidR="00946209" w:rsidRPr="00051732">
        <w:t xml:space="preserve">PN) vendosi të fillonte procedime administrative kundër ankuesit për shkeljet e pretenduara të dispozitave të </w:t>
      </w:r>
      <w:r>
        <w:t>l</w:t>
      </w:r>
      <w:r w:rsidR="00946209" w:rsidRPr="00051732">
        <w:t xml:space="preserve">igjit të </w:t>
      </w:r>
      <w:r>
        <w:t>vitit 1998. Rrjedhimisht, më 2 s</w:t>
      </w:r>
      <w:r w:rsidR="00946209" w:rsidRPr="00051732">
        <w:t>hkurt 2000, PN konstatoi se periudha e vlefshmërisë prej një viti e lejes së ndërtimit të ankuesit kishte skaduar prej nj</w:t>
      </w:r>
      <w:r>
        <w:t>ë kohe të gjatë, në shkelje të l</w:t>
      </w:r>
      <w:r w:rsidR="00946209" w:rsidRPr="00051732">
        <w:t>igjit të vitit 1998.  Ajo gjithashtu konstatoi se vendndodhja e godinës ishte brenda një zone publike të gjelbër</w:t>
      </w:r>
      <w:r>
        <w:t>,</w:t>
      </w:r>
      <w:r w:rsidR="00946209" w:rsidRPr="00051732">
        <w:t xml:space="preserve"> në shkelje të </w:t>
      </w:r>
      <w:r>
        <w:t>l</w:t>
      </w:r>
      <w:r w:rsidR="00946209" w:rsidRPr="00051732">
        <w:t xml:space="preserve">igjit të vitit 1998. Së fundi, PN urdhëroi prishjen e godinës së ankuesit. </w:t>
      </w:r>
    </w:p>
    <w:p w:rsidR="00946209" w:rsidRPr="00051732" w:rsidRDefault="00105CF2" w:rsidP="00946209">
      <w:pPr>
        <w:pStyle w:val="Paragrafi0"/>
      </w:pPr>
      <w:r>
        <w:t>Në një datë të papërcaktuar në s</w:t>
      </w:r>
      <w:r w:rsidR="00946209" w:rsidRPr="00051732">
        <w:t>hkurt 2000, ankuesi bëri një mocion kundër vendimit të P</w:t>
      </w:r>
      <w:r w:rsidR="00436ECF" w:rsidRPr="00051732">
        <w:t>N</w:t>
      </w:r>
      <w:r w:rsidR="00946209" w:rsidRPr="00051732">
        <w:t xml:space="preserve">-së me </w:t>
      </w:r>
      <w:r>
        <w:t>Policinë Ndërtimore Kombëtare (PNK</w:t>
      </w:r>
      <w:r w:rsidR="00946209" w:rsidRPr="00051732">
        <w:t xml:space="preserve">)-organi më i lartë administrativ kompetent. Ai argumentoi se leja e ndërtimit e lëshuar në 1992 ishte për një kohëzgjatje të papërcaktuar.  Për më tepër, ai kundërshtoi se ndërtimi ishte i ligjshëm dhe se drejtimi i pandërprerë i biznesit duhet të konsiderohet si rinovim i hapur i lejes nga autoritetet. </w:t>
      </w:r>
    </w:p>
    <w:p w:rsidR="00946209" w:rsidRPr="00051732" w:rsidRDefault="00946209" w:rsidP="00946209">
      <w:pPr>
        <w:pStyle w:val="Paragrafi0"/>
      </w:pPr>
      <w:r w:rsidRPr="00051732">
        <w:t xml:space="preserve">Më 23 </w:t>
      </w:r>
      <w:r w:rsidR="00105CF2">
        <w:t>s</w:t>
      </w:r>
      <w:r w:rsidRPr="00051732">
        <w:t>hkurt 2000, PN i kërkoi ankuesit të shkatërronte godinën vullnetarisht brenda 5 ditëve nga data e ve</w:t>
      </w:r>
      <w:r w:rsidR="00105CF2">
        <w:t>ndimit të saj, në përputhje me l</w:t>
      </w:r>
      <w:r w:rsidRPr="00051732">
        <w:t xml:space="preserve">igjin e vitit 1998. </w:t>
      </w:r>
    </w:p>
    <w:p w:rsidR="002D1345" w:rsidRDefault="002D1345" w:rsidP="00946209">
      <w:pPr>
        <w:pStyle w:val="Paragrafi0"/>
      </w:pPr>
    </w:p>
    <w:p w:rsidR="00946209" w:rsidRPr="00707546" w:rsidRDefault="00105CF2" w:rsidP="00946209">
      <w:pPr>
        <w:pStyle w:val="Paragrafi0"/>
        <w:rPr>
          <w:lang w:val="it-IT"/>
        </w:rPr>
      </w:pPr>
      <w:r>
        <w:t>Më 1 m</w:t>
      </w:r>
      <w:r w:rsidR="00946209" w:rsidRPr="00051732">
        <w:t>ars 2000, PNK hodhi poshtë mocionin e ankuesit dhe mbështeti urdhrin e shkatërrimit të PN-së. Ankuesi u urdhërua të shkatërronte lokalin e bar-kafesë brenda pesë ditë</w:t>
      </w:r>
      <w:r w:rsidR="00651E86">
        <w:t>ve</w:t>
      </w:r>
      <w:r w:rsidR="00946209" w:rsidRPr="00051732">
        <w:t xml:space="preserve">. </w:t>
      </w:r>
      <w:r w:rsidR="00946209" w:rsidRPr="00707546">
        <w:rPr>
          <w:lang w:val="it-IT"/>
        </w:rPr>
        <w:t xml:space="preserve">Qeveria e </w:t>
      </w:r>
      <w:r w:rsidR="00946209" w:rsidRPr="00707546">
        <w:rPr>
          <w:lang w:val="it-IT"/>
        </w:rPr>
        <w:lastRenderedPageBreak/>
        <w:t>paditur pohoi se urdhri i ishte dorëzuar ankuesit në një datë të papërcaktuar me postë.</w:t>
      </w:r>
    </w:p>
    <w:p w:rsidR="00946209" w:rsidRPr="00707546" w:rsidRDefault="00946209" w:rsidP="00946209">
      <w:pPr>
        <w:pStyle w:val="Paragrafi0"/>
        <w:rPr>
          <w:lang w:val="it-IT"/>
        </w:rPr>
      </w:pPr>
      <w:r w:rsidRPr="00707546">
        <w:rPr>
          <w:lang w:val="it-IT"/>
        </w:rPr>
        <w:t>Sipas parashtrimit të anku</w:t>
      </w:r>
      <w:r w:rsidR="00651E86" w:rsidRPr="00707546">
        <w:rPr>
          <w:lang w:val="it-IT"/>
        </w:rPr>
        <w:t>esit, ai qëndroi nga 1 deri 14 mars 2000 në ish-</w:t>
      </w:r>
      <w:r w:rsidRPr="00707546">
        <w:rPr>
          <w:lang w:val="it-IT"/>
        </w:rPr>
        <w:t>Republikën Jugosllave të Maqedonisë për arsye familjare dhe nuk iu dërgua apo njoftua asnjë vendim apo urdhër i PNK-së.</w:t>
      </w:r>
    </w:p>
    <w:p w:rsidR="00946209" w:rsidRPr="00051732" w:rsidRDefault="0025674F" w:rsidP="00946209">
      <w:pPr>
        <w:pStyle w:val="Paragrafi0"/>
      </w:pPr>
      <w:r>
        <w:t>Më 10 m</w:t>
      </w:r>
      <w:r w:rsidR="00946209" w:rsidRPr="00051732">
        <w:t>ars 20</w:t>
      </w:r>
      <w:r>
        <w:t>00, ndërsa ankuesi ishte në ish-</w:t>
      </w:r>
      <w:r w:rsidR="00946209" w:rsidRPr="00051732">
        <w:t>Republikën Jugosllave të Maqedonisë, PN e shkatërroi lokalin e bar-kafesë së tij. Procesverbali i policisë, në masën e përshtatshme, deklaronte:</w:t>
      </w:r>
    </w:p>
    <w:p w:rsidR="00946209" w:rsidRPr="00051732" w:rsidRDefault="00946209" w:rsidP="00946209">
      <w:pPr>
        <w:pStyle w:val="Paragrafi0"/>
      </w:pPr>
      <w:r w:rsidRPr="00051732">
        <w:t>“PN (…) ndoqi nga afër [dhe inspektoi] ekzekutimin vullnetar të punëdhënësve</w:t>
      </w:r>
      <w:r w:rsidR="0025674F">
        <w:t xml:space="preserve"> [të urdhrit të shkatërrimit].”</w:t>
      </w:r>
      <w:r w:rsidRPr="00051732">
        <w:t xml:space="preserve"> </w:t>
      </w:r>
    </w:p>
    <w:p w:rsidR="00946209" w:rsidRPr="00707546" w:rsidRDefault="00946209" w:rsidP="00946209">
      <w:pPr>
        <w:pStyle w:val="Paragrafi0"/>
        <w:rPr>
          <w:lang w:val="it-IT"/>
        </w:rPr>
      </w:pPr>
      <w:r w:rsidRPr="00707546">
        <w:rPr>
          <w:lang w:val="it-IT"/>
        </w:rPr>
        <w:t xml:space="preserve">Procesverbali i policisë nuk u nënshkrua nga punëdhënësit e ankuesit. Gjithashtu, dokumenti nuk i referohej ndonjë inventarizimi të pajisjeve që ishin brenda lokalit të bar-kafesë para, gjatë ose pas shkatërrimit të tij. </w:t>
      </w:r>
    </w:p>
    <w:p w:rsidR="00946209" w:rsidRPr="00707546" w:rsidRDefault="00946209" w:rsidP="00946209">
      <w:pPr>
        <w:pStyle w:val="Paragrafi0"/>
        <w:rPr>
          <w:i/>
          <w:lang w:val="it-IT"/>
        </w:rPr>
      </w:pPr>
      <w:r w:rsidRPr="00707546">
        <w:rPr>
          <w:i/>
          <w:lang w:val="it-IT"/>
        </w:rPr>
        <w:t>Procedimet gjyqësore në lidhje me të drejtat e pronësisë së ankuesit</w:t>
      </w:r>
    </w:p>
    <w:p w:rsidR="00946209" w:rsidRPr="00051732" w:rsidRDefault="00946209" w:rsidP="00946209">
      <w:pPr>
        <w:pStyle w:val="Paragrafi0"/>
      </w:pPr>
      <w:r w:rsidRPr="00051732">
        <w:t>Në një datë të papërcaktuar në vitin 2000, ankuesi depozitoi një ankim pran</w:t>
      </w:r>
      <w:r w:rsidR="0025674F">
        <w:t>ë Gjykatës së Rrethit Lushnjë (gjykata e rrethit</w:t>
      </w:r>
      <w:r w:rsidRPr="00051732">
        <w:t>). Ai kundërshtoi ligjshmërinë e urdhrit të shkatërrimit të PNK</w:t>
      </w:r>
      <w:r w:rsidR="005C4D25">
        <w:t>-së</w:t>
      </w:r>
      <w:r w:rsidRPr="00051732">
        <w:t xml:space="preserve"> dhe u ankua për arbitraritetin nga ana e forcave policore</w:t>
      </w:r>
      <w:r w:rsidR="0025674F">
        <w:t>,</w:t>
      </w:r>
      <w:r w:rsidRPr="00051732">
        <w:t xml:space="preserve"> pasi nuk ishte informuar për shkatërrimin. Për më tepër, ankuesi kërkoi kompensim për humbje financiare në lidhje me pajisjet e lokalit të bar-kafesë që shkonte der</w:t>
      </w:r>
      <w:r w:rsidR="0025674F">
        <w:t>i në 3 milionë lekë shqiptare (</w:t>
      </w:r>
      <w:r w:rsidRPr="00051732">
        <w:t xml:space="preserve">rreth 24,032 </w:t>
      </w:r>
      <w:r w:rsidR="0025674F">
        <w:t>e</w:t>
      </w:r>
      <w:r w:rsidRPr="00051732">
        <w:t>uro).</w:t>
      </w:r>
    </w:p>
    <w:p w:rsidR="00946209" w:rsidRPr="00051732" w:rsidRDefault="00946209" w:rsidP="00946209">
      <w:pPr>
        <w:pStyle w:val="Paragrafi0"/>
      </w:pPr>
      <w:r w:rsidRPr="00051732">
        <w:t xml:space="preserve">Më 30 </w:t>
      </w:r>
      <w:r w:rsidR="0025674F" w:rsidRPr="00051732">
        <w:t xml:space="preserve">mars 2001, gjykata e rrethit </w:t>
      </w:r>
      <w:r w:rsidRPr="00051732">
        <w:t>pohoi se urdhri i shkatërrimit ishte i ligjshëm për sa kohë që ankuesi nuk kishte mundur të aplikonte pranë një autoriteti kompetent për rinovimin e lejes së ndërtimit për të ngritur një godinë të përkohshme. Gjykata konstatoi se  nuk ishte njoh</w:t>
      </w:r>
      <w:r w:rsidR="0025674F">
        <w:t>ur asnjë rinovim automatik nga l</w:t>
      </w:r>
      <w:r w:rsidRPr="00051732">
        <w:t xml:space="preserve">igji i vitit 1998 dhe se shkatërrimi i godinës gjithashtu ishte në përputhje me </w:t>
      </w:r>
      <w:r w:rsidR="0025674F" w:rsidRPr="00051732">
        <w:t>ligjin</w:t>
      </w:r>
      <w:r w:rsidRPr="00051732">
        <w:t xml:space="preserve"> e Policisë Ndërtimore. Për më tepër, </w:t>
      </w:r>
      <w:r w:rsidR="0025674F" w:rsidRPr="00051732">
        <w:t xml:space="preserve">gjykata e rrethit </w:t>
      </w:r>
      <w:r w:rsidRPr="00051732">
        <w:t xml:space="preserve">i rrëzoi si të pabazuara pretendimet e tij në lidhje me arbitraritetin e forcave policore dhe përgjegjësinë e tyre për dëmin e pretenduar të shkaktuar nga shkatërrimi i lokalit të bar-kafesë. Për sa i përket humbjes së pajisjeve të lokalit të bar-kafesë, ajo konstatoi se ankuesi ishte pjesërisht përgjegjës. Duke mos respektuar urdhrin e policisë, ai kishte kontribuar në dëmin e shkaktuar ndaj pronës së tij. Së fundi, gjykata konstatoi se përgjegjësia për dëmin e shkaktuar nga humbja e pajisjeve të lokalit të bar-kafesë qëndronte tek punonjësit të cilët kishin kryer shkatërrimin. </w:t>
      </w:r>
    </w:p>
    <w:p w:rsidR="00946209" w:rsidRPr="00051732" w:rsidRDefault="00946209" w:rsidP="00946209">
      <w:pPr>
        <w:pStyle w:val="Paragrafi0"/>
      </w:pPr>
      <w:r w:rsidRPr="00051732">
        <w:t>Në një datë të papërcaktuar në vitin 2001, ankuesi apeloi në</w:t>
      </w:r>
      <w:r w:rsidR="00A74974">
        <w:t xml:space="preserve"> Gjykatën e Apelit Fier (</w:t>
      </w:r>
      <w:r w:rsidR="00A74974" w:rsidRPr="00051732">
        <w:t xml:space="preserve">gjykata </w:t>
      </w:r>
      <w:r w:rsidR="00A74974">
        <w:t>e apelit</w:t>
      </w:r>
      <w:r w:rsidRPr="00051732">
        <w:t>).</w:t>
      </w:r>
    </w:p>
    <w:p w:rsidR="00946209" w:rsidRPr="00051732" w:rsidRDefault="00946209" w:rsidP="00946209">
      <w:pPr>
        <w:pStyle w:val="Paragrafi0"/>
      </w:pPr>
      <w:r w:rsidRPr="00051732">
        <w:t xml:space="preserve">Më 8 </w:t>
      </w:r>
      <w:r w:rsidR="0009400A" w:rsidRPr="00051732">
        <w:t xml:space="preserve">qershor 2001, gjykata e apelit </w:t>
      </w:r>
      <w:r w:rsidRPr="00051732">
        <w:t xml:space="preserve">mbështeti vendimin e </w:t>
      </w:r>
      <w:r w:rsidR="0009400A" w:rsidRPr="00051732">
        <w:t xml:space="preserve">gjykatës së rrethit. </w:t>
      </w:r>
      <w:r w:rsidRPr="00051732">
        <w:t xml:space="preserve">Ajo konstatoi se ankuesi kishte qenë përgjegjës për shkaktimin e dëmit në shkallën që ai kishte vendosur të shkonte jashtë shtetit më 1 </w:t>
      </w:r>
      <w:r w:rsidR="0009400A">
        <w:t>m</w:t>
      </w:r>
      <w:r w:rsidRPr="00051732">
        <w:t xml:space="preserve">ars 2000 në kohën kur ai kishte marrë njoftim për shkatërrimin brenda një kohe të shpejtë të barit. Për më tepër, gjykata pohoi që ankuesi nuk kishte treguar përgjegjësi të drejtpërdrejtë në lidhje me forcat policore për dëmin financiar. </w:t>
      </w:r>
    </w:p>
    <w:p w:rsidR="00946209" w:rsidRPr="00707546" w:rsidRDefault="00946209" w:rsidP="00946209">
      <w:pPr>
        <w:pStyle w:val="Paragrafi0"/>
        <w:rPr>
          <w:lang w:val="it-IT"/>
        </w:rPr>
      </w:pPr>
      <w:r w:rsidRPr="00051732">
        <w:t xml:space="preserve"> </w:t>
      </w:r>
      <w:r w:rsidRPr="00707546">
        <w:rPr>
          <w:lang w:val="it-IT"/>
        </w:rPr>
        <w:t>Ankuesi apeloi në Gjykatën e Lartë. Ai pretendoi se godina e tij ishte ngritur në bazë të autoritetit të një lejeje ndërtimi të një godine të përkohshme që nuk përcaktonte periudhën e vlefshmërisë. Për rrjedhojë, ai kishte qenë pronar në mirëbesim dhe përdorues i lokalit të bar-kafesë gjatë kësaj kohe. Ankuesi pretendoi se Policia Ndërtimore kishte tejkaluar kompetencat e saj</w:t>
      </w:r>
      <w:r w:rsidR="0009400A" w:rsidRPr="00707546">
        <w:rPr>
          <w:lang w:val="it-IT"/>
        </w:rPr>
        <w:t>,</w:t>
      </w:r>
      <w:r w:rsidRPr="00707546">
        <w:rPr>
          <w:lang w:val="it-IT"/>
        </w:rPr>
        <w:t xml:space="preserve"> pasi ata kishin vepruar në vend të </w:t>
      </w:r>
      <w:r w:rsidR="0009400A" w:rsidRPr="00707546">
        <w:rPr>
          <w:lang w:val="it-IT"/>
        </w:rPr>
        <w:t xml:space="preserve">këshillit për planifikimin e territorit </w:t>
      </w:r>
      <w:r w:rsidRPr="00707546">
        <w:rPr>
          <w:lang w:val="it-IT"/>
        </w:rPr>
        <w:t xml:space="preserve">në lidhje me nxjerrjen e një urdhri shkatërrimi për godinën. Ankuesi gjithashtu parashtroi se gjykatat e shkallëve më të ulëta nuk kishin shqyrtuar nëse urdhri i shkatërrimit i ishte njoftuar atij siç duhet. Së fundi, ankuesi vuri në dyshim veprimet e Policisë Ndërtimore që çuan në heqjen e pronësisë së tij ndaj pajisjeve të lokalit të bar- kafesë dhe mungesën e plotë të kompensimit. </w:t>
      </w:r>
    </w:p>
    <w:p w:rsidR="00946209" w:rsidRPr="00051732" w:rsidRDefault="0009400A" w:rsidP="00946209">
      <w:pPr>
        <w:pStyle w:val="Paragrafi0"/>
      </w:pPr>
      <w:r>
        <w:t>Më 20 m</w:t>
      </w:r>
      <w:r w:rsidR="00946209" w:rsidRPr="00051732">
        <w:t>aj 2002, Gjykata e Lartë vendosi të rrëzonte apelin</w:t>
      </w:r>
      <w:r w:rsidR="005C4D25">
        <w:t>,</w:t>
      </w:r>
      <w:r w:rsidR="00946209" w:rsidRPr="00051732">
        <w:t xml:space="preserve"> duke deklaruar se arsyet e apelit ishin jashtë fushës së veprimit të </w:t>
      </w:r>
      <w:r w:rsidR="005C4D25">
        <w:t>n</w:t>
      </w:r>
      <w:r w:rsidR="00946209" w:rsidRPr="00051732">
        <w:t>enit 472 të Kodit të Procedurës Civile ( KPP).</w:t>
      </w:r>
    </w:p>
    <w:p w:rsidR="00946209" w:rsidRPr="00051732" w:rsidRDefault="0009400A" w:rsidP="00946209">
      <w:pPr>
        <w:pStyle w:val="Paragrafi0"/>
      </w:pPr>
      <w:r>
        <w:t>Më 23 k</w:t>
      </w:r>
      <w:r w:rsidR="00946209" w:rsidRPr="00051732">
        <w:t xml:space="preserve">orrik 2002, ankuesi apeloi në Gjykatën Kushtetuese. Ai u mbështet në të njëjtat arsye apeli si para Gjykatës së Lartë. </w:t>
      </w:r>
    </w:p>
    <w:p w:rsidR="00946209" w:rsidRPr="00051732" w:rsidRDefault="00946209" w:rsidP="00946209">
      <w:pPr>
        <w:pStyle w:val="Paragrafi0"/>
      </w:pPr>
      <w:r w:rsidRPr="00051732">
        <w:t>Më 2</w:t>
      </w:r>
      <w:r w:rsidR="0009400A">
        <w:t>7 s</w:t>
      </w:r>
      <w:r w:rsidRPr="00051732">
        <w:t>htator 2002, ankimi u deklarua i papranueshëm nga një trup gjykues prej tre gjykatësish të Gjykatës K</w:t>
      </w:r>
      <w:r w:rsidR="0009400A">
        <w:t>ushtetuese për mosrespektim të n</w:t>
      </w:r>
      <w:r w:rsidRPr="00051732">
        <w:t xml:space="preserve">enit 131 (f) të Kushtetutës. </w:t>
      </w:r>
    </w:p>
    <w:p w:rsidR="00946209" w:rsidRPr="00051732" w:rsidRDefault="00946209" w:rsidP="00946209">
      <w:pPr>
        <w:pStyle w:val="Paragrafi0"/>
      </w:pPr>
    </w:p>
    <w:p w:rsidR="00946209" w:rsidRPr="00051732" w:rsidRDefault="00D444DE" w:rsidP="00946209">
      <w:pPr>
        <w:pStyle w:val="Paragrafi0"/>
      </w:pPr>
      <w:r>
        <w:t xml:space="preserve">B. </w:t>
      </w:r>
      <w:r w:rsidR="00946209" w:rsidRPr="00051732">
        <w:t>Praktika përkatëse dhe ligji i brendshëm</w:t>
      </w:r>
    </w:p>
    <w:p w:rsidR="00946209" w:rsidRPr="00051732" w:rsidRDefault="00946209" w:rsidP="00946209">
      <w:pPr>
        <w:pStyle w:val="Paragrafi0"/>
      </w:pPr>
      <w:r w:rsidRPr="00051732">
        <w:t>Dispozitat ligjore përkatëse të brendshme janë si më poshtë:</w:t>
      </w:r>
    </w:p>
    <w:p w:rsidR="00946209" w:rsidRPr="00051732" w:rsidRDefault="00D444DE" w:rsidP="00946209">
      <w:pPr>
        <w:pStyle w:val="Paragrafi0"/>
      </w:pPr>
      <w:r>
        <w:t xml:space="preserve">1. </w:t>
      </w:r>
      <w:r w:rsidR="00946209" w:rsidRPr="00051732">
        <w:t>Kushtetuta</w:t>
      </w:r>
    </w:p>
    <w:p w:rsidR="00946209" w:rsidRPr="00051732" w:rsidRDefault="00946209" w:rsidP="00946209">
      <w:pPr>
        <w:pStyle w:val="Paragrafi0"/>
      </w:pPr>
    </w:p>
    <w:p w:rsidR="00946209" w:rsidRPr="00051732" w:rsidRDefault="00946209" w:rsidP="00D444DE">
      <w:pPr>
        <w:pStyle w:val="NeniNr"/>
      </w:pPr>
      <w:r w:rsidRPr="00051732">
        <w:lastRenderedPageBreak/>
        <w:t>Neni 41</w:t>
      </w:r>
    </w:p>
    <w:p w:rsidR="00D444DE" w:rsidRDefault="00D444DE" w:rsidP="00946209">
      <w:pPr>
        <w:pStyle w:val="Paragrafi0"/>
      </w:pPr>
    </w:p>
    <w:p w:rsidR="00946209" w:rsidRPr="00707546" w:rsidRDefault="00946209" w:rsidP="00946209">
      <w:pPr>
        <w:pStyle w:val="Paragrafi0"/>
        <w:rPr>
          <w:lang w:val="it-IT"/>
        </w:rPr>
      </w:pPr>
      <w:r w:rsidRPr="00707546">
        <w:rPr>
          <w:lang w:val="it-IT"/>
        </w:rPr>
        <w:t>“1. E drejta e pronës private është e garantuar.</w:t>
      </w:r>
    </w:p>
    <w:p w:rsidR="00946209" w:rsidRPr="00707546" w:rsidRDefault="00946209" w:rsidP="00946209">
      <w:pPr>
        <w:pStyle w:val="Paragrafi0"/>
        <w:rPr>
          <w:lang w:val="it-IT"/>
        </w:rPr>
      </w:pPr>
    </w:p>
    <w:p w:rsidR="00946209" w:rsidRPr="00051732" w:rsidRDefault="00946209" w:rsidP="00946209">
      <w:pPr>
        <w:pStyle w:val="Paragrafi0"/>
      </w:pPr>
      <w:r w:rsidRPr="00051732">
        <w:t>…”</w:t>
      </w:r>
    </w:p>
    <w:p w:rsidR="00946209" w:rsidRPr="00051732" w:rsidRDefault="00946209" w:rsidP="00946209">
      <w:pPr>
        <w:pStyle w:val="Paragrafi0"/>
      </w:pPr>
    </w:p>
    <w:p w:rsidR="00946209" w:rsidRDefault="00946209" w:rsidP="00D444DE">
      <w:pPr>
        <w:pStyle w:val="NeniNr"/>
      </w:pPr>
      <w:r w:rsidRPr="00051732">
        <w:t>Neni 42</w:t>
      </w:r>
    </w:p>
    <w:p w:rsidR="005C4D25" w:rsidRPr="005C4D25" w:rsidRDefault="005C4D25" w:rsidP="005C4D25">
      <w:pPr>
        <w:pStyle w:val="Paragrafi0"/>
      </w:pPr>
    </w:p>
    <w:p w:rsidR="00946209" w:rsidRPr="00051732" w:rsidRDefault="00946209" w:rsidP="00946209">
      <w:pPr>
        <w:pStyle w:val="Paragrafi0"/>
      </w:pPr>
      <w:r w:rsidRPr="00051732">
        <w:t>“1. Liria, prona dhe të drejtat e njohura me Kushtetutë dhe me ligj nuk mund të cenohen pa një proces të rregullt ligjor.</w:t>
      </w:r>
    </w:p>
    <w:p w:rsidR="00946209" w:rsidRPr="00051732" w:rsidRDefault="005C4D25" w:rsidP="00946209">
      <w:pPr>
        <w:pStyle w:val="Paragrafi0"/>
      </w:pPr>
      <w:r>
        <w:t xml:space="preserve">2. </w:t>
      </w:r>
      <w:r w:rsidR="00946209" w:rsidRPr="00051732">
        <w:t xml:space="preserve">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 </w:t>
      </w:r>
    </w:p>
    <w:p w:rsidR="00946209" w:rsidRPr="00051732" w:rsidRDefault="00946209" w:rsidP="00946209">
      <w:pPr>
        <w:pStyle w:val="Paragrafi0"/>
      </w:pPr>
    </w:p>
    <w:p w:rsidR="00946209" w:rsidRPr="00051732" w:rsidRDefault="00946209" w:rsidP="00D444DE">
      <w:pPr>
        <w:pStyle w:val="NeniNr"/>
      </w:pPr>
      <w:r w:rsidRPr="00051732">
        <w:t xml:space="preserve">          Neni 131</w:t>
      </w:r>
    </w:p>
    <w:p w:rsidR="00D444DE" w:rsidRDefault="00D444DE" w:rsidP="00946209">
      <w:pPr>
        <w:pStyle w:val="Paragrafi0"/>
      </w:pPr>
    </w:p>
    <w:p w:rsidR="00946209" w:rsidRPr="00051732" w:rsidRDefault="00946209" w:rsidP="00946209">
      <w:pPr>
        <w:pStyle w:val="Paragrafi0"/>
      </w:pPr>
      <w:r w:rsidRPr="00051732">
        <w:t>“ Gjykata Kushtetuese vendos për:</w:t>
      </w:r>
    </w:p>
    <w:p w:rsidR="00946209" w:rsidRPr="00051732" w:rsidRDefault="00946209" w:rsidP="00946209">
      <w:pPr>
        <w:pStyle w:val="Paragrafi0"/>
      </w:pPr>
      <w:r w:rsidRPr="00051732">
        <w:t>f) gjykimin përfundimtar të ankimeve të individëve për shkeljen e të drejtave të tyre kushtetuese për një proces të rregullt ligjor, pasi të jenë shteruar të gjitha mjetet juridike për mbrojtjen e këtyre</w:t>
      </w:r>
      <w:r w:rsidR="004E4952">
        <w:t xml:space="preserve"> të drejtave.”</w:t>
      </w:r>
    </w:p>
    <w:p w:rsidR="00946209" w:rsidRPr="00051732" w:rsidRDefault="00946209" w:rsidP="00946209">
      <w:pPr>
        <w:pStyle w:val="Paragrafi0"/>
      </w:pPr>
    </w:p>
    <w:p w:rsidR="00946209" w:rsidRPr="00051732" w:rsidRDefault="00946209" w:rsidP="00D444DE">
      <w:pPr>
        <w:pStyle w:val="NeniNr"/>
      </w:pPr>
      <w:r w:rsidRPr="00051732">
        <w:t>Neni 134 §§ 1 (f) dhe 2</w:t>
      </w:r>
    </w:p>
    <w:p w:rsidR="00D444DE" w:rsidRDefault="00D444DE" w:rsidP="00946209">
      <w:pPr>
        <w:pStyle w:val="Paragrafi0"/>
      </w:pPr>
    </w:p>
    <w:p w:rsidR="00946209" w:rsidRPr="00051732" w:rsidRDefault="00946209" w:rsidP="00946209">
      <w:pPr>
        <w:pStyle w:val="Paragrafi0"/>
      </w:pPr>
      <w:r w:rsidRPr="00051732">
        <w:t>“1. Gjykata Kushtetuese mund të vihet në lëvizje vetëm me kërkesë të:</w:t>
      </w:r>
    </w:p>
    <w:p w:rsidR="00946209" w:rsidRPr="00051732" w:rsidRDefault="00946209" w:rsidP="00946209">
      <w:pPr>
        <w:pStyle w:val="Paragrafi0"/>
      </w:pPr>
      <w:r w:rsidRPr="00051732">
        <w:t>….</w:t>
      </w:r>
    </w:p>
    <w:p w:rsidR="00946209" w:rsidRPr="00051732" w:rsidRDefault="00946209" w:rsidP="00946209">
      <w:pPr>
        <w:pStyle w:val="Paragrafi0"/>
      </w:pPr>
      <w:r w:rsidRPr="00051732">
        <w:t>f) partive politike dhe organizatave të tjera;</w:t>
      </w:r>
    </w:p>
    <w:p w:rsidR="00946209" w:rsidRPr="00051732" w:rsidRDefault="00946209" w:rsidP="00946209">
      <w:pPr>
        <w:pStyle w:val="Paragrafi0"/>
      </w:pPr>
      <w:r w:rsidRPr="00051732">
        <w:t>g) individëve</w:t>
      </w:r>
      <w:r w:rsidR="004E4952">
        <w:t>.</w:t>
      </w:r>
    </w:p>
    <w:p w:rsidR="00946209" w:rsidRPr="00051732" w:rsidRDefault="00946209" w:rsidP="00946209">
      <w:pPr>
        <w:pStyle w:val="Paragrafi0"/>
      </w:pPr>
      <w:r w:rsidRPr="00051732">
        <w:t xml:space="preserve">2. Subjektet e parashikuara nga nënparagrafët </w:t>
      </w:r>
      <w:r w:rsidR="005C4D25">
        <w:t>“</w:t>
      </w:r>
      <w:r w:rsidRPr="00051732">
        <w:t>dh</w:t>
      </w:r>
      <w:r w:rsidR="005C4D25">
        <w:t>”</w:t>
      </w:r>
      <w:r w:rsidRPr="00051732">
        <w:t xml:space="preserve">, </w:t>
      </w:r>
      <w:r w:rsidR="005C4D25">
        <w:t>“</w:t>
      </w:r>
      <w:r w:rsidRPr="00051732">
        <w:t>e</w:t>
      </w:r>
      <w:r w:rsidR="005C4D25">
        <w:t>”</w:t>
      </w:r>
      <w:r w:rsidRPr="00051732">
        <w:t xml:space="preserve">, </w:t>
      </w:r>
      <w:r w:rsidR="005C4D25">
        <w:t>“</w:t>
      </w:r>
      <w:r w:rsidRPr="00051732">
        <w:t>ë</w:t>
      </w:r>
      <w:r w:rsidR="005C4D25">
        <w:t>”</w:t>
      </w:r>
      <w:r w:rsidRPr="00051732">
        <w:t xml:space="preserve">, </w:t>
      </w:r>
      <w:r w:rsidR="005C4D25">
        <w:t>“</w:t>
      </w:r>
      <w:r w:rsidRPr="00051732">
        <w:t>f</w:t>
      </w:r>
      <w:r w:rsidR="005C4D25">
        <w:t>”</w:t>
      </w:r>
      <w:r w:rsidRPr="00051732">
        <w:t xml:space="preserve"> dhe g të paragrafit 1 të këtij neni mund të bëjnë ankesë vetëm për çështje</w:t>
      </w:r>
      <w:r w:rsidR="004E4952">
        <w:t xml:space="preserve"> që lidhen me interesat e tyre.”</w:t>
      </w:r>
    </w:p>
    <w:p w:rsidR="00946209" w:rsidRPr="00D444DE" w:rsidRDefault="00946209" w:rsidP="00946209">
      <w:pPr>
        <w:pStyle w:val="Paragrafi0"/>
        <w:rPr>
          <w:b/>
        </w:rPr>
      </w:pPr>
      <w:r w:rsidRPr="00D444DE">
        <w:rPr>
          <w:b/>
        </w:rPr>
        <w:t>Jurisprudenca e Gjykatës Kushtetuese mbi të drejtën për gjykim të drejtë</w:t>
      </w:r>
    </w:p>
    <w:p w:rsidR="00946209" w:rsidRPr="00051732" w:rsidRDefault="00946209" w:rsidP="00946209">
      <w:pPr>
        <w:pStyle w:val="Paragrafi0"/>
      </w:pPr>
      <w:r w:rsidRPr="00051732">
        <w:t>Një individ mund të bëjë ankim pranë G</w:t>
      </w:r>
      <w:r w:rsidR="004E4952">
        <w:t>jykatës Kushtetuese në bazë të n</w:t>
      </w:r>
      <w:r w:rsidRPr="00051732">
        <w:t xml:space="preserve">enit 131(f) të Kushtetutës </w:t>
      </w:r>
      <w:r w:rsidR="004E4952">
        <w:t>duke pretenduar një shkelje të s</w:t>
      </w:r>
      <w:r w:rsidRPr="00051732">
        <w:t>ë drejtës së tij për seancë të drejtë. Gjykata Kushtetuese e ka interpretuar të drejtën për gjykim të ndershëm sikur përfshin të</w:t>
      </w:r>
      <w:r w:rsidR="004E4952">
        <w:t xml:space="preserve"> drejtën e aksesit në gjykatë (</w:t>
      </w:r>
      <w:r w:rsidRPr="00051732">
        <w:t>shihni për shembull, vendimet nr</w:t>
      </w:r>
      <w:r w:rsidR="005C4D25">
        <w:t>.</w:t>
      </w:r>
      <w:r w:rsidRPr="00051732">
        <w:t>4/05, 10/07,  7/08); të drejtën për të gëzuar barazinë e palëve dhe të drejtën e njoft</w:t>
      </w:r>
      <w:r w:rsidR="004E4952">
        <w:t>imit të akteve të një gjykate (</w:t>
      </w:r>
      <w:r w:rsidRPr="00051732">
        <w:t>shihni për shembull, vendimet nr</w:t>
      </w:r>
      <w:r w:rsidR="005C4D25">
        <w:t>.</w:t>
      </w:r>
      <w:r w:rsidRPr="00051732">
        <w:t xml:space="preserve">11/05, 12/05, 8/06, 5/07, 6/07, 80/07, 1/08); të drejtën për një gjykim të pavarur dhe të paanshëm ( </w:t>
      </w:r>
      <w:r w:rsidR="005C4D25">
        <w:t>shihni për shembull vendimet nr.</w:t>
      </w:r>
      <w:r w:rsidRPr="00051732">
        <w:t>16/05, 36/05, 12/ 07); dhe të drej</w:t>
      </w:r>
      <w:r w:rsidR="004E4952">
        <w:t>tat për vendime të arsyetuara (</w:t>
      </w:r>
      <w:r w:rsidRPr="00051732">
        <w:t>s</w:t>
      </w:r>
      <w:r w:rsidR="005C4D25">
        <w:t>hihni për shembull, vendimin nr.</w:t>
      </w:r>
      <w:r w:rsidRPr="00051732">
        <w:t>33/05). Në rast se Gjykata Kushte</w:t>
      </w:r>
      <w:r w:rsidR="004E4952">
        <w:t>tuese konstaton një shkelje të s</w:t>
      </w:r>
      <w:r w:rsidRPr="00051732">
        <w:t>ë drejtës për gjykim të drejtë, ajo rrëzon vendimet e gjykatave të shkallëve më të ulëta dhe e kaloi çështjen për rishqyrtim.</w:t>
      </w:r>
    </w:p>
    <w:p w:rsidR="00946209" w:rsidRPr="00051732" w:rsidRDefault="00946209" w:rsidP="00946209">
      <w:pPr>
        <w:pStyle w:val="Paragrafi0"/>
      </w:pPr>
      <w:r w:rsidRPr="00051732">
        <w:t>2. Kodi i Procedurës Civile</w:t>
      </w:r>
    </w:p>
    <w:p w:rsidR="00946209" w:rsidRPr="00051732" w:rsidRDefault="00946209" w:rsidP="00946209">
      <w:pPr>
        <w:pStyle w:val="Paragrafi0"/>
      </w:pPr>
      <w:r w:rsidRPr="00051732">
        <w:t>Nenet 324-333 rregullo</w:t>
      </w:r>
      <w:r w:rsidR="004E4952">
        <w:t>j</w:t>
      </w:r>
      <w:r w:rsidRPr="00051732">
        <w:t>n</w:t>
      </w:r>
      <w:r w:rsidR="004E4952">
        <w:t>ë</w:t>
      </w:r>
      <w:r w:rsidRPr="00051732">
        <w:t xml:space="preserve"> gjykimin e mosmarrëveshjeve administrative pas shterimit të të gjitha mjeteve administrative. Neni 324 parashikon që një palë mund të ngrejë një padi pranë një gjykate me synim revokimin ose ndryshimin e nj</w:t>
      </w:r>
      <w:r w:rsidR="004E4952">
        <w:t>ë vendimi administrativ. Sipas n</w:t>
      </w:r>
      <w:r w:rsidRPr="00051732">
        <w:t>enit 325</w:t>
      </w:r>
      <w:r w:rsidR="005C4D25">
        <w:t>,</w:t>
      </w:r>
      <w:r w:rsidRPr="00051732">
        <w:t xml:space="preserve"> një palë duhet të argumentojë se vendimi është i paligjshëm dhe se interesat dhe të drejtat e tij ose të saj janë shkelur drejtpërdrejt ose jo, individualisht ose bashkërisht. </w:t>
      </w:r>
    </w:p>
    <w:p w:rsidR="00946209" w:rsidRPr="00051732" w:rsidRDefault="00946209" w:rsidP="00946209">
      <w:pPr>
        <w:pStyle w:val="Paragrafi0"/>
      </w:pPr>
      <w:r w:rsidRPr="00051732">
        <w:t>Për sa i përket procedurës së apelit para Gjykatës së Lartë, Kodi i Procedurës Civile, në masën e përshtatshme, lexohet si më poshtë:</w:t>
      </w:r>
    </w:p>
    <w:p w:rsidR="00946209" w:rsidRPr="00051732" w:rsidRDefault="00946209" w:rsidP="00946209">
      <w:pPr>
        <w:pStyle w:val="Paragrafi0"/>
      </w:pPr>
    </w:p>
    <w:p w:rsidR="00D444DE" w:rsidRDefault="00D444DE" w:rsidP="00D444DE">
      <w:pPr>
        <w:pStyle w:val="NeniNr"/>
        <w:keepNext w:val="0"/>
      </w:pPr>
    </w:p>
    <w:p w:rsidR="00946209" w:rsidRPr="00051732" w:rsidRDefault="00946209" w:rsidP="00D444DE">
      <w:pPr>
        <w:pStyle w:val="NeniNr"/>
      </w:pPr>
      <w:r w:rsidRPr="00051732">
        <w:t>Neni 472</w:t>
      </w:r>
    </w:p>
    <w:p w:rsidR="00D444DE" w:rsidRDefault="00D444DE" w:rsidP="00946209">
      <w:pPr>
        <w:pStyle w:val="Paragrafi0"/>
      </w:pPr>
    </w:p>
    <w:p w:rsidR="00946209" w:rsidRPr="00051732" w:rsidRDefault="00946209" w:rsidP="00946209">
      <w:pPr>
        <w:pStyle w:val="Paragrafi0"/>
      </w:pPr>
      <w:r w:rsidRPr="00051732">
        <w:t xml:space="preserve">Vendimet e shpallura nga gjykata e apelit dhe ato të gjykatës së shkallës së parë, në rastet që përcaktohen nga ky Kod, mund të ankimohen në rekurs </w:t>
      </w:r>
      <w:r w:rsidR="00D9127D">
        <w:t xml:space="preserve">në Gjykatën e Lartë vetëm kur: </w:t>
      </w:r>
      <w:r w:rsidRPr="00051732">
        <w:t>a) nuk është respektua</w:t>
      </w:r>
      <w:r w:rsidR="00D9127D">
        <w:t xml:space="preserve">r ose është zbatuar keq ligji; </w:t>
      </w:r>
      <w:r w:rsidRPr="00051732">
        <w:t>b) ka shkelje të rënda të normave proced</w:t>
      </w:r>
      <w:r w:rsidR="00D9127D">
        <w:t xml:space="preserve">urale (neni 467 i këtij Kodi); </w:t>
      </w:r>
      <w:r w:rsidRPr="00051732">
        <w:t>c) për shkelje procedurale që kanë ndikuar në dhënien e vendimit.</w:t>
      </w:r>
    </w:p>
    <w:p w:rsidR="00946209" w:rsidRPr="00051732" w:rsidRDefault="00946209" w:rsidP="00946209">
      <w:pPr>
        <w:pStyle w:val="Paragrafi0"/>
      </w:pPr>
      <w:r w:rsidRPr="00707546">
        <w:rPr>
          <w:lang w:val="it-IT"/>
        </w:rPr>
        <w:t xml:space="preserve">Kundërshtimi i vendimit në Gjykatën e Lartë bëhet brenda 30 ditëve nga data e dhënies së vendimit. </w:t>
      </w:r>
      <w:r w:rsidRPr="00051732">
        <w:t xml:space="preserve">Kur palët janë në mungesë, ky afat fillon nga data e njoftimit. </w:t>
      </w:r>
    </w:p>
    <w:p w:rsidR="00946209" w:rsidRPr="00051732" w:rsidRDefault="00946209" w:rsidP="00946209">
      <w:pPr>
        <w:pStyle w:val="Paragrafi0"/>
      </w:pPr>
    </w:p>
    <w:p w:rsidR="00946209" w:rsidRPr="00051732" w:rsidRDefault="00946209" w:rsidP="00D444DE">
      <w:pPr>
        <w:pStyle w:val="NeniNr"/>
      </w:pPr>
      <w:r w:rsidRPr="00051732">
        <w:t>Neni 480</w:t>
      </w:r>
    </w:p>
    <w:p w:rsidR="00D444DE" w:rsidRDefault="00D444DE" w:rsidP="00946209">
      <w:pPr>
        <w:pStyle w:val="Paragrafi0"/>
      </w:pPr>
    </w:p>
    <w:p w:rsidR="00946209" w:rsidRPr="00051732" w:rsidRDefault="00946209" w:rsidP="00946209">
      <w:pPr>
        <w:pStyle w:val="Paragrafi0"/>
      </w:pPr>
      <w:r w:rsidRPr="00051732">
        <w:t xml:space="preserve">Rekursi pranohet në qoftë se bëhet për shkaqe të ndryshme nga ato që i lejon ligji. Mospranimi i rekursit vendoset nga kolegji i Gjykatës së Lartë në dhomën e këshillimit pa pjesëmarrjen e palëve. </w:t>
      </w:r>
    </w:p>
    <w:p w:rsidR="00946209" w:rsidRPr="00707546" w:rsidRDefault="005C4D25" w:rsidP="00946209">
      <w:pPr>
        <w:pStyle w:val="Paragrafi0"/>
        <w:rPr>
          <w:lang w:val="it-IT"/>
        </w:rPr>
      </w:pPr>
      <w:r w:rsidRPr="00707546">
        <w:rPr>
          <w:lang w:val="it-IT"/>
        </w:rPr>
        <w:t xml:space="preserve">3. </w:t>
      </w:r>
      <w:r w:rsidR="00946209" w:rsidRPr="00707546">
        <w:rPr>
          <w:lang w:val="it-IT"/>
        </w:rPr>
        <w:t>Kodi</w:t>
      </w:r>
      <w:r w:rsidR="00D9127D" w:rsidRPr="00707546">
        <w:rPr>
          <w:lang w:val="it-IT"/>
        </w:rPr>
        <w:t xml:space="preserve"> i Procedurës Administrative  (KPA</w:t>
      </w:r>
      <w:r w:rsidR="00946209" w:rsidRPr="00707546">
        <w:rPr>
          <w:lang w:val="it-IT"/>
        </w:rPr>
        <w:t>)</w:t>
      </w:r>
    </w:p>
    <w:p w:rsidR="00946209" w:rsidRPr="00707546" w:rsidRDefault="00D9127D" w:rsidP="00946209">
      <w:pPr>
        <w:pStyle w:val="Paragrafi0"/>
        <w:rPr>
          <w:lang w:val="it-IT"/>
        </w:rPr>
      </w:pPr>
      <w:r w:rsidRPr="00707546">
        <w:rPr>
          <w:lang w:val="it-IT"/>
        </w:rPr>
        <w:t>Nenet</w:t>
      </w:r>
      <w:r w:rsidR="00946209" w:rsidRPr="00707546">
        <w:rPr>
          <w:lang w:val="it-IT"/>
        </w:rPr>
        <w:t xml:space="preserve"> 78 dhe 79 </w:t>
      </w:r>
      <w:r w:rsidRPr="00707546">
        <w:rPr>
          <w:lang w:val="it-IT"/>
        </w:rPr>
        <w:t>të</w:t>
      </w:r>
      <w:r w:rsidR="00946209" w:rsidRPr="00707546">
        <w:rPr>
          <w:lang w:val="it-IT"/>
        </w:rPr>
        <w:t xml:space="preserve"> KPA-së rregullo</w:t>
      </w:r>
      <w:r w:rsidRPr="00707546">
        <w:rPr>
          <w:lang w:val="it-IT"/>
        </w:rPr>
        <w:t>j</w:t>
      </w:r>
      <w:r w:rsidR="00946209" w:rsidRPr="00707546">
        <w:rPr>
          <w:lang w:val="it-IT"/>
        </w:rPr>
        <w:t>n</w:t>
      </w:r>
      <w:r w:rsidRPr="00707546">
        <w:rPr>
          <w:lang w:val="it-IT"/>
        </w:rPr>
        <w:t>ë</w:t>
      </w:r>
      <w:r w:rsidR="00946209" w:rsidRPr="00707546">
        <w:rPr>
          <w:lang w:val="it-IT"/>
        </w:rPr>
        <w:t xml:space="preserve"> miratimin e masave të përkohshme. Neni 78 i KPA-së parashikon që organi administrativ përgjegjës për marrjen e vendimit të formës së prerë mund të vendosë masa të përkohshme kur çmon se pamundësia për të marrë masa të caktuara do të shkaktonte dëm serioz dhe të pariparueshëm ndaj interesave publike. Masat e përkohshme mund të miratohen me iniciativën e organit administrativ ose me kërkesë të ankuesit. Vendimi duhet të arsyetohet dhe të përmbajë një kuadër të përcaktuar kohor. </w:t>
      </w:r>
    </w:p>
    <w:p w:rsidR="00946209" w:rsidRPr="00707546" w:rsidRDefault="00D9127D" w:rsidP="00946209">
      <w:pPr>
        <w:pStyle w:val="Paragrafi0"/>
        <w:rPr>
          <w:lang w:val="it-IT"/>
        </w:rPr>
      </w:pPr>
      <w:r w:rsidRPr="00707546">
        <w:rPr>
          <w:lang w:val="it-IT"/>
        </w:rPr>
        <w:t>Neni 79 i</w:t>
      </w:r>
      <w:r w:rsidR="00946209" w:rsidRPr="00707546">
        <w:rPr>
          <w:lang w:val="it-IT"/>
        </w:rPr>
        <w:t xml:space="preserve"> KPA</w:t>
      </w:r>
      <w:r w:rsidRPr="00707546">
        <w:rPr>
          <w:lang w:val="it-IT"/>
        </w:rPr>
        <w:t>-së</w:t>
      </w:r>
      <w:r w:rsidR="00946209" w:rsidRPr="00707546">
        <w:rPr>
          <w:lang w:val="it-IT"/>
        </w:rPr>
        <w:t xml:space="preserve"> parashikon bazën ligjore mbi të cilën është ngritur masa e përkohshme. </w:t>
      </w:r>
    </w:p>
    <w:p w:rsidR="00946209" w:rsidRPr="00707546" w:rsidRDefault="00D444DE" w:rsidP="00946209">
      <w:pPr>
        <w:pStyle w:val="Paragrafi0"/>
        <w:rPr>
          <w:lang w:val="it-IT"/>
        </w:rPr>
      </w:pPr>
      <w:r w:rsidRPr="00707546">
        <w:rPr>
          <w:lang w:val="it-IT"/>
        </w:rPr>
        <w:t xml:space="preserve">4. </w:t>
      </w:r>
      <w:r w:rsidR="00946209" w:rsidRPr="00707546">
        <w:rPr>
          <w:lang w:val="it-IT"/>
        </w:rPr>
        <w:t>Ligj</w:t>
      </w:r>
      <w:r w:rsidR="00D9127D" w:rsidRPr="00707546">
        <w:rPr>
          <w:lang w:val="it-IT"/>
        </w:rPr>
        <w:t>i për planifikimin urban i 1998 (ligji nr.</w:t>
      </w:r>
      <w:r w:rsidR="00946209" w:rsidRPr="00707546">
        <w:rPr>
          <w:lang w:val="it-IT"/>
        </w:rPr>
        <w:t>8405 i 17</w:t>
      </w:r>
      <w:r w:rsidR="005C4D25" w:rsidRPr="00707546">
        <w:rPr>
          <w:lang w:val="it-IT"/>
        </w:rPr>
        <w:t xml:space="preserve"> s</w:t>
      </w:r>
      <w:r w:rsidR="00D9127D" w:rsidRPr="00707546">
        <w:rPr>
          <w:lang w:val="it-IT"/>
        </w:rPr>
        <w:t>htatorit 1998 i amenduar nga ligji nr.8501 i 16 q</w:t>
      </w:r>
      <w:r w:rsidR="00946209" w:rsidRPr="00707546">
        <w:rPr>
          <w:lang w:val="it-IT"/>
        </w:rPr>
        <w:t xml:space="preserve">ershorit 1999, </w:t>
      </w:r>
      <w:r w:rsidR="00D9127D" w:rsidRPr="00707546">
        <w:rPr>
          <w:lang w:val="it-IT"/>
        </w:rPr>
        <w:t>ligji nr.</w:t>
      </w:r>
      <w:r w:rsidR="00946209" w:rsidRPr="00707546">
        <w:rPr>
          <w:lang w:val="it-IT"/>
        </w:rPr>
        <w:t xml:space="preserve">8991 i 23 </w:t>
      </w:r>
      <w:r w:rsidR="00D9127D" w:rsidRPr="00707546">
        <w:rPr>
          <w:lang w:val="it-IT"/>
        </w:rPr>
        <w:t>janarit 2003 dhe së fundi nga ligji nr.</w:t>
      </w:r>
      <w:r w:rsidR="00946209" w:rsidRPr="00707546">
        <w:rPr>
          <w:lang w:val="it-IT"/>
        </w:rPr>
        <w:t xml:space="preserve">9843 i 17 </w:t>
      </w:r>
      <w:r w:rsidR="005C4D25" w:rsidRPr="00707546">
        <w:rPr>
          <w:lang w:val="it-IT"/>
        </w:rPr>
        <w:t>dhjetorit 2007) (l</w:t>
      </w:r>
      <w:r w:rsidR="00D9127D" w:rsidRPr="00707546">
        <w:rPr>
          <w:lang w:val="it-IT"/>
        </w:rPr>
        <w:t>igji i 1998</w:t>
      </w:r>
      <w:r w:rsidR="00946209" w:rsidRPr="00707546">
        <w:rPr>
          <w:lang w:val="it-IT"/>
        </w:rPr>
        <w:t xml:space="preserve">) </w:t>
      </w:r>
    </w:p>
    <w:p w:rsidR="00946209" w:rsidRPr="00051732" w:rsidRDefault="00946209" w:rsidP="00946209">
      <w:pPr>
        <w:pStyle w:val="Paragrafi0"/>
      </w:pPr>
      <w:r w:rsidRPr="00051732">
        <w:t xml:space="preserve">Ligji </w:t>
      </w:r>
      <w:r w:rsidR="005C4D25">
        <w:t>i vitit</w:t>
      </w:r>
      <w:r w:rsidRPr="00051732">
        <w:t xml:space="preserve"> 1998</w:t>
      </w:r>
      <w:r w:rsidR="005C4D25">
        <w:t>,</w:t>
      </w:r>
      <w:r w:rsidRPr="00051732">
        <w:t xml:space="preserve"> i cili shfuqizoi ligjin e </w:t>
      </w:r>
      <w:r w:rsidR="005C4D25">
        <w:t xml:space="preserve">vitit </w:t>
      </w:r>
      <w:r w:rsidRPr="00051732">
        <w:t>1993 hyri në fuqi</w:t>
      </w:r>
      <w:r w:rsidR="00D9127D">
        <w:t>, më 25 t</w:t>
      </w:r>
      <w:r w:rsidRPr="00051732">
        <w:t xml:space="preserve">etor 1998. Ai parashtron rregullat e përgjithshme që rregullojnë vendosjen dhe arkitekturën e ndërtimeve në Shqipëri. Ai parashikon krijimin e </w:t>
      </w:r>
      <w:r w:rsidR="00D9127D" w:rsidRPr="00051732">
        <w:t xml:space="preserve">këshillit të rrethit për planifikimin </w:t>
      </w:r>
      <w:r w:rsidR="00D9127D">
        <w:t>e territorit (KPT-ve</w:t>
      </w:r>
      <w:r w:rsidRPr="00051732">
        <w:t xml:space="preserve">) dhe KPT-së Kombëtare. </w:t>
      </w:r>
    </w:p>
    <w:p w:rsidR="00946209" w:rsidRPr="00051732" w:rsidRDefault="00946209" w:rsidP="00946209">
      <w:pPr>
        <w:pStyle w:val="Paragrafi0"/>
      </w:pPr>
      <w:r w:rsidRPr="00051732">
        <w:t xml:space="preserve">Seksioni 58 parashikon që lejet për ngritjen e ndërtesave të përkohshme të kenë vlefshmëri për 1 vit. Këto leje lëshohen vetëm në rastet e fatkeqësive natyrore ose ngjarjeve të ngjashme. Seksioni 62 parashikon që CTA-të e rrethit nuk kanë kompetenca për të autorizuar ndërtime të përkohshme në zonat publike të gjelbra. </w:t>
      </w:r>
    </w:p>
    <w:p w:rsidR="00946209" w:rsidRPr="00051732" w:rsidRDefault="00D9127D" w:rsidP="00946209">
      <w:pPr>
        <w:pStyle w:val="Paragrafi0"/>
      </w:pPr>
      <w:r>
        <w:t>Sipas s</w:t>
      </w:r>
      <w:r w:rsidR="00946209" w:rsidRPr="00051732">
        <w:t>eksionit 75, Policisë Ndërtimore i jepen kompetenca për të vendosur gjoba dhe për të urdhëruar shembjen  e ndërtesav</w:t>
      </w:r>
      <w:r>
        <w:t>e të paligjshme. Për më tepër, l</w:t>
      </w:r>
      <w:r w:rsidR="00946209" w:rsidRPr="00051732">
        <w:t xml:space="preserve">igji parashikon shkatërrimin e menjëhershëm të ndërtesave të paligjshme në zona publike. </w:t>
      </w:r>
    </w:p>
    <w:p w:rsidR="00946209" w:rsidRPr="00707546" w:rsidRDefault="00946209" w:rsidP="00946209">
      <w:pPr>
        <w:pStyle w:val="Paragrafi0"/>
        <w:rPr>
          <w:lang w:val="it-IT"/>
        </w:rPr>
      </w:pPr>
      <w:r w:rsidRPr="00051732">
        <w:t>Seksioni 82 në fuqi në kohën fizike, shprehet se vendimi i PN-së mund të apelohet brenda pesë ditëve në PNK, e cila ishte e detyruar të vendoste brenda dhjetë ditëve. Vendimi i PNK-së mund të apelohe</w:t>
      </w:r>
      <w:r w:rsidR="00D9127D">
        <w:t>t në gjykatën e r</w:t>
      </w:r>
      <w:r w:rsidRPr="00051732">
        <w:t xml:space="preserve">rethit brenda pesë ditëve nga njoftimi i tij. </w:t>
      </w:r>
      <w:r w:rsidRPr="00707546">
        <w:rPr>
          <w:lang w:val="it-IT"/>
        </w:rPr>
        <w:t xml:space="preserve">Seksioni 83 parashikonte se apelimi në gjykatë nuk kishte efekt pezullues për ekzekutimin e vendimeve administrative. </w:t>
      </w:r>
    </w:p>
    <w:p w:rsidR="00946209" w:rsidRPr="00707546" w:rsidRDefault="00946209" w:rsidP="00946209">
      <w:pPr>
        <w:pStyle w:val="Paragrafi0"/>
        <w:rPr>
          <w:lang w:val="it-IT"/>
        </w:rPr>
      </w:pPr>
      <w:r w:rsidRPr="00707546">
        <w:rPr>
          <w:lang w:val="it-IT"/>
        </w:rPr>
        <w:t xml:space="preserve">Ligji i 1998 nuk përmban një dispozitë me qëllim që të jetë e zbatueshme për rastet para hyrjes në fuqi të tij. </w:t>
      </w:r>
    </w:p>
    <w:p w:rsidR="00946209" w:rsidRPr="00707546" w:rsidRDefault="00946209" w:rsidP="00946209">
      <w:pPr>
        <w:pStyle w:val="Paragrafi0"/>
        <w:rPr>
          <w:lang w:val="it-IT"/>
        </w:rPr>
      </w:pPr>
      <w:r w:rsidRPr="00707546">
        <w:rPr>
          <w:lang w:val="it-IT"/>
        </w:rPr>
        <w:t xml:space="preserve">Praktika ligjore e Gjykatës Kushtetuese të Shqipërisë mbi </w:t>
      </w:r>
      <w:r w:rsidR="004353C2" w:rsidRPr="00707546">
        <w:rPr>
          <w:lang w:val="it-IT"/>
        </w:rPr>
        <w:t>ligjin për planifikimin urban</w:t>
      </w:r>
    </w:p>
    <w:p w:rsidR="00946209" w:rsidRPr="00707546" w:rsidRDefault="005C4D25" w:rsidP="00946209">
      <w:pPr>
        <w:pStyle w:val="Paragrafi0"/>
        <w:rPr>
          <w:lang w:val="it-IT"/>
        </w:rPr>
      </w:pPr>
      <w:r w:rsidRPr="00707546">
        <w:rPr>
          <w:lang w:val="it-IT"/>
        </w:rPr>
        <w:t>Në vendimin e saj nr.</w:t>
      </w:r>
      <w:r w:rsidR="00946209" w:rsidRPr="00707546">
        <w:rPr>
          <w:lang w:val="it-IT"/>
        </w:rPr>
        <w:t xml:space="preserve">2 të 25 </w:t>
      </w:r>
      <w:r w:rsidR="004353C2" w:rsidRPr="00707546">
        <w:rPr>
          <w:lang w:val="it-IT"/>
        </w:rPr>
        <w:t>j</w:t>
      </w:r>
      <w:r w:rsidR="00946209" w:rsidRPr="00707546">
        <w:rPr>
          <w:lang w:val="it-IT"/>
        </w:rPr>
        <w:t>anarit 1999 për moskush</w:t>
      </w:r>
      <w:r w:rsidR="004353C2" w:rsidRPr="00707546">
        <w:rPr>
          <w:lang w:val="it-IT"/>
        </w:rPr>
        <w:t>tetutshmërinë e disa neneve të l</w:t>
      </w:r>
      <w:r w:rsidR="00946209" w:rsidRPr="00707546">
        <w:rPr>
          <w:lang w:val="it-IT"/>
        </w:rPr>
        <w:t xml:space="preserve">igjit për </w:t>
      </w:r>
      <w:r w:rsidR="004353C2" w:rsidRPr="00707546">
        <w:rPr>
          <w:lang w:val="it-IT"/>
        </w:rPr>
        <w:t xml:space="preserve">planifikimin urban </w:t>
      </w:r>
      <w:r w:rsidR="00946209" w:rsidRPr="00707546">
        <w:rPr>
          <w:lang w:val="it-IT"/>
        </w:rPr>
        <w:t xml:space="preserve">të vitit 1998, Gjykata Kushtetuese konstatoi, ndër të tjera, se nenet 58 dhe 75 nuk ishin jokushtetuese dhe nuk shkelnin parimet kushtetuese. </w:t>
      </w:r>
    </w:p>
    <w:p w:rsidR="00946209" w:rsidRPr="00051732" w:rsidRDefault="004353C2" w:rsidP="00946209">
      <w:pPr>
        <w:pStyle w:val="Paragrafi0"/>
      </w:pPr>
      <w:r>
        <w:t>Me vendim nr.32 të 24 n</w:t>
      </w:r>
      <w:r w:rsidR="00946209" w:rsidRPr="00051732">
        <w:t>ëntorit 2003, lidhur me pezullimin e ekzekutimit të ligjeve administrative të, ndër të tjera, Policisë Ndërtimore</w:t>
      </w:r>
      <w:r>
        <w:t>,</w:t>
      </w:r>
      <w:r w:rsidR="00946209" w:rsidRPr="00051732">
        <w:t xml:space="preserve"> siç parashikohet në </w:t>
      </w:r>
      <w:r>
        <w:t>l</w:t>
      </w:r>
      <w:r w:rsidR="00946209" w:rsidRPr="00051732">
        <w:t xml:space="preserve">igjin e </w:t>
      </w:r>
      <w:r w:rsidR="005C4D25">
        <w:t xml:space="preserve">vitit </w:t>
      </w:r>
      <w:r w:rsidR="00946209" w:rsidRPr="00051732">
        <w:t>1998, Gjykata Kushtetuese konsideronte se pezullimi i ekzekutimit të ligjeve administrative mund të ndryshohej nga rishikimi gjyqësor. Gjykatat vendase mund të vendosin për pezullimin e ekzekutimit të ligjeve administrative me kusht që kërkuesi të ngrejë padi kundër aktit administrativ dhe të kërkojë njëkohësisht pezullimin e ekzekutimit të tij, në përputh</w:t>
      </w:r>
      <w:r w:rsidR="005C4D25">
        <w:t>je me dispozitat përkatëse (n</w:t>
      </w:r>
      <w:r w:rsidR="00365B1C">
        <w:t>enet</w:t>
      </w:r>
      <w:r w:rsidR="00946209" w:rsidRPr="00051732">
        <w:t xml:space="preserve"> 324-326 dhe </w:t>
      </w:r>
      <w:r w:rsidR="00365B1C">
        <w:t>329) të</w:t>
      </w:r>
      <w:r w:rsidR="00946209" w:rsidRPr="00051732">
        <w:t xml:space="preserve"> KPC.</w:t>
      </w:r>
    </w:p>
    <w:p w:rsidR="00946209" w:rsidRPr="00051732" w:rsidRDefault="00365B1C" w:rsidP="00946209">
      <w:pPr>
        <w:pStyle w:val="Paragrafi0"/>
      </w:pPr>
      <w:r>
        <w:t>5.</w:t>
      </w:r>
      <w:r w:rsidR="00946209" w:rsidRPr="00051732">
        <w:t>Ligji i Policisë Ndërtimore i</w:t>
      </w:r>
      <w:r>
        <w:t xml:space="preserve"> vitit 1998 (l</w:t>
      </w:r>
      <w:r w:rsidR="003804F8">
        <w:t>igji nr.</w:t>
      </w:r>
      <w:r w:rsidR="00946209" w:rsidRPr="00051732">
        <w:t xml:space="preserve">8408 i 25 </w:t>
      </w:r>
      <w:r>
        <w:t>s</w:t>
      </w:r>
      <w:r w:rsidR="00946209" w:rsidRPr="00051732">
        <w:t>htatorit 1998)</w:t>
      </w:r>
    </w:p>
    <w:p w:rsidR="00946209" w:rsidRPr="00051732" w:rsidRDefault="00946209" w:rsidP="00946209">
      <w:pPr>
        <w:pStyle w:val="Paragrafi0"/>
      </w:pPr>
      <w:r w:rsidRPr="00051732">
        <w:t>Ligji i Policisë Ndërtimore i vitit 1998 krijoi Policinë Ndërtimore e cila ishte përgjegjëse për shqyrtimin e pajtueshmërisë dhe ligjshmërisë së legjislacionit për planifikimin urban. Policia Ndërtimore kishte kompetenca për të vendosur gjoba dhe për të vendosur mbi pezullimin e punimeve të ndërtimit dhe për të urdhëruar shem</w:t>
      </w:r>
      <w:r w:rsidR="003804F8">
        <w:t>bjen e ndërtimeve të paligjshme</w:t>
      </w:r>
      <w:r w:rsidRPr="00051732">
        <w:t xml:space="preserve"> (seksioni 3 dhe 5). </w:t>
      </w:r>
    </w:p>
    <w:p w:rsidR="00946209" w:rsidRPr="00707546" w:rsidRDefault="00946209" w:rsidP="00946209">
      <w:pPr>
        <w:pStyle w:val="Paragrafi0"/>
        <w:rPr>
          <w:lang w:val="it-IT"/>
        </w:rPr>
      </w:pPr>
      <w:r w:rsidRPr="00707546">
        <w:rPr>
          <w:lang w:val="it-IT"/>
        </w:rPr>
        <w:t xml:space="preserve">Ligji i Policisë Ndërtimore i vitit 1998 u shfuqizua në </w:t>
      </w:r>
      <w:r w:rsidR="003804F8" w:rsidRPr="00707546">
        <w:rPr>
          <w:lang w:val="it-IT"/>
        </w:rPr>
        <w:t>v</w:t>
      </w:r>
      <w:r w:rsidR="00365B1C" w:rsidRPr="00707546">
        <w:rPr>
          <w:lang w:val="it-IT"/>
        </w:rPr>
        <w:t>iti</w:t>
      </w:r>
      <w:r w:rsidR="003804F8" w:rsidRPr="00707546">
        <w:rPr>
          <w:lang w:val="it-IT"/>
        </w:rPr>
        <w:t>n</w:t>
      </w:r>
      <w:r w:rsidR="00365B1C" w:rsidRPr="00707546">
        <w:rPr>
          <w:lang w:val="it-IT"/>
        </w:rPr>
        <w:t xml:space="preserve"> </w:t>
      </w:r>
      <w:r w:rsidRPr="00707546">
        <w:rPr>
          <w:lang w:val="it-IT"/>
        </w:rPr>
        <w:t xml:space="preserve">2007. </w:t>
      </w:r>
    </w:p>
    <w:p w:rsidR="00946209" w:rsidRPr="00707546" w:rsidRDefault="00946209" w:rsidP="00946209">
      <w:pPr>
        <w:pStyle w:val="Paragrafi0"/>
        <w:rPr>
          <w:lang w:val="it-IT"/>
        </w:rPr>
      </w:pPr>
    </w:p>
    <w:p w:rsidR="00946209" w:rsidRPr="00051732" w:rsidRDefault="00946209" w:rsidP="00D444DE">
      <w:pPr>
        <w:pStyle w:val="Paragrafi0"/>
        <w:jc w:val="center"/>
      </w:pPr>
      <w:r w:rsidRPr="00051732">
        <w:t>ANKIMET</w:t>
      </w:r>
    </w:p>
    <w:p w:rsidR="00946209" w:rsidRPr="00051732" w:rsidRDefault="00946209" w:rsidP="00946209">
      <w:pPr>
        <w:pStyle w:val="Paragrafi0"/>
      </w:pPr>
    </w:p>
    <w:p w:rsidR="00946209" w:rsidRPr="00051732" w:rsidRDefault="00946209" w:rsidP="00946209">
      <w:pPr>
        <w:pStyle w:val="Paragrafi0"/>
      </w:pPr>
      <w:r w:rsidRPr="00051732">
        <w:t>Ankuesi k</w:t>
      </w:r>
      <w:r w:rsidR="00365B1C">
        <w:t>a bërë ankim kundër n</w:t>
      </w:r>
      <w:r w:rsidRPr="00051732">
        <w:t>enit 6 § 1 të Konventës</w:t>
      </w:r>
      <w:r w:rsidR="00365B1C">
        <w:t>,</w:t>
      </w:r>
      <w:r w:rsidRPr="00051732">
        <w:t xml:space="preserve"> se procedimi para gjykatave vendase ka qenë i padrejtë deri tani pasi ato nuk kanë trajtuar arsyet e tij të apelimit dhe nuk kanë dhënë vendime t</w:t>
      </w:r>
      <w:r w:rsidR="00365B1C">
        <w:t>ë arsyetuara</w:t>
      </w:r>
      <w:r w:rsidR="003804F8">
        <w:t>. Sipas nenit 1 të protokollit n</w:t>
      </w:r>
      <w:r w:rsidR="00365B1C">
        <w:t>r.</w:t>
      </w:r>
      <w:r w:rsidRPr="00051732">
        <w:t xml:space="preserve">1 të Konventës, ankuesi ka bërë ankim ndaj shkeljes së të drejtës së tij për gëzimin paqësor të pronave të tij duke marrë parasysh humbjen e pajisjeve nga lokali i tij i bar-kafesë. </w:t>
      </w:r>
    </w:p>
    <w:p w:rsidR="00946209" w:rsidRPr="00051732" w:rsidRDefault="00946209" w:rsidP="00D444DE">
      <w:pPr>
        <w:pStyle w:val="Paragrafi0"/>
        <w:jc w:val="center"/>
      </w:pPr>
    </w:p>
    <w:p w:rsidR="00946209" w:rsidRPr="00051732" w:rsidRDefault="00946209" w:rsidP="00D444DE">
      <w:pPr>
        <w:pStyle w:val="Paragrafi0"/>
        <w:jc w:val="center"/>
      </w:pPr>
      <w:r w:rsidRPr="00051732">
        <w:t>LIGJI</w:t>
      </w:r>
    </w:p>
    <w:p w:rsidR="00946209" w:rsidRPr="00051732" w:rsidRDefault="00946209" w:rsidP="00946209">
      <w:pPr>
        <w:pStyle w:val="Paragrafi0"/>
      </w:pPr>
    </w:p>
    <w:p w:rsidR="00946209" w:rsidRPr="00051732" w:rsidRDefault="00D444DE" w:rsidP="00946209">
      <w:pPr>
        <w:pStyle w:val="Paragrafi0"/>
      </w:pPr>
      <w:r>
        <w:t xml:space="preserve">1. </w:t>
      </w:r>
      <w:r w:rsidR="00946209" w:rsidRPr="00051732">
        <w:t>An</w:t>
      </w:r>
      <w:r w:rsidR="00CC633D">
        <w:t>kuesi pretendoi një shkelje të n</w:t>
      </w:r>
      <w:r w:rsidR="00946209" w:rsidRPr="00051732">
        <w:t>enit 6 §</w:t>
      </w:r>
      <w:r w:rsidR="00CC633D">
        <w:t>1 të Konventës</w:t>
      </w:r>
      <w:r w:rsidR="003804F8">
        <w:t>,</w:t>
      </w:r>
      <w:r w:rsidR="00CC633D">
        <w:t xml:space="preserve"> për shkak të mos</w:t>
      </w:r>
      <w:r w:rsidR="00946209" w:rsidRPr="00051732">
        <w:t xml:space="preserve">shqyrtimit të kërkesave të tij dhe mungesës së arsyetimit të mjaftueshëm në vendimet e gjykatave vendase. </w:t>
      </w:r>
    </w:p>
    <w:p w:rsidR="00946209" w:rsidRPr="00051732" w:rsidRDefault="00946209" w:rsidP="00946209">
      <w:pPr>
        <w:pStyle w:val="Paragrafi0"/>
      </w:pPr>
      <w:r w:rsidRPr="00051732">
        <w:t>Pjesa përkatëse e nenit 6 § 1</w:t>
      </w:r>
      <w:r w:rsidR="00CC633D">
        <w:t xml:space="preserve"> </w:t>
      </w:r>
      <w:r w:rsidRPr="00051732">
        <w:t>të Konventës lexon:</w:t>
      </w:r>
    </w:p>
    <w:p w:rsidR="00946209" w:rsidRPr="00051732" w:rsidRDefault="00946209" w:rsidP="00946209">
      <w:pPr>
        <w:pStyle w:val="Paragrafi0"/>
      </w:pPr>
      <w:r w:rsidRPr="00051732">
        <w:t>“Në përcaktimin e të drejtave civile dhe detyrimeve të tij..... çdo person ka të drejtë të një seance dëgjimore ...të drejtë...... nga [një] .....gjykatë ...”</w:t>
      </w:r>
    </w:p>
    <w:p w:rsidR="00946209" w:rsidRPr="00051732" w:rsidRDefault="00946209" w:rsidP="00946209">
      <w:pPr>
        <w:pStyle w:val="Paragrafi0"/>
      </w:pPr>
      <w:r w:rsidRPr="00051732">
        <w:t xml:space="preserve">Qeveria ka argumentuar se apelimi kushtetues i ankuesit përmban kryesisht çështje fakti, që mbështeten në vlerësimin e provave. Ajo nuk i referohet ndonjë çështjeje për seancë të drejtë siç parashikohet në </w:t>
      </w:r>
      <w:r w:rsidR="00CC633D" w:rsidRPr="00051732">
        <w:t xml:space="preserve">nenin </w:t>
      </w:r>
      <w:r w:rsidRPr="00051732">
        <w:t>42 § 2 të Ku</w:t>
      </w:r>
      <w:r w:rsidR="00CC633D">
        <w:t>shtetutës ose sipas n</w:t>
      </w:r>
      <w:r w:rsidRPr="00051732">
        <w:t xml:space="preserve">enit 6 § 1 të Konventës. Për këto arsye, Gjykata Kushtetuese e deklaroi apelimin kushtetues të ankuesit si të papranueshëm, duke qenë “jashtë juridiksionit të saj”. Si rrjedhojë, vendimi përfundimtar i gjykatave vendase është vendimi i Gjykatës së Lartë i 20 </w:t>
      </w:r>
      <w:r w:rsidR="00CC633D">
        <w:t>m</w:t>
      </w:r>
      <w:r w:rsidRPr="00051732">
        <w:t>ajit 2002. Për pasojë, ata konsiderojnë që ankimi duhet të deklarohet i papranueshëm</w:t>
      </w:r>
      <w:r w:rsidR="00C7288C">
        <w:t>,</w:t>
      </w:r>
      <w:r w:rsidRPr="00051732">
        <w:t xml:space="preserve"> pasi është </w:t>
      </w:r>
      <w:r w:rsidR="00CC633D">
        <w:t>paraqitur jashtë afatit gjashtë</w:t>
      </w:r>
      <w:r w:rsidRPr="00051732">
        <w:t xml:space="preserve">mujor, duke pasur datën për paraqitje më 17 </w:t>
      </w:r>
      <w:r w:rsidR="00CC633D">
        <w:t>m</w:t>
      </w:r>
      <w:r w:rsidRPr="00051732">
        <w:t xml:space="preserve">ars 2003. </w:t>
      </w:r>
    </w:p>
    <w:p w:rsidR="00946209" w:rsidRPr="00051732" w:rsidRDefault="00946209" w:rsidP="00946209">
      <w:pPr>
        <w:pStyle w:val="Paragrafi0"/>
      </w:pPr>
      <w:r w:rsidRPr="00051732">
        <w:t>Ankuesi parashtroi se</w:t>
      </w:r>
      <w:r w:rsidR="00E03C33">
        <w:t>,</w:t>
      </w:r>
      <w:r w:rsidRPr="00051732">
        <w:t xml:space="preserve"> në përputhje me legjislacionin e brendshëm, ai ishte i detyruar të konsumonte të gjitha mjetet ligjore të brendshme para rekursit në këtë gjykatë. Në këto rrethana, ai apeloi në Gjykatën Kushtetuese për shkeljen e </w:t>
      </w:r>
      <w:r w:rsidR="00E03C33">
        <w:t>s</w:t>
      </w:r>
      <w:r w:rsidRPr="00051732">
        <w:t xml:space="preserve">ë drejtës së tij për një seancë të drejtë. Vendimi i papranueshmërisë së Gjykatës Kushtetuese, sipas mendimit të ankuesit, nuk mund të ndryshojë datën e vendimit përfundimtar të gjykatës vendase më 20 </w:t>
      </w:r>
      <w:r w:rsidR="00E03C33">
        <w:t>m</w:t>
      </w:r>
      <w:r w:rsidRPr="00051732">
        <w:t xml:space="preserve">aj 2002. </w:t>
      </w:r>
    </w:p>
    <w:p w:rsidR="00946209" w:rsidRPr="00051732" w:rsidRDefault="00946209" w:rsidP="00946209">
      <w:pPr>
        <w:pStyle w:val="Paragrafi0"/>
      </w:pPr>
      <w:r w:rsidRPr="00051732">
        <w:t xml:space="preserve">Gjykata duhet të përcaktojë më parë nëse Gjykata Kushtetuese përbën një mjet ligjor të vlefshëm dhe efektiv për qëllim të </w:t>
      </w:r>
      <w:r w:rsidR="00E03C33" w:rsidRPr="00051732">
        <w:t xml:space="preserve">nenit </w:t>
      </w:r>
      <w:r w:rsidRPr="00051732">
        <w:t xml:space="preserve">6 të Konventës. </w:t>
      </w:r>
    </w:p>
    <w:p w:rsidR="00946209" w:rsidRPr="00051732" w:rsidRDefault="00946209" w:rsidP="00946209">
      <w:pPr>
        <w:pStyle w:val="Paragrafi0"/>
      </w:pPr>
      <w:r w:rsidRPr="00051732">
        <w:t xml:space="preserve">Gjykata vëren se sipas </w:t>
      </w:r>
      <w:r w:rsidR="00E03C33" w:rsidRPr="00051732">
        <w:t xml:space="preserve">nenit </w:t>
      </w:r>
      <w:r w:rsidRPr="00051732">
        <w:t xml:space="preserve">131 (f) të Kushtetutës, Gjykata Kushtetuese thirret për të shqyrtuar shkeljet e pretenduara të </w:t>
      </w:r>
      <w:r w:rsidR="00262C74">
        <w:t>s</w:t>
      </w:r>
      <w:r w:rsidRPr="00051732">
        <w:t>ë drejtës për një seancë të drejtë në lidhje me të drejtat kushtetuese të ankuesit. Ky mjet ligjor është përjashtues në faktin se Gjykata Kushtetuese nuk thirret për të shqyrtuar themelin e një të drejte të Konventës, por për të shqyrtuar shkeljen e pretenduar të së drejtës për një seancë të drejtë mbi një të drejtë kushtetuese të caktuar. Brenda kësaj fushe veprimi të kufizuar, Gjykata Kushtetuese thirret për të shqyrtuar tërësinë e procedimit, nga procedimi i gjykatës së shkallës së parë deri në procedimin e Gjykatës së Lartë. Vendimi i Gjykatës Kushtetuese, e cila ka kompetencë të prishë vendimet e gjykatave të shkallëve më të ulëta, është ligjërisht detyrues dhe i zbatueshëm (shih Balliu k. Shqipërisë (</w:t>
      </w:r>
      <w:r w:rsidR="00262C74">
        <w:t>d</w:t>
      </w:r>
      <w:r w:rsidRPr="00051732">
        <w:t xml:space="preserve">hjetor) nr. </w:t>
      </w:r>
      <w:r w:rsidR="00262C74">
        <w:t>4727/01, 30 s</w:t>
      </w:r>
      <w:r w:rsidRPr="00051732">
        <w:t xml:space="preserve">htator 2004). Gjykata, si rrjedhojë, konkludon se për qëllime të nenit 35 §1 të Konventës, një apelim kushtetues është një mjet efektiv dhe prandaj kërkohet për qëllime konsumimi në lidhje me të drejtën e ankuesit </w:t>
      </w:r>
      <w:r w:rsidR="00262C74">
        <w:t>për një seancë të drejtë sipas n</w:t>
      </w:r>
      <w:r w:rsidRPr="00051732">
        <w:t xml:space="preserve">enit 6 të Konventës. </w:t>
      </w:r>
    </w:p>
    <w:p w:rsidR="00946209" w:rsidRPr="00051732" w:rsidRDefault="00946209" w:rsidP="00946209">
      <w:pPr>
        <w:pStyle w:val="Paragrafi0"/>
      </w:pPr>
      <w:r w:rsidRPr="00051732">
        <w:t>Gjykata rithekson se, gjithsesi, nuk është brenda kompetencës (specialitetit) së saj për të zëvendësuar vlerësimin e gjykatave vendase me vlerësimin e vet për faktet d</w:t>
      </w:r>
      <w:r w:rsidR="00262C74">
        <w:t xml:space="preserve">he, si rregull i përgjithshëm, </w:t>
      </w:r>
      <w:r w:rsidRPr="00051732">
        <w:t>u takon këtyre gjykatave të vlerësojnë provat e paraqitura para tyre. Detyra e Gjykatës është të konstatojë nëse procedimi</w:t>
      </w:r>
      <w:r w:rsidR="00262C74">
        <w:t>,</w:t>
      </w:r>
      <w:r w:rsidRPr="00051732">
        <w:t xml:space="preserve"> në tërësinë e tij, duke përfshirë mënyrën në të cilën u morën provat, ishte i drejtë (shih, për shembull Grayson dhe Barnham k. Mbretërisë së Bashkuar, nr. 19955/05 dhe 15085/06 § 42, 23 </w:t>
      </w:r>
      <w:r w:rsidR="00262C74">
        <w:t>s</w:t>
      </w:r>
      <w:r w:rsidRPr="00051732">
        <w:t xml:space="preserve">htator 2008). </w:t>
      </w:r>
    </w:p>
    <w:p w:rsidR="00946209" w:rsidRPr="00051732" w:rsidRDefault="00946209" w:rsidP="00946209">
      <w:pPr>
        <w:pStyle w:val="Paragrafi0"/>
      </w:pPr>
      <w:r w:rsidRPr="00051732">
        <w:t>Duke vlerësuar rrethanat e kësaj çështje</w:t>
      </w:r>
      <w:r w:rsidR="00262C74">
        <w:t>je</w:t>
      </w:r>
      <w:r w:rsidRPr="00051732">
        <w:t xml:space="preserve"> në tërësi, Gjykata nuk gjen asnjë tregues se procedimi i kundërshtuar ishte kryer padrejtësisht. </w:t>
      </w:r>
    </w:p>
    <w:p w:rsidR="00946209" w:rsidRPr="00707546" w:rsidRDefault="00946209" w:rsidP="00946209">
      <w:pPr>
        <w:pStyle w:val="Paragrafi0"/>
        <w:rPr>
          <w:lang w:val="it-IT"/>
        </w:rPr>
      </w:pPr>
      <w:r w:rsidRPr="00707546">
        <w:rPr>
          <w:lang w:val="it-IT"/>
        </w:rPr>
        <w:t>Nga dosja e çështjes rezulton se ankuesi kishte përfitimin e procedimit kundërshtues. Ai ka bërë parashtrimet e tij në gjykatat vendase personalisht dhe gjykatat kombëtare vendosën mbi themelet e çështjes pas shqyrtimit dhe vlerësimit të të gjitha provave para tyre. Për aq kohë sa ankuesi kundërshton se nuk i është dhënë një kopje e urdhrit të shembjes, Gjykata vëren se ai ishte info</w:t>
      </w:r>
      <w:r w:rsidR="00262C74" w:rsidRPr="00707546">
        <w:rPr>
          <w:lang w:val="it-IT"/>
        </w:rPr>
        <w:t>rmuar për urdhrin e PN-së të 2 s</w:t>
      </w:r>
      <w:r w:rsidRPr="00707546">
        <w:rPr>
          <w:lang w:val="it-IT"/>
        </w:rPr>
        <w:t>hkurtit 2000, si rezultat i të cilit ai apeloi pranë PNK-së. Meqë një apelim në PNK nuk ka efekt automatik pezullues për ekzekutimin e urdhrit të shembjes, ankuesi duhet të ishte në gjendje të parashikonte rrjedhën e veprimit që pritej në vend të largimit të pretenduar nga vendi. Për më tepër, ankuesi nuk kërkoi që PNK të miratonte masë</w:t>
      </w:r>
      <w:r w:rsidR="00C7288C" w:rsidRPr="00707546">
        <w:rPr>
          <w:lang w:val="it-IT"/>
        </w:rPr>
        <w:t>n e përkohshme në përputhje me n</w:t>
      </w:r>
      <w:r w:rsidRPr="00707546">
        <w:rPr>
          <w:lang w:val="it-IT"/>
        </w:rPr>
        <w:t>enin 78 të KPA-së</w:t>
      </w:r>
      <w:r w:rsidR="00C7288C" w:rsidRPr="00707546">
        <w:rPr>
          <w:lang w:val="it-IT"/>
        </w:rPr>
        <w:t>,</w:t>
      </w:r>
      <w:r w:rsidRPr="00707546">
        <w:rPr>
          <w:lang w:val="it-IT"/>
        </w:rPr>
        <w:t xml:space="preserve"> si </w:t>
      </w:r>
      <w:r w:rsidR="00262C74" w:rsidRPr="00707546">
        <w:rPr>
          <w:lang w:val="it-IT"/>
        </w:rPr>
        <w:t xml:space="preserve">rezultat i së cilës PNK do të </w:t>
      </w:r>
      <w:r w:rsidRPr="00707546">
        <w:rPr>
          <w:lang w:val="it-IT"/>
        </w:rPr>
        <w:t xml:space="preserve">ishte nxitur të vlerësonte dhe </w:t>
      </w:r>
      <w:r w:rsidR="00C7288C" w:rsidRPr="00707546">
        <w:rPr>
          <w:lang w:val="it-IT"/>
        </w:rPr>
        <w:t xml:space="preserve">të </w:t>
      </w:r>
      <w:r w:rsidRPr="00707546">
        <w:rPr>
          <w:lang w:val="it-IT"/>
        </w:rPr>
        <w:t xml:space="preserve">shqyrtonte ekzistencën e “një dëmi serioz dhe të pariparueshëm”. </w:t>
      </w:r>
    </w:p>
    <w:p w:rsidR="00946209" w:rsidRPr="00707546" w:rsidRDefault="00946209" w:rsidP="00946209">
      <w:pPr>
        <w:pStyle w:val="Paragrafi0"/>
        <w:rPr>
          <w:lang w:val="it-IT"/>
        </w:rPr>
      </w:pPr>
      <w:r w:rsidRPr="00707546">
        <w:rPr>
          <w:lang w:val="it-IT"/>
        </w:rPr>
        <w:t>Gjykatat vendase interpretuan dhe aplikuan</w:t>
      </w:r>
      <w:r w:rsidR="00262C74" w:rsidRPr="00707546">
        <w:rPr>
          <w:lang w:val="it-IT"/>
        </w:rPr>
        <w:t xml:space="preserve"> l</w:t>
      </w:r>
      <w:r w:rsidRPr="00707546">
        <w:rPr>
          <w:lang w:val="it-IT"/>
        </w:rPr>
        <w:t xml:space="preserve">igjin e vitit 1998 në lidhje me ndërtimet e përkohshme siç konsiderohej në atë kohë. Në këtë drejtim, Gjykata konsideron se, sipas rrethanave, vendimet e gjykatave vendase që trajtojnë paligjshmërinë e pretenduar të ndërtimit të përkohshëm ishin në përputhje me kërkesat e legjislacionit për planifikimin urban, duke përfshirë detyrimin për të marrë një leje ndërtimi të vlefshme për një vit. Mund të thuhet se vendimet e gjykatave </w:t>
      </w:r>
      <w:r w:rsidR="00262C74" w:rsidRPr="00707546">
        <w:rPr>
          <w:lang w:val="it-IT"/>
        </w:rPr>
        <w:t>vendase në çështjen e ankuesit u</w:t>
      </w:r>
      <w:r w:rsidRPr="00707546">
        <w:rPr>
          <w:lang w:val="it-IT"/>
        </w:rPr>
        <w:t xml:space="preserve"> shërbenin interesave të së drejtës ligjore, e cila është një nga parimet themelore të shoqërisë demokratike dhe ë</w:t>
      </w:r>
      <w:r w:rsidR="00262C74" w:rsidRPr="00707546">
        <w:rPr>
          <w:lang w:val="it-IT"/>
        </w:rPr>
        <w:t>shtë e qenësishme në të gjitha n</w:t>
      </w:r>
      <w:r w:rsidR="00C7288C" w:rsidRPr="00707546">
        <w:rPr>
          <w:lang w:val="it-IT"/>
        </w:rPr>
        <w:t>enet e Konventës</w:t>
      </w:r>
      <w:r w:rsidRPr="00707546">
        <w:rPr>
          <w:lang w:val="it-IT"/>
        </w:rPr>
        <w:t xml:space="preserve"> (shih Amuur k Francës, 25 </w:t>
      </w:r>
      <w:r w:rsidR="00262C74" w:rsidRPr="00707546">
        <w:rPr>
          <w:lang w:val="it-IT"/>
        </w:rPr>
        <w:t>qershor 1996, § 50 raportet e gjykimeve dhe vendimeve</w:t>
      </w:r>
      <w:r w:rsidRPr="00707546">
        <w:rPr>
          <w:lang w:val="it-IT"/>
        </w:rPr>
        <w:t xml:space="preserve"> 1996-III).</w:t>
      </w:r>
    </w:p>
    <w:p w:rsidR="00946209" w:rsidRPr="00707546" w:rsidRDefault="00946209" w:rsidP="00946209">
      <w:pPr>
        <w:pStyle w:val="Paragrafi0"/>
        <w:rPr>
          <w:lang w:val="it-IT"/>
        </w:rPr>
      </w:pPr>
      <w:r w:rsidRPr="00707546">
        <w:rPr>
          <w:lang w:val="it-IT"/>
        </w:rPr>
        <w:t xml:space="preserve">Gjykata vlerëson se arsyet faktike dhe ligjore për konkluzionet e gjykatave kombëtare u parashtruan në vendimet e </w:t>
      </w:r>
      <w:r w:rsidR="00262C74" w:rsidRPr="00707546">
        <w:rPr>
          <w:lang w:val="it-IT"/>
        </w:rPr>
        <w:t xml:space="preserve">gjykatës së rrethit të 30 marsit 2001 dhe gjykatës së apelit të 8 qershorit </w:t>
      </w:r>
      <w:r w:rsidRPr="00707546">
        <w:rPr>
          <w:lang w:val="it-IT"/>
        </w:rPr>
        <w:t>2001. Arsyet e kufizuara të dhëna nga Gjykata e</w:t>
      </w:r>
      <w:r w:rsidR="00C7288C" w:rsidRPr="00707546">
        <w:rPr>
          <w:lang w:val="it-IT"/>
        </w:rPr>
        <w:t xml:space="preserve"> Lartë në vendimin e saj të 20 m</w:t>
      </w:r>
      <w:r w:rsidRPr="00707546">
        <w:rPr>
          <w:lang w:val="it-IT"/>
        </w:rPr>
        <w:t>ajit 2002, sidoqoftë, tregonin pa dyshim se ankuesi nuk ka ngritur një nga çështjet e ligjit të parashikuar nga dispozitat e brendshme përkatëse, e cila është një kërkesë e pranueshmërisë për dhënien e miratimit për apelim. Gjykata konstaton se kur Gjykata e Lartë refuzon të pranojë një çështje mbi bazat se arsyet ligjore për një çështje të tillë nuk janë paraqitur, një arsyetim mjaft i kufizua</w:t>
      </w:r>
      <w:r w:rsidR="00262C74" w:rsidRPr="00707546">
        <w:rPr>
          <w:lang w:val="it-IT"/>
        </w:rPr>
        <w:t>r mund të përmbushë kërkesat e n</w:t>
      </w:r>
      <w:r w:rsidRPr="00707546">
        <w:rPr>
          <w:lang w:val="it-IT"/>
        </w:rPr>
        <w:t xml:space="preserve">enit 6 të Konventës (shih </w:t>
      </w:r>
      <w:r w:rsidRPr="00707546">
        <w:rPr>
          <w:i/>
          <w:lang w:val="it-IT"/>
        </w:rPr>
        <w:t>mutatis mutandis</w:t>
      </w:r>
      <w:r w:rsidRPr="00707546">
        <w:rPr>
          <w:lang w:val="it-IT"/>
        </w:rPr>
        <w:t>, N</w:t>
      </w:r>
      <w:r w:rsidR="00B827A4" w:rsidRPr="00707546">
        <w:rPr>
          <w:lang w:val="it-IT"/>
        </w:rPr>
        <w:t>erva k Mbretërisë së Bashkuar (d</w:t>
      </w:r>
      <w:r w:rsidRPr="00707546">
        <w:rPr>
          <w:lang w:val="it-IT"/>
        </w:rPr>
        <w:t xml:space="preserve">hjetor) nr.42295/98, 11 </w:t>
      </w:r>
      <w:r w:rsidR="00C7288C" w:rsidRPr="00707546">
        <w:rPr>
          <w:lang w:val="it-IT"/>
        </w:rPr>
        <w:t>k</w:t>
      </w:r>
      <w:r w:rsidRPr="00707546">
        <w:rPr>
          <w:lang w:val="it-IT"/>
        </w:rPr>
        <w:t>orrik 2000). Për më tepër, meqë apelimi kushtetues i ankuesit përmbante të njëjtën bazë ligjore për apelim</w:t>
      </w:r>
      <w:r w:rsidR="00B827A4" w:rsidRPr="00707546">
        <w:rPr>
          <w:lang w:val="it-IT"/>
        </w:rPr>
        <w:t>,</w:t>
      </w:r>
      <w:r w:rsidRPr="00707546">
        <w:rPr>
          <w:lang w:val="it-IT"/>
        </w:rPr>
        <w:t xml:space="preserve"> si atë mbi të cilën ishte mbështetur para Gjykatës së Lartë, i njëjti arsyetim mund të thuhet se aplikohej në lidhje me vendimi</w:t>
      </w:r>
      <w:r w:rsidR="00B827A4" w:rsidRPr="00707546">
        <w:rPr>
          <w:lang w:val="it-IT"/>
        </w:rPr>
        <w:t>n e Gjykatës Kushtetuese të 27 s</w:t>
      </w:r>
      <w:r w:rsidRPr="00707546">
        <w:rPr>
          <w:lang w:val="it-IT"/>
        </w:rPr>
        <w:t xml:space="preserve">htatorit 2002. </w:t>
      </w:r>
    </w:p>
    <w:p w:rsidR="00946209" w:rsidRPr="00051732" w:rsidRDefault="00946209" w:rsidP="00946209">
      <w:pPr>
        <w:pStyle w:val="Paragrafi0"/>
      </w:pPr>
      <w:r w:rsidRPr="00051732">
        <w:t xml:space="preserve">Së fundi, Gjykata vëren se ankuesi nuk mundi të ngrinte para gjykatave kombëtare, të paktën në thelb, ndonjë ankim </w:t>
      </w:r>
      <w:r w:rsidR="00B827A4">
        <w:t>lidhur me retrospektivitetin e l</w:t>
      </w:r>
      <w:r w:rsidRPr="00051732">
        <w:t xml:space="preserve">igjit të vitit 1998. </w:t>
      </w:r>
    </w:p>
    <w:p w:rsidR="00946209" w:rsidRPr="00051732" w:rsidRDefault="00946209" w:rsidP="00946209">
      <w:pPr>
        <w:pStyle w:val="Paragrafi0"/>
      </w:pPr>
      <w:r w:rsidRPr="00051732">
        <w:t>Për arsyet e mësipërme, Gjykata vlerë</w:t>
      </w:r>
      <w:r w:rsidR="00B827A4">
        <w:t>son se ankimi i ankuesit sipas n</w:t>
      </w:r>
      <w:r w:rsidRPr="00051732">
        <w:t>enit 6 të Konventës është dukshëm</w:t>
      </w:r>
      <w:r w:rsidR="00B827A4">
        <w:t xml:space="preserve"> i pabazuar brenda kuptimit të n</w:t>
      </w:r>
      <w:r w:rsidRPr="00051732">
        <w:t xml:space="preserve">enit 35 § 3 dhe, si rrjedhojë, </w:t>
      </w:r>
      <w:r w:rsidR="00B827A4">
        <w:t>i papranueshëm në përputhje me n</w:t>
      </w:r>
      <w:r w:rsidRPr="00051732">
        <w:t xml:space="preserve">enin 35 § 4 të Konventës. </w:t>
      </w:r>
    </w:p>
    <w:p w:rsidR="00946209" w:rsidRPr="00051732" w:rsidRDefault="00D444DE" w:rsidP="00946209">
      <w:pPr>
        <w:pStyle w:val="Paragrafi0"/>
      </w:pPr>
      <w:r>
        <w:t xml:space="preserve">2. </w:t>
      </w:r>
      <w:r w:rsidR="00B827A4">
        <w:t>Sipas n</w:t>
      </w:r>
      <w:r w:rsidR="00946209" w:rsidRPr="00051732">
        <w:t xml:space="preserve">enit 1 të </w:t>
      </w:r>
      <w:r w:rsidR="00B827A4">
        <w:t>p</w:t>
      </w:r>
      <w:r w:rsidR="00946209" w:rsidRPr="00051732">
        <w:t xml:space="preserve">rotokollit </w:t>
      </w:r>
      <w:r w:rsidR="00B827A4">
        <w:t>n</w:t>
      </w:r>
      <w:r w:rsidR="00946209" w:rsidRPr="00051732">
        <w:t xml:space="preserve">r.1 të Konventës, ankuesi u ankua për shkelje të së drejtës së tij për gëzimin paqësor të pronës së tij, duke marrë në konsideratë humbjen e pajisjeve nga lokali i bar-kafesë së tij. </w:t>
      </w:r>
    </w:p>
    <w:p w:rsidR="00946209" w:rsidRPr="00707546" w:rsidRDefault="00B827A4" w:rsidP="00946209">
      <w:pPr>
        <w:pStyle w:val="Paragrafi0"/>
        <w:rPr>
          <w:lang w:val="it-IT"/>
        </w:rPr>
      </w:pPr>
      <w:r w:rsidRPr="00707546">
        <w:rPr>
          <w:lang w:val="it-IT"/>
        </w:rPr>
        <w:t>Neni 1 i p</w:t>
      </w:r>
      <w:r w:rsidR="00946209" w:rsidRPr="00707546">
        <w:rPr>
          <w:lang w:val="it-IT"/>
        </w:rPr>
        <w:t xml:space="preserve">rotokollit </w:t>
      </w:r>
      <w:r w:rsidRPr="00707546">
        <w:rPr>
          <w:lang w:val="it-IT"/>
        </w:rPr>
        <w:t>nr.</w:t>
      </w:r>
      <w:r w:rsidR="00946209" w:rsidRPr="00707546">
        <w:rPr>
          <w:lang w:val="it-IT"/>
        </w:rPr>
        <w:t>1 i Konventës lexon:</w:t>
      </w:r>
    </w:p>
    <w:p w:rsidR="00946209" w:rsidRPr="00051732" w:rsidRDefault="00946209" w:rsidP="00946209">
      <w:pPr>
        <w:pStyle w:val="Paragrafi0"/>
      </w:pPr>
      <w:r w:rsidRPr="00051732">
        <w:t>“Çdo person fizik dhe juridik ka të drejtë të gëzojë në mënyrë paqësore pronën e tij. Askush nuk do të privohet nga prona e tij përveç kur ka interes publik dhe është subjekt i kushteve të parashikuara nga ligji dhe nga parimet e përgjithshme të ligjit ndërkombëtar.</w:t>
      </w:r>
    </w:p>
    <w:p w:rsidR="00946209" w:rsidRPr="00051732" w:rsidRDefault="00946209" w:rsidP="00946209">
      <w:pPr>
        <w:pStyle w:val="Paragrafi0"/>
      </w:pPr>
      <w:r w:rsidRPr="00051732">
        <w:t xml:space="preserve">Dispozitat pararendëse, sidoqoftë, nuk cenojnë në asnjë mënyrë të drejtën e një </w:t>
      </w:r>
      <w:r w:rsidR="00B827A4">
        <w:t>s</w:t>
      </w:r>
      <w:r w:rsidRPr="00051732">
        <w:t>hteti për të zbatuar këto ligje siç e çmon të nevojshme për të kontrolluar përdorimin e pronës në përputhje me interesin e përgjithshëm ose për të siguruar pagesën e taksave ose kontributeve të tjera ose penaliteteve”.</w:t>
      </w:r>
    </w:p>
    <w:p w:rsidR="00946209" w:rsidRPr="00051732" w:rsidRDefault="00946209" w:rsidP="00946209">
      <w:pPr>
        <w:pStyle w:val="Paragrafi0"/>
      </w:pPr>
      <w:r w:rsidRPr="00051732">
        <w:t>Duke marr</w:t>
      </w:r>
      <w:r w:rsidR="00D06F7B">
        <w:t>ë pa</w:t>
      </w:r>
      <w:r w:rsidR="00C7288C">
        <w:t>rasysh</w:t>
      </w:r>
      <w:r w:rsidR="00D06F7B">
        <w:t xml:space="preserve"> konkluzionet sipas n</w:t>
      </w:r>
      <w:r w:rsidRPr="00051732">
        <w:t>enit 6 &amp; 1 të Konventës, Gjyk</w:t>
      </w:r>
      <w:r w:rsidR="00D06F7B">
        <w:t>ata përsërit se</w:t>
      </w:r>
      <w:r w:rsidR="00C7288C">
        <w:t>,</w:t>
      </w:r>
      <w:r w:rsidR="00D06F7B">
        <w:t xml:space="preserve"> për qëllime të n</w:t>
      </w:r>
      <w:r w:rsidRPr="00051732">
        <w:t>enit 35 § 1 të Konventës, një apelim kusht</w:t>
      </w:r>
      <w:r w:rsidR="00D06F7B">
        <w:t>etues nuk është një mjet ligjor</w:t>
      </w:r>
      <w:r w:rsidRPr="00051732">
        <w:t xml:space="preserve"> efektiv dhe prandaj nuk kërkohet për qëllime konsumimi në lidhje me të drejtën e ankuesit për gëzim paqësor të pronës së tij. Vendimi i Gjykatës së Lartë do të konsideroh</w:t>
      </w:r>
      <w:r w:rsidR="00D06F7B">
        <w:t>et përfundimtar për qëllime të n</w:t>
      </w:r>
      <w:r w:rsidRPr="00051732">
        <w:t>enit 35 § 1 të Konventës. Si rrjedhojë, ankimet mund të paraqiten brenda gjashtë muajve nga data e këtij vendimi.</w:t>
      </w:r>
    </w:p>
    <w:p w:rsidR="00946209" w:rsidRPr="00051732" w:rsidRDefault="00946209" w:rsidP="00946209">
      <w:pPr>
        <w:pStyle w:val="Paragrafi0"/>
      </w:pPr>
      <w:r w:rsidRPr="00051732">
        <w:t>Gjykata vlerëson se vendimi përfundimtar i gjykatës vendase në lidh</w:t>
      </w:r>
      <w:r w:rsidR="00D06F7B">
        <w:t>je me ankimin e ankuesit sipas n</w:t>
      </w:r>
      <w:r w:rsidRPr="00051732">
        <w:t xml:space="preserve">enit 1 të </w:t>
      </w:r>
      <w:r w:rsidR="00D06F7B">
        <w:t>p</w:t>
      </w:r>
      <w:r w:rsidRPr="00051732">
        <w:t xml:space="preserve">rotokollit </w:t>
      </w:r>
      <w:r w:rsidR="00D06F7B">
        <w:t>nr.</w:t>
      </w:r>
      <w:r w:rsidRPr="00051732">
        <w:t>1 është ven</w:t>
      </w:r>
      <w:r w:rsidR="00D06F7B">
        <w:t>dimi i Gjykatës së Lartë të 20 m</w:t>
      </w:r>
      <w:r w:rsidRPr="00051732">
        <w:t xml:space="preserve">ajit 2002. Ankuesi e paraqiti këtë ankim më 17 </w:t>
      </w:r>
      <w:r w:rsidR="00D06F7B">
        <w:t>m</w:t>
      </w:r>
      <w:r w:rsidRPr="00051732">
        <w:t>ars 2003, që është më shumë se gjashtë muaj pas këtij vendimi. Rrjedhimisht, ai duhet të deklarohet i p</w:t>
      </w:r>
      <w:r w:rsidR="00D06F7B">
        <w:t>apranueshëm në përputhje me n</w:t>
      </w:r>
      <w:r w:rsidRPr="00051732">
        <w:t>enin 35 §§ 1 dhe 4 të Konventës</w:t>
      </w:r>
      <w:r w:rsidR="00D06F7B">
        <w:t>,</w:t>
      </w:r>
      <w:r w:rsidRPr="00051732">
        <w:t xml:space="preserve"> pasi është paraqitur jashtë afatit. </w:t>
      </w:r>
    </w:p>
    <w:p w:rsidR="00946209" w:rsidRPr="00051732" w:rsidRDefault="00D06F7B" w:rsidP="00946209">
      <w:pPr>
        <w:pStyle w:val="Paragrafi0"/>
      </w:pPr>
      <w:r>
        <w:t>Për këto arsye, Gjykata</w:t>
      </w:r>
      <w:r w:rsidR="00C7288C">
        <w:t>,</w:t>
      </w:r>
      <w:r>
        <w:t xml:space="preserve"> njëzëri:</w:t>
      </w:r>
    </w:p>
    <w:p w:rsidR="00946209" w:rsidRPr="00051732" w:rsidRDefault="00946209" w:rsidP="00946209">
      <w:pPr>
        <w:pStyle w:val="Paragrafi0"/>
      </w:pPr>
      <w:r w:rsidRPr="00051732">
        <w:t xml:space="preserve">E deklaron ankimin të papranueshëm. </w:t>
      </w:r>
    </w:p>
    <w:p w:rsidR="00946209" w:rsidRPr="00051732" w:rsidRDefault="00946209" w:rsidP="00946209">
      <w:pPr>
        <w:pStyle w:val="Paragrafi0"/>
      </w:pPr>
    </w:p>
    <w:p w:rsidR="00946209" w:rsidRPr="00051732" w:rsidRDefault="00946209" w:rsidP="00D444DE">
      <w:pPr>
        <w:pStyle w:val="Paragrafi0"/>
        <w:jc w:val="center"/>
      </w:pPr>
      <w:r w:rsidRPr="00051732">
        <w:t xml:space="preserve">Fatos Araci </w:t>
      </w:r>
      <w:r w:rsidRPr="00051732">
        <w:tab/>
      </w:r>
      <w:r w:rsidRPr="00051732">
        <w:tab/>
      </w:r>
      <w:r w:rsidRPr="00051732">
        <w:tab/>
      </w:r>
      <w:r w:rsidRPr="00051732">
        <w:tab/>
      </w:r>
      <w:r w:rsidRPr="00051732">
        <w:tab/>
      </w:r>
      <w:r w:rsidRPr="00051732">
        <w:tab/>
      </w:r>
      <w:r w:rsidRPr="00051732">
        <w:tab/>
      </w:r>
      <w:r w:rsidRPr="00051732">
        <w:tab/>
        <w:t>Nicolas Bratza</w:t>
      </w:r>
    </w:p>
    <w:p w:rsidR="00946209" w:rsidRPr="00707546" w:rsidRDefault="00946209" w:rsidP="00D444DE">
      <w:pPr>
        <w:pStyle w:val="Paragrafi0"/>
        <w:jc w:val="center"/>
        <w:rPr>
          <w:lang w:val="it-IT"/>
        </w:rPr>
      </w:pPr>
      <w:r w:rsidRPr="00707546">
        <w:rPr>
          <w:lang w:val="it-IT"/>
        </w:rPr>
        <w:t>Zëvendë</w:t>
      </w:r>
      <w:r w:rsidR="00D06F7B" w:rsidRPr="00707546">
        <w:rPr>
          <w:lang w:val="it-IT"/>
        </w:rPr>
        <w:t>s</w:t>
      </w:r>
      <w:r w:rsidRPr="00707546">
        <w:rPr>
          <w:lang w:val="it-IT"/>
        </w:rPr>
        <w:t xml:space="preserve">ekretar  </w:t>
      </w:r>
      <w:r w:rsidRPr="00707546">
        <w:rPr>
          <w:lang w:val="it-IT"/>
        </w:rPr>
        <w:tab/>
      </w:r>
      <w:r w:rsidRPr="00707546">
        <w:rPr>
          <w:lang w:val="it-IT"/>
        </w:rPr>
        <w:tab/>
      </w:r>
      <w:r w:rsidRPr="00707546">
        <w:rPr>
          <w:lang w:val="it-IT"/>
        </w:rPr>
        <w:tab/>
      </w:r>
      <w:r w:rsidRPr="00707546">
        <w:rPr>
          <w:lang w:val="it-IT"/>
        </w:rPr>
        <w:tab/>
      </w:r>
      <w:r w:rsidRPr="00707546">
        <w:rPr>
          <w:lang w:val="it-IT"/>
        </w:rPr>
        <w:tab/>
      </w:r>
      <w:r w:rsidRPr="00707546">
        <w:rPr>
          <w:lang w:val="it-IT"/>
        </w:rPr>
        <w:tab/>
      </w:r>
      <w:r w:rsidRPr="00707546">
        <w:rPr>
          <w:lang w:val="it-IT"/>
        </w:rPr>
        <w:tab/>
        <w:t xml:space="preserve">    President</w:t>
      </w:r>
    </w:p>
    <w:p w:rsidR="0046299D" w:rsidRPr="00707546" w:rsidRDefault="0046299D" w:rsidP="0046299D">
      <w:pPr>
        <w:pStyle w:val="Paragrafi0"/>
        <w:rPr>
          <w:lang w:val="it-IT"/>
        </w:rPr>
      </w:pPr>
    </w:p>
    <w:p w:rsidR="0046299D" w:rsidRPr="00707546" w:rsidRDefault="0046299D" w:rsidP="0046299D">
      <w:pPr>
        <w:pStyle w:val="Titulli0"/>
        <w:rPr>
          <w:lang w:val="it-IT"/>
        </w:rPr>
      </w:pPr>
    </w:p>
    <w:p w:rsidR="0046299D" w:rsidRPr="00707546" w:rsidRDefault="0046299D" w:rsidP="0046299D">
      <w:pPr>
        <w:pStyle w:val="Titulli0"/>
        <w:rPr>
          <w:lang w:val="it-IT"/>
        </w:rPr>
      </w:pPr>
      <w:r w:rsidRPr="00707546">
        <w:rPr>
          <w:lang w:val="it-IT"/>
        </w:rPr>
        <w:t>GJYKATA EUROPIANE E TË DREJTAVE TË NJERIUT</w:t>
      </w:r>
    </w:p>
    <w:p w:rsidR="0046299D" w:rsidRPr="00707546" w:rsidRDefault="0046299D" w:rsidP="0046299D">
      <w:pPr>
        <w:pStyle w:val="Titulli0"/>
        <w:rPr>
          <w:lang w:val="it-IT"/>
        </w:rPr>
      </w:pPr>
      <w:r w:rsidRPr="00707546">
        <w:rPr>
          <w:lang w:val="it-IT"/>
        </w:rPr>
        <w:t>SEKSIONI KATËRT</w:t>
      </w:r>
    </w:p>
    <w:p w:rsidR="0046299D" w:rsidRPr="00707546" w:rsidRDefault="0046299D" w:rsidP="0046299D">
      <w:pPr>
        <w:pStyle w:val="Titulli0"/>
        <w:rPr>
          <w:lang w:val="it-IT"/>
        </w:rPr>
      </w:pPr>
    </w:p>
    <w:p w:rsidR="0046299D" w:rsidRPr="00707546" w:rsidRDefault="0046299D" w:rsidP="0046299D">
      <w:pPr>
        <w:pStyle w:val="Titulli0"/>
        <w:rPr>
          <w:b w:val="0"/>
          <w:lang w:val="it-IT"/>
        </w:rPr>
      </w:pPr>
      <w:r w:rsidRPr="00707546">
        <w:rPr>
          <w:b w:val="0"/>
          <w:lang w:val="it-IT"/>
        </w:rPr>
        <w:t>ÇËSHTJA CAKA K. SHQIPËRISË</w:t>
      </w:r>
    </w:p>
    <w:p w:rsidR="0046299D" w:rsidRPr="00707546" w:rsidRDefault="0046299D" w:rsidP="0046299D">
      <w:pPr>
        <w:pStyle w:val="NeniNr"/>
        <w:rPr>
          <w:lang w:val="it-IT"/>
        </w:rPr>
      </w:pPr>
      <w:r w:rsidRPr="00707546">
        <w:rPr>
          <w:lang w:val="it-IT"/>
        </w:rPr>
        <w:t>(Ankimi nr. 44023/02)</w:t>
      </w:r>
    </w:p>
    <w:p w:rsidR="0046299D" w:rsidRPr="00707546" w:rsidRDefault="0046299D" w:rsidP="0046299D">
      <w:pPr>
        <w:pStyle w:val="Akti"/>
        <w:rPr>
          <w:b w:val="0"/>
          <w:lang w:val="it-IT"/>
        </w:rPr>
      </w:pPr>
      <w:r w:rsidRPr="00707546">
        <w:rPr>
          <w:b w:val="0"/>
          <w:lang w:val="it-IT"/>
        </w:rPr>
        <w:t>VENDIMI</w:t>
      </w:r>
    </w:p>
    <w:p w:rsidR="0046299D" w:rsidRPr="00707546" w:rsidRDefault="0046299D" w:rsidP="0046299D">
      <w:pPr>
        <w:pStyle w:val="Akti"/>
        <w:rPr>
          <w:b w:val="0"/>
          <w:lang w:val="it-IT"/>
        </w:rPr>
      </w:pPr>
      <w:r w:rsidRPr="00707546">
        <w:rPr>
          <w:b w:val="0"/>
          <w:lang w:val="it-IT"/>
        </w:rPr>
        <w:t>STRASBOURG</w:t>
      </w:r>
    </w:p>
    <w:p w:rsidR="0046299D" w:rsidRPr="00707546" w:rsidRDefault="00D06F7B" w:rsidP="0046299D">
      <w:pPr>
        <w:pStyle w:val="NumriData"/>
        <w:rPr>
          <w:b w:val="0"/>
          <w:lang w:val="it-IT"/>
        </w:rPr>
      </w:pPr>
      <w:r w:rsidRPr="00707546">
        <w:rPr>
          <w:b w:val="0"/>
          <w:lang w:val="it-IT"/>
        </w:rPr>
        <w:t>8 d</w:t>
      </w:r>
      <w:r w:rsidR="0046299D" w:rsidRPr="00707546">
        <w:rPr>
          <w:b w:val="0"/>
          <w:lang w:val="it-IT"/>
        </w:rPr>
        <w:t>hjetor 2009</w:t>
      </w:r>
    </w:p>
    <w:p w:rsidR="0046299D" w:rsidRPr="00707546" w:rsidRDefault="0046299D" w:rsidP="0046299D">
      <w:pPr>
        <w:pStyle w:val="Paragrafi0"/>
        <w:rPr>
          <w:lang w:val="it-IT"/>
        </w:rPr>
      </w:pPr>
    </w:p>
    <w:p w:rsidR="0046299D" w:rsidRPr="00347EA8" w:rsidRDefault="0046299D" w:rsidP="0046299D">
      <w:pPr>
        <w:pStyle w:val="Paragrafi0"/>
      </w:pPr>
      <w:r w:rsidRPr="00347EA8">
        <w:t>Ky vendim merr formë përfundimtare në rrethanat e parashikuara në nenin 44§ 2 të Konventës. Vendimi mund të jetë objekt rishikimesh redaktimi.</w:t>
      </w:r>
    </w:p>
    <w:p w:rsidR="0046299D" w:rsidRPr="00347EA8" w:rsidRDefault="0046299D" w:rsidP="0046299D">
      <w:pPr>
        <w:pStyle w:val="Paragrafi0"/>
      </w:pPr>
      <w:r w:rsidRPr="00347EA8">
        <w:t>Gjykata Europiane e të Drejtave të Njeriut (</w:t>
      </w:r>
      <w:r w:rsidR="00D06F7B" w:rsidRPr="00347EA8">
        <w:t>seksioni katërt</w:t>
      </w:r>
      <w:r w:rsidRPr="00347EA8">
        <w:t>), me trup gjykues të përbërë nga:</w:t>
      </w:r>
    </w:p>
    <w:p w:rsidR="0046299D" w:rsidRDefault="0046299D" w:rsidP="0046299D">
      <w:pPr>
        <w:pStyle w:val="Paragrafi0"/>
      </w:pPr>
      <w:r w:rsidRPr="00347EA8">
        <w:t xml:space="preserve">Nicolas Bratza, </w:t>
      </w:r>
      <w:r w:rsidR="00C7288C">
        <w:t>k</w:t>
      </w:r>
      <w:r w:rsidRPr="00347EA8">
        <w:t>ryetar,</w:t>
      </w:r>
    </w:p>
    <w:p w:rsidR="0046299D" w:rsidRDefault="0046299D" w:rsidP="0046299D">
      <w:pPr>
        <w:pStyle w:val="Paragrafi0"/>
      </w:pPr>
      <w:smartTag w:uri="urn:schemas-microsoft-com:office:smarttags" w:element="place">
        <w:r w:rsidRPr="00347EA8">
          <w:t>Lech</w:t>
        </w:r>
      </w:smartTag>
      <w:r w:rsidRPr="00347EA8">
        <w:t xml:space="preserve"> Garlicki,</w:t>
      </w:r>
    </w:p>
    <w:p w:rsidR="0046299D" w:rsidRPr="00707546" w:rsidRDefault="0046299D" w:rsidP="0046299D">
      <w:pPr>
        <w:pStyle w:val="Paragrafi0"/>
        <w:rPr>
          <w:lang w:val="it-IT"/>
        </w:rPr>
      </w:pPr>
      <w:r w:rsidRPr="00707546">
        <w:rPr>
          <w:lang w:val="it-IT"/>
        </w:rPr>
        <w:t>Giovanni Bonello,</w:t>
      </w:r>
    </w:p>
    <w:p w:rsidR="0046299D" w:rsidRPr="00707546" w:rsidRDefault="0046299D" w:rsidP="0046299D">
      <w:pPr>
        <w:pStyle w:val="Paragrafi0"/>
        <w:rPr>
          <w:lang w:val="it-IT"/>
        </w:rPr>
      </w:pPr>
      <w:r w:rsidRPr="00707546">
        <w:rPr>
          <w:lang w:val="it-IT"/>
        </w:rPr>
        <w:t>Ljiljana Mijović,</w:t>
      </w:r>
    </w:p>
    <w:p w:rsidR="0046299D" w:rsidRPr="00707546" w:rsidRDefault="0046299D" w:rsidP="0046299D">
      <w:pPr>
        <w:pStyle w:val="Paragrafi0"/>
        <w:rPr>
          <w:lang w:val="it-IT"/>
        </w:rPr>
      </w:pPr>
      <w:r w:rsidRPr="00707546">
        <w:rPr>
          <w:lang w:val="it-IT"/>
        </w:rPr>
        <w:t>Päivi Hirvelä,</w:t>
      </w:r>
    </w:p>
    <w:p w:rsidR="0046299D" w:rsidRDefault="0046299D" w:rsidP="0046299D">
      <w:pPr>
        <w:pStyle w:val="Paragrafi0"/>
      </w:pPr>
      <w:r w:rsidRPr="00347EA8">
        <w:t>Ledi Bianku,</w:t>
      </w:r>
    </w:p>
    <w:p w:rsidR="0046299D" w:rsidRPr="00347EA8" w:rsidRDefault="0046299D" w:rsidP="0046299D">
      <w:pPr>
        <w:pStyle w:val="Paragrafi0"/>
      </w:pPr>
      <w:r w:rsidRPr="00347EA8">
        <w:t>Nebojša Vučinić,gjyqtarë,</w:t>
      </w:r>
    </w:p>
    <w:p w:rsidR="0046299D" w:rsidRPr="00347EA8" w:rsidRDefault="00A9664F" w:rsidP="0046299D">
      <w:pPr>
        <w:pStyle w:val="Paragrafi0"/>
      </w:pPr>
      <w:r>
        <w:t>and Lawrence Early, sekretar i s</w:t>
      </w:r>
      <w:r w:rsidR="0046299D" w:rsidRPr="00347EA8">
        <w:t>eksionit,</w:t>
      </w:r>
    </w:p>
    <w:p w:rsidR="0046299D" w:rsidRPr="00347EA8" w:rsidRDefault="00A9664F" w:rsidP="0046299D">
      <w:pPr>
        <w:pStyle w:val="Paragrafi0"/>
      </w:pPr>
      <w:r>
        <w:t>p</w:t>
      </w:r>
      <w:r w:rsidR="0046299D" w:rsidRPr="00347EA8">
        <w:t>as shqyrtimit me dyer të mbyllura</w:t>
      </w:r>
      <w:r>
        <w:t>, më 17 n</w:t>
      </w:r>
      <w:r w:rsidR="0046299D" w:rsidRPr="00347EA8">
        <w:t>ëntor 2009,</w:t>
      </w:r>
    </w:p>
    <w:p w:rsidR="0046299D" w:rsidRPr="00707546" w:rsidRDefault="00A9664F" w:rsidP="0046299D">
      <w:pPr>
        <w:pStyle w:val="Paragrafi0"/>
        <w:rPr>
          <w:lang w:val="it-IT"/>
        </w:rPr>
      </w:pPr>
      <w:r w:rsidRPr="00707546">
        <w:rPr>
          <w:lang w:val="it-IT"/>
        </w:rPr>
        <w:t>m</w:t>
      </w:r>
      <w:r w:rsidR="0046299D" w:rsidRPr="00707546">
        <w:rPr>
          <w:lang w:val="it-IT"/>
        </w:rPr>
        <w:t>err në këtë datë vendimin e mëposhtëm:</w:t>
      </w:r>
    </w:p>
    <w:p w:rsidR="0046299D" w:rsidRPr="00707546" w:rsidRDefault="00A9664F" w:rsidP="0046299D">
      <w:pPr>
        <w:pStyle w:val="Paragrafi0"/>
        <w:rPr>
          <w:lang w:val="it-IT"/>
        </w:rPr>
      </w:pPr>
      <w:r w:rsidRPr="00707546">
        <w:rPr>
          <w:lang w:val="it-IT"/>
        </w:rPr>
        <w:t>PROC</w:t>
      </w:r>
      <w:r w:rsidR="0046299D" w:rsidRPr="00707546">
        <w:rPr>
          <w:lang w:val="it-IT"/>
        </w:rPr>
        <w:t>EDURA</w:t>
      </w:r>
    </w:p>
    <w:p w:rsidR="0046299D" w:rsidRPr="00707546" w:rsidRDefault="0046299D" w:rsidP="0046299D">
      <w:pPr>
        <w:pStyle w:val="Paragrafi0"/>
        <w:rPr>
          <w:lang w:val="it-IT"/>
        </w:rPr>
      </w:pPr>
      <w:r w:rsidRPr="00707546">
        <w:rPr>
          <w:lang w:val="it-IT"/>
        </w:rPr>
        <w:t>1. Çështja e ka zanafillën në një ankim (nr.44023/02) kundër Republikës së Shqipërisë d</w:t>
      </w:r>
      <w:r w:rsidR="00A9664F" w:rsidRPr="00707546">
        <w:rPr>
          <w:lang w:val="it-IT"/>
        </w:rPr>
        <w:t>epozituar pranë Gjykatës sipas n</w:t>
      </w:r>
      <w:r w:rsidRPr="00707546">
        <w:rPr>
          <w:lang w:val="it-IT"/>
        </w:rPr>
        <w:t xml:space="preserve">enit 34 të Konventës për </w:t>
      </w:r>
      <w:r w:rsidR="00AC0C13" w:rsidRPr="00707546">
        <w:rPr>
          <w:lang w:val="it-IT"/>
        </w:rPr>
        <w:t>mbrojtjen e të drejtave të njeriut</w:t>
      </w:r>
      <w:r w:rsidRPr="00707546">
        <w:rPr>
          <w:lang w:val="it-IT"/>
        </w:rPr>
        <w:t xml:space="preserve"> dhe </w:t>
      </w:r>
      <w:r w:rsidR="00A9664F" w:rsidRPr="00707546">
        <w:rPr>
          <w:lang w:val="it-IT"/>
        </w:rPr>
        <w:t>lirive themelore</w:t>
      </w:r>
      <w:r w:rsidR="00AC0C13" w:rsidRPr="00707546">
        <w:rPr>
          <w:lang w:val="it-IT"/>
        </w:rPr>
        <w:t xml:space="preserve"> (</w:t>
      </w:r>
      <w:r w:rsidRPr="00707546">
        <w:rPr>
          <w:lang w:val="it-IT"/>
        </w:rPr>
        <w:t>Konventa) nga nënshte</w:t>
      </w:r>
      <w:r w:rsidR="00C7288C" w:rsidRPr="00707546">
        <w:rPr>
          <w:lang w:val="it-IT"/>
        </w:rPr>
        <w:t>tasi s</w:t>
      </w:r>
      <w:r w:rsidR="00AC0C13" w:rsidRPr="00707546">
        <w:rPr>
          <w:lang w:val="it-IT"/>
        </w:rPr>
        <w:t>hqiptar, z. Lulzim Caka (ankuesi), më 28 n</w:t>
      </w:r>
      <w:r w:rsidRPr="00707546">
        <w:rPr>
          <w:lang w:val="it-IT"/>
        </w:rPr>
        <w:t>ëntor 2002.</w:t>
      </w:r>
    </w:p>
    <w:p w:rsidR="0046299D" w:rsidRPr="00347EA8" w:rsidRDefault="0046299D" w:rsidP="0046299D">
      <w:pPr>
        <w:pStyle w:val="Paragrafi0"/>
      </w:pPr>
      <w:r w:rsidRPr="00347EA8">
        <w:t xml:space="preserve">2. Ankuesi i cili kishte përfituar ndihmë ligjore u përfaqësua nga z. P. Rama dhe z. B. Rusi, avokatë që ushtrojnë profesionin e tyre në Tiranë. Qeveria </w:t>
      </w:r>
      <w:r w:rsidR="00E334F4">
        <w:t>shqiptare (Qeveria</w:t>
      </w:r>
      <w:r w:rsidR="00C7288C">
        <w:t>) u përfaqësua nga a</w:t>
      </w:r>
      <w:r w:rsidRPr="00347EA8">
        <w:t>gjentët e atëhershëm të saj znj. B. Bullica dhe znj. S. Meneri.</w:t>
      </w:r>
    </w:p>
    <w:p w:rsidR="0046299D" w:rsidRPr="00347EA8" w:rsidRDefault="0046299D" w:rsidP="0046299D">
      <w:pPr>
        <w:pStyle w:val="Paragrafi0"/>
      </w:pPr>
      <w:r w:rsidRPr="00347EA8">
        <w:t>3. Ankuesi pret</w:t>
      </w:r>
      <w:r w:rsidR="00E334F4">
        <w:t>endonte shkelje të n</w:t>
      </w:r>
      <w:r w:rsidRPr="00347EA8">
        <w:t>enit 3 të Konventës për mungesë të ndihmës mjekësore të domosdoshme dhe të mjaftueshme në kohën që ai ishte i arrestuar, duke pa</w:t>
      </w:r>
      <w:r w:rsidR="00C7288C">
        <w:t>s</w:t>
      </w:r>
      <w:r w:rsidRPr="00347EA8">
        <w:t>ur parasysh dëmtimet serioze që ai</w:t>
      </w:r>
      <w:r w:rsidR="00E334F4">
        <w:t xml:space="preserve"> kishte pësuar. Ai gjithashtu është</w:t>
      </w:r>
      <w:r w:rsidR="00C7288C">
        <w:t xml:space="preserve"> ankuar sipas n</w:t>
      </w:r>
      <w:r w:rsidRPr="00347EA8">
        <w:t>enit 5 § 3 të Konventës, për kohëzgjatjen e periudhës</w:t>
      </w:r>
      <w:r w:rsidR="00C7288C">
        <w:t xml:space="preserve"> së tij të paraburgimit. Sipas n</w:t>
      </w:r>
      <w:r w:rsidRPr="00347EA8">
        <w:t>enit 6 § 3 (c) dhe (d) të Konventës, ai është ankuar se i ishte mohuar e drejta e një pro</w:t>
      </w:r>
      <w:r w:rsidR="00C7288C">
        <w:t>c</w:t>
      </w:r>
      <w:r w:rsidRPr="00347EA8">
        <w:t>esi të rregullt gjyqësor.</w:t>
      </w:r>
    </w:p>
    <w:p w:rsidR="0046299D" w:rsidRPr="00347EA8" w:rsidRDefault="00FC6D7E" w:rsidP="0046299D">
      <w:pPr>
        <w:pStyle w:val="Paragrafi0"/>
      </w:pPr>
      <w:r>
        <w:t>4. Më 9 s</w:t>
      </w:r>
      <w:r w:rsidR="0046299D" w:rsidRPr="00347EA8">
        <w:t xml:space="preserve">hkurt 2006, </w:t>
      </w:r>
      <w:r w:rsidRPr="00347EA8">
        <w:t xml:space="preserve">kryetari i seksionit të katërt </w:t>
      </w:r>
      <w:r w:rsidR="0046299D" w:rsidRPr="00347EA8">
        <w:t>të Gjykatës vendosi ta njoftojë Qeverinë për</w:t>
      </w:r>
      <w:r>
        <w:t xml:space="preserve"> ankimin. Sipas dispozitave të n</w:t>
      </w:r>
      <w:r w:rsidR="0046299D" w:rsidRPr="00347EA8">
        <w:t xml:space="preserve">enit 29 § 3 të Konventës, u vendos që meritat e ankimit të shqyrtoheshin në të njëjtën kohë me pranueshmërinë e tij. </w:t>
      </w:r>
    </w:p>
    <w:p w:rsidR="0046299D" w:rsidRPr="00347EA8" w:rsidRDefault="0046299D" w:rsidP="0046299D">
      <w:pPr>
        <w:pStyle w:val="Paragrafi0"/>
      </w:pPr>
      <w:r w:rsidRPr="00347EA8">
        <w:t>5.</w:t>
      </w:r>
      <w:r w:rsidR="00546FFA">
        <w:t xml:space="preserve"> Secila nga palët, ankuesi dhe q</w:t>
      </w:r>
      <w:r w:rsidRPr="00347EA8">
        <w:t>everia paraqitën vëzhgimet e tyr</w:t>
      </w:r>
      <w:r w:rsidR="00FC6D7E">
        <w:t>e me shkrim (r</w:t>
      </w:r>
      <w:r w:rsidRPr="00347EA8">
        <w:t xml:space="preserve">regulli 59 § 1). </w:t>
      </w:r>
    </w:p>
    <w:p w:rsidR="0046299D" w:rsidRPr="00347EA8" w:rsidRDefault="0046299D" w:rsidP="0046299D">
      <w:pPr>
        <w:pStyle w:val="Paragrafi0"/>
      </w:pPr>
      <w:r w:rsidRPr="00347EA8">
        <w:t>FAKTET</w:t>
      </w:r>
    </w:p>
    <w:p w:rsidR="0046299D" w:rsidRPr="00347EA8" w:rsidRDefault="0046299D" w:rsidP="0046299D">
      <w:pPr>
        <w:pStyle w:val="Paragrafi0"/>
      </w:pPr>
      <w:r w:rsidRPr="00347EA8">
        <w:t>1. RRETHANAT E ÇËSHTJES</w:t>
      </w:r>
    </w:p>
    <w:p w:rsidR="0046299D" w:rsidRPr="00347EA8" w:rsidRDefault="0046299D" w:rsidP="0046299D">
      <w:pPr>
        <w:pStyle w:val="Paragrafi0"/>
      </w:pPr>
      <w:r w:rsidRPr="00347EA8">
        <w:t>6. Ankuesi, z. Lulzim Caka, ka lindur në 1970 dhe aktualisht vuan dënimin në një burg në Tiranë, Shqipëri.</w:t>
      </w:r>
    </w:p>
    <w:p w:rsidR="0046299D" w:rsidRPr="00707546" w:rsidRDefault="0046299D" w:rsidP="0046299D">
      <w:pPr>
        <w:pStyle w:val="Paragrafi0"/>
        <w:rPr>
          <w:lang w:val="it-IT"/>
        </w:rPr>
      </w:pPr>
      <w:r w:rsidRPr="00707546">
        <w:rPr>
          <w:lang w:val="it-IT"/>
        </w:rPr>
        <w:t>A. Ngjarjet që i paraprijnë arrestimit të ankuesit</w:t>
      </w:r>
    </w:p>
    <w:p w:rsidR="0046299D" w:rsidRPr="00707546" w:rsidRDefault="0046299D" w:rsidP="0046299D">
      <w:pPr>
        <w:pStyle w:val="Paragrafi0"/>
        <w:rPr>
          <w:lang w:val="it-IT"/>
        </w:rPr>
      </w:pPr>
      <w:r w:rsidRPr="00707546">
        <w:rPr>
          <w:lang w:val="it-IT"/>
        </w:rPr>
        <w:t>1. Vrasja e P.</w:t>
      </w:r>
    </w:p>
    <w:p w:rsidR="0046299D" w:rsidRPr="00707546" w:rsidRDefault="0046299D" w:rsidP="0046299D">
      <w:pPr>
        <w:pStyle w:val="Paragrafi0"/>
        <w:rPr>
          <w:lang w:val="it-IT"/>
        </w:rPr>
      </w:pPr>
      <w:r w:rsidRPr="00707546">
        <w:rPr>
          <w:lang w:val="it-IT"/>
        </w:rPr>
        <w:t xml:space="preserve">7. P. u vra më 21 </w:t>
      </w:r>
      <w:r w:rsidR="00FC6D7E" w:rsidRPr="00707546">
        <w:rPr>
          <w:lang w:val="it-IT"/>
        </w:rPr>
        <w:t>k</w:t>
      </w:r>
      <w:r w:rsidRPr="00707546">
        <w:rPr>
          <w:lang w:val="it-IT"/>
        </w:rPr>
        <w:t xml:space="preserve">orrik 1997. Në një datë të pacaktuar në 1997 kundër ankuesit u filluan hetimet penale. Gjatë këtyre hetimeve motra e viktimës, A., megjithëse nuk kishte qenë e pranishme në vendin e ngjarjes, ka deklaruar se ankuesi kishte vrarë vëllanë e saj. Ajo e bazonte dëshminë e saj në shpjegimet e tre dëshmitarëve, B., C. </w:t>
      </w:r>
      <w:r w:rsidR="00FC6D7E" w:rsidRPr="00707546">
        <w:rPr>
          <w:lang w:val="it-IT"/>
        </w:rPr>
        <w:t>dhe D., të cilët rezultuan</w:t>
      </w:r>
      <w:r w:rsidRPr="00707546">
        <w:rPr>
          <w:lang w:val="it-IT"/>
        </w:rPr>
        <w:t xml:space="preserve"> se u pyetën në një datë të pacaktuar.</w:t>
      </w:r>
    </w:p>
    <w:p w:rsidR="0046299D" w:rsidRPr="00707546" w:rsidRDefault="00FC6D7E" w:rsidP="0046299D">
      <w:pPr>
        <w:pStyle w:val="Paragrafi0"/>
        <w:rPr>
          <w:lang w:val="it-IT"/>
        </w:rPr>
      </w:pPr>
      <w:r w:rsidRPr="00707546">
        <w:rPr>
          <w:lang w:val="it-IT"/>
        </w:rPr>
        <w:t>8. Më 6 t</w:t>
      </w:r>
      <w:r w:rsidR="0046299D" w:rsidRPr="00707546">
        <w:rPr>
          <w:lang w:val="it-IT"/>
        </w:rPr>
        <w:t>etor 1998 policia gjyqësore, organi përgjegjës për drejtimin e hetimeve penale dhe identifikimin e autorit, propozoi që të pezulloheshin hetimet pena</w:t>
      </w:r>
      <w:r w:rsidR="00546FFA" w:rsidRPr="00707546">
        <w:rPr>
          <w:lang w:val="it-IT"/>
        </w:rPr>
        <w:t>le, meqe</w:t>
      </w:r>
      <w:r w:rsidR="0046299D" w:rsidRPr="00707546">
        <w:rPr>
          <w:lang w:val="it-IT"/>
        </w:rPr>
        <w:t>nëse autori i krimit nuk mund të id</w:t>
      </w:r>
      <w:r w:rsidRPr="00707546">
        <w:rPr>
          <w:lang w:val="it-IT"/>
        </w:rPr>
        <w:t>entifikohej. Megjithatë, më 15 t</w:t>
      </w:r>
      <w:r w:rsidR="0046299D" w:rsidRPr="00707546">
        <w:rPr>
          <w:lang w:val="it-IT"/>
        </w:rPr>
        <w:t>etor 1998 prokurori depozitoi një padi kundër ankuesit pranë Gjykatës së Rrethit Berat (shiko paragrafin 17 më poshtë).</w:t>
      </w:r>
    </w:p>
    <w:p w:rsidR="0046299D" w:rsidRPr="00707546" w:rsidRDefault="00D8461F" w:rsidP="0046299D">
      <w:pPr>
        <w:pStyle w:val="Paragrafi0"/>
        <w:rPr>
          <w:lang w:val="it-IT"/>
        </w:rPr>
      </w:pPr>
      <w:r w:rsidRPr="00707546">
        <w:rPr>
          <w:lang w:val="it-IT"/>
        </w:rPr>
        <w:t>2.</w:t>
      </w:r>
      <w:r w:rsidR="0046299D" w:rsidRPr="00707546">
        <w:rPr>
          <w:lang w:val="it-IT"/>
        </w:rPr>
        <w:t xml:space="preserve"> Vrasja e mbetur në tentativ</w:t>
      </w:r>
      <w:r w:rsidR="00546FFA" w:rsidRPr="00707546">
        <w:rPr>
          <w:lang w:val="it-IT"/>
        </w:rPr>
        <w:t>ë</w:t>
      </w:r>
      <w:r w:rsidR="0046299D" w:rsidRPr="00707546">
        <w:rPr>
          <w:lang w:val="it-IT"/>
        </w:rPr>
        <w:t xml:space="preserve"> e punonjësve të policisë</w:t>
      </w:r>
    </w:p>
    <w:p w:rsidR="0046299D" w:rsidRPr="00707546" w:rsidRDefault="0046299D" w:rsidP="0046299D">
      <w:pPr>
        <w:pStyle w:val="Paragrafi0"/>
        <w:rPr>
          <w:lang w:val="it-IT"/>
        </w:rPr>
      </w:pPr>
      <w:r w:rsidRPr="00707546">
        <w:rPr>
          <w:lang w:val="it-IT"/>
        </w:rPr>
        <w:t>9. Në 1997 Shqipëria u godit nga trazirat civile</w:t>
      </w:r>
      <w:r w:rsidR="00FC6D7E" w:rsidRPr="00707546">
        <w:rPr>
          <w:lang w:val="it-IT"/>
        </w:rPr>
        <w:t>,</w:t>
      </w:r>
      <w:r w:rsidRPr="00707546">
        <w:rPr>
          <w:lang w:val="it-IT"/>
        </w:rPr>
        <w:t xml:space="preserve"> si rezultat i rënies së skemave piramidale. Depot e armëve u plaçkitën dhe një numër i konsiderueshëm armësh ranë në duart e popullsisë civile. Rivendosja graduale e </w:t>
      </w:r>
      <w:r w:rsidR="00FC6D7E" w:rsidRPr="00707546">
        <w:rPr>
          <w:lang w:val="it-IT"/>
        </w:rPr>
        <w:t>rendit publik</w:t>
      </w:r>
      <w:r w:rsidRPr="00707546">
        <w:rPr>
          <w:lang w:val="it-IT"/>
        </w:rPr>
        <w:t xml:space="preserve"> bënë të domosdoshme kontrolle të vazhdueshme të</w:t>
      </w:r>
      <w:r w:rsidR="00FC6D7E" w:rsidRPr="00707546">
        <w:rPr>
          <w:lang w:val="it-IT"/>
        </w:rPr>
        <w:t xml:space="preserve"> policisë. Rrjedhimisht, më 18 m</w:t>
      </w:r>
      <w:r w:rsidRPr="00707546">
        <w:rPr>
          <w:lang w:val="it-IT"/>
        </w:rPr>
        <w:t>ars 1998 forcat policore të Beratit ngritën pika kontrolli për të ushtruar kontrolle për armëmbajtje pa leje. Pasdite herët në të njëjtën ditë, nëpunësit e policisë në detyrë, në pikën ë kontrollit të vendosur në rrugën kryesore ndërmjet qyteteve Berat dhe Fier</w:t>
      </w:r>
      <w:r w:rsidR="00FC6D7E" w:rsidRPr="00707546">
        <w:rPr>
          <w:lang w:val="it-IT"/>
        </w:rPr>
        <w:t>,</w:t>
      </w:r>
      <w:r w:rsidRPr="00707546">
        <w:rPr>
          <w:lang w:val="it-IT"/>
        </w:rPr>
        <w:t xml:space="preserve"> qëlluan me armë ankuesin dhe X., një tjetër person që po ngiste motoçikletën bashkë me të. Si rezultat, X. vdiq dhe ankuesi u plagos rëndë.</w:t>
      </w:r>
    </w:p>
    <w:p w:rsidR="0046299D" w:rsidRPr="00707546" w:rsidRDefault="0046299D" w:rsidP="0046299D">
      <w:pPr>
        <w:pStyle w:val="Paragrafi0"/>
        <w:rPr>
          <w:lang w:val="it-IT"/>
        </w:rPr>
      </w:pPr>
      <w:r w:rsidRPr="00707546">
        <w:rPr>
          <w:lang w:val="it-IT"/>
        </w:rPr>
        <w:t xml:space="preserve">10. Sipas të dhënave të policisë mbi incidentin, dy personat që po ngisnin një motoçikletë (të identifikuar më vonë si ankuesi dhe X.), nuk ndaluan kur në pikën e parë të kontrollit policia i urdhëroi të ndalonin. Policia në pikën e dytë të kontrollit, dëshmoi se ankuesi, i cili kishte qenë duke ngarë motoçikletën, ka qëlluar në drejtim të punonjësve të policisë me automatik dhe revolver njëkohësisht. Policia  i është përgjigjur zjarrit dhe ka qëlluar për vdekje X.,-in, pasagjerin në ndenjësen e pasme të motoçikletës. Pavarësisht faktit që ankuesi ishte plagosur, ai ka vazhduar të qëllojë derisa është dorëzuar. Policia raportoi se ka mbledhur në vendngjarje dy automatikë </w:t>
      </w:r>
      <w:r w:rsidR="00546FFA" w:rsidRPr="00707546">
        <w:rPr>
          <w:lang w:val="it-IT"/>
        </w:rPr>
        <w:t>“</w:t>
      </w:r>
      <w:r w:rsidR="008B08CE" w:rsidRPr="00707546">
        <w:rPr>
          <w:lang w:val="it-IT"/>
        </w:rPr>
        <w:t>Kale</w:t>
      </w:r>
      <w:r w:rsidRPr="00707546">
        <w:rPr>
          <w:lang w:val="it-IT"/>
        </w:rPr>
        <w:t>shnikov</w:t>
      </w:r>
      <w:r w:rsidR="00546FFA" w:rsidRPr="00707546">
        <w:rPr>
          <w:lang w:val="it-IT"/>
        </w:rPr>
        <w:t>”</w:t>
      </w:r>
      <w:r w:rsidRPr="00707546">
        <w:rPr>
          <w:lang w:val="it-IT"/>
        </w:rPr>
        <w:t>, dy pistoleta, plumba dhe gëzhoja, motoçikletën, një maskë, një kapel</w:t>
      </w:r>
      <w:r w:rsidR="00546FFA" w:rsidRPr="00707546">
        <w:rPr>
          <w:lang w:val="it-IT"/>
        </w:rPr>
        <w:t>ë, një palë këpucë tenisi</w:t>
      </w:r>
      <w:r w:rsidRPr="00707546">
        <w:rPr>
          <w:lang w:val="it-IT"/>
        </w:rPr>
        <w:t xml:space="preserve"> dhe gjëra të tjera që mendohet të jenë përdorur nga ankuesi dhe X. Rezulton që armët automatike, pistoletat, plumbat dhe gëzhojat janë dërguar për ekzaminim balistik. </w:t>
      </w:r>
    </w:p>
    <w:p w:rsidR="0046299D" w:rsidRPr="00707546" w:rsidRDefault="0046299D" w:rsidP="0046299D">
      <w:pPr>
        <w:pStyle w:val="Paragrafi0"/>
        <w:rPr>
          <w:lang w:val="it-IT"/>
        </w:rPr>
      </w:pPr>
      <w:r w:rsidRPr="00707546">
        <w:rPr>
          <w:lang w:val="it-IT"/>
        </w:rPr>
        <w:t xml:space="preserve">B. Arrestimi i ankuesit </w:t>
      </w:r>
    </w:p>
    <w:p w:rsidR="0046299D" w:rsidRPr="00707546" w:rsidRDefault="00FC6D7E" w:rsidP="0046299D">
      <w:pPr>
        <w:pStyle w:val="Paragrafi0"/>
        <w:rPr>
          <w:lang w:val="it-IT"/>
        </w:rPr>
      </w:pPr>
      <w:r w:rsidRPr="00707546">
        <w:rPr>
          <w:lang w:val="it-IT"/>
        </w:rPr>
        <w:t>11. Më 18 m</w:t>
      </w:r>
      <w:r w:rsidR="0046299D" w:rsidRPr="00707546">
        <w:rPr>
          <w:lang w:val="it-IT"/>
        </w:rPr>
        <w:t>ars 1998 ankuesi dhe një tjetër i dyshuar, E., u arrestuan në lidhje me ngjarjen e mësipërme (</w:t>
      </w:r>
      <w:r w:rsidRPr="00707546">
        <w:rPr>
          <w:lang w:val="it-IT"/>
        </w:rPr>
        <w:t>shih paragrafin 9-10 më</w:t>
      </w:r>
      <w:r w:rsidR="0046299D" w:rsidRPr="00707546">
        <w:rPr>
          <w:lang w:val="it-IT"/>
        </w:rPr>
        <w:t xml:space="preserve"> lart).</w:t>
      </w:r>
    </w:p>
    <w:p w:rsidR="0046299D" w:rsidRPr="00347EA8" w:rsidRDefault="0046299D" w:rsidP="0046299D">
      <w:pPr>
        <w:pStyle w:val="Paragrafi0"/>
      </w:pPr>
      <w:r w:rsidRPr="00347EA8">
        <w:t>12. Ankuesi u dërgua në spital, ku ai qëndroi për di</w:t>
      </w:r>
      <w:r w:rsidR="00546FFA">
        <w:t>sa orë për trajtim mjekësor meqe</w:t>
      </w:r>
      <w:r w:rsidRPr="00347EA8">
        <w:t>nëse ishte plagosur. Pas lirimit nga spitali</w:t>
      </w:r>
      <w:r w:rsidR="00546FFA">
        <w:t>,</w:t>
      </w:r>
      <w:r w:rsidRPr="00347EA8">
        <w:t xml:space="preserve"> në të njëjtën ditë</w:t>
      </w:r>
      <w:r w:rsidR="00546FFA">
        <w:t>,</w:t>
      </w:r>
      <w:r w:rsidRPr="00347EA8">
        <w:t xml:space="preserve"> ai u m</w:t>
      </w:r>
      <w:r w:rsidR="00FC6D7E">
        <w:t>bajt në arrest në Berat. Më 19 m</w:t>
      </w:r>
      <w:r w:rsidRPr="00347EA8">
        <w:t>ars 1998 ankuesi u ekzaminua nga një mjek, i cili e vlerësoi gjendjen e tij shëndetësore përgjithësisht të kënaqshme. U konkludua se plagët që kishte marrë ankuesi ishin nën nivelin e plagëve të lehta të trupit që kërkonin jo më shumë se 9 ditë pushim.</w:t>
      </w:r>
    </w:p>
    <w:p w:rsidR="0046299D" w:rsidRPr="00347EA8" w:rsidRDefault="00DF2459" w:rsidP="0046299D">
      <w:pPr>
        <w:pStyle w:val="Paragrafi0"/>
      </w:pPr>
      <w:r>
        <w:t>13. Më 19 m</w:t>
      </w:r>
      <w:r w:rsidR="0046299D" w:rsidRPr="00347EA8">
        <w:t xml:space="preserve">ars 1998 prokurori akuzoi ankuesin për vrasje të mbetur në tentativë në bashkëpunim me të tjerë dhe armëmbajtje pa leje. Gjatë marrjes në pyetje në të njëjtën ditë, ankuesi nuk ka dhënë asnjë të dhënë në lidhje me akuzat kundër tij. Ankuesi ka kërkuar prezencën e avokatit të tij, F. </w:t>
      </w:r>
    </w:p>
    <w:p w:rsidR="0046299D" w:rsidRPr="00347EA8" w:rsidRDefault="00DF2459" w:rsidP="0046299D">
      <w:pPr>
        <w:pStyle w:val="Paragrafi0"/>
      </w:pPr>
      <w:r>
        <w:t>14. Më 20 m</w:t>
      </w:r>
      <w:r w:rsidR="0046299D" w:rsidRPr="00347EA8">
        <w:t>ars 1998 Gjykata e Rrethit Berat konfirmoi ligjshmërinë e arrestimit të ankuesit.</w:t>
      </w:r>
    </w:p>
    <w:p w:rsidR="0046299D" w:rsidRPr="00347EA8" w:rsidRDefault="00DF2459" w:rsidP="0046299D">
      <w:pPr>
        <w:pStyle w:val="Paragrafi0"/>
      </w:pPr>
      <w:r>
        <w:t>15. Më 8 p</w:t>
      </w:r>
      <w:r w:rsidR="0046299D" w:rsidRPr="00347EA8">
        <w:t>rill 1998 prokurori vendosi të ndërpriste hetimet penale kundër E., duke vlerësuar që ai nuk kishte kryer a</w:t>
      </w:r>
      <w:r w:rsidR="00546FFA">
        <w:t>s</w:t>
      </w:r>
      <w:r w:rsidR="0046299D" w:rsidRPr="00347EA8">
        <w:t>një vepër penale.</w:t>
      </w:r>
    </w:p>
    <w:p w:rsidR="0046299D" w:rsidRPr="00347EA8" w:rsidRDefault="0046299D" w:rsidP="0046299D">
      <w:pPr>
        <w:pStyle w:val="Paragrafi0"/>
      </w:pPr>
      <w:r w:rsidRPr="00347EA8">
        <w:t xml:space="preserve">16. Më 9 </w:t>
      </w:r>
      <w:r w:rsidR="00DF2459">
        <w:t>q</w:t>
      </w:r>
      <w:r w:rsidRPr="00347EA8">
        <w:t xml:space="preserve">ershor 1998, 22 </w:t>
      </w:r>
      <w:r w:rsidR="00DF2459">
        <w:t>shtator 1998 dhe 15 tetor 1998, i pyetur nga prokurori</w:t>
      </w:r>
      <w:r w:rsidRPr="00347EA8">
        <w:t xml:space="preserve">, ankuesi është mbrojtur dhe përfaqësuar nga G., një tjetër avokat i zgjedhur nga ai vetë. </w:t>
      </w:r>
    </w:p>
    <w:p w:rsidR="002D1345" w:rsidRDefault="002D1345" w:rsidP="0046299D">
      <w:pPr>
        <w:pStyle w:val="Paragrafi0"/>
      </w:pPr>
    </w:p>
    <w:p w:rsidR="0046299D" w:rsidRPr="00347EA8" w:rsidRDefault="00DF2459" w:rsidP="0046299D">
      <w:pPr>
        <w:pStyle w:val="Paragrafi0"/>
      </w:pPr>
      <w:r>
        <w:t>17. Më 15 t</w:t>
      </w:r>
      <w:r w:rsidR="0046299D" w:rsidRPr="00347EA8">
        <w:t>etor 1998 pro</w:t>
      </w:r>
      <w:r>
        <w:t>kuroria e Beratit depozitoi akt</w:t>
      </w:r>
      <w:r w:rsidR="0046299D" w:rsidRPr="00347EA8">
        <w:t>akuzën pranë Gjykatë</w:t>
      </w:r>
      <w:r>
        <w:t>s</w:t>
      </w:r>
      <w:r w:rsidR="0046299D" w:rsidRPr="00347EA8">
        <w:t xml:space="preserve"> së Rrethit Berat, duke e akuzuar ankuesin për vrasjen me paramendim të P. dhe vrasjen e mbetur në tentativë t</w:t>
      </w:r>
      <w:r>
        <w:t>ë punonjësve të policisë më 18 m</w:t>
      </w:r>
      <w:r w:rsidR="0046299D" w:rsidRPr="00347EA8">
        <w:t>ars 1998. R</w:t>
      </w:r>
      <w:r>
        <w:t>ezultoi që u bashkuan të dy proc</w:t>
      </w:r>
      <w:r w:rsidR="0046299D" w:rsidRPr="00347EA8">
        <w:t>edimet penale kundër ankuesit.</w:t>
      </w:r>
    </w:p>
    <w:p w:rsidR="0046299D" w:rsidRPr="00707546" w:rsidRDefault="00DF2459" w:rsidP="0046299D">
      <w:pPr>
        <w:pStyle w:val="Paragrafi0"/>
        <w:rPr>
          <w:lang w:val="it-IT"/>
        </w:rPr>
      </w:pPr>
      <w:r w:rsidRPr="00707546">
        <w:rPr>
          <w:lang w:val="it-IT"/>
        </w:rPr>
        <w:t>C. Proc</w:t>
      </w:r>
      <w:r w:rsidR="0046299D" w:rsidRPr="00707546">
        <w:rPr>
          <w:lang w:val="it-IT"/>
        </w:rPr>
        <w:t>edurat e gjykimit</w:t>
      </w:r>
    </w:p>
    <w:p w:rsidR="0046299D" w:rsidRPr="00707546" w:rsidRDefault="0046299D" w:rsidP="0046299D">
      <w:pPr>
        <w:pStyle w:val="Paragrafi0"/>
        <w:rPr>
          <w:lang w:val="it-IT"/>
        </w:rPr>
      </w:pPr>
      <w:r w:rsidRPr="00707546">
        <w:rPr>
          <w:lang w:val="it-IT"/>
        </w:rPr>
        <w:t>1.</w:t>
      </w:r>
      <w:r w:rsidR="00D8461F" w:rsidRPr="00707546">
        <w:rPr>
          <w:lang w:val="it-IT"/>
        </w:rPr>
        <w:t xml:space="preserve"> </w:t>
      </w:r>
      <w:r w:rsidR="00DF2459" w:rsidRPr="00707546">
        <w:rPr>
          <w:lang w:val="it-IT"/>
        </w:rPr>
        <w:t>P</w:t>
      </w:r>
      <w:r w:rsidRPr="00707546">
        <w:rPr>
          <w:lang w:val="it-IT"/>
        </w:rPr>
        <w:t>ro</w:t>
      </w:r>
      <w:r w:rsidR="00546FFA" w:rsidRPr="00707546">
        <w:rPr>
          <w:lang w:val="it-IT"/>
        </w:rPr>
        <w:t>c</w:t>
      </w:r>
      <w:r w:rsidRPr="00707546">
        <w:rPr>
          <w:lang w:val="it-IT"/>
        </w:rPr>
        <w:t>esi gjyqësor pranë Gjykatë së Rrethit Berat</w:t>
      </w:r>
    </w:p>
    <w:p w:rsidR="0046299D" w:rsidRPr="00347EA8" w:rsidRDefault="0046299D" w:rsidP="0046299D">
      <w:pPr>
        <w:pStyle w:val="Paragrafi0"/>
      </w:pPr>
      <w:r w:rsidRPr="00347EA8">
        <w:t xml:space="preserve">18. Gjykata e Rrethit Berat filloi gjykimin kundër ankuesit më 17 </w:t>
      </w:r>
      <w:r w:rsidR="00DF2459">
        <w:t>n</w:t>
      </w:r>
      <w:r w:rsidRPr="00347EA8">
        <w:t>ëntor 1998. Trembëdhjetë seanca gjyqësore j</w:t>
      </w:r>
      <w:r w:rsidR="00546FFA">
        <w:t>anë mbajtur ndërmjet datave 17 n</w:t>
      </w:r>
      <w:r w:rsidRPr="00347EA8">
        <w:t xml:space="preserve">ëntor 1998 dhe 13 </w:t>
      </w:r>
      <w:r w:rsidR="00DF2459">
        <w:t>prill 1999, datë në të cilën proc</w:t>
      </w:r>
      <w:r w:rsidRPr="00347EA8">
        <w:t>esi gjyqësor iu kalua Gjykatës së Rrethit Fier (shih  transfe</w:t>
      </w:r>
      <w:r w:rsidR="00DF2459">
        <w:t>rimi i proc</w:t>
      </w:r>
      <w:r w:rsidRPr="00347EA8">
        <w:t>esit gjyqësor seksioni më poshtë). Shtatë seanca gjyqësore janë shtyrë për shkak të mungesës së prokurorit, ankuesit apo avokatit të tij mbrojtës. Në gjashtë seancat gjyqësore të mbetura, ankuesi është përfaqësuar nga avokati i tij, G.</w:t>
      </w:r>
    </w:p>
    <w:p w:rsidR="0046299D" w:rsidRPr="00707546" w:rsidRDefault="0046299D" w:rsidP="0046299D">
      <w:pPr>
        <w:pStyle w:val="Paragrafi0"/>
        <w:rPr>
          <w:lang w:val="it-IT"/>
        </w:rPr>
      </w:pPr>
      <w:r w:rsidRPr="00707546">
        <w:rPr>
          <w:lang w:val="it-IT"/>
        </w:rPr>
        <w:t>19. Ankuesi ka kontestuar faktet e paraqitura nga prokuroria. Ai ka dëshmuar se ka qenë i paarmatosur duke ngarë motoçikletën kur forcat e policisë në pikën e dytë të ko</w:t>
      </w:r>
      <w:r w:rsidR="00546FFA" w:rsidRPr="00707546">
        <w:rPr>
          <w:lang w:val="it-IT"/>
        </w:rPr>
        <w:t>n</w:t>
      </w:r>
      <w:r w:rsidRPr="00707546">
        <w:rPr>
          <w:lang w:val="it-IT"/>
        </w:rPr>
        <w:t>trollit kanë hapur zjarr, pa e urdhëruar atë të ndalojë. Gjithashtu ai i ka kërkuar gjykatës të thërrasë dëshmitarët që, në momentin e incidentit, kanë q</w:t>
      </w:r>
      <w:r w:rsidR="00DF2459" w:rsidRPr="00707546">
        <w:rPr>
          <w:lang w:val="it-IT"/>
        </w:rPr>
        <w:t>e</w:t>
      </w:r>
      <w:r w:rsidRPr="00707546">
        <w:rPr>
          <w:lang w:val="it-IT"/>
        </w:rPr>
        <w:t>në duke udhëtuar në të njëjtën rrugë.</w:t>
      </w:r>
    </w:p>
    <w:p w:rsidR="0046299D" w:rsidRPr="00707546" w:rsidRDefault="00DF2459" w:rsidP="0046299D">
      <w:pPr>
        <w:pStyle w:val="Paragrafi0"/>
        <w:rPr>
          <w:lang w:val="it-IT"/>
        </w:rPr>
      </w:pPr>
      <w:r w:rsidRPr="00707546">
        <w:rPr>
          <w:lang w:val="it-IT"/>
        </w:rPr>
        <w:t>20. Në seancat gjyqësore më 23 dhjetor 1998 dhe 6 j</w:t>
      </w:r>
      <w:r w:rsidR="0046299D" w:rsidRPr="00707546">
        <w:rPr>
          <w:lang w:val="it-IT"/>
        </w:rPr>
        <w:t>anar 1999, katër dëshmitarë të cilët kanë qenë duke udhëtuar në të njëjtën rrugë dhe e kanë parë ankuesin kur po ngiste motoçikletën</w:t>
      </w:r>
      <w:r w:rsidR="00546FFA" w:rsidRPr="00707546">
        <w:rPr>
          <w:lang w:val="it-IT"/>
        </w:rPr>
        <w:t>,</w:t>
      </w:r>
      <w:r w:rsidR="0046299D" w:rsidRPr="00707546">
        <w:rPr>
          <w:lang w:val="it-IT"/>
        </w:rPr>
        <w:t xml:space="preserve"> kanë dëshmuar se ankuesi nuk kishte asnjë armë me vete.</w:t>
      </w:r>
    </w:p>
    <w:p w:rsidR="0046299D" w:rsidRPr="00707546" w:rsidRDefault="00DF2459" w:rsidP="0046299D">
      <w:pPr>
        <w:pStyle w:val="Paragrafi0"/>
        <w:rPr>
          <w:lang w:val="it-IT"/>
        </w:rPr>
      </w:pPr>
      <w:r w:rsidRPr="00707546">
        <w:rPr>
          <w:lang w:val="it-IT"/>
        </w:rPr>
        <w:t>2. Transferimi i proc</w:t>
      </w:r>
      <w:r w:rsidR="0046299D" w:rsidRPr="00707546">
        <w:rPr>
          <w:lang w:val="it-IT"/>
        </w:rPr>
        <w:t>esit gjyqësor</w:t>
      </w:r>
    </w:p>
    <w:p w:rsidR="0046299D" w:rsidRPr="00347EA8" w:rsidRDefault="00DF2459" w:rsidP="0046299D">
      <w:pPr>
        <w:pStyle w:val="Paragrafi0"/>
      </w:pPr>
      <w:r w:rsidRPr="00707546">
        <w:rPr>
          <w:lang w:val="it-IT"/>
        </w:rPr>
        <w:t>21.  Më 15 s</w:t>
      </w:r>
      <w:r w:rsidR="0046299D" w:rsidRPr="00707546">
        <w:rPr>
          <w:lang w:val="it-IT"/>
        </w:rPr>
        <w:t>hkurt 1999 prokurori depozitoi një kërkesë pranë Gjykatës së Lartë për transferimin e pro</w:t>
      </w:r>
      <w:r w:rsidRPr="00707546">
        <w:rPr>
          <w:lang w:val="it-IT"/>
        </w:rPr>
        <w:t>c</w:t>
      </w:r>
      <w:r w:rsidR="0046299D" w:rsidRPr="00707546">
        <w:rPr>
          <w:lang w:val="it-IT"/>
        </w:rPr>
        <w:t>esit gjyqësor nga Gjykata e Rrethit Berat</w:t>
      </w:r>
      <w:r w:rsidR="00546FFA" w:rsidRPr="00707546">
        <w:rPr>
          <w:lang w:val="it-IT"/>
        </w:rPr>
        <w:t>,</w:t>
      </w:r>
      <w:r w:rsidR="0046299D" w:rsidRPr="00707546">
        <w:rPr>
          <w:lang w:val="it-IT"/>
        </w:rPr>
        <w:t xml:space="preserve"> kundër ankuesit. </w:t>
      </w:r>
      <w:r w:rsidR="0046299D" w:rsidRPr="00347EA8">
        <w:t>Ai argumentoi se për arsye të gjendjes së pasigurisë në Berat</w:t>
      </w:r>
      <w:r w:rsidR="008B08CE">
        <w:t>,</w:t>
      </w:r>
      <w:r w:rsidR="0046299D" w:rsidRPr="00347EA8">
        <w:t xml:space="preserve"> dëshmitarët nguronin për të dëshmuar në gjyq. Gjithashtu ai përmendi ekzistencën e presionit të formave të ndryshme, madje edhe kërcënime për jetë të prokurorit në lidhje me rezultatin e pro</w:t>
      </w:r>
      <w:r>
        <w:t>c</w:t>
      </w:r>
      <w:r w:rsidR="0046299D" w:rsidRPr="00347EA8">
        <w:t>esit gjyqësor.</w:t>
      </w:r>
    </w:p>
    <w:p w:rsidR="0046299D" w:rsidRPr="00347EA8" w:rsidRDefault="00DF2459" w:rsidP="0046299D">
      <w:pPr>
        <w:pStyle w:val="Paragrafi0"/>
      </w:pPr>
      <w:r>
        <w:t>22.  Më 5 m</w:t>
      </w:r>
      <w:r w:rsidR="0046299D" w:rsidRPr="00347EA8">
        <w:t>ars 1999 Gjykata e</w:t>
      </w:r>
      <w:r>
        <w:t xml:space="preserve"> Lartë lejoi transferimin e proc</w:t>
      </w:r>
      <w:r w:rsidR="0046299D" w:rsidRPr="00347EA8">
        <w:t>esit gjyqësor nga Gjykata e Rrethit Berat në Gjykatën e</w:t>
      </w:r>
      <w:r>
        <w:t xml:space="preserve"> Rrethit Fier, në përputhje me nenin 94 të Kodit të Proc</w:t>
      </w:r>
      <w:r w:rsidR="0046299D" w:rsidRPr="00347EA8">
        <w:t>edurës Penale (KPP).</w:t>
      </w:r>
    </w:p>
    <w:p w:rsidR="0046299D" w:rsidRPr="00347EA8" w:rsidRDefault="00DF2459" w:rsidP="0046299D">
      <w:pPr>
        <w:pStyle w:val="Paragrafi0"/>
      </w:pPr>
      <w:r>
        <w:t>23.  Sipas n</w:t>
      </w:r>
      <w:r w:rsidR="0046299D" w:rsidRPr="00347EA8">
        <w:t>enit 97 § 3 të KPP</w:t>
      </w:r>
      <w:r w:rsidR="00546FFA">
        <w:t>-së</w:t>
      </w:r>
      <w:r>
        <w:t>,</w:t>
      </w:r>
      <w:r w:rsidR="0046299D" w:rsidRPr="00347EA8">
        <w:t xml:space="preserve"> Gjykatës së Rrethit Fier iu kërkua të merrte një vendim në lidhje me vlefshmërinë e veprimeve të kryera nga Gjykata e Rrethit Berat. Një vendim i tillë nuk është përfshirë në dosjen e çështjes. Qeveria ka parashtruar se dosja e çështjes dhe veprimet e kryera nga Gjykata e Rrethit Berat janë konsideruar të vlefshme mbi bazën e një vërtetimi të datës 9 </w:t>
      </w:r>
      <w:r>
        <w:t>m</w:t>
      </w:r>
      <w:r w:rsidR="0046299D" w:rsidRPr="00347EA8">
        <w:t>ars 1999 të nxjerrë nga sekretarja e Gjykatës së Rrethit Fier.</w:t>
      </w:r>
    </w:p>
    <w:p w:rsidR="0046299D" w:rsidRPr="00347EA8" w:rsidRDefault="00DF2459" w:rsidP="0046299D">
      <w:pPr>
        <w:pStyle w:val="Paragrafi0"/>
      </w:pPr>
      <w:r>
        <w:t>3. Proc</w:t>
      </w:r>
      <w:r w:rsidR="0046299D" w:rsidRPr="00347EA8">
        <w:t>esi gjyqësor pranë Gjykatës së Rrethit Fier</w:t>
      </w:r>
    </w:p>
    <w:p w:rsidR="0046299D" w:rsidRPr="00347EA8" w:rsidRDefault="00DF2459" w:rsidP="0046299D">
      <w:pPr>
        <w:pStyle w:val="Paragrafi0"/>
      </w:pPr>
      <w:r>
        <w:t>24. Më 25 m</w:t>
      </w:r>
      <w:r w:rsidR="0046299D" w:rsidRPr="00347EA8">
        <w:t>aj 1999 ankuesi caktoi një tjetër avokat mbrojtës me zgjedhjen e tij, H.-në.</w:t>
      </w:r>
    </w:p>
    <w:p w:rsidR="0046299D" w:rsidRPr="00707546" w:rsidRDefault="00DF2459" w:rsidP="0046299D">
      <w:pPr>
        <w:pStyle w:val="Paragrafi0"/>
        <w:rPr>
          <w:lang w:val="it-IT"/>
        </w:rPr>
      </w:pPr>
      <w:r w:rsidRPr="00707546">
        <w:rPr>
          <w:lang w:val="it-IT"/>
        </w:rPr>
        <w:t>25. Më 26 m</w:t>
      </w:r>
      <w:r w:rsidR="0046299D" w:rsidRPr="00707546">
        <w:rPr>
          <w:lang w:val="it-IT"/>
        </w:rPr>
        <w:t>aj 1999 Gjykata e Rrethit Fier filloi gjykimin e ankuesit. Njëzet e katër seanca gjyqësore</w:t>
      </w:r>
      <w:r w:rsidRPr="00707546">
        <w:rPr>
          <w:lang w:val="it-IT"/>
        </w:rPr>
        <w:t xml:space="preserve"> janë kryer ndërmjet datave 26 m</w:t>
      </w:r>
      <w:r w:rsidR="0046299D" w:rsidRPr="00707546">
        <w:rPr>
          <w:lang w:val="it-IT"/>
        </w:rPr>
        <w:t xml:space="preserve">aj 1999 dhe 11 </w:t>
      </w:r>
      <w:r w:rsidRPr="00707546">
        <w:rPr>
          <w:lang w:val="it-IT"/>
        </w:rPr>
        <w:t>m</w:t>
      </w:r>
      <w:r w:rsidR="0046299D" w:rsidRPr="00707546">
        <w:rPr>
          <w:lang w:val="it-IT"/>
        </w:rPr>
        <w:t>aj 2000, datë në të cilën ankuesi u shpall fajtor për veprat penale dhe u dënua me burgim.</w:t>
      </w:r>
    </w:p>
    <w:p w:rsidR="0046299D" w:rsidRPr="00347EA8" w:rsidRDefault="00DF2459" w:rsidP="0046299D">
      <w:pPr>
        <w:pStyle w:val="Paragrafi0"/>
      </w:pPr>
      <w:r>
        <w:t>26. Nga data 26 maj deri më 27 n</w:t>
      </w:r>
      <w:r w:rsidR="0046299D" w:rsidRPr="00347EA8">
        <w:t>ëntor 1999 janë planifikuar dhjetë seanca gjyqësore</w:t>
      </w:r>
      <w:r w:rsidR="00546FFA">
        <w:t>,</w:t>
      </w:r>
      <w:r w:rsidR="0046299D" w:rsidRPr="00347EA8">
        <w:t xml:space="preserve"> por janë shtyrë për arsye të mungesës së ankuesit apo përfaqësuesit të tij. Asnjë dëshmitar nuk u d</w:t>
      </w:r>
      <w:r w:rsidR="0084106E">
        <w:t>ëgjua dhe asnjë masë tjetër proc</w:t>
      </w:r>
      <w:r w:rsidR="00546FFA">
        <w:t>edur</w:t>
      </w:r>
      <w:r w:rsidR="0046299D" w:rsidRPr="00347EA8">
        <w:t xml:space="preserve">ale nuk është marrë. Më 9 </w:t>
      </w:r>
      <w:r w:rsidR="00546FFA">
        <w:t>n</w:t>
      </w:r>
      <w:r w:rsidR="0046299D" w:rsidRPr="00347EA8">
        <w:t>ëntor 1999 gjykata njoftoi ankuesin që ai mund të caktonte një</w:t>
      </w:r>
      <w:r w:rsidR="0084106E">
        <w:t xml:space="preserve"> avokat tjetër mbrojtës duke pas</w:t>
      </w:r>
      <w:r w:rsidR="0046299D" w:rsidRPr="00347EA8">
        <w:t>ur parasysh mungesën e përsëritur të avokatit tij H.</w:t>
      </w:r>
    </w:p>
    <w:p w:rsidR="0046299D" w:rsidRPr="00707546" w:rsidRDefault="00323EBA" w:rsidP="0046299D">
      <w:pPr>
        <w:pStyle w:val="Paragrafi0"/>
        <w:rPr>
          <w:lang w:val="it-IT"/>
        </w:rPr>
      </w:pPr>
      <w:r w:rsidRPr="00707546">
        <w:rPr>
          <w:lang w:val="it-IT"/>
        </w:rPr>
        <w:t>27. Më 8 d</w:t>
      </w:r>
      <w:r w:rsidR="0046299D" w:rsidRPr="00707546">
        <w:rPr>
          <w:lang w:val="it-IT"/>
        </w:rPr>
        <w:t xml:space="preserve">hjetor 1999 ankuesi revokoi prokurën e H.-së. Nga 8 </w:t>
      </w:r>
      <w:r w:rsidRPr="00707546">
        <w:rPr>
          <w:lang w:val="it-IT"/>
        </w:rPr>
        <w:t>d</w:t>
      </w:r>
      <w:r w:rsidR="0046299D" w:rsidRPr="00707546">
        <w:rPr>
          <w:lang w:val="it-IT"/>
        </w:rPr>
        <w:t xml:space="preserve">hjetor 1999 deri më 7 </w:t>
      </w:r>
      <w:r w:rsidRPr="00707546">
        <w:rPr>
          <w:lang w:val="it-IT"/>
        </w:rPr>
        <w:t>s</w:t>
      </w:r>
      <w:r w:rsidR="0046299D" w:rsidRPr="00707546">
        <w:rPr>
          <w:lang w:val="it-IT"/>
        </w:rPr>
        <w:t>hkurt 2000</w:t>
      </w:r>
      <w:r w:rsidRPr="00707546">
        <w:rPr>
          <w:lang w:val="it-IT"/>
        </w:rPr>
        <w:t>,</w:t>
      </w:r>
      <w:r w:rsidR="0046299D" w:rsidRPr="00707546">
        <w:rPr>
          <w:lang w:val="it-IT"/>
        </w:rPr>
        <w:t xml:space="preserve"> periudhë gjatë së cilës u mbajtën pesë seanca gjyqësore</w:t>
      </w:r>
      <w:r w:rsidR="00546FFA" w:rsidRPr="00707546">
        <w:rPr>
          <w:lang w:val="it-IT"/>
        </w:rPr>
        <w:t xml:space="preserve">, </w:t>
      </w:r>
      <w:r w:rsidR="0046299D" w:rsidRPr="00707546">
        <w:rPr>
          <w:lang w:val="it-IT"/>
        </w:rPr>
        <w:t xml:space="preserve">ankuesi u përfaqësua vetë. Asnjë dëshmitar nuk u paraqit apo nuk u pyet në këto seanca gjyqësore, si rezultat </w:t>
      </w:r>
      <w:r w:rsidRPr="00707546">
        <w:rPr>
          <w:lang w:val="it-IT"/>
        </w:rPr>
        <w:t>i të cilave ato u shtynë. Më 7 s</w:t>
      </w:r>
      <w:r w:rsidR="0046299D" w:rsidRPr="00707546">
        <w:rPr>
          <w:lang w:val="it-IT"/>
        </w:rPr>
        <w:t>hkurt 2000 prokuroria lexoi dëshmitë e dëshmitarëve që ishin marrë gjatë hetimeve penale. Ankuesi kundërshtoi deklaratat e dëshmitarëve B. dhe D. Në të një</w:t>
      </w:r>
      <w:r w:rsidR="00546FFA" w:rsidRPr="00707546">
        <w:rPr>
          <w:lang w:val="it-IT"/>
        </w:rPr>
        <w:t>j</w:t>
      </w:r>
      <w:r w:rsidR="0046299D" w:rsidRPr="00707546">
        <w:rPr>
          <w:lang w:val="it-IT"/>
        </w:rPr>
        <w:t>tën ditë ankuesi</w:t>
      </w:r>
      <w:r w:rsidR="006C462C" w:rsidRPr="00707546">
        <w:rPr>
          <w:lang w:val="it-IT"/>
        </w:rPr>
        <w:t xml:space="preserve"> ricaktoi avokatin e tij mbrojtë</w:t>
      </w:r>
      <w:r w:rsidR="0046299D" w:rsidRPr="00707546">
        <w:rPr>
          <w:lang w:val="it-IT"/>
        </w:rPr>
        <w:t>s të mëparshëm</w:t>
      </w:r>
      <w:r w:rsidR="006C462C" w:rsidRPr="00707546">
        <w:rPr>
          <w:lang w:val="it-IT"/>
        </w:rPr>
        <w:t>,</w:t>
      </w:r>
      <w:r w:rsidR="0046299D" w:rsidRPr="00707546">
        <w:rPr>
          <w:lang w:val="it-IT"/>
        </w:rPr>
        <w:t xml:space="preserve"> H. Gjykata vendosi të pyesë dëshmitarin A. në seancën tjetër gjyqësore më 21 </w:t>
      </w:r>
      <w:r w:rsidRPr="00707546">
        <w:rPr>
          <w:lang w:val="it-IT"/>
        </w:rPr>
        <w:t>s</w:t>
      </w:r>
      <w:r w:rsidR="0046299D" w:rsidRPr="00707546">
        <w:rPr>
          <w:lang w:val="it-IT"/>
        </w:rPr>
        <w:t>hkurt 2000 në prani të avokatit të ankuesit.</w:t>
      </w:r>
    </w:p>
    <w:p w:rsidR="0046299D" w:rsidRPr="00707546" w:rsidRDefault="00323EBA" w:rsidP="0046299D">
      <w:pPr>
        <w:pStyle w:val="Paragrafi0"/>
        <w:rPr>
          <w:lang w:val="it-IT"/>
        </w:rPr>
      </w:pPr>
      <w:r w:rsidRPr="00707546">
        <w:rPr>
          <w:lang w:val="it-IT"/>
        </w:rPr>
        <w:t>28. Më 21 s</w:t>
      </w:r>
      <w:r w:rsidR="0046299D" w:rsidRPr="00707546">
        <w:rPr>
          <w:lang w:val="it-IT"/>
        </w:rPr>
        <w:t>hkurt 2000 gjyqi dëgjoi dëshminë e A., e cila deklaroi që ankuesi ishte vrasësi i vëlla</w:t>
      </w:r>
      <w:r w:rsidR="006C462C" w:rsidRPr="00707546">
        <w:rPr>
          <w:lang w:val="it-IT"/>
        </w:rPr>
        <w:t>i</w:t>
      </w:r>
      <w:r w:rsidR="0046299D" w:rsidRPr="00707546">
        <w:rPr>
          <w:lang w:val="it-IT"/>
        </w:rPr>
        <w:t>t të saj P. Ajo u bazua në deponimin e dëshmitarëve B., C. dhe D. Ajo nuk ka q</w:t>
      </w:r>
      <w:r w:rsidR="006C462C" w:rsidRPr="00707546">
        <w:rPr>
          <w:lang w:val="it-IT"/>
        </w:rPr>
        <w:t>e</w:t>
      </w:r>
      <w:r w:rsidR="0046299D" w:rsidRPr="00707546">
        <w:rPr>
          <w:lang w:val="it-IT"/>
        </w:rPr>
        <w:t>në dëshmitare në vendin e ngjarjes. As ankuesi dhe as avokati i tij, H., nuk e kanë pyetur A. Më tej me kërkesë të ankuesit, Gjykata e Rrethit Fier ka lëshuar disa fletëthirrje për paraqitjen e B., C dhe D. Megjithatë dëshmitarët nuk u paraqitën asnjëherë në gjyq.</w:t>
      </w:r>
    </w:p>
    <w:p w:rsidR="0046299D" w:rsidRPr="00347EA8" w:rsidRDefault="0046299D" w:rsidP="0046299D">
      <w:pPr>
        <w:pStyle w:val="Paragrafi0"/>
      </w:pPr>
      <w:r w:rsidRPr="00347EA8">
        <w:t>29. Në seanc</w:t>
      </w:r>
      <w:r w:rsidR="00323EBA">
        <w:t>ën gjyqësore më 23 s</w:t>
      </w:r>
      <w:r w:rsidRPr="00347EA8">
        <w:t xml:space="preserve">hkurt 2000 ankuesi caktoi I. si avokatin e tij mbrojtës bashkë më H.-në. Tre punonjës të policisë K., L. dhe M. dëshmuan në gjyq. Bazuar në mospërputhjen nga dëshmia e </w:t>
      </w:r>
      <w:r w:rsidR="00323EBA">
        <w:t>M.-së në fazën hetimore dhe proc</w:t>
      </w:r>
      <w:r w:rsidRPr="00347EA8">
        <w:t>esin gjyqësor, prokurori kërkoi leje për të kundërshtuar d</w:t>
      </w:r>
      <w:r w:rsidR="00323EBA">
        <w:t>ëshminë në përputhje me n</w:t>
      </w:r>
      <w:r w:rsidRPr="00347EA8">
        <w:t>enin 362 të KPP</w:t>
      </w:r>
      <w:r w:rsidR="00323EBA">
        <w:t>-së</w:t>
      </w:r>
      <w:r w:rsidRPr="00347EA8">
        <w:t xml:space="preserve"> duke lexuar deklaratën e tij bërë gjatë hetimeve penale. </w:t>
      </w:r>
    </w:p>
    <w:p w:rsidR="0046299D" w:rsidRPr="00347EA8" w:rsidRDefault="0046299D" w:rsidP="0046299D">
      <w:pPr>
        <w:pStyle w:val="Paragrafi0"/>
      </w:pPr>
      <w:r w:rsidRPr="00347EA8">
        <w:t xml:space="preserve">Ndërsa ankuesi dhe </w:t>
      </w:r>
      <w:smartTag w:uri="urn:schemas-microsoft-com:office:smarttags" w:element="place">
        <w:smartTag w:uri="urn:schemas:contacts" w:element="Sn">
          <w:r w:rsidRPr="00347EA8">
            <w:t>avokati</w:t>
          </w:r>
        </w:smartTag>
        <w:r w:rsidRPr="00347EA8">
          <w:t xml:space="preserve"> </w:t>
        </w:r>
        <w:smartTag w:uri="urn:schemas:contacts" w:element="Sn">
          <w:r w:rsidRPr="00347EA8">
            <w:t>I.</w:t>
          </w:r>
        </w:smartTag>
      </w:smartTag>
      <w:r w:rsidRPr="00347EA8">
        <w:t xml:space="preserve"> nuk pyetën fillimisht M., ato kërkuan që ai të pyetej pas leximit të dëshmisë tij. Gjykata e Rrethit refuzoi kërkesën e tyre </w:t>
      </w:r>
      <w:r w:rsidR="006C462C">
        <w:t>meqe</w:t>
      </w:r>
      <w:r w:rsidRPr="00347EA8">
        <w:t xml:space="preserve">nëse ato fillimisht kishin hequr dorë nga e drejta e tyre për të pyetur dëshmitarin. </w:t>
      </w:r>
    </w:p>
    <w:p w:rsidR="0046299D" w:rsidRPr="00347EA8" w:rsidRDefault="0046299D" w:rsidP="0046299D">
      <w:pPr>
        <w:pStyle w:val="Paragrafi0"/>
      </w:pPr>
      <w:r w:rsidRPr="00347EA8">
        <w:t xml:space="preserve">30. Më 1 </w:t>
      </w:r>
      <w:r w:rsidR="00323EBA">
        <w:t>m</w:t>
      </w:r>
      <w:r w:rsidRPr="00347EA8">
        <w:t xml:space="preserve">ars 2000 </w:t>
      </w:r>
      <w:smartTag w:uri="urn:schemas-microsoft-com:office:smarttags" w:element="place">
        <w:smartTag w:uri="urn:schemas:contacts" w:element="Sn">
          <w:r w:rsidRPr="00347EA8">
            <w:t>avokati</w:t>
          </w:r>
        </w:smartTag>
        <w:r w:rsidRPr="00347EA8">
          <w:t xml:space="preserve"> </w:t>
        </w:r>
        <w:smartTag w:uri="urn:schemas:contacts" w:element="Sn">
          <w:r w:rsidRPr="00347EA8">
            <w:t>I.</w:t>
          </w:r>
        </w:smartTag>
      </w:smartTag>
      <w:r w:rsidRPr="00347EA8">
        <w:t xml:space="preserve"> i ankuesit </w:t>
      </w:r>
      <w:r w:rsidR="006C462C">
        <w:t xml:space="preserve">i </w:t>
      </w:r>
      <w:r w:rsidRPr="00347EA8">
        <w:t xml:space="preserve">kërkoi gjykatës të thërriste M. për ta pyetur. Ai e përsëriti kërkesën në seancën gjyqësore më 6 </w:t>
      </w:r>
      <w:r w:rsidR="00323EBA">
        <w:t>m</w:t>
      </w:r>
      <w:r w:rsidRPr="00347EA8">
        <w:t>ars. Në të njëjtën datë gjykata refuzoi kërkesën si të pabazuar. Megjithatë ajo lejoi kërkesën e avokatit për të thirrur katër punonjës të tjerë policie N., O., Q. dhe S.</w:t>
      </w:r>
    </w:p>
    <w:p w:rsidR="0046299D" w:rsidRPr="00347EA8" w:rsidRDefault="00323EBA" w:rsidP="0046299D">
      <w:pPr>
        <w:pStyle w:val="Paragrafi0"/>
      </w:pPr>
      <w:r>
        <w:t>31. Më 15 dhe 21 m</w:t>
      </w:r>
      <w:r w:rsidR="0046299D" w:rsidRPr="00347EA8">
        <w:t>ars avokati i ankuesit ka përsëritur kërkesën e tij për të t</w:t>
      </w:r>
      <w:r>
        <w:t>hirrur dhe pyetur M.-në. Më 21 m</w:t>
      </w:r>
      <w:r w:rsidR="0046299D" w:rsidRPr="00347EA8">
        <w:t>ars gjykata ka refuzuar kërkesën si të pabazuar. Ajo gjykoi që M. ka ndjekur një seancë gjyqësore në të cilën i aku</w:t>
      </w:r>
      <w:r>
        <w:t>zuari dhe avokati i tij kanë pas</w:t>
      </w:r>
      <w:r w:rsidR="0046299D" w:rsidRPr="00347EA8">
        <w:t>ur mundësinë t’i bënin pyetje atij. Në të njëjtën datë, gjykata ka dëgjuar punonjësin e policisë N. Ankuesi është përfaqësuar nga avokati i tij I. Dëshmitarët O., Q. dhe S. nuk janë paraqitur</w:t>
      </w:r>
      <w:r>
        <w:t>,</w:t>
      </w:r>
      <w:r w:rsidR="0046299D" w:rsidRPr="00347EA8">
        <w:t xml:space="preserve"> si dhe nuk janë pyetur asnjëherë në gjyq, megjithë thirrjet e përsëritura dhe njoftimin dërguar nga gjykata autoriteteve përkatëse, si Ministrinë e Drejtësisë, Ministrinë e Brendshme dhe Drejtorinë e Përgjithshme të Policisë.</w:t>
      </w:r>
    </w:p>
    <w:p w:rsidR="0046299D" w:rsidRPr="00347EA8" w:rsidRDefault="0046299D" w:rsidP="0046299D">
      <w:pPr>
        <w:pStyle w:val="Paragrafi0"/>
      </w:pPr>
      <w:r w:rsidRPr="00347EA8">
        <w:t xml:space="preserve">32. Më 18 </w:t>
      </w:r>
      <w:r w:rsidR="00323EBA">
        <w:t>p</w:t>
      </w:r>
      <w:r w:rsidRPr="00347EA8">
        <w:t xml:space="preserve">rill 2000 avokati mbrojtës </w:t>
      </w:r>
      <w:smartTag w:uri="urn:schemas-microsoft-com:office:smarttags" w:element="place">
        <w:r w:rsidRPr="00347EA8">
          <w:t>I.</w:t>
        </w:r>
      </w:smartTag>
      <w:r w:rsidRPr="00347EA8">
        <w:t xml:space="preserve"> i ankuesit u tërhoq nga përfaqësimi i tij. Avokati tjetër mbrojtës H. i ankuesit, mungonte. Gjykata vendosi të</w:t>
      </w:r>
      <w:r w:rsidR="00323EBA">
        <w:t xml:space="preserve"> shtyjë seancën gjyqësore më 3 m</w:t>
      </w:r>
      <w:r w:rsidRPr="00347EA8">
        <w:t>aj 2000.</w:t>
      </w:r>
    </w:p>
    <w:p w:rsidR="0046299D" w:rsidRPr="00347EA8" w:rsidRDefault="0046299D" w:rsidP="0046299D">
      <w:pPr>
        <w:pStyle w:val="Paragrafi0"/>
      </w:pPr>
      <w:r w:rsidRPr="00347EA8">
        <w:t xml:space="preserve">33. Më 26 </w:t>
      </w:r>
      <w:r w:rsidR="00615652">
        <w:t>p</w:t>
      </w:r>
      <w:r w:rsidRPr="00347EA8">
        <w:t>rill 2000 avokati mbrojtës H. i ankuesit u tërhoq nga përfaqësimi i ankuesit. Arsyet kishin të bënin me përfshirjen e tij në çështje të tjera penale. Ai gjitha</w:t>
      </w:r>
      <w:r w:rsidR="00615652">
        <w:t>shtu përmendi parregullsitë proc</w:t>
      </w:r>
      <w:r w:rsidRPr="00347EA8">
        <w:t xml:space="preserve">edurale të kryera nga Gjykata e Rrethit Fier, e cila nuk i kishte dërguar thirrje me shkrim atij për t’u paraqitur në seancat gjyqësore. Ai ka pretenduar se gjykata nuk ka shfaqur paanshmëri. </w:t>
      </w:r>
      <w:r w:rsidR="00615652">
        <w:t>Ai i ka kërkuar gjykatës të proc</w:t>
      </w:r>
      <w:r w:rsidRPr="00347EA8">
        <w:t>edojë në përputhje me seksionin 49 § 5</w:t>
      </w:r>
      <w:r w:rsidR="00615652">
        <w:t xml:space="preserve"> </w:t>
      </w:r>
      <w:r w:rsidRPr="00347EA8">
        <w:t>i KPP</w:t>
      </w:r>
      <w:r w:rsidR="00615652">
        <w:t>-së</w:t>
      </w:r>
      <w:r w:rsidRPr="00347EA8">
        <w:t>.</w:t>
      </w:r>
    </w:p>
    <w:p w:rsidR="0046299D" w:rsidRPr="00347EA8" w:rsidRDefault="0046299D" w:rsidP="0046299D">
      <w:pPr>
        <w:pStyle w:val="Paragrafi0"/>
      </w:pPr>
      <w:r w:rsidRPr="00347EA8">
        <w:t xml:space="preserve">34. Më 3 </w:t>
      </w:r>
      <w:r w:rsidR="00615652">
        <w:t>m</w:t>
      </w:r>
      <w:r w:rsidRPr="00347EA8">
        <w:t>aj 2000 ankuesi ka caktuar një tjetër avokat mbrojtës me zgjedhjen e tij, J</w:t>
      </w:r>
      <w:r w:rsidR="00615652">
        <w:t>. Gjykata vendosi të shtyjë proc</w:t>
      </w:r>
      <w:r w:rsidRPr="00347EA8">
        <w:t xml:space="preserve">esin gjyqësor deri më 11 </w:t>
      </w:r>
      <w:r w:rsidR="00615652">
        <w:t>m</w:t>
      </w:r>
      <w:r w:rsidRPr="00347EA8">
        <w:t>aj 2000.</w:t>
      </w:r>
    </w:p>
    <w:p w:rsidR="0046299D" w:rsidRPr="00707546" w:rsidRDefault="006C462C" w:rsidP="0046299D">
      <w:pPr>
        <w:pStyle w:val="Paragrafi0"/>
        <w:rPr>
          <w:lang w:val="it-IT"/>
        </w:rPr>
      </w:pPr>
      <w:r>
        <w:t>35. Më 11 m</w:t>
      </w:r>
      <w:r w:rsidR="0046299D" w:rsidRPr="00347EA8">
        <w:t>aj 2000 gjykata ka lexuar një faks të marrë nga avokati mbrojtës J., i ankuesit, i cili deklaronte se përfshirja e tij në biznese të tjera nuk mundësonte mbrojtjen nga ana e tij të ankuesit. J. ka deklaruar se ai nuk kishte marrë asnjë kërkesë për të përf</w:t>
      </w:r>
      <w:r w:rsidR="00615652">
        <w:t>aqësuar ankuesin. Bazuar në proc</w:t>
      </w:r>
      <w:r w:rsidR="0046299D" w:rsidRPr="00347EA8">
        <w:t xml:space="preserve">esverbalin e seancës gjyqësore, ankuesi dëshironte të bënte vetë mbrojtjen e tij. </w:t>
      </w:r>
      <w:r w:rsidR="0046299D" w:rsidRPr="00707546">
        <w:rPr>
          <w:lang w:val="it-IT"/>
        </w:rPr>
        <w:t xml:space="preserve">Ai ka deklaruar se ai nuk ka </w:t>
      </w:r>
      <w:r w:rsidRPr="00707546">
        <w:rPr>
          <w:lang w:val="it-IT"/>
        </w:rPr>
        <w:t>pas</w:t>
      </w:r>
      <w:r w:rsidR="00615652" w:rsidRPr="00707546">
        <w:rPr>
          <w:lang w:val="it-IT"/>
        </w:rPr>
        <w:t>ur asnjë armë më 18 m</w:t>
      </w:r>
      <w:r w:rsidR="0046299D" w:rsidRPr="00707546">
        <w:rPr>
          <w:lang w:val="it-IT"/>
        </w:rPr>
        <w:t>ars 1998. Ai ka rënë dakord që të lexohen dëshmitë e dëshmitarëve Q., R. dhe S. të marra gjatë hetimeve penale</w:t>
      </w:r>
      <w:r w:rsidR="00615652" w:rsidRPr="00707546">
        <w:rPr>
          <w:lang w:val="it-IT"/>
        </w:rPr>
        <w:t>,</w:t>
      </w:r>
      <w:r w:rsidR="0046299D" w:rsidRPr="00707546">
        <w:rPr>
          <w:lang w:val="it-IT"/>
        </w:rPr>
        <w:t xml:space="preserve"> si dhe ka hequr dorë nga e drejta për të pyetur </w:t>
      </w:r>
      <w:r w:rsidR="00615652" w:rsidRPr="00707546">
        <w:rPr>
          <w:lang w:val="it-IT"/>
        </w:rPr>
        <w:t>dëshmitarin O. Prokurori ka proc</w:t>
      </w:r>
      <w:r w:rsidR="0046299D" w:rsidRPr="00707546">
        <w:rPr>
          <w:lang w:val="it-IT"/>
        </w:rPr>
        <w:t xml:space="preserve">eduar me leximin e dëshmive të dëshmitarëve </w:t>
      </w:r>
      <w:r w:rsidR="00615652" w:rsidRPr="00707546">
        <w:rPr>
          <w:lang w:val="it-IT"/>
        </w:rPr>
        <w:t>të sipër</w:t>
      </w:r>
      <w:r w:rsidR="0046299D" w:rsidRPr="00707546">
        <w:rPr>
          <w:lang w:val="it-IT"/>
        </w:rPr>
        <w:t xml:space="preserve">përmendur. Më tej ai ka konkluduar me parashtrimet e tij përfundimtare. Ankuesi për rrjedhojë ka deklaruar </w:t>
      </w:r>
      <w:r w:rsidR="00615652" w:rsidRPr="00707546">
        <w:rPr>
          <w:lang w:val="it-IT"/>
        </w:rPr>
        <w:t>se ai nuk i pranonte akuzat meqe</w:t>
      </w:r>
      <w:r w:rsidRPr="00707546">
        <w:rPr>
          <w:lang w:val="it-IT"/>
        </w:rPr>
        <w:t>në</w:t>
      </w:r>
      <w:r w:rsidR="0046299D" w:rsidRPr="00707546">
        <w:rPr>
          <w:lang w:val="it-IT"/>
        </w:rPr>
        <w:t>se as nuk kishte vrarë P.-në, dhe as nuk kishte qëlluar punonjësit e policisë.</w:t>
      </w:r>
    </w:p>
    <w:p w:rsidR="0046299D" w:rsidRPr="00707546" w:rsidRDefault="0046299D" w:rsidP="0046299D">
      <w:pPr>
        <w:pStyle w:val="Paragrafi0"/>
        <w:rPr>
          <w:lang w:val="it-IT"/>
        </w:rPr>
      </w:pPr>
      <w:r w:rsidRPr="00707546">
        <w:rPr>
          <w:lang w:val="it-IT"/>
        </w:rPr>
        <w:t>36. Në të njëjtën ditë Gjykata e Rrethit Fier ka dhënë dënimin</w:t>
      </w:r>
      <w:r w:rsidR="00453023" w:rsidRPr="00707546">
        <w:rPr>
          <w:lang w:val="it-IT"/>
        </w:rPr>
        <w:t>,</w:t>
      </w:r>
      <w:r w:rsidRPr="00707546">
        <w:rPr>
          <w:lang w:val="it-IT"/>
        </w:rPr>
        <w:t xml:space="preserve"> duke e shpallur ankuesin fajtor sipas akuzave dhe e d</w:t>
      </w:r>
      <w:r w:rsidR="00453023" w:rsidRPr="00707546">
        <w:rPr>
          <w:lang w:val="it-IT"/>
        </w:rPr>
        <w:t xml:space="preserve">ënoi me njëzet e pesë vjet </w:t>
      </w:r>
      <w:r w:rsidRPr="00707546">
        <w:rPr>
          <w:lang w:val="it-IT"/>
        </w:rPr>
        <w:t>burgim.</w:t>
      </w:r>
    </w:p>
    <w:p w:rsidR="0046299D" w:rsidRPr="00347EA8" w:rsidRDefault="0046299D" w:rsidP="0046299D">
      <w:pPr>
        <w:pStyle w:val="Paragrafi0"/>
      </w:pPr>
      <w:r w:rsidRPr="00347EA8">
        <w:t>37. Në lidhje me akuzën e vrasjes së mbetur në tentativë të punonjësve të policisë, Gjykata e Rrethit Fier e ka bazuar vendimin e saj në dëshmitë e katër punonjësve të policisë K., L., M. dhe N. dh</w:t>
      </w:r>
      <w:r w:rsidR="00453023">
        <w:t>ënë në seancat gjyqësore më 23 shkurt dhe 6 m</w:t>
      </w:r>
      <w:r w:rsidRPr="00347EA8">
        <w:t>ars 2000 (shih 29 dhe 31 më lart)</w:t>
      </w:r>
      <w:r w:rsidR="00453023">
        <w:t>,</w:t>
      </w:r>
      <w:r w:rsidRPr="00347EA8">
        <w:t xml:space="preserve"> si dhe në deklaratat e dy dëshmitarëve të dhëna gjatë hetimeve penale. Gjykata mori parasysh raportin hetimor të vendit të ngjarjes, raportin e arrestimit të ankuesit</w:t>
      </w:r>
      <w:r w:rsidR="00453023">
        <w:t>,</w:t>
      </w:r>
      <w:r w:rsidRPr="00347EA8">
        <w:t xml:space="preserve"> si dhe raportin balistik.</w:t>
      </w:r>
    </w:p>
    <w:p w:rsidR="0046299D" w:rsidRPr="00347EA8" w:rsidRDefault="0046299D" w:rsidP="0046299D">
      <w:pPr>
        <w:pStyle w:val="Paragrafi0"/>
      </w:pPr>
      <w:r w:rsidRPr="00347EA8">
        <w:t>38. Në lidhje me këtë, gjykata gjithashtu shpalli ankuesin fajtor për armëmbajtje pa leje mbi bazën e raportit balistik, duke shtuar që gëzhojat e gjetura në vendin e ngjarjes janë qëlluar nga armët e gjetura pranë të akuzuarit. Megjithatë, në vendimin e marrë nuk është përmendur nëse armët ishin në posedimin aktual të ankuesit.</w:t>
      </w:r>
    </w:p>
    <w:p w:rsidR="002D1345" w:rsidRDefault="002D1345" w:rsidP="0046299D">
      <w:pPr>
        <w:pStyle w:val="Paragrafi0"/>
      </w:pPr>
    </w:p>
    <w:p w:rsidR="0046299D" w:rsidRPr="00347EA8" w:rsidRDefault="0046299D" w:rsidP="0046299D">
      <w:pPr>
        <w:pStyle w:val="Paragrafi0"/>
      </w:pPr>
      <w:r w:rsidRPr="00347EA8">
        <w:t>39.</w:t>
      </w:r>
      <w:r w:rsidR="00453023">
        <w:t xml:space="preserve"> Në lidhje me vrasjen e P.-së, më 21 k</w:t>
      </w:r>
      <w:r w:rsidRPr="00347EA8">
        <w:t>orrik 1997, Gjykata e Rrethit Fier e bazoi arsyetimin e saj në dëshminë e A.-së dhënë në gjyq</w:t>
      </w:r>
      <w:r w:rsidR="00453023">
        <w:t>,</w:t>
      </w:r>
      <w:r w:rsidRPr="00347EA8">
        <w:t xml:space="preserve"> si dhe në deklaratat e dëshmitarëve B., C., dhe D. dhënë gjatë hetimeve penale (shih paragrafët 7, 27 dhe 28 më lart).</w:t>
      </w:r>
    </w:p>
    <w:p w:rsidR="0046299D" w:rsidRPr="00347EA8" w:rsidRDefault="0046299D" w:rsidP="0046299D">
      <w:pPr>
        <w:pStyle w:val="Paragrafi0"/>
      </w:pPr>
      <w:r w:rsidRPr="00347EA8">
        <w:t>D. Pro</w:t>
      </w:r>
      <w:r w:rsidR="00453023">
        <w:t>c</w:t>
      </w:r>
      <w:r w:rsidRPr="00347EA8">
        <w:t>edimet e apelimit</w:t>
      </w:r>
    </w:p>
    <w:p w:rsidR="0046299D" w:rsidRPr="00347EA8" w:rsidRDefault="0046299D" w:rsidP="0046299D">
      <w:pPr>
        <w:pStyle w:val="Paragrafi0"/>
      </w:pPr>
      <w:r w:rsidRPr="00347EA8">
        <w:t xml:space="preserve">40. Më 16 </w:t>
      </w:r>
      <w:r w:rsidR="00453023">
        <w:t>m</w:t>
      </w:r>
      <w:r w:rsidRPr="00347EA8">
        <w:t xml:space="preserve">aj 2000 ankuesi bëri apel kundër dënimit </w:t>
      </w:r>
      <w:r w:rsidR="00453023">
        <w:t xml:space="preserve">të </w:t>
      </w:r>
      <w:r w:rsidRPr="00347EA8">
        <w:t>tij pranë Gjykatës së Apelit Vlorë, duke pr</w:t>
      </w:r>
      <w:r w:rsidR="00D17E90" w:rsidRPr="00347EA8">
        <w:t>e</w:t>
      </w:r>
      <w:r w:rsidRPr="00347EA8">
        <w:t>tenduar shkelje të së drejtës së tij për një pro</w:t>
      </w:r>
      <w:r w:rsidR="00453023">
        <w:t>c</w:t>
      </w:r>
      <w:r w:rsidRPr="00347EA8">
        <w:t>es të rregullt gjyqësor. Në veçanti, ai ka argumentuar se mungesa e ndihmës ligjore gjatë gjykimit dhe fakti që gjykata e shkallës së parë ka pranuar deklaratat e dëshmitarëve pa dhënë mundësinë e pyetjeve nga pala kundërshtare</w:t>
      </w:r>
      <w:r w:rsidR="00D17E90">
        <w:t>,</w:t>
      </w:r>
      <w:r w:rsidRPr="00347EA8">
        <w:t xml:space="preserve"> përbën</w:t>
      </w:r>
      <w:r w:rsidR="00453023">
        <w:t>te shkelje të së drejtës së proc</w:t>
      </w:r>
      <w:r w:rsidRPr="00347EA8">
        <w:t>edurave kundërshtuese. Për më tepër, atij i është privuar e dre</w:t>
      </w:r>
      <w:r w:rsidR="00453023">
        <w:t>jta për të pyetur dëshmitarin M.,</w:t>
      </w:r>
      <w:r w:rsidRPr="00347EA8">
        <w:t xml:space="preserve"> i cili ka dëshm</w:t>
      </w:r>
      <w:r w:rsidR="00453023">
        <w:t>uar në seancën gjyqësore më 23 s</w:t>
      </w:r>
      <w:r w:rsidRPr="00347EA8">
        <w:t xml:space="preserve">hkurt 2000. Gjithashtu ai ka argumentuar se, gjatë fazës kur palët kanë bërë parashtrimet e tyre përfundimtare, ai nuk është ndihmuar nga avokati mbrojtës. Ankuesi është përfaqësuar në Gjykatën e </w:t>
      </w:r>
      <w:smartTag w:uri="urn:schemas-microsoft-com:office:smarttags" w:element="place">
        <w:smartTag w:uri="urn:schemas:contacts" w:element="GivenName">
          <w:r w:rsidRPr="00347EA8">
            <w:t>Apelit</w:t>
          </w:r>
        </w:smartTag>
        <w:r w:rsidRPr="00347EA8">
          <w:t xml:space="preserve"> </w:t>
        </w:r>
        <w:smartTag w:uri="urn:schemas:contacts" w:element="middlename">
          <w:r w:rsidRPr="00347EA8">
            <w:t>nga</w:t>
          </w:r>
        </w:smartTag>
        <w:r w:rsidRPr="00347EA8">
          <w:t xml:space="preserve"> </w:t>
        </w:r>
        <w:smartTag w:uri="urn:schemas:contacts" w:element="Sn">
          <w:r w:rsidRPr="00347EA8">
            <w:t>I.</w:t>
          </w:r>
        </w:smartTag>
      </w:smartTag>
      <w:r w:rsidRPr="00347EA8">
        <w:t>, i cili më parë is</w:t>
      </w:r>
      <w:r w:rsidR="00453023">
        <w:t>hte tërhequr nga çështja më 18 p</w:t>
      </w:r>
      <w:r w:rsidRPr="00347EA8">
        <w:t>ril</w:t>
      </w:r>
      <w:r w:rsidR="00D17E90">
        <w:t>l</w:t>
      </w:r>
      <w:r w:rsidRPr="00347EA8">
        <w:t xml:space="preserve"> 2000 (shih paragrafin 32 më lart).</w:t>
      </w:r>
    </w:p>
    <w:p w:rsidR="0046299D" w:rsidRPr="00347EA8" w:rsidRDefault="00453023" w:rsidP="0046299D">
      <w:pPr>
        <w:pStyle w:val="Paragrafi0"/>
      </w:pPr>
      <w:r>
        <w:t>41. Më 20 t</w:t>
      </w:r>
      <w:r w:rsidR="0046299D" w:rsidRPr="00347EA8">
        <w:t xml:space="preserve">etor 2000 Gjykata e Apelit Vlorë hodhi poshtë kërkesën e ankuesit dhe miratoi vendimin </w:t>
      </w:r>
      <w:r>
        <w:t>e Gjykatës së Rrethit Fier. Meqe</w:t>
      </w:r>
      <w:r w:rsidR="0046299D" w:rsidRPr="00347EA8">
        <w:t xml:space="preserve">nëse apelimi drejtohej kundër refuzimit të </w:t>
      </w:r>
      <w:r w:rsidR="00D17E90">
        <w:t>g</w:t>
      </w:r>
      <w:r w:rsidR="0046299D" w:rsidRPr="00347EA8">
        <w:t>jykatës së Rrethit për të lejuar ankuesin të pyesë dëshmitari</w:t>
      </w:r>
      <w:r w:rsidR="00D17E90">
        <w:t>n M., g</w:t>
      </w:r>
      <w:r w:rsidR="0046299D" w:rsidRPr="00347EA8">
        <w:t xml:space="preserve">jykata e </w:t>
      </w:r>
      <w:r w:rsidR="00D17E90">
        <w:t>a</w:t>
      </w:r>
      <w:r w:rsidR="0046299D" w:rsidRPr="00347EA8">
        <w:t>pelit vërejti që</w:t>
      </w:r>
      <w:r>
        <w:t xml:space="preserve"> gjatë seancës gjyqësore më 23 s</w:t>
      </w:r>
      <w:r w:rsidR="0046299D" w:rsidRPr="00347EA8">
        <w:t>hkurt 2000 avokati mbrojtës i ankuesit ka dëshmuar se nuk kishte pyetje për të bërë. Ankuesi i ka bërë dëshmitarit vetëm një pyetje, së cilës ky i fundit i është përgjigjur. Gjykata e Apelit ka rrëzuar ankesën e ankuesit për mungesë të ndihmës ligjore në seancën gjyqësore përfundimtare, bazuar në deklaratën e tij se ai dëshironte të bënte vetë mbrojtjen e vet.</w:t>
      </w:r>
    </w:p>
    <w:p w:rsidR="0046299D" w:rsidRPr="00347EA8" w:rsidRDefault="000E6159" w:rsidP="0046299D">
      <w:pPr>
        <w:pStyle w:val="Paragrafi0"/>
      </w:pPr>
      <w:r>
        <w:t>42. Më 6 m</w:t>
      </w:r>
      <w:r w:rsidR="0046299D" w:rsidRPr="00347EA8">
        <w:t>ars 2001 ankuesi i bëri apel Gjykatës së Lartë</w:t>
      </w:r>
      <w:r>
        <w:t>,</w:t>
      </w:r>
      <w:r w:rsidR="0046299D" w:rsidRPr="00347EA8">
        <w:t xml:space="preserve"> bazuar në të njëjtat argumente që kishte bërë pranë Gjykatës së Apelit. Ai shtoi se pro</w:t>
      </w:r>
      <w:r>
        <w:t>c</w:t>
      </w:r>
      <w:r w:rsidR="0046299D" w:rsidRPr="00347EA8">
        <w:t>esverba</w:t>
      </w:r>
      <w:r>
        <w:t>li i seancës gjyqësore datë 11 m</w:t>
      </w:r>
      <w:r w:rsidR="0046299D" w:rsidRPr="00347EA8">
        <w:t>aj 2000 ishte falsifikuar nga Gjykata e Rrethit Fier</w:t>
      </w:r>
      <w:r>
        <w:t>,</w:t>
      </w:r>
      <w:r w:rsidR="0046299D" w:rsidRPr="00347EA8">
        <w:t xml:space="preserve"> duke argumentuar se kërkesa e tij për t’u mbrojtur nga një avokat ishte shtrembëruar për t’u lexuar se ai dëshironte të mbrohej vetë.</w:t>
      </w:r>
    </w:p>
    <w:p w:rsidR="0046299D" w:rsidRPr="00347EA8" w:rsidRDefault="000E6159" w:rsidP="0046299D">
      <w:pPr>
        <w:pStyle w:val="Paragrafi0"/>
      </w:pPr>
      <w:r>
        <w:t>43. Më 16 t</w:t>
      </w:r>
      <w:r w:rsidR="0046299D" w:rsidRPr="00347EA8">
        <w:t>etor 2001 Gjykata e Lartë deklaroi anki</w:t>
      </w:r>
      <w:r>
        <w:t>mimin e tij të papranueshëm</w:t>
      </w:r>
      <w:r w:rsidR="00D17E90">
        <w:t>,</w:t>
      </w:r>
      <w:r>
        <w:t xml:space="preserve"> meqe</w:t>
      </w:r>
      <w:r w:rsidR="0046299D" w:rsidRPr="00347EA8">
        <w:t>nëse argumente</w:t>
      </w:r>
      <w:r>
        <w:t>t e tij ishin jashtë fushës së nenit 432 të KPP-së.</w:t>
      </w:r>
    </w:p>
    <w:p w:rsidR="0046299D" w:rsidRPr="00347EA8" w:rsidRDefault="00172EB6" w:rsidP="0046299D">
      <w:pPr>
        <w:pStyle w:val="Paragrafi0"/>
      </w:pPr>
      <w:r>
        <w:t>44. Më 22 t</w:t>
      </w:r>
      <w:r w:rsidR="0046299D" w:rsidRPr="00347EA8">
        <w:t>etor 2003 ankuesi depozitoi një ankesë pranë Gjykatës Kushtetuese për parregullsinë e pro</w:t>
      </w:r>
      <w:r>
        <w:t>c</w:t>
      </w:r>
      <w:r w:rsidR="0046299D" w:rsidRPr="00347EA8">
        <w:t>edimeve. Ai u ankua për kohëzgjatjen e periudhës së p</w:t>
      </w:r>
      <w:r>
        <w:t>araburgimit tij dhe u bazua në n</w:t>
      </w:r>
      <w:r w:rsidR="0046299D" w:rsidRPr="00347EA8">
        <w:t xml:space="preserve">enin 6§ 3 </w:t>
      </w:r>
      <w:r>
        <w:t>“b” dhe “</w:t>
      </w:r>
      <w:r w:rsidR="0046299D" w:rsidRPr="00347EA8">
        <w:t>c</w:t>
      </w:r>
      <w:r>
        <w:t>” dhe “</w:t>
      </w:r>
      <w:r w:rsidR="0046299D" w:rsidRPr="00347EA8">
        <w:t>d</w:t>
      </w:r>
      <w:r>
        <w:t>”</w:t>
      </w:r>
      <w:r w:rsidR="0046299D" w:rsidRPr="00347EA8">
        <w:t xml:space="preserve"> të Konventës.</w:t>
      </w:r>
    </w:p>
    <w:p w:rsidR="0046299D" w:rsidRPr="00347EA8" w:rsidRDefault="001A5F32" w:rsidP="0046299D">
      <w:pPr>
        <w:pStyle w:val="Paragrafi0"/>
      </w:pPr>
      <w:r>
        <w:t>45. Më 18 n</w:t>
      </w:r>
      <w:r w:rsidR="0046299D" w:rsidRPr="00347EA8">
        <w:t>ëntor 2003 Gjykata Kushtetuese, mbledhur në trup gjykues</w:t>
      </w:r>
      <w:r>
        <w:t>,</w:t>
      </w:r>
      <w:r w:rsidR="0046299D" w:rsidRPr="00347EA8">
        <w:t xml:space="preserve"> e përbërë nga tre gjyqtarë, deklaroi ankimin të papranueshëm. Ajo argumentoi se ankimi i ankuesit nuk ngrinte çështje të një pro</w:t>
      </w:r>
      <w:r>
        <w:t>c</w:t>
      </w:r>
      <w:r w:rsidR="0046299D" w:rsidRPr="00347EA8">
        <w:t>esi të rregullt ligjor, por lidhej me vlerësimin e provave</w:t>
      </w:r>
      <w:r w:rsidR="00D17E90">
        <w:t>,</w:t>
      </w:r>
      <w:r w:rsidR="0046299D" w:rsidRPr="00347EA8">
        <w:t xml:space="preserve"> gjë që kishte të bënte me gjykatat më të ul</w:t>
      </w:r>
      <w:r>
        <w:t>ë</w:t>
      </w:r>
      <w:r w:rsidR="0046299D" w:rsidRPr="00347EA8">
        <w:t>ta.</w:t>
      </w:r>
    </w:p>
    <w:p w:rsidR="0046299D" w:rsidRPr="00347EA8" w:rsidRDefault="0046299D" w:rsidP="0046299D">
      <w:pPr>
        <w:pStyle w:val="Paragrafi0"/>
      </w:pPr>
      <w:r w:rsidRPr="00347EA8">
        <w:t>E. Parashtrime të mëtejshme</w:t>
      </w:r>
    </w:p>
    <w:p w:rsidR="0046299D" w:rsidRPr="00347EA8" w:rsidRDefault="004D7AD5" w:rsidP="0046299D">
      <w:pPr>
        <w:pStyle w:val="Paragrafi0"/>
      </w:pPr>
      <w:r>
        <w:t>46. Më 6 j</w:t>
      </w:r>
      <w:r w:rsidR="0046299D" w:rsidRPr="00347EA8">
        <w:t>anar 2003 ankuesi depozitoi pranë Gjykatës një deklaratë të noterizuar nga B.H., gjyqtari që kishte kryesuar trupin gjykues në Gjykatën e Rrethit Berat në pro</w:t>
      </w:r>
      <w:r>
        <w:t>cesin gjyqësor. Sipas B.H., proc</w:t>
      </w:r>
      <w:r w:rsidR="0046299D" w:rsidRPr="00347EA8">
        <w:t>edimet janë transferuar në Gjykatën e Rrethit Fier, në dëm të ankuesit, në një kohë kur Gjykata e Rrethit Berat ishte pranë mbylljes së shqyrtimit të çështjes dhe dukej se po arrinte në përfundimin se nuk kishte prova të mjaftueshme kundër tij. Për më tepër, B.H. mbronte mendimin se Gjykata e Rrethit Fier kishte pranuar deklaratat e dëshmitarëve të marra në komisariatin e policisë më shumë se deklaratat e marra gjatë gjykimit pranë Gjykatës së Rrethit Berat. Gjithashtu ai argumentonte se Gjykata e Rrethit Fier nuk kishte marrë në konsideratë raportin balistik të paraqitur gjatë gjykimit pranë Gjykatës së Rrethit Berat, nga ku vërtetohej që armët automatike që pretendohej se ishin përdorur nga ankuesi, në fakt</w:t>
      </w:r>
      <w:r w:rsidR="00D17E90">
        <w:t>,</w:t>
      </w:r>
      <w:r w:rsidR="0046299D" w:rsidRPr="00347EA8">
        <w:t xml:space="preserve"> i përkisnin </w:t>
      </w:r>
      <w:r w:rsidR="00D17E90" w:rsidRPr="00347EA8">
        <w:t xml:space="preserve">forcave të policisë </w:t>
      </w:r>
      <w:r w:rsidR="0046299D" w:rsidRPr="00347EA8">
        <w:t>Berat. Për më tepër, ai deklaroi se avokatët mbrojtës të ankuesit ishin tërhequr nga mbrojtja e tij gjatë gjykimit pranë Gjykatës së Rrethit Fier për shkak të kërcënimeve të jetëve të tyre</w:t>
      </w:r>
      <w:r>
        <w:t>,</w:t>
      </w:r>
      <w:r w:rsidR="0046299D" w:rsidRPr="00347EA8">
        <w:t xml:space="preserve"> si dhe familjeve të tyre.</w:t>
      </w:r>
    </w:p>
    <w:p w:rsidR="0046299D" w:rsidRPr="00347EA8" w:rsidRDefault="0046299D" w:rsidP="0046299D">
      <w:pPr>
        <w:pStyle w:val="Paragrafi0"/>
      </w:pPr>
      <w:r w:rsidRPr="00347EA8">
        <w:t>47. Gjithashtu ankuesi depozitoi katër deklarata të noterizuara bërë nga dëshmitarë okularë që kishin qenë prezent disa minuta para incidentit dhe kishin parë ankuesin të paarmatosur duke ngarë motoçikletën dhe kishin dëgjuar të shtënat e policisë. Të njëjtët dëshmitarë okularë dëshmuan pranë G</w:t>
      </w:r>
      <w:r w:rsidR="004D7AD5">
        <w:t>jykatës së Rrethit Berat</w:t>
      </w:r>
      <w:r w:rsidR="005A41BB">
        <w:t>,</w:t>
      </w:r>
      <w:r w:rsidR="004D7AD5">
        <w:t xml:space="preserve"> më 23 dhjetor 1998 dhe 6 j</w:t>
      </w:r>
      <w:r w:rsidRPr="00347EA8">
        <w:t>anar 1999 (shih paragrafin 20 më lart).</w:t>
      </w:r>
    </w:p>
    <w:p w:rsidR="002D1345" w:rsidRDefault="002D1345" w:rsidP="0046299D">
      <w:pPr>
        <w:pStyle w:val="Paragrafi0"/>
      </w:pPr>
    </w:p>
    <w:p w:rsidR="002D1345" w:rsidRDefault="002D1345" w:rsidP="0046299D">
      <w:pPr>
        <w:pStyle w:val="Paragrafi0"/>
      </w:pPr>
    </w:p>
    <w:p w:rsidR="002D1345" w:rsidRDefault="002D1345" w:rsidP="0046299D">
      <w:pPr>
        <w:pStyle w:val="Paragrafi0"/>
      </w:pPr>
    </w:p>
    <w:p w:rsidR="0046299D" w:rsidRPr="00347EA8" w:rsidRDefault="0046299D" w:rsidP="0046299D">
      <w:pPr>
        <w:pStyle w:val="Paragrafi0"/>
      </w:pPr>
      <w:r w:rsidRPr="00347EA8">
        <w:t xml:space="preserve">48. Më 28 </w:t>
      </w:r>
      <w:r w:rsidR="004D7AD5">
        <w:t>p</w:t>
      </w:r>
      <w:r w:rsidRPr="00347EA8">
        <w:t>rill 2008 Gjykata i kërkoi Qeverisë të paraqiste të gjithë dosjen hetimore dhe raportet e lexueshm</w:t>
      </w:r>
      <w:r w:rsidR="004D7AD5">
        <w:t>e</w:t>
      </w:r>
      <w:r w:rsidRPr="00347EA8">
        <w:t xml:space="preserve"> të të gjitha seancave gjyqësore pranë </w:t>
      </w:r>
      <w:r w:rsidR="004D7AD5" w:rsidRPr="00347EA8">
        <w:t>gjykatave të rretheve</w:t>
      </w:r>
      <w:r w:rsidRPr="00347EA8">
        <w:t xml:space="preserve">. Më 31 </w:t>
      </w:r>
      <w:r w:rsidR="004D7AD5" w:rsidRPr="00347EA8">
        <w:t xml:space="preserve">korrik </w:t>
      </w:r>
      <w:r w:rsidRPr="00347EA8">
        <w:t xml:space="preserve">2008 Qeveria paraqiti raportet e të gjitha seancave gjyqësore të mbajtura pranë </w:t>
      </w:r>
      <w:r w:rsidR="004D7AD5" w:rsidRPr="00347EA8">
        <w:t>gjykatave të rretheve</w:t>
      </w:r>
      <w:r w:rsidRPr="00347EA8">
        <w:t>. Asnjë dokument nga dosja hetimore nuk është paraqitur.</w:t>
      </w:r>
    </w:p>
    <w:p w:rsidR="0046299D" w:rsidRPr="00347EA8" w:rsidRDefault="0046299D" w:rsidP="0046299D">
      <w:pPr>
        <w:pStyle w:val="Paragrafi0"/>
      </w:pPr>
    </w:p>
    <w:p w:rsidR="0046299D" w:rsidRPr="00347EA8" w:rsidRDefault="0046299D" w:rsidP="0046299D">
      <w:pPr>
        <w:pStyle w:val="Paragrafi0"/>
      </w:pPr>
      <w:r w:rsidRPr="00347EA8">
        <w:t>II. E DREJTA E BRENDSHME PËRKATËSE</w:t>
      </w:r>
    </w:p>
    <w:p w:rsidR="0046299D" w:rsidRPr="00347EA8" w:rsidRDefault="0046299D" w:rsidP="0046299D">
      <w:pPr>
        <w:pStyle w:val="Paragrafi0"/>
      </w:pPr>
      <w:r w:rsidRPr="00347EA8">
        <w:t>A. Kushtetuta</w:t>
      </w:r>
    </w:p>
    <w:p w:rsidR="0046299D" w:rsidRPr="00347EA8" w:rsidRDefault="0046299D" w:rsidP="0046299D">
      <w:pPr>
        <w:pStyle w:val="Paragrafi0"/>
      </w:pPr>
      <w:r w:rsidRPr="00347EA8">
        <w:t>49. Dispo</w:t>
      </w:r>
      <w:r w:rsidR="00823353">
        <w:t>zitat përkatëse të Kushtetutës s</w:t>
      </w:r>
      <w:r w:rsidRPr="00347EA8">
        <w:t>hqiptare parashikojnë:</w:t>
      </w:r>
    </w:p>
    <w:p w:rsidR="0046299D" w:rsidRPr="00347EA8" w:rsidRDefault="0046299D" w:rsidP="0046299D">
      <w:pPr>
        <w:pStyle w:val="Paragrafi0"/>
      </w:pPr>
    </w:p>
    <w:p w:rsidR="0046299D" w:rsidRPr="00347EA8" w:rsidRDefault="0046299D" w:rsidP="00DD046F">
      <w:pPr>
        <w:pStyle w:val="NeniNr"/>
      </w:pPr>
      <w:r w:rsidRPr="00347EA8">
        <w:t>Neni 31</w:t>
      </w:r>
    </w:p>
    <w:p w:rsidR="0046299D" w:rsidRPr="00347EA8" w:rsidRDefault="0046299D" w:rsidP="0046299D">
      <w:pPr>
        <w:pStyle w:val="Paragrafi0"/>
      </w:pPr>
    </w:p>
    <w:p w:rsidR="0046299D" w:rsidRPr="00347EA8" w:rsidRDefault="005A41BB" w:rsidP="0046299D">
      <w:pPr>
        <w:pStyle w:val="Paragrafi0"/>
      </w:pPr>
      <w:r>
        <w:t>Gjatë proc</w:t>
      </w:r>
      <w:r w:rsidR="0046299D" w:rsidRPr="00347EA8">
        <w:t>edimit penal, kushdo ka të drejtë:</w:t>
      </w:r>
    </w:p>
    <w:p w:rsidR="0046299D" w:rsidRPr="00347EA8" w:rsidRDefault="00DD046F" w:rsidP="0046299D">
      <w:pPr>
        <w:pStyle w:val="Paragrafi0"/>
      </w:pPr>
      <w:r>
        <w:t xml:space="preserve">a) </w:t>
      </w:r>
      <w:r w:rsidR="00823353">
        <w:t>t</w:t>
      </w:r>
      <w:r w:rsidR="0046299D" w:rsidRPr="00347EA8">
        <w:t>ë vihet në dijeni menjëherë dhe hollësisht për akuzat e ngritura kundër tij, të drejtat e tij, si dhe t’i krijohet mundësia për të njoftuar familjen ose të afërmit;</w:t>
      </w:r>
    </w:p>
    <w:p w:rsidR="0046299D" w:rsidRPr="00347EA8" w:rsidRDefault="00DD046F" w:rsidP="0046299D">
      <w:pPr>
        <w:pStyle w:val="Paragrafi0"/>
      </w:pPr>
      <w:r>
        <w:t>b) t</w:t>
      </w:r>
      <w:r w:rsidR="0046299D" w:rsidRPr="00347EA8">
        <w:t>ë ketë kohën dhe mjetet e mjaftueshme për të përgatitur mbrojtjen e vet;</w:t>
      </w:r>
    </w:p>
    <w:p w:rsidR="0046299D" w:rsidRPr="00347EA8" w:rsidRDefault="0046299D" w:rsidP="0046299D">
      <w:pPr>
        <w:pStyle w:val="Paragrafi0"/>
      </w:pPr>
      <w:r w:rsidRPr="00347EA8">
        <w:t>c</w:t>
      </w:r>
      <w:r w:rsidR="00DD046F">
        <w:t xml:space="preserve">) </w:t>
      </w:r>
      <w:r w:rsidRPr="00347EA8">
        <w:t xml:space="preserve"> të ketë ndihmën pa pagesë të një përkthyesi, kur </w:t>
      </w:r>
      <w:r w:rsidR="00823353">
        <w:t>nuk flet ose nuk kupton gjuhën s</w:t>
      </w:r>
      <w:r w:rsidRPr="00347EA8">
        <w:t>hqipe;</w:t>
      </w:r>
    </w:p>
    <w:p w:rsidR="0046299D" w:rsidRPr="00347EA8" w:rsidRDefault="0046299D" w:rsidP="0046299D">
      <w:pPr>
        <w:pStyle w:val="Paragrafi0"/>
      </w:pPr>
      <w:r w:rsidRPr="00347EA8">
        <w:t>ç</w:t>
      </w:r>
      <w:r w:rsidR="00DD046F">
        <w:t xml:space="preserve">) </w:t>
      </w:r>
      <w:r w:rsidRPr="00347EA8">
        <w:t xml:space="preserve"> të mbrohet vetë ose me ndihmën e një mbrojtësi ligjor të zgjedhur prej tij, të komunikojë lirshëm dhe privatisht me të; si dhe t’i sigurohet mbrojtja falas, kur nuk ka mjete të mjaftueshme;</w:t>
      </w:r>
    </w:p>
    <w:p w:rsidR="0046299D" w:rsidRPr="00347EA8" w:rsidRDefault="00DD046F" w:rsidP="0046299D">
      <w:pPr>
        <w:pStyle w:val="Paragrafi0"/>
      </w:pPr>
      <w:r>
        <w:t xml:space="preserve">d) </w:t>
      </w:r>
      <w:r w:rsidR="0046299D" w:rsidRPr="00347EA8">
        <w:t xml:space="preserve"> t’u bëjë pyetje dëshmitarëve të pranishëm dhe të kërkojë paraqitjen e dëshmitarëve, ekspertëve dhe personave të tjerë</w:t>
      </w:r>
      <w:r w:rsidR="005A41BB">
        <w:t>,</w:t>
      </w:r>
      <w:r w:rsidR="0046299D" w:rsidRPr="00347EA8">
        <w:t xml:space="preserve"> të cilët mund të sqarojnë faktet.</w:t>
      </w:r>
    </w:p>
    <w:p w:rsidR="0046299D" w:rsidRPr="00347EA8" w:rsidRDefault="0046299D" w:rsidP="0046299D">
      <w:pPr>
        <w:pStyle w:val="Paragrafi0"/>
      </w:pPr>
    </w:p>
    <w:p w:rsidR="0046299D" w:rsidRPr="00347EA8" w:rsidRDefault="0046299D" w:rsidP="00DD046F">
      <w:pPr>
        <w:pStyle w:val="NeniNr"/>
      </w:pPr>
      <w:r w:rsidRPr="00347EA8">
        <w:t>Neni 32</w:t>
      </w:r>
    </w:p>
    <w:p w:rsidR="0046299D" w:rsidRPr="00347EA8" w:rsidRDefault="0046299D" w:rsidP="0046299D">
      <w:pPr>
        <w:pStyle w:val="Paragrafi0"/>
      </w:pPr>
    </w:p>
    <w:p w:rsidR="0046299D" w:rsidRPr="00347EA8" w:rsidRDefault="0046299D" w:rsidP="0046299D">
      <w:pPr>
        <w:pStyle w:val="Paragrafi0"/>
      </w:pPr>
      <w:r w:rsidRPr="00347EA8">
        <w:t>1.  Askush nuk mund të detyrohet të dëshmojë kundër vetvetes ose familjes së vet dhe as të pohojë fajësinë e tij.</w:t>
      </w:r>
    </w:p>
    <w:p w:rsidR="0046299D" w:rsidRPr="00347EA8" w:rsidRDefault="0046299D" w:rsidP="0046299D">
      <w:pPr>
        <w:pStyle w:val="Paragrafi0"/>
      </w:pPr>
      <w:r w:rsidRPr="00347EA8">
        <w:t>2. Askush nuk mund të deklarohet fajtor mbi bazën e të dhënave të mbledhura në mënyrë të paligjshme.</w:t>
      </w:r>
    </w:p>
    <w:p w:rsidR="0046299D" w:rsidRPr="00347EA8" w:rsidRDefault="0046299D" w:rsidP="0046299D">
      <w:pPr>
        <w:pStyle w:val="Paragrafi0"/>
      </w:pPr>
    </w:p>
    <w:p w:rsidR="0046299D" w:rsidRPr="00347EA8" w:rsidRDefault="0046299D" w:rsidP="00DD046F">
      <w:pPr>
        <w:pStyle w:val="NeniNr"/>
      </w:pPr>
      <w:r w:rsidRPr="00347EA8">
        <w:t>Neni 33</w:t>
      </w:r>
    </w:p>
    <w:p w:rsidR="0046299D" w:rsidRPr="00347EA8" w:rsidRDefault="0046299D" w:rsidP="0046299D">
      <w:pPr>
        <w:pStyle w:val="Paragrafi0"/>
      </w:pPr>
    </w:p>
    <w:p w:rsidR="0046299D" w:rsidRPr="00347EA8" w:rsidRDefault="00DD046F" w:rsidP="0046299D">
      <w:pPr>
        <w:pStyle w:val="Paragrafi0"/>
      </w:pPr>
      <w:r>
        <w:t xml:space="preserve">1. </w:t>
      </w:r>
      <w:r w:rsidR="0046299D" w:rsidRPr="00347EA8">
        <w:t>Kushdo ka të drejtë të dëgjohet para se të gjykohet.</w:t>
      </w:r>
    </w:p>
    <w:p w:rsidR="0046299D" w:rsidRPr="00347EA8" w:rsidRDefault="00DD046F" w:rsidP="0046299D">
      <w:pPr>
        <w:pStyle w:val="Paragrafi0"/>
      </w:pPr>
      <w:r>
        <w:t xml:space="preserve">2. </w:t>
      </w:r>
      <w:r w:rsidR="0046299D" w:rsidRPr="00347EA8">
        <w:t>Nga kjo e drejtë nuk mund të përfitojë personi që</w:t>
      </w:r>
      <w:r w:rsidR="005A41BB">
        <w:t xml:space="preserve"> i fshihet drejtë</w:t>
      </w:r>
      <w:r w:rsidR="0046299D" w:rsidRPr="00347EA8">
        <w:t>sisë.</w:t>
      </w:r>
    </w:p>
    <w:p w:rsidR="0046299D" w:rsidRPr="00347EA8" w:rsidRDefault="0046299D" w:rsidP="0046299D">
      <w:pPr>
        <w:pStyle w:val="Paragrafi0"/>
      </w:pPr>
    </w:p>
    <w:p w:rsidR="0046299D" w:rsidRPr="00347EA8" w:rsidRDefault="0046299D" w:rsidP="00DD046F">
      <w:pPr>
        <w:pStyle w:val="NeniNr"/>
      </w:pPr>
      <w:r w:rsidRPr="00347EA8">
        <w:t>Neni 42 § 2</w:t>
      </w:r>
    </w:p>
    <w:p w:rsidR="0046299D" w:rsidRPr="00347EA8" w:rsidRDefault="0046299D" w:rsidP="0046299D">
      <w:pPr>
        <w:pStyle w:val="Paragrafi0"/>
      </w:pPr>
    </w:p>
    <w:p w:rsidR="0046299D" w:rsidRPr="00347EA8" w:rsidRDefault="0046299D" w:rsidP="0046299D">
      <w:pPr>
        <w:pStyle w:val="Paragrafi0"/>
      </w:pPr>
      <w:r w:rsidRPr="00347EA8">
        <w:t xml:space="preserve">Kushdo, për mbrojtjen e të drejtave ligjore dhe kushtetuese, lirive dhe interesave ose në rastin e akuzave të ngritura kundër tij, ka të drejtën e </w:t>
      </w:r>
      <w:r w:rsidR="00823353">
        <w:t>një gjykimi të drejtë dhe publik</w:t>
      </w:r>
      <w:r w:rsidRPr="00347EA8">
        <w:t xml:space="preserve"> brenda një afati të arsyeshëm, nga një gjykatë e pavarur dhe e paanshme e caktuar me ligj.</w:t>
      </w:r>
    </w:p>
    <w:p w:rsidR="0046299D" w:rsidRPr="00347EA8" w:rsidRDefault="0046299D" w:rsidP="0046299D">
      <w:pPr>
        <w:pStyle w:val="Paragrafi0"/>
      </w:pPr>
    </w:p>
    <w:p w:rsidR="0046299D" w:rsidRPr="00347EA8" w:rsidRDefault="0046299D" w:rsidP="00DD046F">
      <w:pPr>
        <w:pStyle w:val="NeniNr"/>
      </w:pPr>
      <w:r w:rsidRPr="00347EA8">
        <w:t>Neni 131</w:t>
      </w:r>
    </w:p>
    <w:p w:rsidR="0046299D" w:rsidRPr="00347EA8" w:rsidRDefault="0046299D" w:rsidP="0046299D">
      <w:pPr>
        <w:pStyle w:val="Paragrafi0"/>
      </w:pPr>
    </w:p>
    <w:p w:rsidR="0046299D" w:rsidRPr="00347EA8" w:rsidRDefault="0046299D" w:rsidP="0046299D">
      <w:pPr>
        <w:pStyle w:val="Paragrafi0"/>
      </w:pPr>
      <w:r w:rsidRPr="00347EA8">
        <w:t>Gjykata Kushtetuese vendos:…</w:t>
      </w:r>
    </w:p>
    <w:p w:rsidR="0046299D" w:rsidRPr="00347EA8" w:rsidRDefault="0046299D" w:rsidP="0046299D">
      <w:pPr>
        <w:pStyle w:val="Paragrafi0"/>
      </w:pPr>
      <w:r w:rsidRPr="00347EA8">
        <w:t xml:space="preserve">f) gjykimin përfundimtar të ankesave të individëve për shkeljen e të drejtave </w:t>
      </w:r>
      <w:r w:rsidR="00FE6C15">
        <w:t>të tyre kushtetuese për një proc</w:t>
      </w:r>
      <w:r w:rsidRPr="00347EA8">
        <w:t>es të rregullt gjyqësor, pasi të jenë ezauruar të gjitha mjetet juridike për mbrojtjen e këtyre të drejtave.</w:t>
      </w:r>
    </w:p>
    <w:p w:rsidR="0046299D" w:rsidRPr="00347EA8" w:rsidRDefault="00FE6C15" w:rsidP="0046299D">
      <w:pPr>
        <w:pStyle w:val="Paragrafi0"/>
      </w:pPr>
      <w:r>
        <w:t>B. Kodi i Proc</w:t>
      </w:r>
      <w:r w:rsidR="0046299D" w:rsidRPr="00347EA8">
        <w:t>edurës Penale</w:t>
      </w:r>
    </w:p>
    <w:p w:rsidR="0046299D" w:rsidRPr="00347EA8" w:rsidRDefault="0046299D" w:rsidP="0046299D">
      <w:pPr>
        <w:pStyle w:val="Paragrafi0"/>
      </w:pPr>
      <w:r w:rsidRPr="00347EA8">
        <w:t>50. Kur kërkohet prania e mbrojtësit ligjor dhe mbrojtësi i zgjedhur ose i caktuar nuk është i siguruar, nuk është paraqitur ose ka lënë mbrojtjen, gjykata ose prokurori cakton si zëvendësues një mbrojtës tjetër, i cili ushtron të drejtat dhe merr përsipër detyrimet e mbrojtësit.</w:t>
      </w:r>
    </w:p>
    <w:p w:rsidR="0046299D" w:rsidRPr="00707546" w:rsidRDefault="0046299D" w:rsidP="0046299D">
      <w:pPr>
        <w:pStyle w:val="Paragrafi0"/>
        <w:rPr>
          <w:lang w:val="it-IT"/>
        </w:rPr>
      </w:pPr>
      <w:r w:rsidRPr="00707546">
        <w:rPr>
          <w:lang w:val="it-IT"/>
        </w:rPr>
        <w:t>51. Nenet 94 deri 97</w:t>
      </w:r>
      <w:r w:rsidR="00FE6C15" w:rsidRPr="00707546">
        <w:rPr>
          <w:lang w:val="it-IT"/>
        </w:rPr>
        <w:t xml:space="preserve"> përcaktojnë transferimin e procedimeve. Sipas formulimit të n</w:t>
      </w:r>
      <w:r w:rsidRPr="00707546">
        <w:rPr>
          <w:lang w:val="it-IT"/>
        </w:rPr>
        <w:t>enit 94, në fuqi në kohë materiale, në ç’do fazë dhe nivel gjatë gjykimit, kur siguria publike apo vullneti i lirë i njerëzve për të marrë pjesë në një gjykim dëmtohen nga ngjarje lokale të rënda të cilat mund të ndikojnë në kryerjen e gjykimit dhe që nuk mund të shma</w:t>
      </w:r>
      <w:r w:rsidR="005A41BB" w:rsidRPr="00707546">
        <w:rPr>
          <w:lang w:val="it-IT"/>
        </w:rPr>
        <w:t>n</w:t>
      </w:r>
      <w:r w:rsidRPr="00707546">
        <w:rPr>
          <w:lang w:val="it-IT"/>
        </w:rPr>
        <w:t>get nga mënyra të tjera, Gjykata e Lartë</w:t>
      </w:r>
      <w:r w:rsidR="00FE6C15" w:rsidRPr="00707546">
        <w:rPr>
          <w:lang w:val="it-IT"/>
        </w:rPr>
        <w:t>,</w:t>
      </w:r>
      <w:r w:rsidRPr="00707546">
        <w:rPr>
          <w:lang w:val="it-IT"/>
        </w:rPr>
        <w:t xml:space="preserve"> me kërkesë të arsyeshme të prokurorit ose të pandehurit, mund t’ia transferojë çështjen një gjykate tjetër.</w:t>
      </w:r>
    </w:p>
    <w:p w:rsidR="0046299D" w:rsidRPr="00707546" w:rsidRDefault="0046299D" w:rsidP="0046299D">
      <w:pPr>
        <w:pStyle w:val="Paragrafi0"/>
        <w:rPr>
          <w:lang w:val="it-IT"/>
        </w:rPr>
      </w:pPr>
      <w:r w:rsidRPr="00707546">
        <w:rPr>
          <w:lang w:val="it-IT"/>
        </w:rPr>
        <w:t>Neni 97 parashikon që Gjykata e Lartë vendos në fshehtësi. Vendimi për të lejuar që një kërkesë për çështjen që do transferohet, i bëhet i ditur gjykatës në të cilën janë kryer pro</w:t>
      </w:r>
      <w:r w:rsidR="00FE6C15" w:rsidRPr="00707546">
        <w:rPr>
          <w:lang w:val="it-IT"/>
        </w:rPr>
        <w:t>c</w:t>
      </w:r>
      <w:r w:rsidRPr="00707546">
        <w:rPr>
          <w:lang w:val="it-IT"/>
        </w:rPr>
        <w:t>edimet</w:t>
      </w:r>
      <w:r w:rsidR="005A41BB" w:rsidRPr="00707546">
        <w:rPr>
          <w:lang w:val="it-IT"/>
        </w:rPr>
        <w:t>,</w:t>
      </w:r>
      <w:r w:rsidRPr="00707546">
        <w:rPr>
          <w:lang w:val="it-IT"/>
        </w:rPr>
        <w:t xml:space="preserve"> si dhe gjykatës s</w:t>
      </w:r>
      <w:r w:rsidR="00FE6C15" w:rsidRPr="00707546">
        <w:rPr>
          <w:lang w:val="it-IT"/>
        </w:rPr>
        <w:t>ë cilës do t’i transferohen proc</w:t>
      </w:r>
      <w:r w:rsidRPr="00707546">
        <w:rPr>
          <w:lang w:val="it-IT"/>
        </w:rPr>
        <w:t>edimet. Gjykata e cila i ka kryer pro</w:t>
      </w:r>
      <w:r w:rsidR="00FE6C15" w:rsidRPr="00707546">
        <w:rPr>
          <w:lang w:val="it-IT"/>
        </w:rPr>
        <w:t>c</w:t>
      </w:r>
      <w:r w:rsidRPr="00707546">
        <w:rPr>
          <w:lang w:val="it-IT"/>
        </w:rPr>
        <w:t>edimet më parë duhet t’i</w:t>
      </w:r>
      <w:r w:rsidR="00FE6C15" w:rsidRPr="00707546">
        <w:rPr>
          <w:lang w:val="it-IT"/>
        </w:rPr>
        <w:t xml:space="preserve"> transferojë menjëherë dokumentet proc</w:t>
      </w:r>
      <w:r w:rsidRPr="00707546">
        <w:rPr>
          <w:lang w:val="it-IT"/>
        </w:rPr>
        <w:t>edurale gjykatës së caktuar dhe urdhëron njoftimin e vendimit të Gjykatës së Lartë prokurorit, të pandehurit dhe palëve private. Neni 97 § 3 deklaron që gjykata e caktuar nga Gjykata e Lartë jep vendimin nëse veprimet e kryera janë të vlefshme</w:t>
      </w:r>
      <w:r w:rsidR="005A41BB" w:rsidRPr="00707546">
        <w:rPr>
          <w:lang w:val="it-IT"/>
        </w:rPr>
        <w:t>,</w:t>
      </w:r>
      <w:r w:rsidRPr="00707546">
        <w:rPr>
          <w:lang w:val="it-IT"/>
        </w:rPr>
        <w:t xml:space="preserve"> si dhe shtrirjen e vlefshmërisë së tyre.</w:t>
      </w:r>
    </w:p>
    <w:p w:rsidR="0046299D" w:rsidRPr="00347EA8" w:rsidRDefault="00FE6C15" w:rsidP="0046299D">
      <w:pPr>
        <w:pStyle w:val="Paragrafi0"/>
      </w:pPr>
      <w:r w:rsidRPr="00707546">
        <w:rPr>
          <w:lang w:val="it-IT"/>
        </w:rPr>
        <w:t>52.  Sipas n</w:t>
      </w:r>
      <w:r w:rsidR="005A41BB" w:rsidRPr="00707546">
        <w:rPr>
          <w:lang w:val="it-IT"/>
        </w:rPr>
        <w:t>enit 362 § 1</w:t>
      </w:r>
      <w:r w:rsidR="0046299D" w:rsidRPr="00707546">
        <w:rPr>
          <w:lang w:val="it-IT"/>
        </w:rPr>
        <w:t xml:space="preserve"> në fuqi në kohë materiale, me qëllim që pjesërisht apo tërësisht të kundërshtohet përmbajtja e dëshmisë ose kur dëshmitari refuzon të dëshmojë, palët mund të përdorin deklaratat që janë dhënë paraprakisht nga dëshmitarët pranë prokurorit apo policisë gjyqësore, deklarata të cilat gjenden në dosjen e çështjes, por vetëm pasi dëshmitari ka dëshmuar për faktet dhe rrethanat që mund të kontestohen. </w:t>
      </w:r>
      <w:r w:rsidR="0046299D" w:rsidRPr="00347EA8">
        <w:t>Neni 362 § 2 përcakton se këto deklarata nuk përbëjnë të dhëna për faktet në lidhje me k</w:t>
      </w:r>
      <w:r>
        <w:t>ë</w:t>
      </w:r>
      <w:r w:rsidR="0046299D" w:rsidRPr="00347EA8">
        <w:t>të rast, por ato mund të shqyrtohen nga gjykata me qëllim që të përcaktohet besueshmëria e personit në fjalë dhe janë pjesë përbërëse e dosjes së çështjes.</w:t>
      </w:r>
    </w:p>
    <w:p w:rsidR="0046299D" w:rsidRPr="00347EA8" w:rsidRDefault="0046299D" w:rsidP="0046299D">
      <w:pPr>
        <w:pStyle w:val="Paragrafi0"/>
      </w:pPr>
      <w:r w:rsidRPr="00707546">
        <w:rPr>
          <w:lang w:val="it-IT"/>
        </w:rPr>
        <w:t xml:space="preserve">53.  Neni 425 përcakton fushën e shqyrtimit të apelimit nga </w:t>
      </w:r>
      <w:r w:rsidR="005A41BB" w:rsidRPr="00707546">
        <w:rPr>
          <w:lang w:val="it-IT"/>
        </w:rPr>
        <w:t>gjykata e apelit</w:t>
      </w:r>
      <w:r w:rsidRPr="00707546">
        <w:rPr>
          <w:lang w:val="it-IT"/>
        </w:rPr>
        <w:t xml:space="preserve">. </w:t>
      </w:r>
      <w:r w:rsidRPr="00347EA8">
        <w:t xml:space="preserve">Ai parashikon që shqyrtimi i çështjes nga </w:t>
      </w:r>
      <w:r w:rsidR="005A41BB" w:rsidRPr="00347EA8">
        <w:t xml:space="preserve">gjykata e apelit </w:t>
      </w:r>
      <w:r w:rsidRPr="00347EA8">
        <w:t>nuk kufizohet</w:t>
      </w:r>
      <w:r w:rsidR="0074503A">
        <w:t xml:space="preserve"> në argumente</w:t>
      </w:r>
      <w:r w:rsidRPr="00347EA8">
        <w:t>t e apelit</w:t>
      </w:r>
      <w:r w:rsidR="0074503A">
        <w:t>,</w:t>
      </w:r>
      <w:r w:rsidRPr="00347EA8">
        <w:t xml:space="preserve"> por shtrihet në tërë çështjen.</w:t>
      </w:r>
    </w:p>
    <w:p w:rsidR="0046299D" w:rsidRPr="00347EA8" w:rsidRDefault="0074503A" w:rsidP="0046299D">
      <w:pPr>
        <w:pStyle w:val="Paragrafi0"/>
      </w:pPr>
      <w:r>
        <w:t>54.  Sipas n</w:t>
      </w:r>
      <w:r w:rsidR="0046299D" w:rsidRPr="00347EA8">
        <w:t xml:space="preserve">enit 427, me kërkesën e palës, </w:t>
      </w:r>
      <w:r w:rsidR="00707546" w:rsidRPr="00347EA8">
        <w:t>gjykata e apelit</w:t>
      </w:r>
      <w:r w:rsidR="0046299D" w:rsidRPr="00347EA8">
        <w:t xml:space="preserve"> ka autoritetin të rishqyrtojë drejtpërdrejt të dhëna të mëparshme dhe materiale të reja shtesë, nëse e quan të domosdoshme.</w:t>
      </w:r>
    </w:p>
    <w:p w:rsidR="0046299D" w:rsidRPr="00347EA8" w:rsidRDefault="0046299D" w:rsidP="0046299D">
      <w:pPr>
        <w:pStyle w:val="Paragrafi0"/>
      </w:pPr>
      <w:r w:rsidRPr="00707546">
        <w:rPr>
          <w:lang w:val="it-IT"/>
        </w:rPr>
        <w:t xml:space="preserve">55.  Neni 428 përcakton vendimet që mund të merren nga </w:t>
      </w:r>
      <w:r w:rsidR="005A41BB" w:rsidRPr="00707546">
        <w:rPr>
          <w:lang w:val="it-IT"/>
        </w:rPr>
        <w:t>gjykata e apelit</w:t>
      </w:r>
      <w:r w:rsidRPr="00707546">
        <w:rPr>
          <w:lang w:val="it-IT"/>
        </w:rPr>
        <w:t xml:space="preserve">. </w:t>
      </w:r>
      <w:r w:rsidRPr="00347EA8">
        <w:t xml:space="preserve">Ai parashikon që </w:t>
      </w:r>
      <w:r w:rsidR="005A41BB" w:rsidRPr="00347EA8">
        <w:t xml:space="preserve">gjykata e apelit </w:t>
      </w:r>
      <w:r w:rsidRPr="00347EA8">
        <w:t>mund të vendosë të pezullojë apelimin dhe të miratojë vendimin, të ndryshojë vendimin, të shfuqizojë</w:t>
      </w:r>
      <w:r w:rsidR="0074503A">
        <w:t xml:space="preserve"> vendimin dhe të përfundojë proc</w:t>
      </w:r>
      <w:r w:rsidRPr="00347EA8">
        <w:t>edimet penale, ose të shfuqizojë vendimin dhe ta kalojë çështjen për gjykim të ri.</w:t>
      </w:r>
    </w:p>
    <w:p w:rsidR="0046299D" w:rsidRPr="00347EA8" w:rsidRDefault="0046299D" w:rsidP="0046299D">
      <w:pPr>
        <w:pStyle w:val="Paragrafi0"/>
      </w:pPr>
      <w:r w:rsidRPr="00347EA8">
        <w:t xml:space="preserve">56.  Vendimet e </w:t>
      </w:r>
      <w:r w:rsidR="005A41BB" w:rsidRPr="00347EA8">
        <w:t xml:space="preserve">gjykatës së apelit </w:t>
      </w:r>
      <w:r w:rsidRPr="00347EA8">
        <w:t>mund të ankimohen pranë G</w:t>
      </w:r>
      <w:r w:rsidR="0074503A">
        <w:t>jykatës së Lartë në përputhje me</w:t>
      </w:r>
      <w:r w:rsidRPr="00347EA8">
        <w:t xml:space="preserve"> n</w:t>
      </w:r>
      <w:r w:rsidR="0074503A">
        <w:t>jë nga kërkesat e mëposhtme të n</w:t>
      </w:r>
      <w:r w:rsidRPr="00347EA8">
        <w:t>enit 432: a) e drejta penale nuk është respektuar apo është zbatuar gabimisht; b</w:t>
      </w:r>
      <w:r w:rsidR="0074503A">
        <w:t>) ka pas</w:t>
      </w:r>
      <w:r w:rsidRPr="00347EA8">
        <w:t>ur shkelje</w:t>
      </w:r>
      <w:r w:rsidR="005A41BB">
        <w:t>,</w:t>
      </w:r>
      <w:r w:rsidRPr="00347EA8">
        <w:t xml:space="preserve"> të cilat kanë rezultuar në deklarimin e vendimit të gjykatës të pavlefshëm në përputhje me </w:t>
      </w:r>
      <w:r w:rsidR="0074503A">
        <w:t>n</w:t>
      </w:r>
      <w:r w:rsidRPr="00347EA8">
        <w:t>e</w:t>
      </w:r>
      <w:r w:rsidR="0074503A">
        <w:t>nin 128 të këtij Kodi; c) ka pasur shkelje të rregullave proc</w:t>
      </w:r>
      <w:r w:rsidRPr="00347EA8">
        <w:t>edurale</w:t>
      </w:r>
      <w:r w:rsidR="005A41BB">
        <w:t>,</w:t>
      </w:r>
      <w:r w:rsidRPr="00347EA8">
        <w:t xml:space="preserve"> të cilat kanë ndikuar në marrjen e vendimit.</w:t>
      </w:r>
    </w:p>
    <w:p w:rsidR="0046299D" w:rsidRPr="00347EA8" w:rsidRDefault="0074503A" w:rsidP="0046299D">
      <w:pPr>
        <w:pStyle w:val="Paragrafi0"/>
      </w:pPr>
      <w:r>
        <w:t xml:space="preserve">57. </w:t>
      </w:r>
      <w:r w:rsidR="0046299D" w:rsidRPr="00347EA8">
        <w:t>Neni 434 parashikon që Gjykata e Lartë shqyrton apelimin në rastet kur pikat e së drejtës janë ngritur për këtë problem.</w:t>
      </w:r>
    </w:p>
    <w:p w:rsidR="0046299D" w:rsidRPr="00347EA8" w:rsidRDefault="0046299D" w:rsidP="0046299D">
      <w:pPr>
        <w:pStyle w:val="Paragrafi0"/>
      </w:pPr>
    </w:p>
    <w:p w:rsidR="0046299D" w:rsidRPr="00347EA8" w:rsidRDefault="0046299D" w:rsidP="0046299D">
      <w:pPr>
        <w:pStyle w:val="Paragrafi0"/>
      </w:pPr>
      <w:smartTag w:uri="urn:schemas-microsoft-com:office:smarttags" w:element="place">
        <w:r w:rsidRPr="00347EA8">
          <w:t>E DREJTA</w:t>
        </w:r>
      </w:smartTag>
      <w:r w:rsidRPr="00347EA8">
        <w:t xml:space="preserve"> </w:t>
      </w:r>
    </w:p>
    <w:p w:rsidR="0046299D" w:rsidRPr="00347EA8" w:rsidRDefault="00E3650D" w:rsidP="0046299D">
      <w:pPr>
        <w:pStyle w:val="Paragrafi0"/>
      </w:pPr>
      <w:r>
        <w:t>58.  Ankuesi ka ankuar sipas n</w:t>
      </w:r>
      <w:r w:rsidR="0046299D" w:rsidRPr="00347EA8">
        <w:t xml:space="preserve">enit 3 të Konventës për pamjaftueshmërinë e trajtimit mjekësor që ai ka marrë gjatë periudhës së paraburgimit. Ai i është referuar plagëve që ka pësuar në </w:t>
      </w:r>
      <w:r>
        <w:t>konfrontimet me policinë</w:t>
      </w:r>
      <w:r w:rsidR="00CE4813">
        <w:t>,</w:t>
      </w:r>
      <w:r>
        <w:t xml:space="preserve"> më 18 m</w:t>
      </w:r>
      <w:r w:rsidR="0046299D" w:rsidRPr="00347EA8">
        <w:t xml:space="preserve">ars 1998. Neni 3 shprehet si më poshtë: </w:t>
      </w:r>
    </w:p>
    <w:p w:rsidR="0046299D" w:rsidRPr="00347EA8" w:rsidRDefault="0046299D" w:rsidP="007D027A">
      <w:pPr>
        <w:pStyle w:val="Paragrafi0"/>
      </w:pPr>
      <w:r w:rsidRPr="00347EA8">
        <w:t xml:space="preserve"> “Askush nuk duhet t’i nënshtrohet torturës ose trajtimit ç</w:t>
      </w:r>
      <w:r w:rsidR="007D027A">
        <w:t>njerëzor e degradues ap</w:t>
      </w:r>
      <w:r w:rsidR="00E3650D">
        <w:t>o</w:t>
      </w:r>
      <w:r w:rsidR="007D027A">
        <w:t xml:space="preserve"> d</w:t>
      </w:r>
      <w:r w:rsidRPr="00347EA8">
        <w:t>ënimit”.</w:t>
      </w:r>
    </w:p>
    <w:p w:rsidR="0046299D" w:rsidRPr="00347EA8" w:rsidRDefault="0046299D" w:rsidP="0046299D">
      <w:pPr>
        <w:pStyle w:val="Paragrafi0"/>
      </w:pPr>
      <w:r w:rsidRPr="00347EA8">
        <w:t>59. Ankuesi gjithashtu u ankua për kohëzgjatjen e mbajtjes së tij në arrest. Gjykata</w:t>
      </w:r>
      <w:r w:rsidR="00E3650D">
        <w:t xml:space="preserve"> shqyrton kërkesën e tij sipas n</w:t>
      </w:r>
      <w:r w:rsidRPr="00347EA8">
        <w:t>enit 5 § 3 të Konventës që lexohet si më poshtë:</w:t>
      </w:r>
    </w:p>
    <w:p w:rsidR="0046299D" w:rsidRPr="00347EA8" w:rsidRDefault="0046299D" w:rsidP="0046299D">
      <w:pPr>
        <w:pStyle w:val="Paragrafi0"/>
      </w:pPr>
      <w:r w:rsidRPr="00347EA8">
        <w:t>“Ç</w:t>
      </w:r>
      <w:r w:rsidR="00313463">
        <w:t>do</w:t>
      </w:r>
      <w:r w:rsidRPr="00347EA8">
        <w:t>kush i arrestuar apo i ndaluar në përputhje më dispozit</w:t>
      </w:r>
      <w:r w:rsidR="00313463">
        <w:t>at e paragrafit 1 (c) të këtij n</w:t>
      </w:r>
      <w:r w:rsidRPr="00347EA8">
        <w:t>eni ka të drejtën … e gjykimit brenda një periudhe kohe të arsyeshme apo të lirohet në pritje të gjykimit. Lirimi mund të kushtëzohet me garancitë për t’u paraqitur për gjykim”.</w:t>
      </w:r>
    </w:p>
    <w:p w:rsidR="0046299D" w:rsidRPr="00347EA8" w:rsidRDefault="0046299D" w:rsidP="0046299D">
      <w:pPr>
        <w:pStyle w:val="Paragrafi0"/>
      </w:pPr>
      <w:r w:rsidRPr="00347EA8">
        <w:t>60</w:t>
      </w:r>
      <w:r w:rsidR="00CE4813">
        <w:t>. Ankuesi u ankua më tej sipas n</w:t>
      </w:r>
      <w:r w:rsidRPr="00347EA8">
        <w:t xml:space="preserve">enit 6 § 3 (c) dhe (d) të Konventës se atij i </w:t>
      </w:r>
      <w:r w:rsidR="00313463">
        <w:t>ishte mohuar e drejta e një proc</w:t>
      </w:r>
      <w:r w:rsidRPr="00347EA8">
        <w:t>esi të rregullt ligjor</w:t>
      </w:r>
      <w:r w:rsidR="00CE4813">
        <w:t>,</w:t>
      </w:r>
      <w:r w:rsidRPr="00347EA8">
        <w:t xml:space="preserve"> meqë ai nuk ishte mbrojtur siç duhet nga një avokat dhe që nuk kishte mundur të pyeste dëshmitarët apo të siguronte paraqitjen e dëshmitarëve në </w:t>
      </w:r>
      <w:r w:rsidR="00F96850">
        <w:t>emër të tij. Pjesa përkatëse e n</w:t>
      </w:r>
      <w:r w:rsidRPr="00347EA8">
        <w:t xml:space="preserve">enit 6 të Konventës  lexohet si më poshtë: </w:t>
      </w:r>
    </w:p>
    <w:p w:rsidR="0046299D" w:rsidRPr="00347EA8" w:rsidRDefault="0046299D" w:rsidP="0046299D">
      <w:pPr>
        <w:pStyle w:val="Paragrafi0"/>
      </w:pPr>
      <w:r w:rsidRPr="00347EA8">
        <w:t>1. Në përcaktimin e …. çdo akuze penale kundër tij çdo kush ka të drejtën e një pro</w:t>
      </w:r>
      <w:r w:rsidR="00216AD0">
        <w:t>c</w:t>
      </w:r>
      <w:r w:rsidRPr="00347EA8">
        <w:t>esi …të rregullt …gjyqësor nga …gjykata…;</w:t>
      </w:r>
    </w:p>
    <w:p w:rsidR="0046299D" w:rsidRPr="00347EA8" w:rsidRDefault="0046299D" w:rsidP="0046299D">
      <w:pPr>
        <w:pStyle w:val="Paragrafi0"/>
      </w:pPr>
      <w:r w:rsidRPr="00347EA8">
        <w:t>3. Çdokush i akuzuar për një vepër penale ka të drejtat minimale të mëposhtme:</w:t>
      </w:r>
    </w:p>
    <w:p w:rsidR="0046299D" w:rsidRPr="00347EA8" w:rsidRDefault="00F56808" w:rsidP="0046299D">
      <w:pPr>
        <w:pStyle w:val="Paragrafi0"/>
      </w:pPr>
      <w:r>
        <w:t xml:space="preserve"> c)</w:t>
      </w:r>
      <w:r w:rsidR="0046299D" w:rsidRPr="00347EA8">
        <w:t xml:space="preserve"> të mbrojë veten privatisht apo nëpërmjet ndihmës ligjore</w:t>
      </w:r>
      <w:r w:rsidR="00216AD0">
        <w:t>,</w:t>
      </w:r>
      <w:r w:rsidR="0046299D" w:rsidRPr="00347EA8">
        <w:t xml:space="preserve"> me zgjedhjen e tij ose, nëse nuk ka mjetet e nevojshme për të paguar ndihmën ligjore t’i paguhet falas</w:t>
      </w:r>
      <w:r w:rsidR="00240833">
        <w:t>,</w:t>
      </w:r>
      <w:r w:rsidR="0046299D" w:rsidRPr="00347EA8">
        <w:t xml:space="preserve"> nëse e kërkojnë interesat e drejtësisë;</w:t>
      </w:r>
    </w:p>
    <w:p w:rsidR="0046299D" w:rsidRPr="00347EA8" w:rsidRDefault="00F56808" w:rsidP="0046299D">
      <w:pPr>
        <w:pStyle w:val="Paragrafi0"/>
      </w:pPr>
      <w:r>
        <w:t>d)</w:t>
      </w:r>
      <w:r w:rsidR="0046299D" w:rsidRPr="00347EA8">
        <w:t xml:space="preserve">  të pyesë apo të ketë pyetur dëshmitarët kundër tij dhe të sigurojë ndjekjen dhe pyetjen e dëshmitarëve në emër të tij në të njëjtat kushte me ato të dëshmitarëve kundër tij.</w:t>
      </w:r>
    </w:p>
    <w:p w:rsidR="0046299D" w:rsidRPr="00347EA8" w:rsidRDefault="0046299D" w:rsidP="0046299D">
      <w:pPr>
        <w:pStyle w:val="Paragrafi0"/>
      </w:pPr>
      <w:r w:rsidRPr="00347EA8">
        <w:t>…</w:t>
      </w:r>
    </w:p>
    <w:p w:rsidR="0046299D" w:rsidRPr="00347EA8" w:rsidRDefault="0046299D" w:rsidP="0046299D">
      <w:pPr>
        <w:pStyle w:val="Paragrafi0"/>
      </w:pPr>
    </w:p>
    <w:p w:rsidR="0046299D" w:rsidRPr="00347EA8" w:rsidRDefault="0046299D" w:rsidP="0046299D">
      <w:pPr>
        <w:pStyle w:val="Paragrafi0"/>
      </w:pPr>
      <w:r w:rsidRPr="00347EA8">
        <w:t>PRANUESHMËRIA E ANKIMEVE</w:t>
      </w:r>
    </w:p>
    <w:p w:rsidR="0046299D" w:rsidRPr="00347EA8" w:rsidRDefault="0046299D" w:rsidP="0046299D">
      <w:pPr>
        <w:pStyle w:val="Paragrafi0"/>
      </w:pPr>
      <w:r w:rsidRPr="00347EA8">
        <w:t>A. Ankimi rreth mungesës së trajtimit mjekësor të mjaftueshëm gjatë periudhës së paraburgimit</w:t>
      </w:r>
    </w:p>
    <w:p w:rsidR="0046299D" w:rsidRPr="00347EA8" w:rsidRDefault="0046299D" w:rsidP="0046299D">
      <w:pPr>
        <w:pStyle w:val="Paragrafi0"/>
      </w:pPr>
      <w:r w:rsidRPr="00347EA8">
        <w:t>61. Qeveria parashtroi se ankuesi nuk kishte mundur të paraqiste ankimet e tij në gjyka</w:t>
      </w:r>
      <w:r w:rsidR="00216AD0">
        <w:t>tat e brendshme sipas n</w:t>
      </w:r>
      <w:r w:rsidRPr="00347EA8">
        <w:t>enit 3 të Konventës dhe se kjo pjesë e ankimit për rrjedhojë duhet të shpallet e papranueshme për mosezaurim të mjeteve të brendshme ligjore.</w:t>
      </w:r>
    </w:p>
    <w:p w:rsidR="0046299D" w:rsidRPr="00347EA8" w:rsidRDefault="0046299D" w:rsidP="0046299D">
      <w:pPr>
        <w:pStyle w:val="Paragrafi0"/>
      </w:pPr>
      <w:r w:rsidRPr="00347EA8">
        <w:t xml:space="preserve">62. Në vëzhgimet e tij ankuesi  pohoi se atij nuk i ishte siguruar trajtim mjekësor i mjaftueshëm në qelitë e paraburgimit në Berat.  </w:t>
      </w:r>
    </w:p>
    <w:p w:rsidR="0046299D" w:rsidRPr="00347EA8" w:rsidRDefault="0046299D" w:rsidP="0046299D">
      <w:pPr>
        <w:pStyle w:val="Paragrafi0"/>
      </w:pPr>
      <w:r w:rsidRPr="00347EA8">
        <w:t>63. Gjykata rithekson se rregulli i shterimit të mjeteve të br</w:t>
      </w:r>
      <w:r w:rsidR="00216AD0">
        <w:t>endshme ligjore i përmendur në n</w:t>
      </w:r>
      <w:r w:rsidRPr="00347EA8">
        <w:t xml:space="preserve">enin 35 të  Konventës, detyron ata që kërkojnë të paraqesin </w:t>
      </w:r>
      <w:r w:rsidR="00240833" w:rsidRPr="00347EA8">
        <w:t>ç</w:t>
      </w:r>
      <w:r w:rsidR="00216AD0" w:rsidRPr="00347EA8">
        <w:t xml:space="preserve">ështjen </w:t>
      </w:r>
      <w:r w:rsidRPr="00347EA8">
        <w:t xml:space="preserve">e tyre kundër </w:t>
      </w:r>
      <w:r w:rsidR="00216AD0">
        <w:t>s</w:t>
      </w:r>
      <w:r w:rsidRPr="00347EA8">
        <w:t>htetit para Gjykatës, të përdorin  fillimisht mjetet e parashikuara nga sistemi ligjor kombëtar (shih Handyside kundër Mbretërisë së B</w:t>
      </w:r>
      <w:r w:rsidR="00240833">
        <w:t>ashkuar, 7 dhjetor 1976, § 48, s</w:t>
      </w:r>
      <w:r w:rsidRPr="00347EA8">
        <w:t>eria A nr. 24). Ankimet duhet të ishin depozituar pranë organit përkatës të brendshëm, të paktën në thelb dhe në përputhje me kërkesat formale dhe afatet kohore të përcaktuara në ligjin e brendshëm dhe më tej, që duhet të ishte përdorur çdo mjet procedural</w:t>
      </w:r>
      <w:r w:rsidR="00240833">
        <w:t>,</w:t>
      </w:r>
      <w:r w:rsidRPr="00347EA8">
        <w:t xml:space="preserve"> i cili mund të parandalonte shkeljen e Konventës </w:t>
      </w:r>
      <w:r w:rsidR="00240833">
        <w:t>(shih Cardot kundër Francës 19 m</w:t>
      </w:r>
      <w:r w:rsidRPr="00347EA8">
        <w:t xml:space="preserve">ars 1991, § 34, </w:t>
      </w:r>
      <w:r w:rsidR="00240833">
        <w:t>s</w:t>
      </w:r>
      <w:r w:rsidRPr="00347EA8">
        <w:t>eria nr. 200).</w:t>
      </w:r>
    </w:p>
    <w:p w:rsidR="0046299D" w:rsidRPr="00347EA8" w:rsidRDefault="0046299D" w:rsidP="0046299D">
      <w:pPr>
        <w:pStyle w:val="Paragrafi0"/>
      </w:pPr>
      <w:r w:rsidRPr="00347EA8">
        <w:t>64. Gjykata vëren se nuk ka informacion që ankuesi të ketë bërë ankime kundër policisë pranë autoritetit përkatës të brendshëm administrativ, për shembull prokurorisë, rreth pamundësisë për t’i siguruar atij  trajtim mjekësor të mjaftueshëm gjatë periudhës së paraburgimit. Ajo vëren më tej se ankuesi nuk paraqiti ndonjë ankim të ngjashëm, të paktën në thelb, në procedimet e gjykimit dhe apelit.</w:t>
      </w:r>
    </w:p>
    <w:p w:rsidR="0046299D" w:rsidRPr="00347EA8" w:rsidRDefault="00F56808" w:rsidP="0046299D">
      <w:pPr>
        <w:pStyle w:val="Paragrafi0"/>
      </w:pPr>
      <w:r>
        <w:t>65. </w:t>
      </w:r>
      <w:r w:rsidR="0046299D" w:rsidRPr="00347EA8">
        <w:t>Duke marrë parasysh sa më sipër, Gjykata arrin në përfundimin se ankuesi nuk arriti të ezauronte mjetet e brendshme ligjore të parashikuara nga sistemi i brendshëm ligjor. Rrjedhimisht, ajo rrëzon anki</w:t>
      </w:r>
      <w:r w:rsidR="00216AD0">
        <w:t>min e ankuesit në përputhje me n</w:t>
      </w:r>
      <w:r w:rsidR="0046299D" w:rsidRPr="00347EA8">
        <w:t>enin 35 §§ 1 dhe 4 të Konventës.</w:t>
      </w:r>
    </w:p>
    <w:p w:rsidR="0046299D" w:rsidRPr="00347EA8" w:rsidRDefault="0046299D" w:rsidP="0046299D">
      <w:pPr>
        <w:pStyle w:val="Paragrafi0"/>
      </w:pPr>
      <w:r w:rsidRPr="00347EA8">
        <w:t>B. Ankimi rreth kohëzgjatjes së paraburgimit</w:t>
      </w:r>
    </w:p>
    <w:p w:rsidR="0046299D" w:rsidRPr="00347EA8" w:rsidRDefault="0046299D" w:rsidP="0046299D">
      <w:pPr>
        <w:pStyle w:val="Paragrafi0"/>
      </w:pPr>
      <w:r w:rsidRPr="00347EA8">
        <w:t xml:space="preserve">66. Qeveria argumentoi se kohëzgjatja e paraburgimit të ankuesit ka qenë në përputhje me afatet kohore të parashikuara në legjislacionin e brendshëm dhe </w:t>
      </w:r>
      <w:r w:rsidR="00216AD0">
        <w:t>n</w:t>
      </w:r>
      <w:r w:rsidRPr="00347EA8">
        <w:t xml:space="preserve">enin  5 § 3 të Konventës. Ata këmbëngulën se kundërshtimi i ankuesit ndaj kohëzgjatjes së paraburgimit të tij ishte rrëzuar nga gjykatat e brendshme të të gjitha niveleve.  </w:t>
      </w:r>
    </w:p>
    <w:p w:rsidR="0046299D" w:rsidRPr="00347EA8" w:rsidRDefault="0046299D" w:rsidP="0046299D">
      <w:pPr>
        <w:pStyle w:val="Paragrafi0"/>
      </w:pPr>
      <w:r w:rsidRPr="00347EA8">
        <w:t xml:space="preserve">67. Ankuesi pohoi se paraburgimi i tij kishte zgjatur më shumë se afatet kohore të parashikuara në Kodin e Procedurës </w:t>
      </w:r>
      <w:r w:rsidR="00216AD0">
        <w:t>Penale dhe ishte në shkelje të n</w:t>
      </w:r>
      <w:r w:rsidRPr="00347EA8">
        <w:t>enit  5 § 3 të Konventës.</w:t>
      </w:r>
    </w:p>
    <w:p w:rsidR="0046299D" w:rsidRPr="00347EA8" w:rsidRDefault="0046299D" w:rsidP="0046299D">
      <w:pPr>
        <w:pStyle w:val="Paragrafi0"/>
      </w:pPr>
      <w:r w:rsidRPr="00347EA8">
        <w:t>68. Gjykata rithekson se paraburgimi përfundon për qëllimet e Konventës me shpalljen e fajësisë dhe dënimin e vendosur në shkallën e parë  (shih B. kundër. Austr</w:t>
      </w:r>
      <w:r w:rsidR="00240833">
        <w:t>isë, 28 mars 1990, §§ 34 – 40, s</w:t>
      </w:r>
      <w:r w:rsidRPr="00347EA8">
        <w:t>eria A nr. 175; Solmaz kundër Turqisë, nr. 27561/02, § 26, ECHR 2007</w:t>
      </w:r>
      <w:r w:rsidRPr="00347EA8">
        <w:noBreakHyphen/>
        <w:t>....., (ekstrakte).</w:t>
      </w:r>
    </w:p>
    <w:p w:rsidR="0046299D" w:rsidRPr="00347EA8" w:rsidRDefault="0046299D" w:rsidP="0046299D">
      <w:pPr>
        <w:pStyle w:val="Paragrafi0"/>
      </w:pPr>
      <w:r w:rsidRPr="00347EA8">
        <w:t>69. Gjykata vëren se paraburgimi i ankuesit filloi më  18 m</w:t>
      </w:r>
      <w:r w:rsidR="00216AD0">
        <w:t>ars 1998. Ai zgjati deri në 11 m</w:t>
      </w:r>
      <w:r w:rsidRPr="00347EA8">
        <w:t>aj 2000, datë në të cilën Gjykata e Rrethit Fier dha vendimin e saj</w:t>
      </w:r>
      <w:r w:rsidR="00216AD0">
        <w:t>,</w:t>
      </w:r>
      <w:r w:rsidRPr="00347EA8">
        <w:t xml:space="preserve"> duke e dënuar ankuesin. Pas asaj date, ankuesi nuk u përfshi në ndonjë mjet ligjor efektiv të synuar për kundërshtimin e kohëzgjatjes së paraburgimit të tij. Apeli i tij kushtetues nuk mund të konsiderohet si një mje</w:t>
      </w:r>
      <w:r w:rsidR="008F7016">
        <w:t>t ligjor efektiv për qëllim të n</w:t>
      </w:r>
      <w:r w:rsidRPr="00347EA8">
        <w:t>enit  5 të Konventës (shih, në të kundërt, paragrafin</w:t>
      </w:r>
      <w:r w:rsidR="00622EC8">
        <w:t xml:space="preserve"> 74 </w:t>
      </w:r>
      <w:r w:rsidRPr="00347EA8">
        <w:t>më poshtë në lid</w:t>
      </w:r>
      <w:r w:rsidR="00D64CFE">
        <w:t>hje me n</w:t>
      </w:r>
      <w:r w:rsidRPr="00347EA8">
        <w:t>enin 6).</w:t>
      </w:r>
    </w:p>
    <w:p w:rsidR="0046299D" w:rsidRPr="00347EA8" w:rsidRDefault="0046299D" w:rsidP="0046299D">
      <w:pPr>
        <w:pStyle w:val="Paragrafi0"/>
      </w:pPr>
      <w:r w:rsidRPr="00347EA8">
        <w:t xml:space="preserve">70.  Ankimi i ankuesit u depozitua në Gjykatë më 28 nëntor 2002, më shumë se gjashtë muaj pas vendimit të Gjykatës së Rrethit Fier.  </w:t>
      </w:r>
    </w:p>
    <w:p w:rsidR="0046299D" w:rsidRPr="00347EA8" w:rsidRDefault="0046299D" w:rsidP="0046299D">
      <w:pPr>
        <w:pStyle w:val="Paragrafi0"/>
      </w:pPr>
      <w:r w:rsidRPr="00347EA8">
        <w:t>71.  Në këto rrethana, Gjykata çmon se ankuesi ka dështuar të respektojë rregullin e gjashtëmujorit. Rezulton që kjo pjesë e kërkesë</w:t>
      </w:r>
      <w:r w:rsidR="008F7016">
        <w:t>s duhet të hidhet poshtë sipas n</w:t>
      </w:r>
      <w:r w:rsidRPr="00347EA8">
        <w:t>enit  35 §§ 1 dhe 4 të Konventës.</w:t>
      </w:r>
    </w:p>
    <w:p w:rsidR="0046299D" w:rsidRPr="00347EA8" w:rsidRDefault="00D64CFE" w:rsidP="0046299D">
      <w:pPr>
        <w:pStyle w:val="Paragrafi0"/>
      </w:pPr>
      <w:r>
        <w:t>C. Ankimet rreth mungesës të s</w:t>
      </w:r>
      <w:r w:rsidR="0046299D" w:rsidRPr="00347EA8">
        <w:t xml:space="preserve">ë drejtës për avokat dhe pamundësia e marrjes në pyetje të dëshmitarëve </w:t>
      </w:r>
    </w:p>
    <w:p w:rsidR="0046299D" w:rsidRPr="00347EA8" w:rsidRDefault="0046299D" w:rsidP="0046299D">
      <w:pPr>
        <w:pStyle w:val="Paragrafi0"/>
      </w:pPr>
      <w:r w:rsidRPr="00347EA8">
        <w:t>72.  Qeveria këmbënguli se ky ankim ishte i papranueshëm pasi ishte depozit</w:t>
      </w:r>
      <w:r w:rsidR="00240833">
        <w:t>uar më vonë se periudha gjashtë</w:t>
      </w:r>
      <w:r w:rsidRPr="00347EA8">
        <w:t>mujore</w:t>
      </w:r>
      <w:r w:rsidR="00240833">
        <w:t xml:space="preserve"> sipas n</w:t>
      </w:r>
      <w:r w:rsidRPr="00347EA8">
        <w:t xml:space="preserve">enit  35 § 1 të Konventës. Kështu, për shkak të vendimit të Gjykatës Kushtetuese mbi </w:t>
      </w:r>
      <w:r w:rsidR="00240833">
        <w:t>papranueshmërinë të datës  18 n</w:t>
      </w:r>
      <w:r w:rsidRPr="00347EA8">
        <w:t xml:space="preserve">ëntor 2003, mjeti ligjor përfundimtar efektiv në kuptim të asaj dispozite ishte në fakt vendimi </w:t>
      </w:r>
      <w:r w:rsidR="00240833">
        <w:t>i Gjykatës së Lartë i datës 16 t</w:t>
      </w:r>
      <w:r w:rsidRPr="00347EA8">
        <w:t>etor 2001, ndërsa ankuesi ki</w:t>
      </w:r>
      <w:r w:rsidR="00240833">
        <w:t>shte bërë kërkesën e tij më 28 n</w:t>
      </w:r>
      <w:r w:rsidRPr="00347EA8">
        <w:t xml:space="preserve">ëntor 2002.  </w:t>
      </w:r>
    </w:p>
    <w:p w:rsidR="0046299D" w:rsidRPr="00347EA8" w:rsidRDefault="0046299D" w:rsidP="0046299D">
      <w:pPr>
        <w:pStyle w:val="Paragrafi0"/>
      </w:pPr>
      <w:r w:rsidRPr="00347EA8">
        <w:t xml:space="preserve">73.  Ankuesi parashtroi </w:t>
      </w:r>
      <w:r w:rsidR="00240833">
        <w:t>në përgjigje, duke iu referuar n</w:t>
      </w:r>
      <w:r w:rsidRPr="00347EA8">
        <w:t>enit  131 (f) të Kushtetutës dhe praktikës së Gjykatës Kushtetuese, se me qëllim që të ezauronte të gjitha mjetet ligjore të brendshme, ankimet individuale duhet të depozitoheshin pranë Gjykatës Kushtetuese nëse dhe kur ata dyshonin për një shkelje të të drejtës për gjykim të drejtë. Për më tepër, ai u mbështet në vendimin e Gjykatës mbi pranueshmërinë, të marrë në çështjen Balliu kundër Shqipërisë (vendimi), nr. 74727/01.</w:t>
      </w:r>
    </w:p>
    <w:p w:rsidR="0046299D" w:rsidRPr="00347EA8" w:rsidRDefault="0046299D" w:rsidP="0046299D">
      <w:pPr>
        <w:pStyle w:val="Paragrafi0"/>
      </w:pPr>
      <w:r w:rsidRPr="00347EA8">
        <w:t>74.  Gjykata rithekson përfundimet e saj në çë</w:t>
      </w:r>
      <w:r w:rsidR="00947475">
        <w:t>shtjen Balliu kundër Shqipërisë</w:t>
      </w:r>
      <w:r w:rsidRPr="00347EA8">
        <w:t>. (vendimi) nr. 74727/01), i konfirmuar më pas në vendimin  Beshiri etj</w:t>
      </w:r>
      <w:r w:rsidR="00C01F5D">
        <w:t>.,</w:t>
      </w:r>
      <w:r w:rsidRPr="00347EA8">
        <w:t xml:space="preserve"> kundër Shqi</w:t>
      </w:r>
      <w:r w:rsidR="00240833">
        <w:t>përisë, (nr. 7352/03, § 32, 22 g</w:t>
      </w:r>
      <w:r w:rsidRPr="00347EA8">
        <w:t>usht 2006), ku ajo vendosi se një ankim pranë Gjykatës Kushtetuese konsiderohet mjet ligjor efektiv që du</w:t>
      </w:r>
      <w:r w:rsidR="00947475">
        <w:t>het të përdoret për qëllime të n</w:t>
      </w:r>
      <w:r w:rsidRPr="00347EA8">
        <w:t>enit 35 të Konventës</w:t>
      </w:r>
      <w:r w:rsidR="00C01F5D">
        <w:t>,</w:t>
      </w:r>
      <w:r w:rsidRPr="00347EA8">
        <w:t xml:space="preserve"> ku lindën çështje të gjykimit të drejtë. Ajo vëren se e drejta e të paditurit për avokat, duke përfshirë të drejtën për të thirrur dhe  marrë në pyetje dëshmitarët, përbën një element të rëndësishëm dhe thelbësor të gjykimi</w:t>
      </w:r>
      <w:r w:rsidR="00947475">
        <w:t>t të drejtë të garantuar sipas n</w:t>
      </w:r>
      <w:r w:rsidRPr="00347EA8">
        <w:t>enit 6 të Konventës (shih paragrafin 60 më lart dhe 77 në vijim më poshtë). Ajo çmon se nuk ka arsye për të devijuar rrethanat e çështjes në fjalë nga përfundimi i saj në çështjen Beshiri etj.</w:t>
      </w:r>
    </w:p>
    <w:p w:rsidR="0046299D" w:rsidRPr="00347EA8" w:rsidRDefault="0046299D" w:rsidP="0046299D">
      <w:pPr>
        <w:pStyle w:val="Paragrafi0"/>
      </w:pPr>
      <w:r w:rsidRPr="00347EA8">
        <w:t>75.  Ankuesi në fakt përfitoi nga ky mjet ligjor. Vendimi i Gjykatë</w:t>
      </w:r>
      <w:r w:rsidR="00947475">
        <w:t>s Kushtetuese është i datës 18 n</w:t>
      </w:r>
      <w:r w:rsidRPr="00347EA8">
        <w:t xml:space="preserve">ëntor 2003 dhe ankuesi e </w:t>
      </w:r>
      <w:r w:rsidR="00947475">
        <w:t>depozitoi ankimin e tij më 28 n</w:t>
      </w:r>
      <w:r w:rsidRPr="00347EA8">
        <w:t xml:space="preserve">ëntor 2002. Gjykata çmon se nuk lind asnjë problem në lidhje me respektimin e afatit kohor </w:t>
      </w:r>
      <w:r w:rsidR="00C01F5D">
        <w:t>gjashtëmujor të parashikuar në n</w:t>
      </w:r>
      <w:r w:rsidRPr="00347EA8">
        <w:t>enin  35 në lidhje me ankimet e tij rreth padrejtësisë së gjykimit të tij. Për këto arsye, Gjykata hedh poshtë kundërshtimin e Qeverisë.</w:t>
      </w:r>
    </w:p>
    <w:p w:rsidR="0046299D" w:rsidRPr="00347EA8" w:rsidRDefault="0046299D" w:rsidP="0046299D">
      <w:pPr>
        <w:pStyle w:val="Paragrafi0"/>
      </w:pPr>
      <w:r w:rsidRPr="00347EA8">
        <w:t xml:space="preserve">76.  Gjykata çmon se ankimet e ankuesit sipas </w:t>
      </w:r>
      <w:r w:rsidR="00947475">
        <w:t>n</w:t>
      </w:r>
      <w:r w:rsidRPr="00347EA8">
        <w:t>enit 6 § 3 (c) dhe (d) ngrenë çështje të faktit dhe ligjit që janë mjaft serioze që  përcaktimi i tyre duhet të varet nga shqyrtimi në themel. Nuk është paraqitur asnjë arsye tjetër për shpalljen e tyre të papranueshme. Rrjedhimisht, Gjykata i shpall këto ankime të papranueshme. Në përputhje me</w:t>
      </w:r>
      <w:r w:rsidR="00947475">
        <w:t xml:space="preserve"> vendimin e saj për të zbatuar n</w:t>
      </w:r>
      <w:r w:rsidRPr="00347EA8">
        <w:t xml:space="preserve">enin 29 § 3 të Konventës (shih paragrafin </w:t>
      </w:r>
      <w:r w:rsidR="00C01F5D">
        <w:t>4 më lart), Gjykata tashmë do t’i</w:t>
      </w:r>
      <w:r w:rsidRPr="00347EA8">
        <w:t xml:space="preserve"> shqyrtoj</w:t>
      </w:r>
      <w:r w:rsidR="00C01F5D">
        <w:t>ë</w:t>
      </w:r>
      <w:r w:rsidRPr="00347EA8">
        <w:t xml:space="preserve"> këto ankime në themel.</w:t>
      </w:r>
    </w:p>
    <w:p w:rsidR="0046299D" w:rsidRPr="00707546" w:rsidRDefault="0046299D" w:rsidP="0046299D">
      <w:pPr>
        <w:pStyle w:val="Paragrafi0"/>
        <w:rPr>
          <w:lang w:val="it-IT"/>
        </w:rPr>
      </w:pPr>
      <w:r w:rsidRPr="00707546">
        <w:rPr>
          <w:lang w:val="it-IT"/>
        </w:rPr>
        <w:t>II. SHKELJA E PRETENDUAR E NENIT 6 TË KONVENTËS</w:t>
      </w:r>
    </w:p>
    <w:p w:rsidR="0046299D" w:rsidRPr="00347EA8" w:rsidRDefault="0046299D" w:rsidP="0046299D">
      <w:pPr>
        <w:pStyle w:val="Paragrafi0"/>
      </w:pPr>
      <w:r w:rsidRPr="00707546">
        <w:rPr>
          <w:lang w:val="it-IT"/>
        </w:rPr>
        <w:t xml:space="preserve">77.  Gjykata në fillim rithekson se kërkesat </w:t>
      </w:r>
      <w:r w:rsidR="00947475" w:rsidRPr="00707546">
        <w:rPr>
          <w:lang w:val="it-IT"/>
        </w:rPr>
        <w:t>e paragrafit  3 (c) dhe (d) të n</w:t>
      </w:r>
      <w:r w:rsidRPr="00707546">
        <w:rPr>
          <w:lang w:val="it-IT"/>
        </w:rPr>
        <w:t>enit 6 duhet të s</w:t>
      </w:r>
      <w:r w:rsidR="00947475" w:rsidRPr="00707546">
        <w:rPr>
          <w:lang w:val="it-IT"/>
        </w:rPr>
        <w:t>hihen si aspekte të veçanta të s</w:t>
      </w:r>
      <w:r w:rsidRPr="00707546">
        <w:rPr>
          <w:lang w:val="it-IT"/>
        </w:rPr>
        <w:t xml:space="preserve">ë drejtës për gjykim të drejtë të garantuara nga paragrafi 1. </w:t>
      </w:r>
      <w:r w:rsidRPr="00347EA8">
        <w:t>Për këtë arsye, Gjykata e çmon të nevojshme të shqyrtojë ankimet e ankuesit nga pikëpamja e paragrafit 3</w:t>
      </w:r>
      <w:r w:rsidR="00947475">
        <w:t>,</w:t>
      </w:r>
      <w:r w:rsidRPr="00347EA8">
        <w:t xml:space="preserve"> të marra së bashku me parimet  e mishëruara në paragrafin 1. Gjykata shqyrton, në përputhje me praktikën  e saj normale, nëse procedimet ishin në tërësi të drejta (shih Van Geyseghem kundër Belgjikës [GC], nr. 26103/95, § 27, ECHR 1999</w:t>
      </w:r>
      <w:r w:rsidRPr="00347EA8">
        <w:noBreakHyphen/>
        <w:t>I, dhe Balliu kundër Shqi</w:t>
      </w:r>
      <w:r w:rsidR="00D67D59">
        <w:t>përisë, nr. 74727/01, § 25, 16 q</w:t>
      </w:r>
      <w:r w:rsidRPr="00347EA8">
        <w:t>ershor 2005).</w:t>
      </w:r>
    </w:p>
    <w:p w:rsidR="0046299D" w:rsidRPr="00707546" w:rsidRDefault="00A14A80" w:rsidP="0046299D">
      <w:pPr>
        <w:pStyle w:val="Paragrafi0"/>
        <w:rPr>
          <w:lang w:val="it-IT"/>
        </w:rPr>
      </w:pPr>
      <w:r w:rsidRPr="00707546">
        <w:rPr>
          <w:lang w:val="it-IT"/>
        </w:rPr>
        <w:t>A. Shkelja e pretenduar e nenit 6 § 1 në lidhje me n</w:t>
      </w:r>
      <w:r w:rsidR="0046299D" w:rsidRPr="00707546">
        <w:rPr>
          <w:lang w:val="it-IT"/>
        </w:rPr>
        <w:t>enin 6 § 3 (c)</w:t>
      </w:r>
    </w:p>
    <w:p w:rsidR="0046299D" w:rsidRPr="00707546" w:rsidRDefault="00F56808" w:rsidP="0046299D">
      <w:pPr>
        <w:pStyle w:val="Paragrafi0"/>
        <w:rPr>
          <w:lang w:val="it-IT"/>
        </w:rPr>
      </w:pPr>
      <w:r w:rsidRPr="00707546">
        <w:rPr>
          <w:lang w:val="it-IT"/>
        </w:rPr>
        <w:t xml:space="preserve">1. </w:t>
      </w:r>
      <w:r w:rsidR="0046299D" w:rsidRPr="00707546">
        <w:rPr>
          <w:lang w:val="it-IT"/>
        </w:rPr>
        <w:t>Parashtrimet e palëve</w:t>
      </w:r>
    </w:p>
    <w:p w:rsidR="0046299D" w:rsidRPr="00707546" w:rsidRDefault="0046299D" w:rsidP="0046299D">
      <w:pPr>
        <w:pStyle w:val="Paragrafi0"/>
        <w:rPr>
          <w:lang w:val="it-IT"/>
        </w:rPr>
      </w:pPr>
      <w:r w:rsidRPr="00707546">
        <w:rPr>
          <w:lang w:val="it-IT"/>
        </w:rPr>
        <w:t xml:space="preserve">78.  Ankuesi fillimisht pretendoi se në procedimet ligjore ai nuk ishte përfaqësuar nga një avokat gjatë fazave të gjykimit të tij, siç kërkohej nga  </w:t>
      </w:r>
      <w:r w:rsidR="00A14A80" w:rsidRPr="00707546">
        <w:rPr>
          <w:lang w:val="it-IT"/>
        </w:rPr>
        <w:t>n</w:t>
      </w:r>
      <w:r w:rsidRPr="00707546">
        <w:rPr>
          <w:lang w:val="it-IT"/>
        </w:rPr>
        <w:t>enet 6 §§ 1 dhe 3 (c) të Konventës.</w:t>
      </w:r>
    </w:p>
    <w:p w:rsidR="0046299D" w:rsidRPr="00707546" w:rsidRDefault="0046299D" w:rsidP="0046299D">
      <w:pPr>
        <w:pStyle w:val="Paragrafi0"/>
        <w:rPr>
          <w:lang w:val="it-IT"/>
        </w:rPr>
      </w:pPr>
      <w:r w:rsidRPr="00707546">
        <w:rPr>
          <w:lang w:val="it-IT"/>
        </w:rPr>
        <w:t>79.  Ankuesi kundërshtoi vërtetësinë e procesverbalit të</w:t>
      </w:r>
      <w:r w:rsidR="00963748" w:rsidRPr="00707546">
        <w:rPr>
          <w:lang w:val="it-IT"/>
        </w:rPr>
        <w:t xml:space="preserve"> seancës gjyqësore të datës 11 m</w:t>
      </w:r>
      <w:r w:rsidRPr="00707546">
        <w:rPr>
          <w:lang w:val="it-IT"/>
        </w:rPr>
        <w:t>aj 2000 që  supozohej të deklaronte se ai kishte rënë dakord “të vetëmbrohej”. Ai shtoi se</w:t>
      </w:r>
      <w:r w:rsidR="00963748" w:rsidRPr="00707546">
        <w:rPr>
          <w:lang w:val="it-IT"/>
        </w:rPr>
        <w:t>,</w:t>
      </w:r>
      <w:r w:rsidRPr="00707546">
        <w:rPr>
          <w:lang w:val="it-IT"/>
        </w:rPr>
        <w:t xml:space="preserve"> meqë parashtrimet përfundimtare ishin bërë </w:t>
      </w:r>
      <w:r w:rsidR="00963748" w:rsidRPr="00707546">
        <w:rPr>
          <w:lang w:val="it-IT"/>
        </w:rPr>
        <w:t xml:space="preserve">në gjykatën e rrethit </w:t>
      </w:r>
      <w:r w:rsidRPr="00707546">
        <w:rPr>
          <w:lang w:val="it-IT"/>
        </w:rPr>
        <w:t xml:space="preserve">në atë seancë gjyqësore, ai nuk kishte njohurinë minimale ligjore për t’u vetëmbrojtur personalisht dhe për të nxjerrë përfundime të formës së prerë mbi akuzat penale të ngritura kundër tij. </w:t>
      </w:r>
    </w:p>
    <w:p w:rsidR="0046299D" w:rsidRPr="00347EA8" w:rsidRDefault="0046299D" w:rsidP="0046299D">
      <w:pPr>
        <w:pStyle w:val="Paragrafi0"/>
      </w:pPr>
      <w:r w:rsidRPr="00707546">
        <w:rPr>
          <w:lang w:val="it-IT"/>
        </w:rPr>
        <w:t xml:space="preserve">80.  Ankuesi vërejti se </w:t>
      </w:r>
      <w:r w:rsidR="00C60DB5" w:rsidRPr="00707546">
        <w:rPr>
          <w:lang w:val="it-IT"/>
        </w:rPr>
        <w:t>gjykata e rrethit</w:t>
      </w:r>
      <w:r w:rsidRPr="00707546">
        <w:rPr>
          <w:lang w:val="it-IT"/>
        </w:rPr>
        <w:t xml:space="preserve"> nuk garantoi caktimin e një avokati tjetër  me zgjedhjen e saj, sipas seksionit 49 § 5 të Kodit të Procedurës Penale. </w:t>
      </w:r>
      <w:r w:rsidRPr="00347EA8">
        <w:t>Gjykata e brendshme gjithashtu nuk kishte marrë masa disiplinore në lidhje me avokatin mbrojtës të ankuesit për pamundësinë e tyre të vazhdueshme për t’u paraqitur në seanca gjyqësore gjatë gjykimit.</w:t>
      </w:r>
    </w:p>
    <w:p w:rsidR="0046299D" w:rsidRPr="00347EA8" w:rsidRDefault="0046299D" w:rsidP="0046299D">
      <w:pPr>
        <w:pStyle w:val="Paragrafi0"/>
      </w:pPr>
      <w:r w:rsidRPr="00707546">
        <w:rPr>
          <w:lang w:val="it-IT"/>
        </w:rPr>
        <w:t xml:space="preserve">81.  Qeveria rrëzoi pretendimet e ankuesit. </w:t>
      </w:r>
      <w:r w:rsidRPr="00347EA8">
        <w:t>Ata  këmbëngulën se që nga koha kur f</w:t>
      </w:r>
      <w:r w:rsidR="00C60DB5">
        <w:t>illoi hetimi, ankuesi kishte pas</w:t>
      </w:r>
      <w:r w:rsidRPr="00347EA8">
        <w:t>ur mjetet ligjore për t’u përfaqë</w:t>
      </w:r>
      <w:r w:rsidR="00C60DB5">
        <w:t>suar nga një avokat. Gjykata e r</w:t>
      </w:r>
      <w:r w:rsidRPr="00347EA8">
        <w:t xml:space="preserve">rethit kishte shtyrë seancat gjyqësore në disa raste për shkak të mungesës së avokatëve të ankuesit, duke i dhënë kështu ankuesit mundësinë të përfaqësohej dhe të vetëmbrohej në nivel të mjaftueshëm.  </w:t>
      </w:r>
    </w:p>
    <w:p w:rsidR="0046299D" w:rsidRPr="00347EA8" w:rsidRDefault="0046299D" w:rsidP="0046299D">
      <w:pPr>
        <w:pStyle w:val="Paragrafi0"/>
      </w:pPr>
      <w:r w:rsidRPr="00347EA8">
        <w:t>82.  Për më tepër, ankuesi nuk kishte bërë kërkesë për marrjen e masave disiplinore kundër këtyre avokatëve. Ai gjithashtu nuk i kishte kërkuar gjykatës të caktonte një avokat  me zgjedhjen e saj, sipas seksionit 49 § 5 të Kodit të Procedurës Penale.</w:t>
      </w:r>
    </w:p>
    <w:p w:rsidR="0046299D" w:rsidRPr="00347EA8" w:rsidRDefault="0046299D" w:rsidP="0046299D">
      <w:pPr>
        <w:pStyle w:val="Paragrafi0"/>
      </w:pPr>
      <w:r w:rsidRPr="00347EA8">
        <w:t>83. Qeveria pohoi se ankuesi, në sea</w:t>
      </w:r>
      <w:r w:rsidR="00C60DB5">
        <w:t>ncën përfundimtare të datës 11 m</w:t>
      </w:r>
      <w:r w:rsidRPr="00347EA8">
        <w:t xml:space="preserve">aj 2000 në </w:t>
      </w:r>
      <w:r w:rsidR="00C60DB5">
        <w:t>g</w:t>
      </w:r>
      <w:r w:rsidRPr="00347EA8">
        <w:t xml:space="preserve">jykatën e </w:t>
      </w:r>
      <w:r w:rsidR="00C60DB5">
        <w:t>r</w:t>
      </w:r>
      <w:r w:rsidRPr="00347EA8">
        <w:t>rethit, kishte deklaruar se dëshironte “të vetëmbrohej”.</w:t>
      </w:r>
    </w:p>
    <w:p w:rsidR="0046299D" w:rsidRPr="00347EA8" w:rsidRDefault="0046299D" w:rsidP="0046299D">
      <w:pPr>
        <w:pStyle w:val="Paragrafi0"/>
      </w:pPr>
      <w:r w:rsidRPr="00347EA8">
        <w:t>84. Në parashtrimet e Qeverisë, këmbëngulja e ankuesit për t’u përfaqësuar nga avokatë që kishin munguar pa arsye ose që ishin tërhequr nga mbrojtja, kombinuar me miratimin e tij për t’u vetëmbrojtur personalisht në seancën përfundimtare, nuk çon në një shkelje të të drejtave të tij kushtetuese.</w:t>
      </w:r>
    </w:p>
    <w:p w:rsidR="0046299D" w:rsidRPr="00347EA8" w:rsidRDefault="00B57C6F" w:rsidP="0046299D">
      <w:pPr>
        <w:pStyle w:val="Paragrafi0"/>
      </w:pPr>
      <w:r>
        <w:t xml:space="preserve">2. </w:t>
      </w:r>
      <w:r w:rsidR="0046299D" w:rsidRPr="00347EA8">
        <w:t>Vlerësimi i gjykatës</w:t>
      </w:r>
    </w:p>
    <w:p w:rsidR="0046299D" w:rsidRPr="00347EA8" w:rsidRDefault="0046299D" w:rsidP="0046299D">
      <w:pPr>
        <w:pStyle w:val="Paragrafi0"/>
      </w:pPr>
      <w:r w:rsidRPr="00347EA8">
        <w:t>85</w:t>
      </w:r>
      <w:r w:rsidR="00C60DB5">
        <w:t>.  Gjykata rithekson se ndërsa n</w:t>
      </w:r>
      <w:r w:rsidRPr="00347EA8">
        <w:t>eni 6 § 3 (c) i jep çdo të akuzuari pë</w:t>
      </w:r>
      <w:r w:rsidR="00443258">
        <w:t>r një vepër penale të drejtën “</w:t>
      </w:r>
      <w:r w:rsidRPr="00347EA8">
        <w:t xml:space="preserve">për t’u vetëmbrojtur personalisht ose përmes ndihmës ligjore...”, ajo nuk përcakton mënyrën e ushtrimit të kësaj të drejte. Kështu, ajo i lë </w:t>
      </w:r>
      <w:r w:rsidR="00443258" w:rsidRPr="00347EA8">
        <w:t xml:space="preserve">shteteve kontraktuese </w:t>
      </w:r>
      <w:r w:rsidRPr="00347EA8">
        <w:t>zgjedhjen e mjeteve të sigurimit që garantohet në sistemet e tyre ligjore, pra detyrën e Gjykatës vetëm për të përcaktuar nëse metoda që ata kanë zgjedhur është e pajtueshme me kërkesat e një gjykimit të drejtë (shih vendimin e Quara</w:t>
      </w:r>
      <w:r w:rsidR="00443258">
        <w:t>nta kundër Zvicrës të datës 24 m</w:t>
      </w:r>
      <w:r w:rsidR="00C01F5D">
        <w:t>aj 1991, s</w:t>
      </w:r>
      <w:r w:rsidRPr="00347EA8">
        <w:t>eria A nr. 205, fq. 16, § 30). Në lidhje me këtë, duhet pasur parasysh  se Konventa synon të “garantojë jo të drejtat që janë teorike ose të gabuara</w:t>
      </w:r>
      <w:r w:rsidR="00443258">
        <w:t>,</w:t>
      </w:r>
      <w:r w:rsidRPr="00347EA8">
        <w:t xml:space="preserve"> por të drejtat që janë praktike dhe efektive” dhe se caktimi i një avokati mbrojtës nuk garanton në vetvete efektivitetin e ndihmës që ai mund t’i japë  një të padituri (shih vendimin e Imbrioscia kundër Zvicrës, të datës 24 nëntor 1993, </w:t>
      </w:r>
      <w:r w:rsidR="00C01F5D">
        <w:t>s</w:t>
      </w:r>
      <w:r w:rsidRPr="00347EA8">
        <w:t xml:space="preserve">eria A nr. 275, fq. 13, § 38, dhe vendimin e Artico kundër </w:t>
      </w:r>
      <w:r w:rsidR="00C01F5D">
        <w:t>Italisë, të datës 13 maj 1980, s</w:t>
      </w:r>
      <w:r w:rsidRPr="00347EA8">
        <w:t>eria A nr. 37, fq. 16, § 33).</w:t>
      </w:r>
    </w:p>
    <w:p w:rsidR="0046299D" w:rsidRPr="00347EA8" w:rsidRDefault="0046299D" w:rsidP="0046299D">
      <w:pPr>
        <w:pStyle w:val="Paragrafi0"/>
      </w:pPr>
      <w:r w:rsidRPr="00347EA8">
        <w:t>86. Më tej, Gjykata rithekson</w:t>
      </w:r>
      <w:r w:rsidR="00443258">
        <w:t xml:space="preserve"> se  as forma, as përmbajtja e n</w:t>
      </w:r>
      <w:r w:rsidRPr="00347EA8">
        <w:t xml:space="preserve">enit 6 të Konventës nuk ndalon një person të  heqë </w:t>
      </w:r>
      <w:r w:rsidR="00443258">
        <w:t>dorë me vullnetin e tij të lirë</w:t>
      </w:r>
      <w:r w:rsidRPr="00347EA8">
        <w:t xml:space="preserve"> ose shprehimisht</w:t>
      </w:r>
      <w:r w:rsidR="00443258">
        <w:t>,</w:t>
      </w:r>
      <w:r w:rsidRPr="00347EA8">
        <w:t xml:space="preserve"> ose në mënyrë të heshtur, nga e drejta për garanci për një gjykim të drejtë (shih Hermi kundër Italisë [GC], nr. 18114/02, § 73, ECHR 2006</w:t>
      </w:r>
      <w:r w:rsidRPr="00347EA8">
        <w:noBreakHyphen/>
        <w:t>...). Megjithatë, kjo dorëheqje, për të qenë efektive për qëllimet e Konventës, duhet të  vendoset në mënyrë të qartë dhe të shoqërohet me garanci minimale në raport me rëndësinë e saj (shih  Poitrimol kundër Francës, 23 nëntor 1993, § 31, Seria A nr. 277</w:t>
      </w:r>
      <w:r w:rsidRPr="00347EA8">
        <w:noBreakHyphen/>
        <w:t>A). Për më tepër, ajo nuk duhet të bjerë ndesh me interesa të rëndësishme publike (shih Håkansson dh</w:t>
      </w:r>
      <w:r w:rsidR="00C01F5D">
        <w:t>e Sturesson kundër Suedisë, 21 shkurt 1990, § 66, s</w:t>
      </w:r>
      <w:r w:rsidRPr="00347EA8">
        <w:t>eria A nr. 171</w:t>
      </w:r>
      <w:r w:rsidRPr="00347EA8">
        <w:noBreakHyphen/>
        <w:t>A, dhe Sejdovic kundër Italisë [GC], nr. 56581/00, § 86, ECHR 2006</w:t>
      </w:r>
      <w:r w:rsidRPr="00347EA8">
        <w:noBreakHyphen/>
        <w:t>II).</w:t>
      </w:r>
    </w:p>
    <w:p w:rsidR="0046299D" w:rsidRPr="00347EA8" w:rsidRDefault="0046299D" w:rsidP="0046299D">
      <w:pPr>
        <w:pStyle w:val="Paragrafi0"/>
      </w:pPr>
      <w:r w:rsidRPr="00347EA8">
        <w:t>87.  Në çështjen në fjalë, ankuesi kishte të drejtë për avokatë sipas zgjedhjes së tij, që kundërshtonin argumentet e prokurorit dhe merrnin në pyetje dëshmitarët. Nuk ka të dhëna se ankuesi, duke zgjedhur pesë avokatë, nuk kishte mjete të mjaftueshme për të paguar për ndihmën ligjore në procedimet e gjykimit (shih, në të kund</w:t>
      </w:r>
      <w:r w:rsidR="00C01F5D">
        <w:t>ërt, Artico kundër Italisë, 13 m</w:t>
      </w:r>
      <w:r w:rsidRPr="00347EA8">
        <w:t xml:space="preserve">aj 1980, </w:t>
      </w:r>
      <w:r w:rsidR="00C01F5D">
        <w:t>s</w:t>
      </w:r>
      <w:r w:rsidRPr="00347EA8">
        <w:t>eria A nr. 37). Përfaqësuesit ligjorë të ankuesit ishin në gjendje të merrnin pjesë efektivisht në gjykim.  Në asnjë moment, ankuesi nuk i kishte njoftuar autoritetet për ndonjë vështirësi të ndeshur në përgatitjen e mbrojtjes së tij dhe nuk ka asnjë të dhënë që të tregojë se gjykata e shkallës së parë duhet të ishte angazhuar ndaj situatës së ankuesit me kërkesën e saj si administratore përfundimtare të drejtësisë së procedimeve (shih Cuscani kundër Mbretërisë së Ba</w:t>
      </w:r>
      <w:r w:rsidR="00EA7F8F">
        <w:t>shkuar, nr. 32771/96, § 39, 24 s</w:t>
      </w:r>
      <w:r w:rsidRPr="00347EA8">
        <w:t>htator 2002).</w:t>
      </w:r>
    </w:p>
    <w:p w:rsidR="0046299D" w:rsidRPr="00347EA8" w:rsidRDefault="0046299D" w:rsidP="0046299D">
      <w:pPr>
        <w:pStyle w:val="Paragrafi0"/>
      </w:pPr>
      <w:r w:rsidRPr="00347EA8">
        <w:t xml:space="preserve">88.  Gjykata e </w:t>
      </w:r>
      <w:r w:rsidR="00EA7F8F" w:rsidRPr="00347EA8">
        <w:t xml:space="preserve">shkallës së parë </w:t>
      </w:r>
      <w:r w:rsidRPr="00347EA8">
        <w:t xml:space="preserve">garantoi që ankuesi u përfaqësua dhe u mbrojt në nivel të mjaftueshëm, duke shtyrë pothuajse të gjitha seancat gjyqësore kur avokatët e ankuesit nuk ishin të pranishëm.  Në një rast, gjykata e shkallës së parë informoi kërkuesin për të drejtën e tij për të caktuar një avokat tjetër, duke marrë parasysh mungesën e vazhdueshme të përfaqësuesit të tij (shih paragrafin 26 më sipër).  </w:t>
      </w:r>
    </w:p>
    <w:p w:rsidR="0046299D" w:rsidRPr="00347EA8" w:rsidRDefault="0046299D" w:rsidP="0046299D">
      <w:pPr>
        <w:pStyle w:val="Paragrafi0"/>
      </w:pPr>
      <w:r w:rsidRPr="00347EA8">
        <w:t xml:space="preserve">89. Vetëm në dy raste gjykata e shkallës së parë procedoi në mungesë të avokatit të ankuesit, për shkak të dëshirës së hapur të ankuesit për t’u vetëmbrojtur personalisht. Para kësaj periudhe, nga data 8 dhjetor 1999 deri në 7 shkurt 2000 ankuesi e revokoi prokurën e avokatit të tij. Ai nuk i kërkoi gjykatës të caktonte një avokat sipas rregullave të vendosura nga gjykata. Duhet të vërehet se deri në 7 shkurt 2000, janë shtyrë pesë seanca gjyqësore dhe nuk u shqyrtua asnjë provë dhe nuk u pyetën dëshmitarë.  </w:t>
      </w:r>
    </w:p>
    <w:p w:rsidR="0046299D" w:rsidRPr="00347EA8" w:rsidRDefault="0046299D" w:rsidP="0046299D">
      <w:pPr>
        <w:pStyle w:val="Paragrafi0"/>
      </w:pPr>
      <w:r w:rsidRPr="00707546">
        <w:rPr>
          <w:lang w:val="it-IT"/>
        </w:rPr>
        <w:t xml:space="preserve">90.  Më 7 shkurt 2000 prokurori, me miratimin e ankuesit, procedoi me leximin e deklaratave të dëshmitarëve B. dhe D. Ankuesi nuk i pranoi ato deklarata. </w:t>
      </w:r>
      <w:r w:rsidRPr="00347EA8">
        <w:t>Nuk u mor në pyetje asnjë dëshmitar, megjithëse dëshmitari A. ishte paraqitur në gjykatë për të dëshmuar (shih paragrafin 27 më sipër).</w:t>
      </w:r>
    </w:p>
    <w:p w:rsidR="0046299D" w:rsidRPr="00347EA8" w:rsidRDefault="0046299D" w:rsidP="0046299D">
      <w:pPr>
        <w:pStyle w:val="Paragrafi0"/>
      </w:pPr>
      <w:r w:rsidRPr="00347EA8">
        <w:t>91.  Së dyti, nga procesverbali i</w:t>
      </w:r>
      <w:r w:rsidR="009019AC">
        <w:t xml:space="preserve"> seancës së fundit të datës 11 m</w:t>
      </w:r>
      <w:r w:rsidRPr="00347EA8">
        <w:t xml:space="preserve">aj 2000, rezulton se ankuesi në të vërtetë ra dakord të vetëmbrohej personalisht. Ankuesi ishte në dijeni për procedimet dhe akuzat kundër tij. Megjithatë, Gjykata vëren se në këtë rast ishte bërë  një dorëheqje e hapur. Nuk ka asgjë në dosjen e çështjes që të tregojë se në ditën e seancës gjyqësore, kur ai  pranoi që të vetëmbrohej personalisht, ankuesi protestoi ndaj autoriteteve të brendshme dhe kërkoi shtyrje të afatit.  </w:t>
      </w:r>
    </w:p>
    <w:p w:rsidR="0046299D" w:rsidRPr="00347EA8" w:rsidRDefault="0046299D" w:rsidP="0046299D">
      <w:pPr>
        <w:pStyle w:val="Paragrafi0"/>
      </w:pPr>
      <w:r w:rsidRPr="00347EA8">
        <w:t>92. Është e vërtetë se në apelin e tij, ankuesi shprehu kundërshtime dhe kundërshtoi pa sukses vërtetësinë e procesverbalit.  Megjithatë, sipas Gjykatës, ai kundërshtim i bërë në një fazë të mëvonshme dhe i pambështetur nga prova të tjera, nuk mund të  mbizotëronte mbi qëndrimin në du</w:t>
      </w:r>
      <w:r w:rsidR="009019AC">
        <w:t>kje të prerë të ankuesit më 11 m</w:t>
      </w:r>
      <w:r w:rsidRPr="00347EA8">
        <w:t>aj 2000.</w:t>
      </w:r>
    </w:p>
    <w:p w:rsidR="0046299D" w:rsidRPr="00347EA8" w:rsidRDefault="0046299D" w:rsidP="0046299D">
      <w:pPr>
        <w:pStyle w:val="Paragrafi0"/>
      </w:pPr>
      <w:r w:rsidRPr="00347EA8">
        <w:t xml:space="preserve">93.  Deklaratat e tre dëshmitarëve u lexuan në seancën gjyqësore të datës </w:t>
      </w:r>
      <w:r w:rsidR="009019AC">
        <w:t>11 m</w:t>
      </w:r>
      <w:r w:rsidRPr="00347EA8">
        <w:t xml:space="preserve">aj 2000 ( shih paragrafin 25 më sipër). Prokurori  dhe ankuesi proceduan me  vëzhgimet e tyre përmbyllëse. Gjykata vëren se nuk ka të dhëna që deklaratat e dëshmitarëve të lexuara në seancën gjyqësore të datës 11 </w:t>
      </w:r>
      <w:r w:rsidR="009019AC">
        <w:t>m</w:t>
      </w:r>
      <w:r w:rsidRPr="00347EA8">
        <w:t>aj 2000 kishin rëndësi për provën e fajësisë dhe dënimin e ankuesit. Në të vërtetë, gjykatat e brendshme e konfirmuan këtë.  Asnjë provë tjetër nuk u shqyrtua në atë datë ndërsa gjykata e shkallës së parë konstatoi se ka prova të mjaftueshme për të provuar fajësinë dhe dënuar ankuesin. Rrjedhimisht, ajo vendosi të përfundonte procedimet e gjykimit.</w:t>
      </w:r>
    </w:p>
    <w:p w:rsidR="0046299D" w:rsidRPr="00347EA8" w:rsidRDefault="0046299D" w:rsidP="0046299D">
      <w:pPr>
        <w:pStyle w:val="Paragrafi0"/>
      </w:pPr>
      <w:r w:rsidRPr="00347EA8">
        <w:t xml:space="preserve">94. Është e vërtetë se vëzhgimet përmbyllëse në emër të ankuesit, që padyshim kërkonin njohuri dhe ekspertizë ligjore, nuk  u bënë nga avokati i tij. Megjithatë, në procedimet e apelit, ankuesi u përfaqësua nga një avokat sipas zgjedhjes së tij, i cili, gjë që nuk ishte kundërshtuar nga palët,  bëri vëzhgime përmbyllëse duke ripohur pafajësinë e tij për akuzat penale të ngritura kundër tij (shih, midis shumë autoriteteve të tjera, </w:t>
      </w:r>
      <w:bookmarkStart w:id="1" w:name="File12"/>
      <w:r w:rsidRPr="00347EA8">
        <w:t>Edwards</w:t>
      </w:r>
      <w:bookmarkEnd w:id="1"/>
      <w:r w:rsidRPr="00347EA8">
        <w:t xml:space="preserve"> kundër Mbretërisë së Ba</w:t>
      </w:r>
      <w:r w:rsidR="001C28FE">
        <w:t>shkuar, 16 dhjetor 1992, § 39, s</w:t>
      </w:r>
      <w:r w:rsidRPr="00347EA8">
        <w:t>eria A nr. 247</w:t>
      </w:r>
      <w:r w:rsidRPr="00347EA8">
        <w:noBreakHyphen/>
        <w:t>B).</w:t>
      </w:r>
    </w:p>
    <w:p w:rsidR="0046299D" w:rsidRPr="00347EA8" w:rsidRDefault="0046299D" w:rsidP="0046299D">
      <w:pPr>
        <w:pStyle w:val="Paragrafi0"/>
      </w:pPr>
      <w:r w:rsidRPr="00347EA8">
        <w:t>95.  Duke pasur parasysh përfundimet e mësipërme, Gjykata çmon se fakti që ankuesi nuk u përfaqësua nga një avokat në dy seanca gjyqësore gjatë procedimeve të gjykimit, nuk çoi në një shkelje të</w:t>
      </w:r>
      <w:r w:rsidR="009019AC">
        <w:t xml:space="preserve"> n</w:t>
      </w:r>
      <w:r w:rsidRPr="00347EA8">
        <w:t>enit  6 § 3</w:t>
      </w:r>
      <w:r w:rsidR="009019AC">
        <w:t xml:space="preserve"> (c) të Konventës në lidhje me n</w:t>
      </w:r>
      <w:r w:rsidRPr="00347EA8">
        <w:t>enin 6 § 1 të Konventës.</w:t>
      </w:r>
    </w:p>
    <w:p w:rsidR="0046299D" w:rsidRPr="00707546" w:rsidRDefault="0046299D" w:rsidP="0046299D">
      <w:pPr>
        <w:pStyle w:val="Paragrafi0"/>
        <w:rPr>
          <w:lang w:val="it-IT"/>
        </w:rPr>
      </w:pPr>
      <w:r w:rsidRPr="00707546">
        <w:rPr>
          <w:lang w:val="it-IT"/>
        </w:rPr>
        <w:t xml:space="preserve">B. Shkelja e pretenduar e </w:t>
      </w:r>
      <w:r w:rsidR="009019AC" w:rsidRPr="00707546">
        <w:rPr>
          <w:lang w:val="it-IT"/>
        </w:rPr>
        <w:t>nenit 6 § 1 në lidhje me n</w:t>
      </w:r>
      <w:r w:rsidRPr="00707546">
        <w:rPr>
          <w:lang w:val="it-IT"/>
        </w:rPr>
        <w:t>enin  6 § 3 (d)</w:t>
      </w:r>
    </w:p>
    <w:p w:rsidR="0046299D" w:rsidRPr="00707546" w:rsidRDefault="00B57C6F" w:rsidP="0046299D">
      <w:pPr>
        <w:pStyle w:val="Paragrafi0"/>
        <w:rPr>
          <w:lang w:val="it-IT"/>
        </w:rPr>
      </w:pPr>
      <w:r w:rsidRPr="00707546">
        <w:rPr>
          <w:lang w:val="it-IT"/>
        </w:rPr>
        <w:t xml:space="preserve">1. </w:t>
      </w:r>
      <w:r w:rsidR="0046299D" w:rsidRPr="00707546">
        <w:rPr>
          <w:lang w:val="it-IT"/>
        </w:rPr>
        <w:t>Parashtrimet e palëve</w:t>
      </w:r>
    </w:p>
    <w:p w:rsidR="0046299D" w:rsidRPr="00347EA8" w:rsidRDefault="0046299D" w:rsidP="0046299D">
      <w:pPr>
        <w:pStyle w:val="Paragrafi0"/>
      </w:pPr>
      <w:r w:rsidRPr="00707546">
        <w:rPr>
          <w:lang w:val="it-IT"/>
        </w:rPr>
        <w:t>96.  Ankuesi u ankua se refuzimi nga Gjykata e Rrethit Fier e kërkesës së tij për ta lejuar të marrë në pyetje dëshmitarin M.</w:t>
      </w:r>
      <w:r w:rsidR="009019AC" w:rsidRPr="00707546">
        <w:rPr>
          <w:lang w:val="it-IT"/>
        </w:rPr>
        <w:t xml:space="preserve"> shkeli të drejtën e tij sipas n</w:t>
      </w:r>
      <w:r w:rsidRPr="00707546">
        <w:rPr>
          <w:lang w:val="it-IT"/>
        </w:rPr>
        <w:t xml:space="preserve">enit 6 § 3 (d). </w:t>
      </w:r>
      <w:r w:rsidRPr="00347EA8">
        <w:t xml:space="preserve">Ai gjithashtu u ankua se Gjykata e Rrethit Fier nuk ishte e gatshme të urdhëronte dëshmitarët e tij të mbrojtjes të paraqiteshin pranë asaj gjykate. Për më tepër, sipas mendimit të ankuesit, </w:t>
      </w:r>
      <w:r w:rsidR="005519BA">
        <w:t>Gjykata e Rrethit Fier nuk mund</w:t>
      </w:r>
      <w:r w:rsidRPr="00347EA8">
        <w:t xml:space="preserve"> të merrte parasysh  provat e shumë dëshmitarëve që kishin dëshmuar në favor të ankuesit para Gjykatës së Rrethit Berat  (shih paragrafin 20 më lart).</w:t>
      </w:r>
    </w:p>
    <w:p w:rsidR="0046299D" w:rsidRPr="00347EA8" w:rsidRDefault="0046299D" w:rsidP="0046299D">
      <w:pPr>
        <w:pStyle w:val="Paragrafi0"/>
      </w:pPr>
      <w:r w:rsidRPr="00347EA8">
        <w:t xml:space="preserve">97. Ankuesi parashtroi se prova e fajësisë dhe </w:t>
      </w:r>
      <w:r w:rsidR="005519BA">
        <w:t xml:space="preserve">e </w:t>
      </w:r>
      <w:r w:rsidRPr="00347EA8">
        <w:t>dënimit të tij për vrasjen e P</w:t>
      </w:r>
      <w:r w:rsidR="005519BA">
        <w:t>-së</w:t>
      </w:r>
      <w:r w:rsidRPr="00347EA8">
        <w:t>, kryesisht bazoheshin në deklaratat e dëshmitarëve B., C. dhe  D., që u morën gjatë hetimit penal. Asnjë prej këtyre dëshmitarëve nuk u paraqit në Gjykatën e Rrethit Fier. Për më tepër, dëshmitari A, nuk kishte qenë i pranishëm në vendin e krimit.</w:t>
      </w:r>
    </w:p>
    <w:p w:rsidR="0046299D" w:rsidRPr="00347EA8" w:rsidRDefault="0046299D" w:rsidP="0046299D">
      <w:pPr>
        <w:pStyle w:val="Paragrafi0"/>
      </w:pPr>
      <w:r w:rsidRPr="00347EA8">
        <w:t xml:space="preserve">98.  Qeveria parashtroi se më 23 shkurt 2000, M. u dëgjua para Gjykatës së Rrethit Fier. Avokatit të ankuesit iu dha mundësia  për të marrë në pyetje dëshmitarin, por ai refuzoi të përfitonte nga kjo mundësi. Për rrjedhojë, Gjykata e Rrethit Fier refuzoi kërkesat e mëtejshme të avokatit të ankuesit për marrjen në pyetje të M.  </w:t>
      </w:r>
    </w:p>
    <w:p w:rsidR="0046299D" w:rsidRPr="00347EA8" w:rsidRDefault="0046299D" w:rsidP="0046299D">
      <w:pPr>
        <w:pStyle w:val="Paragrafi0"/>
      </w:pPr>
      <w:r w:rsidRPr="00347EA8">
        <w:t>99.  Qeveria nuk bëri ndonjë vëzhgim mbi ankimet e mëtejshme të ankuesit sipas këtij kreu.</w:t>
      </w:r>
    </w:p>
    <w:p w:rsidR="0046299D" w:rsidRPr="00707546" w:rsidRDefault="00B57C6F" w:rsidP="0046299D">
      <w:pPr>
        <w:pStyle w:val="Paragrafi0"/>
        <w:rPr>
          <w:lang w:val="it-IT"/>
        </w:rPr>
      </w:pPr>
      <w:r w:rsidRPr="00707546">
        <w:rPr>
          <w:lang w:val="it-IT"/>
        </w:rPr>
        <w:t xml:space="preserve">2. </w:t>
      </w:r>
      <w:r w:rsidR="0046299D" w:rsidRPr="00707546">
        <w:rPr>
          <w:lang w:val="it-IT"/>
        </w:rPr>
        <w:t>Vlerësimi i Gjykatës</w:t>
      </w:r>
    </w:p>
    <w:p w:rsidR="0046299D" w:rsidRPr="00707546" w:rsidRDefault="00B57C6F" w:rsidP="0046299D">
      <w:pPr>
        <w:pStyle w:val="Paragrafi0"/>
        <w:rPr>
          <w:lang w:val="it-IT"/>
        </w:rPr>
      </w:pPr>
      <w:r w:rsidRPr="00707546">
        <w:rPr>
          <w:lang w:val="it-IT"/>
        </w:rPr>
        <w:t>a)</w:t>
      </w:r>
      <w:r w:rsidR="005519BA" w:rsidRPr="00707546">
        <w:rPr>
          <w:lang w:val="it-IT"/>
        </w:rPr>
        <w:t xml:space="preserve"> Parime të p</w:t>
      </w:r>
      <w:r w:rsidR="0046299D" w:rsidRPr="00707546">
        <w:rPr>
          <w:lang w:val="it-IT"/>
        </w:rPr>
        <w:t>ërgjithshme</w:t>
      </w:r>
    </w:p>
    <w:p w:rsidR="0046299D" w:rsidRPr="00347EA8" w:rsidRDefault="0046299D" w:rsidP="0046299D">
      <w:pPr>
        <w:pStyle w:val="Paragrafi0"/>
      </w:pPr>
      <w:r w:rsidRPr="00347EA8">
        <w:t>100. Gjykata në fillim rithekson se pranueshmëria e provave kryesisht rregullohet nga rregullat e ligjit të brendshëm dhe, si rregull,  gjykatat e brendshme duhet të vlerësojnë provat e paraqitura pranë tyre. Detyra e Gjykatës sipas Konventës nuk është të japë vendim nëse deklaratat e dëshmitarëve u pranuan siç duhet si prova, por më tepër të përcaktojë nëse procedimet në tërësi, duke përfshirë mënyrën në të cilën u morën provat, ishin të drejta (shih vendimin e Balliu, cituar më sipër, § 42).</w:t>
      </w:r>
    </w:p>
    <w:p w:rsidR="0046299D" w:rsidRPr="002D1345" w:rsidRDefault="0046299D" w:rsidP="0046299D">
      <w:pPr>
        <w:pStyle w:val="Paragrafi0"/>
        <w:rPr>
          <w:sz w:val="21"/>
          <w:szCs w:val="21"/>
        </w:rPr>
      </w:pPr>
      <w:r w:rsidRPr="002D1345">
        <w:rPr>
          <w:sz w:val="21"/>
          <w:szCs w:val="21"/>
        </w:rPr>
        <w:t>101.  Provat normalisht duhet të paraqiten në një seancë me dyer të hapura, në prani të të paditurit, me qëllim argumentin kundërshtues. Ka përjashtime ndaj këtij parimi</w:t>
      </w:r>
      <w:r w:rsidR="005519BA" w:rsidRPr="002D1345">
        <w:rPr>
          <w:sz w:val="21"/>
          <w:szCs w:val="21"/>
        </w:rPr>
        <w:t>,</w:t>
      </w:r>
      <w:r w:rsidRPr="002D1345">
        <w:rPr>
          <w:sz w:val="21"/>
          <w:szCs w:val="21"/>
        </w:rPr>
        <w:t xml:space="preserve"> por ato nuk duhet të shkelin të drejtat e mbrojtjes. Si rregull i përgjithshëm, paragrafët 1 dhe 3 (d) të </w:t>
      </w:r>
      <w:r w:rsidR="005519BA" w:rsidRPr="002D1345">
        <w:rPr>
          <w:sz w:val="21"/>
          <w:szCs w:val="21"/>
        </w:rPr>
        <w:t>n</w:t>
      </w:r>
      <w:r w:rsidRPr="002D1345">
        <w:rPr>
          <w:sz w:val="21"/>
          <w:szCs w:val="21"/>
        </w:rPr>
        <w:t xml:space="preserve">enit 6 kërkojnë që të paditurit t’i jepet mundësi e mjaftueshme dhe e përshtatshme për të kundërshtuar dhe marrë në pyetje një dëshmitar kundër tij, qoftë kur ai bën deklaratat e tij ose në një fazë të mëvonshme të procedimeve </w:t>
      </w:r>
      <w:r w:rsidR="001C28FE" w:rsidRPr="002D1345">
        <w:rPr>
          <w:sz w:val="21"/>
          <w:szCs w:val="21"/>
        </w:rPr>
        <w:t xml:space="preserve"> (shih Lüdi kundër Zvicrës, 15 q</w:t>
      </w:r>
      <w:r w:rsidRPr="002D1345">
        <w:rPr>
          <w:sz w:val="21"/>
          <w:szCs w:val="21"/>
        </w:rPr>
        <w:t xml:space="preserve">ershor 1992, § 47, </w:t>
      </w:r>
      <w:r w:rsidR="001C28FE" w:rsidRPr="002D1345">
        <w:rPr>
          <w:sz w:val="21"/>
          <w:szCs w:val="21"/>
        </w:rPr>
        <w:t>s</w:t>
      </w:r>
      <w:r w:rsidRPr="002D1345">
        <w:rPr>
          <w:sz w:val="21"/>
          <w:szCs w:val="21"/>
        </w:rPr>
        <w:t>eria A nr. 238, dhe Van Mec</w:t>
      </w:r>
      <w:r w:rsidR="001C28FE" w:rsidRPr="002D1345">
        <w:rPr>
          <w:sz w:val="21"/>
          <w:szCs w:val="21"/>
        </w:rPr>
        <w:t>helen etj kundër Ho</w:t>
      </w:r>
      <w:r w:rsidR="005519BA" w:rsidRPr="002D1345">
        <w:rPr>
          <w:sz w:val="21"/>
          <w:szCs w:val="21"/>
        </w:rPr>
        <w:t>landës, 23 prill 1997, § 51, p</w:t>
      </w:r>
      <w:r w:rsidRPr="002D1345">
        <w:rPr>
          <w:sz w:val="21"/>
          <w:szCs w:val="21"/>
        </w:rPr>
        <w:t>rocesverbalet 1997</w:t>
      </w:r>
      <w:r w:rsidRPr="002D1345">
        <w:rPr>
          <w:sz w:val="21"/>
          <w:szCs w:val="21"/>
        </w:rPr>
        <w:noBreakHyphen/>
        <w:t>III). Normalisht, gjykatat kombëtare duhet të vendosin nëse është e nevojshme ose e këshillueshme të dëgjojnë një dëshmitar të caktuar. Neni  6 § 3 (d) nuk kërkon pjesëmarrjen dhe marrjen në pyetje të çdo dëshmitari në emër të të paditurit: qëllimi i tij kryesor, siç tregohet nga fjalët “ nën të njëjtat kushte” , është një “barazi e plotë procedurale e prokurorisë dhe mbrojtjes” në çështje (shih, për shembull, Polufakin dhe Chernyshev kundër Rusisë, nr. 30997/02,</w:t>
      </w:r>
      <w:r w:rsidR="001C28FE" w:rsidRPr="002D1345">
        <w:rPr>
          <w:sz w:val="21"/>
          <w:szCs w:val="21"/>
        </w:rPr>
        <w:t xml:space="preserve"> § 205, 25 s</w:t>
      </w:r>
      <w:r w:rsidRPr="002D1345">
        <w:rPr>
          <w:sz w:val="21"/>
          <w:szCs w:val="21"/>
        </w:rPr>
        <w:t>htator 2008).</w:t>
      </w:r>
    </w:p>
    <w:p w:rsidR="0046299D" w:rsidRPr="002D1345" w:rsidRDefault="0046299D" w:rsidP="0046299D">
      <w:pPr>
        <w:pStyle w:val="Paragrafi0"/>
        <w:rPr>
          <w:sz w:val="21"/>
          <w:szCs w:val="21"/>
        </w:rPr>
      </w:pPr>
      <w:r w:rsidRPr="002D1345">
        <w:rPr>
          <w:sz w:val="21"/>
          <w:szCs w:val="21"/>
        </w:rPr>
        <w:t>102. Nën rrethana të caktuara mund të jetë e nevojshme për gjykatat që të kenë rekurs ndaj deklaratave të bëra gjatë  fazës së hetimit penal. Nëse i pandehuri kishte mundësi të mjaftueshme për të kundërshtuar këto deklarata, në kohën kur ato janë marrë ose në një fazë të mëvonshme të procedimeve, përdorimi i tyr</w:t>
      </w:r>
      <w:r w:rsidR="005519BA" w:rsidRPr="002D1345">
        <w:rPr>
          <w:sz w:val="21"/>
          <w:szCs w:val="21"/>
        </w:rPr>
        <w:t>e nuk bie ndesh me garancitë e n</w:t>
      </w:r>
      <w:r w:rsidRPr="002D1345">
        <w:rPr>
          <w:sz w:val="21"/>
          <w:szCs w:val="21"/>
        </w:rPr>
        <w:t xml:space="preserve">enit 6 §§ 1 dhe 3 (d). Të drejtat e mbrojtjes janë të kufizuara në një shkallë që është e </w:t>
      </w:r>
      <w:r w:rsidR="005519BA" w:rsidRPr="002D1345">
        <w:rPr>
          <w:sz w:val="21"/>
          <w:szCs w:val="21"/>
        </w:rPr>
        <w:t>papajtueshme me kërkesat e n</w:t>
      </w:r>
      <w:r w:rsidRPr="002D1345">
        <w:rPr>
          <w:sz w:val="21"/>
          <w:szCs w:val="21"/>
        </w:rPr>
        <w:t>enit  6 nëse dënimi bazohet vetëm, ose në mënyrë përfundimtare,  në dëshmitë nën besim të një dëshmitari</w:t>
      </w:r>
      <w:r w:rsidR="001C28FE" w:rsidRPr="002D1345">
        <w:rPr>
          <w:sz w:val="21"/>
          <w:szCs w:val="21"/>
        </w:rPr>
        <w:t>,</w:t>
      </w:r>
      <w:r w:rsidRPr="002D1345">
        <w:rPr>
          <w:sz w:val="21"/>
          <w:szCs w:val="21"/>
        </w:rPr>
        <w:t xml:space="preserve"> të cilin i padituri nuk kishte asnjë mundësi për ta marrë në pyetje ose ta kishte marrë në pyetje gjatë hetimit, apo në gjykim (shih Vozhigov kundër</w:t>
      </w:r>
      <w:r w:rsidR="00D43C0F" w:rsidRPr="002D1345">
        <w:rPr>
          <w:sz w:val="21"/>
          <w:szCs w:val="21"/>
        </w:rPr>
        <w:t xml:space="preserve"> Rusisë, nr. 5953/02, § 51, 26 p</w:t>
      </w:r>
      <w:r w:rsidRPr="002D1345">
        <w:rPr>
          <w:sz w:val="21"/>
          <w:szCs w:val="21"/>
        </w:rPr>
        <w:t>rill 2007; Lucà kundër Italisë, nr. 33354/96, § 40, ECHR 2</w:t>
      </w:r>
      <w:r w:rsidR="00D43C0F" w:rsidRPr="002D1345">
        <w:rPr>
          <w:sz w:val="21"/>
          <w:szCs w:val="21"/>
        </w:rPr>
        <w:t>001</w:t>
      </w:r>
      <w:r w:rsidR="00D43C0F" w:rsidRPr="002D1345">
        <w:rPr>
          <w:sz w:val="21"/>
          <w:szCs w:val="21"/>
        </w:rPr>
        <w:noBreakHyphen/>
        <w:t>II; dhe Solakov kundër “Ish-</w:t>
      </w:r>
      <w:r w:rsidRPr="002D1345">
        <w:rPr>
          <w:sz w:val="21"/>
          <w:szCs w:val="21"/>
        </w:rPr>
        <w:t>Republikës Jugosllave të Maqedonisë”, nr. 47023/99, § 57, ECHR 2001</w:t>
      </w:r>
      <w:r w:rsidRPr="002D1345">
        <w:rPr>
          <w:sz w:val="21"/>
          <w:szCs w:val="21"/>
        </w:rPr>
        <w:noBreakHyphen/>
        <w:t>X).</w:t>
      </w:r>
    </w:p>
    <w:p w:rsidR="0046299D" w:rsidRPr="00347EA8" w:rsidRDefault="004F2022" w:rsidP="0046299D">
      <w:pPr>
        <w:pStyle w:val="Paragrafi0"/>
      </w:pPr>
      <w:r>
        <w:t>b)</w:t>
      </w:r>
      <w:r w:rsidR="0046299D" w:rsidRPr="00347EA8">
        <w:t xml:space="preserve"> Ankimi për çështjen në fjalë</w:t>
      </w:r>
    </w:p>
    <w:p w:rsidR="0046299D" w:rsidRPr="00347EA8" w:rsidRDefault="0046299D" w:rsidP="0046299D">
      <w:pPr>
        <w:pStyle w:val="Paragrafi0"/>
      </w:pPr>
      <w:r w:rsidRPr="00347EA8">
        <w:t xml:space="preserve">103.  Gjykata vëren se ankuesi pretendon për një shkelje të  </w:t>
      </w:r>
      <w:r w:rsidR="00D43C0F">
        <w:t>n</w:t>
      </w:r>
      <w:r w:rsidRPr="00347EA8">
        <w:t>enit 6 §§ 1 dhe 3 (d) të Konventës</w:t>
      </w:r>
      <w:r w:rsidR="00D43C0F">
        <w:t>,</w:t>
      </w:r>
      <w:r w:rsidRPr="00347EA8">
        <w:t xml:space="preserve"> kryesisht për dy arsye: (i)</w:t>
      </w:r>
      <w:r w:rsidR="00D43C0F">
        <w:t xml:space="preserve"> në lidhje me akuzën e vrasjes s</w:t>
      </w:r>
      <w:r w:rsidRPr="00347EA8">
        <w:t>ë mbetur në tentativë të punonjësve të policisë, ai nuk kishte mundur të merrte në pyetje dëshmitarin  M., disa dëshmitarë mbrojtjeje nuk ishin paraqitur para Gjykatës së Rrethit Fier dhe kjo e fundit nuk kishte marrë parasysh dëshmitë e disa dëshmitarëve të dhëna në favor të ankuesit para G</w:t>
      </w:r>
      <w:r w:rsidR="001C28FE">
        <w:t xml:space="preserve">jykatës së Rrethit Berat; dhe, </w:t>
      </w:r>
      <w:r w:rsidRPr="00347EA8">
        <w:t>ii) në lidhje me vrasjen e dyshuar të P.</w:t>
      </w:r>
      <w:r w:rsidR="00D43C0F">
        <w:t>,</w:t>
      </w:r>
      <w:r w:rsidRPr="00347EA8">
        <w:t xml:space="preserve"> ai nuk kishte mundur të merrte në pyetje dëshmitarët, mbi fuqinë e deklaratave të të cilëve ai ishte dënuar.</w:t>
      </w:r>
    </w:p>
    <w:p w:rsidR="0046299D" w:rsidRPr="00347EA8" w:rsidRDefault="0046299D" w:rsidP="0046299D">
      <w:pPr>
        <w:pStyle w:val="Paragrafi0"/>
      </w:pPr>
      <w:r w:rsidRPr="00347EA8">
        <w:t>i) Akuza e vrasjes së mbetur në tentativë  të punonjësve të policisë më 18</w:t>
      </w:r>
      <w:r w:rsidR="00D43C0F">
        <w:t xml:space="preserve"> </w:t>
      </w:r>
      <w:r w:rsidR="001C28FE">
        <w:t>m</w:t>
      </w:r>
      <w:r w:rsidRPr="00347EA8">
        <w:t>ars  1998</w:t>
      </w:r>
    </w:p>
    <w:p w:rsidR="0046299D" w:rsidRPr="00347EA8" w:rsidRDefault="0046299D" w:rsidP="0046299D">
      <w:pPr>
        <w:pStyle w:val="Paragrafi0"/>
      </w:pPr>
      <w:r w:rsidRPr="00347EA8">
        <w:t xml:space="preserve">104. Gjykata vëren se dënimi i ankuesit për vrasjen e mbetur në tentativë të </w:t>
      </w:r>
      <w:r w:rsidR="00D43C0F">
        <w:t>punonjësve të  policisë më 18  m</w:t>
      </w:r>
      <w:r w:rsidRPr="00347EA8">
        <w:t>ars 1998 ishte bazuar, ndër të tjera, në dëshmitë e katër punonjësve të policisë K., L., M. dhe N. (shih paragrafin 37 më lart).</w:t>
      </w:r>
    </w:p>
    <w:p w:rsidR="0046299D" w:rsidRPr="00347EA8" w:rsidRDefault="004F2022" w:rsidP="0046299D">
      <w:pPr>
        <w:pStyle w:val="Paragrafi0"/>
        <w:rPr>
          <w:rFonts w:cs="CG Times"/>
        </w:rPr>
      </w:pPr>
      <w:r>
        <w:rPr>
          <w:rFonts w:ascii="Times New Roman" w:hAnsi="Times New Roman"/>
        </w:rPr>
        <w:t>a)</w:t>
      </w:r>
      <w:r w:rsidR="0046299D" w:rsidRPr="00347EA8">
        <w:rPr>
          <w:rFonts w:cs="CG Times"/>
        </w:rPr>
        <w:t xml:space="preserve"> Dëshmitarët e akuzës</w:t>
      </w:r>
    </w:p>
    <w:p w:rsidR="0046299D" w:rsidRPr="00347EA8" w:rsidRDefault="0046299D" w:rsidP="0046299D">
      <w:pPr>
        <w:pStyle w:val="Paragrafi0"/>
      </w:pPr>
      <w:r w:rsidRPr="00347EA8">
        <w:t xml:space="preserve">105.  Në seancat gjyqësore të datave 23 </w:t>
      </w:r>
      <w:r w:rsidR="00D43C0F">
        <w:t>s</w:t>
      </w:r>
      <w:r w:rsidRPr="00347EA8">
        <w:t xml:space="preserve">hkurt dhe </w:t>
      </w:r>
      <w:r w:rsidR="00D43C0F">
        <w:t xml:space="preserve">1 </w:t>
      </w:r>
      <w:r w:rsidR="001C28FE">
        <w:t>e 21 m</w:t>
      </w:r>
      <w:r w:rsidRPr="00347EA8">
        <w:t xml:space="preserve">ars 2000, ankuesi kërkoi pa sukses të lejohej të merrte në pyetje  M. Në lidhje me këtë, Gjykata vëren se dënimi i ankuesit nuk ishte bazuar në  “një shkallë vendimtare” ose vetëm në dëshminë e M. në gjykatën e shkallës së parë.  Kur autoritetet e brendshme gjyqësore përballen me </w:t>
      </w:r>
      <w:r w:rsidR="00D43C0F">
        <w:t>disa versione kontradiktore të s</w:t>
      </w:r>
      <w:r w:rsidRPr="00347EA8">
        <w:t xml:space="preserve">ë vërtetës të ofruara nga i njëjti person, preferenca e tyre përfundimtare për një deklaratë të dhënë autoriteteve hetimore ndaj një deklarate të dhënë në një gjyq me dyer të hapura, nuk ngre në vetvete një çështje sipas  Konventës kur kjo preferencë është e bazuar dhe vetë deklarata ishte dhënë me  dëshirën e personit (shih Lutsenko kundër Ukrainës, nr. 30663/04, § 49, 18 </w:t>
      </w:r>
      <w:r w:rsidR="00D43C0F">
        <w:t>d</w:t>
      </w:r>
      <w:r w:rsidRPr="00347EA8">
        <w:t>hjetor 2008). Ndërsa dëshmia e M. ishte e rëndësishme, u vërtetua nga prova të tjera materiale</w:t>
      </w:r>
      <w:r w:rsidR="00D43C0F">
        <w:t>,</w:t>
      </w:r>
      <w:r w:rsidRPr="00347EA8">
        <w:t xml:space="preserve"> si për shembull raporti hetimor i vendit të krimit,  raporti i arrestimit të ankuesit dhe raporti balistik dhe, kryesisht, dëshmitarë</w:t>
      </w:r>
      <w:r w:rsidR="001C28FE">
        <w:t>,</w:t>
      </w:r>
      <w:r w:rsidRPr="00347EA8">
        <w:t xml:space="preserve"> si K., L. dhe N., që u morën në pyetje nga ankuesi. Për më tepër, ankuesi nuk parashtroi asnjë argument bindës që të shpjegonte se marrja në pyetje e M. do të  kishte qenë thelbësore për krijimin e fakteve të çështjes dhe përfshirjen e tij në veprën penale. </w:t>
      </w:r>
    </w:p>
    <w:p w:rsidR="0046299D" w:rsidRPr="00347EA8" w:rsidRDefault="0046299D" w:rsidP="0046299D">
      <w:pPr>
        <w:pStyle w:val="Paragrafi0"/>
      </w:pPr>
      <w:r w:rsidRPr="00347EA8">
        <w:t>106.  Rezulton që nuk ka pa</w:t>
      </w:r>
      <w:r w:rsidR="00D43C0F">
        <w:t>sur asnjë shkelje të n</w:t>
      </w:r>
      <w:r w:rsidRPr="00347EA8">
        <w:t xml:space="preserve">enit 6 § 1 në lidhje me  6 § 3 (d) të Konventës për shkak të refuzimit të Gjykatës për të lejuar ankuesin të marrë në pyetje M.  </w:t>
      </w:r>
    </w:p>
    <w:p w:rsidR="0046299D" w:rsidRPr="00347EA8" w:rsidRDefault="00D43C0F" w:rsidP="0046299D">
      <w:pPr>
        <w:pStyle w:val="Paragrafi0"/>
      </w:pPr>
      <w:r>
        <w:t>B</w:t>
      </w:r>
      <w:r w:rsidR="004F2022">
        <w:t>)</w:t>
      </w:r>
      <w:r w:rsidR="0046299D" w:rsidRPr="00347EA8">
        <w:t xml:space="preserve"> Dëshmitarët e mbrojtjes</w:t>
      </w:r>
    </w:p>
    <w:p w:rsidR="0046299D" w:rsidRPr="00347EA8" w:rsidRDefault="00D43C0F" w:rsidP="0046299D">
      <w:pPr>
        <w:pStyle w:val="Paragrafi0"/>
      </w:pPr>
      <w:r>
        <w:t>107. Në seancën gjyqësore të 1 m</w:t>
      </w:r>
      <w:r w:rsidR="0046299D" w:rsidRPr="00347EA8">
        <w:t xml:space="preserve">arsit 2000, në vijim të kërkesës së ankuesit, Gjykata e Rrethit Fier lëshoi disa fletëthirrje për paraqitjen e tre punonjësve të policisë O., Q. dhe S. Megjithatë, këta dëshmitarë të mbrojtjes nuk u paraqitën asnjëherë para gjykatës së shkallës së parë. </w:t>
      </w:r>
    </w:p>
    <w:p w:rsidR="0046299D" w:rsidRPr="00347EA8" w:rsidRDefault="0046299D" w:rsidP="0046299D">
      <w:pPr>
        <w:pStyle w:val="Paragrafi0"/>
      </w:pPr>
      <w:r w:rsidRPr="00347EA8">
        <w:t xml:space="preserve">108.  Ndërsa më 11 </w:t>
      </w:r>
      <w:r w:rsidR="00D43C0F">
        <w:t>m</w:t>
      </w:r>
      <w:r w:rsidRPr="00347EA8">
        <w:t xml:space="preserve">aj 2000 ankuesi duket të ketë hequr dorë nga e drejta e tij për të marrë në pyetje  dëshmitarin O. dhe lejoi leximin e deklaratave të dëshmitarëve Q. dhe S., ky ishte rezultati i zhgënjimit të tij mbi përpjekjet e vazhdueshme dhe të pasuksesshme nga autoritetet për t’i thirrur ata. Gjykata vëren se dëshmitë e tre punonjësve të policisë përbënin prova me, të paktën, rëndësi </w:t>
      </w:r>
      <w:r w:rsidRPr="00D43C0F">
        <w:rPr>
          <w:i/>
        </w:rPr>
        <w:t>prima facie</w:t>
      </w:r>
      <w:r w:rsidRPr="00347EA8">
        <w:t xml:space="preserve"> për mbro</w:t>
      </w:r>
      <w:r w:rsidR="00D43C0F">
        <w:t>jtjen e ankuesit. Pamundësia e s</w:t>
      </w:r>
      <w:r w:rsidRPr="00347EA8">
        <w:t>htetit që është paditur (domethënë Ministria e Drejtësisë, Ministria e Brendshme dhe Drejtoria e Policisë) për të siguruar pjesëmarrjen e punonjësve të policisë që veprojnë si depozitues të autoritetit publik përgjegjës për mbrojtjen e</w:t>
      </w:r>
      <w:r w:rsidR="00D43C0F">
        <w:t xml:space="preserve"> interesave të përgjithshme të s</w:t>
      </w:r>
      <w:r w:rsidRPr="00347EA8">
        <w:t xml:space="preserve">htetit, kombinuar me pamundësinë e gjykatës së shkallës së parë për të siguruar zbatimin e fletëthirrjes së saj, nuk </w:t>
      </w:r>
      <w:r w:rsidR="00D43C0F">
        <w:t>arrin të sigurojë vullnetin që shtetet k</w:t>
      </w:r>
      <w:r w:rsidRPr="00347EA8">
        <w:t xml:space="preserve">ontraktuese duhet të ushtrojnë me qëllim që të sigurojnë </w:t>
      </w:r>
      <w:r w:rsidR="00D43C0F">
        <w:t>që të drejtat e garantuara nga n</w:t>
      </w:r>
      <w:r w:rsidRPr="00347EA8">
        <w:t xml:space="preserve">eni  6 të gëzohen në  mënyrë efektive (shih </w:t>
      </w:r>
      <w:bookmarkStart w:id="2" w:name="File9"/>
      <w:r w:rsidRPr="00347EA8">
        <w:t>Sadak</w:t>
      </w:r>
      <w:bookmarkEnd w:id="2"/>
      <w:r w:rsidRPr="00347EA8">
        <w:t xml:space="preserve"> etj kundër Turqisë, nr. 29900/96, 29901/96, 29902/96 dhe 29903/96, § 67, ECHR 2001</w:t>
      </w:r>
      <w:r w:rsidRPr="00347EA8">
        <w:noBreakHyphen/>
        <w:t>VIII, dhe vendimin e Barberà, Messegué dhe Jaba</w:t>
      </w:r>
      <w:r w:rsidR="001C28FE">
        <w:t>rdo kundër Spanjës, të datës 6 d</w:t>
      </w:r>
      <w:r w:rsidRPr="00347EA8">
        <w:t>hjetor 1988</w:t>
      </w:r>
      <w:r w:rsidR="001C28FE">
        <w:t>, s</w:t>
      </w:r>
      <w:r w:rsidRPr="00347EA8">
        <w:t xml:space="preserve">eria A nr. </w:t>
      </w:r>
      <w:r w:rsidR="00D43C0F">
        <w:t>146, fq. 33, § 78). Gjykatat e a</w:t>
      </w:r>
      <w:r w:rsidRPr="00347EA8">
        <w:t>pelit nuk e rregulluan këtë shkelje</w:t>
      </w:r>
      <w:r w:rsidR="00D43C0F">
        <w:t>,</w:t>
      </w:r>
      <w:r w:rsidRPr="00347EA8">
        <w:t xml:space="preserve"> megjithëse ankuesi e kërkoi këtë në arsyet e tij të apelit. Qeveria nuk dha shpjegime për këtë ose nuk u përpoq të justifikonte përse punonjësit e policisë nuk mund të paraqiteshin në gjykatë.</w:t>
      </w:r>
    </w:p>
    <w:p w:rsidR="0046299D" w:rsidRPr="00347EA8" w:rsidRDefault="0046299D" w:rsidP="0046299D">
      <w:pPr>
        <w:pStyle w:val="Paragrafi0"/>
      </w:pPr>
      <w:r w:rsidRPr="00347EA8">
        <w:t>109. Re</w:t>
      </w:r>
      <w:r w:rsidR="00D43C0F">
        <w:t>zulton se në këtë drejtim ka pas</w:t>
      </w:r>
      <w:r w:rsidRPr="00347EA8">
        <w:t xml:space="preserve">ur një shkelje të </w:t>
      </w:r>
      <w:r w:rsidR="00D43C0F">
        <w:t>nenit 6 § 1 në lidhje me n</w:t>
      </w:r>
      <w:r w:rsidRPr="00347EA8">
        <w:t>enin  6 § 3 (d) të Konventës.</w:t>
      </w:r>
    </w:p>
    <w:p w:rsidR="0046299D" w:rsidRPr="00347EA8" w:rsidRDefault="0046299D" w:rsidP="0046299D">
      <w:pPr>
        <w:pStyle w:val="Paragrafi0"/>
      </w:pPr>
      <w:r w:rsidRPr="00347EA8">
        <w:t>110. Gjykata vëren se katër dëshmitarët dëshmuan në favor të ankuesit para</w:t>
      </w:r>
      <w:r w:rsidR="00D43C0F">
        <w:t xml:space="preserve"> Gjykatës së Rrethit Berat (</w:t>
      </w:r>
      <w:r w:rsidRPr="00347EA8">
        <w:t>shih paragrafin 20 më sipër). Meq</w:t>
      </w:r>
      <w:r w:rsidR="00D43C0F">
        <w:t>e</w:t>
      </w:r>
      <w:r w:rsidRPr="00347EA8">
        <w:t>nëse të gjitha aktet e Gjykatës së Rrethit Berat ishin  transferuar në mënyrë të arsyetuar në Gjykatën e Rrethit Fier, ankuesi mund të mos kërkonte paraqitjen e tyre. Gjykata e Rrethit Fier  përjashtoi dëshmitë e tyre kur dha vendimin e saj, pa dhënë arsye mbi këtë. Qeveria nuk parashtroi argumente që justifikonin këtë përjashtim. Ndërsa Gjykata nuk mund të spekulojë n</w:t>
      </w:r>
      <w:r w:rsidR="00D43C0F">
        <w:t>ë lidhje me rëndësinë e elemente</w:t>
      </w:r>
      <w:r w:rsidRPr="00347EA8">
        <w:t xml:space="preserve">ve faktikë, gjykata  e shkallës së parë nuk mori në konsideratë, pa justifikim, të gjitha provat e dëshmitarëve në favor të ankuesit, dhe këto prova sigurisht ishin të rëndësishme për çështjen dhe rrjedhimisht për vendimin.  </w:t>
      </w:r>
    </w:p>
    <w:p w:rsidR="0046299D" w:rsidRPr="00347EA8" w:rsidRDefault="0046299D" w:rsidP="0046299D">
      <w:pPr>
        <w:pStyle w:val="Paragrafi0"/>
      </w:pPr>
      <w:r w:rsidRPr="00347EA8">
        <w:t>111.  Re</w:t>
      </w:r>
      <w:r w:rsidR="00D43C0F">
        <w:t>zulton që në këtë drejtim ka pasur një shkelje të n</w:t>
      </w:r>
      <w:r w:rsidRPr="00347EA8">
        <w:t>enit 6 § 1 në lid</w:t>
      </w:r>
      <w:r w:rsidR="00D43C0F">
        <w:t>hje me n</w:t>
      </w:r>
      <w:r w:rsidRPr="00347EA8">
        <w:t>enin 6 § 3 (d) të Konventës.</w:t>
      </w:r>
    </w:p>
    <w:p w:rsidR="0046299D" w:rsidRPr="008B08CE" w:rsidRDefault="0046299D" w:rsidP="0046299D">
      <w:pPr>
        <w:pStyle w:val="Paragrafi0"/>
        <w:rPr>
          <w:i/>
        </w:rPr>
      </w:pPr>
      <w:r w:rsidRPr="008B08CE">
        <w:rPr>
          <w:i/>
        </w:rPr>
        <w:t>i</w:t>
      </w:r>
      <w:r w:rsidR="00D43C0F" w:rsidRPr="008B08CE">
        <w:rPr>
          <w:i/>
        </w:rPr>
        <w:t>i) Akuza e vrasjes së P. më 21 k</w:t>
      </w:r>
      <w:r w:rsidRPr="008B08CE">
        <w:rPr>
          <w:i/>
        </w:rPr>
        <w:t>orrik 1997</w:t>
      </w:r>
    </w:p>
    <w:p w:rsidR="0046299D" w:rsidRPr="00347EA8" w:rsidRDefault="0046299D" w:rsidP="0046299D">
      <w:pPr>
        <w:pStyle w:val="Paragrafi0"/>
      </w:pPr>
      <w:r w:rsidRPr="00347EA8">
        <w:t>112. Gjykata vëren se vendimi i Gjykatës së Rrethit Fier që dënonte ankuesin për vrasjen e P. ishte bazuar tërësisht në dëshminë e A. dhe deklaratat e dëshmitarëve  B., C. dhe D. të dhëna gjatë hetimit penal. Ky arsyetim u mbështet në apel.</w:t>
      </w:r>
    </w:p>
    <w:p w:rsidR="0046299D" w:rsidRPr="00347EA8" w:rsidRDefault="0046299D" w:rsidP="0046299D">
      <w:pPr>
        <w:pStyle w:val="Paragrafi0"/>
      </w:pPr>
      <w:r w:rsidRPr="00347EA8">
        <w:t xml:space="preserve">113.  Gjykata vëren se në procedurën penale </w:t>
      </w:r>
      <w:r w:rsidR="00D43C0F" w:rsidRPr="00347EA8">
        <w:t xml:space="preserve">shqiptare, gjykata e apelit </w:t>
      </w:r>
      <w:r w:rsidRPr="00347EA8">
        <w:t>ka juridiksionin të trajtojë jo vetëm çështje të ligjit</w:t>
      </w:r>
      <w:r w:rsidR="00D43C0F">
        <w:t>,</w:t>
      </w:r>
      <w:r w:rsidRPr="00347EA8">
        <w:t xml:space="preserve"> por edhe çështje të faktit në  lidhje me tërësinë e çështjes.</w:t>
      </w:r>
      <w:r w:rsidR="00D43C0F">
        <w:t xml:space="preserve"> Gjykata e a</w:t>
      </w:r>
      <w:r w:rsidRPr="00347EA8">
        <w:t xml:space="preserve">pelit është e autorizuar të shqyrtojë provat dhe materialet e reja shtesë të paraqitura nga palët, siç e çmon të nevojshme. Si rezultat i shqyrtimit, </w:t>
      </w:r>
      <w:r w:rsidR="00D43C0F" w:rsidRPr="00347EA8">
        <w:t xml:space="preserve">gjykata e apelit  </w:t>
      </w:r>
      <w:r w:rsidRPr="00347EA8">
        <w:t xml:space="preserve">mund të rrëzojë apelin dhe të mbështesë vendimin, të ndryshojë vendimin ose të shfuqizojë vendimin dhe të përfundojë procedimet penale ose të shfuqizojë vendimin dhe të paraqesë çështjen për rigjykim. Gjykata e Lartë trajton çështjet e ligjit të ngritura në apelin e ankuesit.  </w:t>
      </w:r>
    </w:p>
    <w:p w:rsidR="0046299D" w:rsidRPr="00347EA8" w:rsidRDefault="0046299D" w:rsidP="0046299D">
      <w:pPr>
        <w:pStyle w:val="Paragrafi0"/>
      </w:pPr>
      <w:r w:rsidRPr="00347EA8">
        <w:t>114.  Në lidhje me këtë, Gjykata vëren se  A. nuk ishte as dëshmitare okulare, as e pranishme në vendin e krimit. Dëshmia e saj u bazua në deklaratat e dëshmitarëve B., C. dhe D., që ishin bërë gjatë hetimit penal. As ankuesi, as avokati i tij nuk mund të përballeshin me këta dëshmitarë kryesorë ose të bënin pyetje ose komente në lidhje me ato deklarata, meqë në atë kohë nuk ishte n</w:t>
      </w:r>
      <w:r w:rsidR="00D43C0F">
        <w:t>gritur asnjë akuzë kundër tij (</w:t>
      </w:r>
      <w:r w:rsidRPr="00347EA8">
        <w:t xml:space="preserve">shih paragrafin 7 më sipër).  </w:t>
      </w:r>
    </w:p>
    <w:p w:rsidR="0046299D" w:rsidRPr="00347EA8" w:rsidRDefault="0046299D" w:rsidP="0046299D">
      <w:pPr>
        <w:pStyle w:val="Paragrafi0"/>
      </w:pPr>
      <w:r w:rsidRPr="00347EA8">
        <w:t>115. Për më tepër, Gjykata çmon se ankuesi nuk hoqi dorë nga e drejta e tij për të marrë në pyetje ata dëshmitarë. Më</w:t>
      </w:r>
      <w:r w:rsidR="00D43C0F">
        <w:t xml:space="preserve"> 7 s</w:t>
      </w:r>
      <w:r w:rsidRPr="00347EA8">
        <w:t>hkurt 2000 ai kundërshtoi leximin e deklaratave të tyre dhe kërkoi paraqitjen e tyre para Gjykatës së Rrethit Fier.</w:t>
      </w:r>
      <w:r w:rsidR="00D43C0F">
        <w:t xml:space="preserve"> </w:t>
      </w:r>
      <w:r w:rsidRPr="00347EA8">
        <w:t>Gjykata sërish rithekson përfundimet e saj në paragrafin 108 më sipër. Gjykata nuk është e bindur se autoritetet ishin të zellshme në përpjekjet e tyre për të sjellë dëshmitarët para gjykatës së shkallës së parë. Mosparaqitja e këtyre dëshmitarëve</w:t>
      </w:r>
      <w:r w:rsidR="00D43C0F">
        <w:t>,</w:t>
      </w:r>
      <w:r w:rsidRPr="00347EA8">
        <w:t xml:space="preserve">  deklaratat e të cilëve ishin vendimtare për dënimin e ankuesit, e parandaloi ankuesin nga marrja e tyre në pyetje ose nga marrja e tyre e mëparshme në pyetje. Ky mosveprim nuk u rregullua as nga </w:t>
      </w:r>
      <w:r w:rsidR="00D43C0F" w:rsidRPr="00347EA8">
        <w:t xml:space="preserve">gjykata e apelit </w:t>
      </w:r>
      <w:r w:rsidRPr="00347EA8">
        <w:t xml:space="preserve">që ishte e autorizuar të shqyrtonte çështjet e faktit dhe </w:t>
      </w:r>
      <w:r w:rsidR="00D43C0F">
        <w:t xml:space="preserve">të </w:t>
      </w:r>
      <w:r w:rsidRPr="00347EA8">
        <w:t xml:space="preserve">ligjit, as nga Gjykata e Lartë.  </w:t>
      </w:r>
    </w:p>
    <w:p w:rsidR="007E22AD" w:rsidRDefault="007E22AD" w:rsidP="0046299D">
      <w:pPr>
        <w:pStyle w:val="Paragrafi0"/>
      </w:pPr>
    </w:p>
    <w:p w:rsidR="0046299D" w:rsidRPr="00347EA8" w:rsidRDefault="0046299D" w:rsidP="0046299D">
      <w:pPr>
        <w:pStyle w:val="Paragrafi0"/>
      </w:pPr>
      <w:r w:rsidRPr="00347EA8">
        <w:t>116. Duke marrë në konsideratë faktorët e mësipërm, Gjykata rrjedhimisht nxjerr përfundimin se</w:t>
      </w:r>
      <w:r w:rsidR="00D43C0F">
        <w:t xml:space="preserve"> në këtë drejtim ka pas</w:t>
      </w:r>
      <w:r w:rsidRPr="00347EA8">
        <w:t xml:space="preserve">ur një shkelje të </w:t>
      </w:r>
      <w:r w:rsidR="00D43C0F">
        <w:t>n</w:t>
      </w:r>
      <w:r w:rsidRPr="00347EA8">
        <w:t xml:space="preserve">enit  6 § 1 në lidhje me </w:t>
      </w:r>
      <w:r w:rsidR="00D43C0F">
        <w:t>n</w:t>
      </w:r>
      <w:r w:rsidRPr="00347EA8">
        <w:t>enin  6 § 3 (d) të Konventës.</w:t>
      </w:r>
    </w:p>
    <w:p w:rsidR="0046299D" w:rsidRPr="00707546" w:rsidRDefault="0046299D" w:rsidP="0046299D">
      <w:pPr>
        <w:pStyle w:val="Paragrafi0"/>
        <w:rPr>
          <w:lang w:val="it-IT"/>
        </w:rPr>
      </w:pPr>
      <w:r w:rsidRPr="00707546">
        <w:rPr>
          <w:lang w:val="it-IT"/>
        </w:rPr>
        <w:t>III.  ZBATIMI I NENIT 41 TË KONVENTËS</w:t>
      </w:r>
    </w:p>
    <w:p w:rsidR="0046299D" w:rsidRPr="00707546" w:rsidRDefault="0046299D" w:rsidP="0046299D">
      <w:pPr>
        <w:pStyle w:val="Paragrafi0"/>
        <w:rPr>
          <w:lang w:val="it-IT"/>
        </w:rPr>
      </w:pPr>
      <w:r w:rsidRPr="00707546">
        <w:rPr>
          <w:lang w:val="it-IT"/>
        </w:rPr>
        <w:t>117.  Neni 41 i Konventës parashikon:</w:t>
      </w:r>
    </w:p>
    <w:p w:rsidR="0046299D" w:rsidRPr="00707546" w:rsidRDefault="0046299D" w:rsidP="0046299D">
      <w:pPr>
        <w:pStyle w:val="Paragrafi0"/>
        <w:rPr>
          <w:lang w:val="it-IT"/>
        </w:rPr>
      </w:pPr>
      <w:r w:rsidRPr="00707546">
        <w:rPr>
          <w:lang w:val="it-IT"/>
        </w:rPr>
        <w:t>“Nëse Gjykata konstaton se ka pa</w:t>
      </w:r>
      <w:r w:rsidR="00D43C0F" w:rsidRPr="00707546">
        <w:rPr>
          <w:lang w:val="it-IT"/>
        </w:rPr>
        <w:t>s</w:t>
      </w:r>
      <w:r w:rsidRPr="00707546">
        <w:rPr>
          <w:lang w:val="it-IT"/>
        </w:rPr>
        <w:t>u</w:t>
      </w:r>
      <w:r w:rsidR="00D43C0F" w:rsidRPr="00707546">
        <w:rPr>
          <w:lang w:val="it-IT"/>
        </w:rPr>
        <w:t>r një shkelje të Konventës ose p</w:t>
      </w:r>
      <w:r w:rsidRPr="00707546">
        <w:rPr>
          <w:lang w:val="it-IT"/>
        </w:rPr>
        <w:t xml:space="preserve">rotokolleve të saj dhe nëse ligji i brendshëm i </w:t>
      </w:r>
      <w:r w:rsidR="00D43C0F" w:rsidRPr="00707546">
        <w:rPr>
          <w:lang w:val="it-IT"/>
        </w:rPr>
        <w:t>palës së lartë k</w:t>
      </w:r>
      <w:r w:rsidRPr="00707546">
        <w:rPr>
          <w:lang w:val="it-IT"/>
        </w:rPr>
        <w:t>ontraktuese përkatëse lejon vetëm kryerj</w:t>
      </w:r>
      <w:r w:rsidR="00D43C0F" w:rsidRPr="00707546">
        <w:rPr>
          <w:lang w:val="it-IT"/>
        </w:rPr>
        <w:t>en e një kompensimi të pjesshëm</w:t>
      </w:r>
      <w:r w:rsidRPr="00707546">
        <w:rPr>
          <w:lang w:val="it-IT"/>
        </w:rPr>
        <w:t>, nëse është e nevojshme, Gjykata do t’i japë kompensim të drejtë palës së dëmtuar.”</w:t>
      </w:r>
    </w:p>
    <w:p w:rsidR="0046299D" w:rsidRPr="00707546" w:rsidRDefault="0046299D" w:rsidP="0046299D">
      <w:pPr>
        <w:pStyle w:val="Paragrafi0"/>
        <w:rPr>
          <w:lang w:val="it-IT"/>
        </w:rPr>
      </w:pPr>
      <w:r w:rsidRPr="00347EA8">
        <w:t xml:space="preserve">118. Ankuesi theksoi se ai kishte qenë në  burg për të paktën  114 muaj ose 3,400 ditë deri në kohën që parashtroi vërejtjet e tij në Gjykatë. </w:t>
      </w:r>
      <w:r w:rsidRPr="00707546">
        <w:rPr>
          <w:lang w:val="it-IT"/>
        </w:rPr>
        <w:t xml:space="preserve">Ai kërkoi pagesën e 136,000 </w:t>
      </w:r>
      <w:r w:rsidR="001616F7" w:rsidRPr="00707546">
        <w:rPr>
          <w:lang w:val="it-IT"/>
        </w:rPr>
        <w:t>euro</w:t>
      </w:r>
      <w:r w:rsidRPr="00707546">
        <w:rPr>
          <w:lang w:val="it-IT"/>
        </w:rPr>
        <w:t xml:space="preserve"> në lidhje me dëmin  financiar që kishte pësuar. Ankuesi nuk përcaktoi ndonjë shumë në lidhje me dëmin jofinanciar, megjithëse specifikoi se sipas ligjit të brendshëm, kishte të drejtë për kompensim. Ai gjithashtu specifikoi  se në raste të ngjashme gjykatat e brendshme kishin kompensuar dëme jofinanciare në shumën prej 100,000 </w:t>
      </w:r>
      <w:r w:rsidR="001616F7" w:rsidRPr="00707546">
        <w:rPr>
          <w:lang w:val="it-IT"/>
        </w:rPr>
        <w:t>euro</w:t>
      </w:r>
      <w:r w:rsidR="00B603E1" w:rsidRPr="00707546">
        <w:rPr>
          <w:lang w:val="it-IT"/>
        </w:rPr>
        <w:t>sh</w:t>
      </w:r>
      <w:r w:rsidRPr="00707546">
        <w:rPr>
          <w:lang w:val="it-IT"/>
        </w:rPr>
        <w:t>.</w:t>
      </w:r>
    </w:p>
    <w:p w:rsidR="0046299D" w:rsidRPr="00707546" w:rsidRDefault="0046299D" w:rsidP="0046299D">
      <w:pPr>
        <w:pStyle w:val="Paragrafi0"/>
        <w:rPr>
          <w:lang w:val="it-IT"/>
        </w:rPr>
      </w:pPr>
      <w:r w:rsidRPr="00707546">
        <w:rPr>
          <w:lang w:val="it-IT"/>
        </w:rPr>
        <w:t>119.  Qeveria rrëzoi pretendimin e ankuesit për kompensim të drejtë.</w:t>
      </w:r>
    </w:p>
    <w:p w:rsidR="0046299D" w:rsidRPr="00707546" w:rsidRDefault="0046299D" w:rsidP="0046299D">
      <w:pPr>
        <w:pStyle w:val="Paragrafi0"/>
        <w:rPr>
          <w:lang w:val="it-IT"/>
        </w:rPr>
      </w:pPr>
      <w:r w:rsidRPr="00707546">
        <w:rPr>
          <w:lang w:val="it-IT"/>
        </w:rPr>
        <w:t>A.  Dëmi</w:t>
      </w:r>
    </w:p>
    <w:p w:rsidR="0046299D" w:rsidRPr="00707546" w:rsidRDefault="0046299D" w:rsidP="0046299D">
      <w:pPr>
        <w:pStyle w:val="Paragrafi0"/>
        <w:rPr>
          <w:lang w:val="it-IT"/>
        </w:rPr>
      </w:pPr>
      <w:r w:rsidRPr="00707546">
        <w:rPr>
          <w:lang w:val="it-IT"/>
        </w:rPr>
        <w:t>120.  Për sa i përket dëmit financiar që pretendohet të jetë shkaktuar, Gjykata rithekson se duhet të ketë një lidhje të qartë shkakësore midis dëmit të pretenduar nga ankuesit dhe shkeljes së Konventës (shih, ndër të tjera, Dybeku kundër Shqipërisë, nr. 41153/06, § 65, 18 </w:t>
      </w:r>
      <w:r w:rsidR="00197C7E" w:rsidRPr="00707546">
        <w:rPr>
          <w:lang w:val="it-IT"/>
        </w:rPr>
        <w:t>d</w:t>
      </w:r>
      <w:r w:rsidRPr="00707546">
        <w:rPr>
          <w:lang w:val="it-IT"/>
        </w:rPr>
        <w:t>hjetor 2007).</w:t>
      </w:r>
    </w:p>
    <w:p w:rsidR="0046299D" w:rsidRPr="00347EA8" w:rsidRDefault="0046299D" w:rsidP="0046299D">
      <w:pPr>
        <w:pStyle w:val="Paragrafi0"/>
      </w:pPr>
      <w:r w:rsidRPr="00707546">
        <w:rPr>
          <w:lang w:val="it-IT"/>
        </w:rPr>
        <w:t>121.  Gjykata, duke marrë parasysh përfundimet e saj në lidh</w:t>
      </w:r>
      <w:r w:rsidR="001616F7" w:rsidRPr="00707546">
        <w:rPr>
          <w:lang w:val="it-IT"/>
        </w:rPr>
        <w:t>je me ankimet e ankuesit sipas n</w:t>
      </w:r>
      <w:r w:rsidRPr="00707546">
        <w:rPr>
          <w:lang w:val="it-IT"/>
        </w:rPr>
        <w:t xml:space="preserve">enit  6 §§ 1 dhe 3 (c) dhe (d), çmon se nuk është vendosur asnjë lidhje shkakësore midis dëmit të pretenduar dhe shkeljeve që ka konstatuar.  </w:t>
      </w:r>
      <w:r w:rsidRPr="00347EA8">
        <w:t>Gjykata nuk mund të spekulojë se cili mund të kishte qenë rezultati i procedimeve penale kundër ankuesit nëse nuk do të kishte ndodhur shkelja e Konventës (shih Polufakin dhe Chernyshev, cituar më sipër, § 216). Rrjedhimisht, Gjykata  e çmon të papërshtatshme që t’i japë ankuesit kompensim për dëmin e pretenduar financiar.</w:t>
      </w:r>
    </w:p>
    <w:p w:rsidR="0046299D" w:rsidRPr="00347EA8" w:rsidRDefault="0046299D" w:rsidP="0046299D">
      <w:pPr>
        <w:pStyle w:val="Paragrafi0"/>
      </w:pPr>
      <w:r w:rsidRPr="00347EA8">
        <w:t>122.  Në shkallën që pretendimi i ankuesit lidhe</w:t>
      </w:r>
      <w:r w:rsidR="001616F7">
        <w:t>t me rezultatet e shkeljeve të nenit  6 § 3 (d) në lidhje me n</w:t>
      </w:r>
      <w:r w:rsidR="00197C7E">
        <w:t>eneve</w:t>
      </w:r>
      <w:r w:rsidRPr="00347EA8">
        <w:t xml:space="preserve"> 6 § 1, Gjykata rithekson se kur një kërkues është dënuar</w:t>
      </w:r>
      <w:r w:rsidR="001616F7">
        <w:t>,</w:t>
      </w:r>
      <w:r w:rsidRPr="00347EA8">
        <w:t xml:space="preserve"> pavarësisht një shkeljeje të mundshme të të drejtave të tij</w:t>
      </w:r>
      <w:r w:rsidR="001616F7">
        <w:t>,</w:t>
      </w:r>
      <w:r w:rsidRPr="00347EA8">
        <w:t xml:space="preserve"> siç garantohet nga </w:t>
      </w:r>
      <w:r w:rsidR="00BF6472">
        <w:t>n</w:t>
      </w:r>
      <w:r w:rsidRPr="00347EA8">
        <w:t xml:space="preserve">eni 6 i Konventës, ai duhet, sa më shumë të jetë e mundur, të vihet në një pozicion në të cilin do të kishte qenë, nëse kërkesat e asaj dispozite nuk do të ishin marrë parasysh dhe që forma më e përshtatshme e kompensimit, në parim, do të ishte gjykimi </w:t>
      </w:r>
      <w:r w:rsidRPr="001616F7">
        <w:rPr>
          <w:i/>
        </w:rPr>
        <w:t>de novo</w:t>
      </w:r>
      <w:r w:rsidRPr="00347EA8">
        <w:t xml:space="preserve"> ose rifillimi i procedimeve, nëse do të kërkohej (shih Salduz kundër Turqisë [GC], nr. 36391/02, § 72, 27 </w:t>
      </w:r>
      <w:r w:rsidR="001616F7">
        <w:t>n</w:t>
      </w:r>
      <w:r w:rsidRPr="00347EA8">
        <w:t>ëntor 2008; Polufakin dhe Chernyshev, cituar më sipër, § 219; Öcalan kundër Turqisë [GC], nr. 46221/99, § 210 në gjobë, ECHR 2005-IV; dhe Popov kundër R</w:t>
      </w:r>
      <w:r w:rsidR="001616F7">
        <w:t>usisë, nr. 26853/04, § 263, 13 k</w:t>
      </w:r>
      <w:r w:rsidRPr="00347EA8">
        <w:t>orrik 2006).</w:t>
      </w:r>
    </w:p>
    <w:p w:rsidR="0046299D" w:rsidRPr="00347EA8" w:rsidRDefault="0046299D" w:rsidP="0046299D">
      <w:pPr>
        <w:pStyle w:val="Paragrafi0"/>
      </w:pPr>
      <w:r w:rsidRPr="00347EA8">
        <w:t>123.  Për sa i përket pjesës së mbetur të pretendimit për dëm jofinanciar, duke vendosur mbi baza të barabarta, Gjykata i jep ankuesit 3,000 EURO plus çdo taksë që mund të vendoset mbi këto shuma.</w:t>
      </w:r>
    </w:p>
    <w:p w:rsidR="0046299D" w:rsidRPr="00347EA8" w:rsidRDefault="0046299D" w:rsidP="0046299D">
      <w:pPr>
        <w:pStyle w:val="Paragrafi0"/>
      </w:pPr>
      <w:r w:rsidRPr="00347EA8">
        <w:t>B.  Kostot dhe shpenzimet</w:t>
      </w:r>
    </w:p>
    <w:p w:rsidR="0046299D" w:rsidRPr="00347EA8" w:rsidRDefault="0046299D" w:rsidP="0046299D">
      <w:pPr>
        <w:pStyle w:val="Paragrafi0"/>
      </w:pPr>
      <w:r w:rsidRPr="00347EA8">
        <w:t xml:space="preserve">124.  Ankuesi i cili mori 850 </w:t>
      </w:r>
      <w:r w:rsidR="001616F7" w:rsidRPr="00347EA8">
        <w:t xml:space="preserve">euro </w:t>
      </w:r>
      <w:r w:rsidRPr="00347EA8">
        <w:t>në ndihmën ligjore nga Këshilli i E</w:t>
      </w:r>
      <w:r w:rsidR="00BF6472">
        <w:t>u</w:t>
      </w:r>
      <w:r w:rsidRPr="00347EA8">
        <w:t xml:space="preserve">ropës në lidhje me paraqitjen e çështjes së tij, përveç kësaj kërkoi 500 </w:t>
      </w:r>
      <w:r w:rsidR="001616F7" w:rsidRPr="00347EA8">
        <w:t>euro</w:t>
      </w:r>
      <w:r w:rsidRPr="00347EA8">
        <w:t xml:space="preserve"> në muaj për kostot e udhëtimit të anëtarëve të familjes së tij për ta vizituar atë në mjediset e paraburgimit dhe për shpenzimet ushqimore të shkaktuara ndërsa ishte në paraburgim. Nuk u ngrit asnjë pretendim tjetër në lidhje me kostot dhe shpenzimet e shkaktuara pranë gjykatave të brendshme dhe kësaj Gjykate.  </w:t>
      </w:r>
    </w:p>
    <w:p w:rsidR="0046299D" w:rsidRPr="00707546" w:rsidRDefault="0046299D" w:rsidP="0046299D">
      <w:pPr>
        <w:pStyle w:val="Paragrafi0"/>
        <w:rPr>
          <w:lang w:val="it-IT"/>
        </w:rPr>
      </w:pPr>
      <w:r w:rsidRPr="00707546">
        <w:rPr>
          <w:lang w:val="it-IT"/>
        </w:rPr>
        <w:t>125.  Gjykata e hodhi poshtë pretendimin.</w:t>
      </w:r>
    </w:p>
    <w:p w:rsidR="0046299D" w:rsidRPr="00707546" w:rsidRDefault="0046299D" w:rsidP="0046299D">
      <w:pPr>
        <w:pStyle w:val="Paragrafi0"/>
        <w:rPr>
          <w:lang w:val="it-IT"/>
        </w:rPr>
      </w:pPr>
      <w:r w:rsidRPr="00707546">
        <w:rPr>
          <w:lang w:val="it-IT"/>
        </w:rPr>
        <w:t>126.  Gjykata vëren se asaj nuk i është dhënë dokumentacioni përkatës që tregon se shpenzimet e pretenduara në fakt ishin shkaktuar. Rrjedhimisht, Gjykata nuk do të bëjë një kompensim sipas këtij kreu.</w:t>
      </w:r>
    </w:p>
    <w:p w:rsidR="0046299D" w:rsidRPr="00707546" w:rsidRDefault="0046299D" w:rsidP="0046299D">
      <w:pPr>
        <w:pStyle w:val="Paragrafi0"/>
        <w:rPr>
          <w:lang w:val="it-IT"/>
        </w:rPr>
      </w:pPr>
      <w:r w:rsidRPr="00707546">
        <w:rPr>
          <w:lang w:val="it-IT"/>
        </w:rPr>
        <w:t xml:space="preserve">C.  Kamatëvonesa </w:t>
      </w:r>
    </w:p>
    <w:p w:rsidR="0046299D" w:rsidRPr="00707546" w:rsidRDefault="0046299D" w:rsidP="0046299D">
      <w:pPr>
        <w:pStyle w:val="Paragrafi0"/>
        <w:rPr>
          <w:lang w:val="it-IT"/>
        </w:rPr>
      </w:pPr>
      <w:r w:rsidRPr="00707546">
        <w:rPr>
          <w:lang w:val="it-IT"/>
        </w:rPr>
        <w:t>127.  Gjykata e çmon të nevojshme që kamatëvonesa të bazohet në normën marzhinale të h</w:t>
      </w:r>
      <w:r w:rsidR="001616F7" w:rsidRPr="00707546">
        <w:rPr>
          <w:lang w:val="it-IT"/>
        </w:rPr>
        <w:t>uadhënies  të Bankës Qendrore Eu</w:t>
      </w:r>
      <w:r w:rsidRPr="00707546">
        <w:rPr>
          <w:lang w:val="it-IT"/>
        </w:rPr>
        <w:t>ropiane</w:t>
      </w:r>
      <w:r w:rsidR="001616F7" w:rsidRPr="00707546">
        <w:rPr>
          <w:lang w:val="it-IT"/>
        </w:rPr>
        <w:t>, s</w:t>
      </w:r>
      <w:r w:rsidRPr="00707546">
        <w:rPr>
          <w:lang w:val="it-IT"/>
        </w:rPr>
        <w:t>ë cilës duhet t’i shtohen tr</w:t>
      </w:r>
      <w:r w:rsidR="001616F7" w:rsidRPr="00707546">
        <w:rPr>
          <w:lang w:val="it-IT"/>
        </w:rPr>
        <w:t>i</w:t>
      </w:r>
      <w:r w:rsidRPr="00707546">
        <w:rPr>
          <w:lang w:val="it-IT"/>
        </w:rPr>
        <w:t xml:space="preserve"> pikë në përqindje.</w:t>
      </w:r>
    </w:p>
    <w:p w:rsidR="004F2022" w:rsidRPr="00707546" w:rsidRDefault="004F2022" w:rsidP="0046299D">
      <w:pPr>
        <w:pStyle w:val="Paragrafi0"/>
        <w:rPr>
          <w:lang w:val="it-IT"/>
        </w:rPr>
      </w:pPr>
    </w:p>
    <w:p w:rsidR="001C39AD" w:rsidRPr="00707546" w:rsidRDefault="001C39AD" w:rsidP="004F2022">
      <w:pPr>
        <w:pStyle w:val="VENDOSI0"/>
        <w:rPr>
          <w:lang w:val="it-IT"/>
        </w:rPr>
      </w:pPr>
    </w:p>
    <w:p w:rsidR="0046299D" w:rsidRPr="00347EA8" w:rsidRDefault="0046299D" w:rsidP="004F2022">
      <w:pPr>
        <w:pStyle w:val="VENDOSI0"/>
      </w:pPr>
      <w:r w:rsidRPr="00347EA8">
        <w:t>PËR KËTO ARSYE,GJYKATA</w:t>
      </w:r>
      <w:r w:rsidR="001616F7">
        <w:t>,</w:t>
      </w:r>
      <w:r w:rsidRPr="00347EA8">
        <w:t xml:space="preserve"> NJËZËRI</w:t>
      </w:r>
      <w:r w:rsidR="001616F7">
        <w:t>:</w:t>
      </w:r>
    </w:p>
    <w:p w:rsidR="004F2022" w:rsidRDefault="004F2022" w:rsidP="0046299D">
      <w:pPr>
        <w:pStyle w:val="Paragrafi0"/>
      </w:pPr>
    </w:p>
    <w:p w:rsidR="0046299D" w:rsidRPr="00347EA8" w:rsidRDefault="009B49A1" w:rsidP="0046299D">
      <w:pPr>
        <w:pStyle w:val="Paragrafi0"/>
      </w:pPr>
      <w:r>
        <w:t>1. Shpall ankimet në lidhje me n</w:t>
      </w:r>
      <w:r w:rsidR="0046299D" w:rsidRPr="00347EA8">
        <w:t>enin 6 të Konventës të pranueshme dhe pjesën e mbe</w:t>
      </w:r>
      <w:r>
        <w:t>tur të kërkesës të papranueshme.</w:t>
      </w:r>
    </w:p>
    <w:p w:rsidR="0046299D" w:rsidRPr="00347EA8" w:rsidRDefault="0046299D" w:rsidP="0046299D">
      <w:pPr>
        <w:pStyle w:val="Paragrafi0"/>
      </w:pPr>
      <w:r w:rsidRPr="00347EA8">
        <w:t>2. Vendos se</w:t>
      </w:r>
      <w:r w:rsidR="009B49A1">
        <w:t xml:space="preserve"> nuk ka pa</w:t>
      </w:r>
      <w:r w:rsidR="00BF6472">
        <w:t>s</w:t>
      </w:r>
      <w:r w:rsidR="009B49A1">
        <w:t>ur asnjë shkelje të nenit  6 § 1 në lidhje me n</w:t>
      </w:r>
      <w:r w:rsidRPr="00347EA8">
        <w:t>enin 6 § 3 (c) të Konventës</w:t>
      </w:r>
      <w:r w:rsidR="009B49A1">
        <w:t xml:space="preserve">  mbi mungesën e s</w:t>
      </w:r>
      <w:r w:rsidRPr="00347EA8">
        <w:t>ë drejtës së ankuesit për avokat gj</w:t>
      </w:r>
      <w:r w:rsidR="009B49A1">
        <w:t>atë fazave të gjykimit të tij.</w:t>
      </w:r>
    </w:p>
    <w:p w:rsidR="0046299D" w:rsidRPr="00347EA8" w:rsidRDefault="009B49A1" w:rsidP="0046299D">
      <w:pPr>
        <w:pStyle w:val="Paragrafi0"/>
      </w:pPr>
      <w:r>
        <w:t>3. Vendos se nuk ka pasur asnjë shkelje të nenit 6 § 1 në lidhje me n</w:t>
      </w:r>
      <w:r w:rsidR="0046299D" w:rsidRPr="00347EA8">
        <w:t>enin 6 § 3 (d) të Konventës mbi refuzimin e gjykatës së shkallës së parë për të lejuar ankuesin të ma</w:t>
      </w:r>
      <w:r>
        <w:t>rrë në pyetje dëshmitarin  M.</w:t>
      </w:r>
    </w:p>
    <w:p w:rsidR="0046299D" w:rsidRPr="00347EA8" w:rsidRDefault="009B49A1" w:rsidP="0046299D">
      <w:pPr>
        <w:pStyle w:val="Paragrafi0"/>
      </w:pPr>
      <w:r>
        <w:t>4. Vendos se ka pasur një shkelje të nenit 6 § 1 në lidhje me n</w:t>
      </w:r>
      <w:r w:rsidR="0046299D" w:rsidRPr="00347EA8">
        <w:t>enin 6 § 3 (d) të Konventës mbi pamundësinë për të garantuar paraqitjen në gjykimin e ankuesit</w:t>
      </w:r>
      <w:r>
        <w:t xml:space="preserve"> të dëshmitarëve  O., Q. dhe S.</w:t>
      </w:r>
    </w:p>
    <w:p w:rsidR="0046299D" w:rsidRPr="00347EA8" w:rsidRDefault="009B49A1" w:rsidP="0046299D">
      <w:pPr>
        <w:pStyle w:val="Paragrafi0"/>
      </w:pPr>
      <w:r>
        <w:t>5. Vendos se ka pas</w:t>
      </w:r>
      <w:r w:rsidR="0046299D" w:rsidRPr="00347EA8">
        <w:t>ur një shkelje t</w:t>
      </w:r>
      <w:r>
        <w:t>ë nenit 6 § 1 në lidhje me n</w:t>
      </w:r>
      <w:r w:rsidR="0046299D" w:rsidRPr="00347EA8">
        <w:t>enin 6 § 3 (d) të Konventës mbi pamundësinë e gjykatës së shkallës së parë për të marrë në konsideratë dëshmitë e katër dëshmitarëve të dhëna në favor të ankuesit</w:t>
      </w:r>
      <w:r w:rsidR="00BF6472">
        <w:t xml:space="preserve"> para Gjykatës së Rrethit Berat.</w:t>
      </w:r>
    </w:p>
    <w:p w:rsidR="0046299D" w:rsidRPr="00347EA8" w:rsidRDefault="00F63B8B" w:rsidP="0046299D">
      <w:pPr>
        <w:pStyle w:val="Paragrafi0"/>
      </w:pPr>
      <w:r>
        <w:t>6. Vendos se ka pas</w:t>
      </w:r>
      <w:r w:rsidR="0046299D" w:rsidRPr="00347EA8">
        <w:t xml:space="preserve">ur një shkelje të </w:t>
      </w:r>
      <w:r>
        <w:t>n</w:t>
      </w:r>
      <w:r w:rsidR="0046299D" w:rsidRPr="00347EA8">
        <w:t xml:space="preserve">enit  6 § 1 në lidhje me </w:t>
      </w:r>
      <w:r>
        <w:t>n</w:t>
      </w:r>
      <w:r w:rsidR="0046299D" w:rsidRPr="00347EA8">
        <w:t>enin 6 § 3 (d) të Konventës mbi pamundësinë për të garantuar paraqitjen në gjykimin e ankuesit</w:t>
      </w:r>
      <w:r>
        <w:t xml:space="preserve"> të dëshmitarëve  B., C. dhe D.</w:t>
      </w:r>
    </w:p>
    <w:p w:rsidR="0046299D" w:rsidRPr="00347EA8" w:rsidRDefault="004F2022" w:rsidP="0046299D">
      <w:pPr>
        <w:pStyle w:val="Paragrafi0"/>
      </w:pPr>
      <w:r>
        <w:t>7. </w:t>
      </w:r>
      <w:r w:rsidR="00F63B8B">
        <w:t>Vendos:</w:t>
      </w:r>
    </w:p>
    <w:p w:rsidR="0046299D" w:rsidRPr="00347EA8" w:rsidRDefault="0046299D" w:rsidP="0046299D">
      <w:pPr>
        <w:pStyle w:val="Paragrafi0"/>
      </w:pPr>
      <w:r w:rsidRPr="00347EA8">
        <w:t xml:space="preserve">a) se </w:t>
      </w:r>
      <w:r w:rsidR="00F63B8B">
        <w:t>s</w:t>
      </w:r>
      <w:r w:rsidRPr="00347EA8">
        <w:t>hteti i paditur duhet</w:t>
      </w:r>
      <w:r w:rsidR="00BF6472">
        <w:t xml:space="preserve"> t’i paguajë ankuesit brenda tri</w:t>
      </w:r>
      <w:r w:rsidRPr="00347EA8">
        <w:t xml:space="preserve"> muajve nga data në të cilën vendimi ka marrë fo</w:t>
      </w:r>
      <w:r w:rsidR="00F63B8B">
        <w:t>rmë të prerë, në përputhje me  n</w:t>
      </w:r>
      <w:r w:rsidRPr="00347EA8">
        <w:t>enin 44 </w:t>
      </w:r>
      <w:r w:rsidR="00BF6472">
        <w:t>§ 2 të Konventës</w:t>
      </w:r>
      <w:r w:rsidRPr="00347EA8">
        <w:t xml:space="preserve"> 3,000 </w:t>
      </w:r>
      <w:r w:rsidR="00F63B8B" w:rsidRPr="00347EA8">
        <w:t>euro</w:t>
      </w:r>
      <w:r w:rsidRPr="00347EA8">
        <w:t xml:space="preserve"> ( tre m</w:t>
      </w:r>
      <w:r w:rsidR="00F63B8B">
        <w:t>ijë euro) në lidhje me dëmin jo</w:t>
      </w:r>
      <w:r w:rsidRPr="00347EA8">
        <w:t>financiar, plus çdo taksë që mund të vendoset, e cila duhet të konver</w:t>
      </w:r>
      <w:r w:rsidR="00F63B8B">
        <w:t>tohet në monedhën kombëtare të s</w:t>
      </w:r>
      <w:r w:rsidRPr="00347EA8">
        <w:t>htetit të paditur në normën e</w:t>
      </w:r>
      <w:r w:rsidR="00F63B8B">
        <w:t xml:space="preserve"> zbatueshme në datën e pagesës.</w:t>
      </w:r>
    </w:p>
    <w:p w:rsidR="0046299D" w:rsidRPr="00347EA8" w:rsidRDefault="0046299D" w:rsidP="0046299D">
      <w:pPr>
        <w:pStyle w:val="Paragrafi0"/>
      </w:pPr>
      <w:r w:rsidRPr="00347EA8">
        <w:t xml:space="preserve">b) se nga skadimi i tre muajve të lartpërmendur deri në shlyerje, interesi i thjeshtë do të paguhet në shumën e mësipërme në një normë të barabartë me normën marzhinale të huadhënies </w:t>
      </w:r>
      <w:r w:rsidR="00BF6472">
        <w:t>të Bankës Qendrore Eu</w:t>
      </w:r>
      <w:r w:rsidRPr="00347EA8">
        <w:t>ropiane gjatë periudhës së mospagimit  të detyrimeve financiare</w:t>
      </w:r>
      <w:r w:rsidR="00F63B8B">
        <w:t>, plus tri pikë në përqindje.</w:t>
      </w:r>
    </w:p>
    <w:p w:rsidR="0046299D" w:rsidRPr="00347EA8" w:rsidRDefault="0046299D" w:rsidP="0046299D">
      <w:pPr>
        <w:pStyle w:val="Paragrafi0"/>
      </w:pPr>
      <w:r w:rsidRPr="00347EA8">
        <w:t>8. Rrëzon pjesën e mbetur të pretendimit të ankuesit për kompensim të drejtë.</w:t>
      </w:r>
    </w:p>
    <w:p w:rsidR="0046299D" w:rsidRPr="00347EA8" w:rsidRDefault="0046299D" w:rsidP="0046299D">
      <w:pPr>
        <w:pStyle w:val="Paragrafi0"/>
      </w:pPr>
      <w:r w:rsidRPr="00347EA8">
        <w:t>Hartuar në gjuhën angleze dhe njoftuar me shkrim</w:t>
      </w:r>
      <w:r w:rsidR="00BF6472">
        <w:t>,</w:t>
      </w:r>
      <w:r w:rsidRPr="00347EA8">
        <w:t xml:space="preserve"> më  8 </w:t>
      </w:r>
      <w:r w:rsidR="00F63B8B">
        <w:t>dhjetor 2009, sipas n</w:t>
      </w:r>
      <w:r w:rsidR="00BF6472">
        <w:t>enit 77 §§ 2 dhe 3 të r</w:t>
      </w:r>
      <w:r w:rsidRPr="00347EA8">
        <w:t>regullores së Gjykatës.</w:t>
      </w:r>
    </w:p>
    <w:p w:rsidR="00EE6ED5" w:rsidRDefault="00EE6ED5" w:rsidP="004F2022">
      <w:pPr>
        <w:pStyle w:val="Paragrafi0"/>
        <w:jc w:val="center"/>
      </w:pPr>
    </w:p>
    <w:p w:rsidR="004F2022" w:rsidRDefault="0046299D" w:rsidP="004F2022">
      <w:pPr>
        <w:pStyle w:val="Paragrafi0"/>
        <w:jc w:val="center"/>
      </w:pPr>
      <w:smartTag w:uri="urn:schemas-microsoft-com:office:smarttags" w:element="City">
        <w:smartTag w:uri="urn:schemas-microsoft-com:office:smarttags" w:element="place">
          <w:r w:rsidRPr="00347EA8">
            <w:t>Lawrence</w:t>
          </w:r>
        </w:smartTag>
      </w:smartTag>
      <w:r w:rsidRPr="00347EA8">
        <w:t xml:space="preserve"> Early</w:t>
      </w:r>
      <w:r w:rsidRPr="00347EA8">
        <w:tab/>
      </w:r>
      <w:r w:rsidR="004F2022">
        <w:tab/>
      </w:r>
      <w:r w:rsidR="004F2022">
        <w:tab/>
      </w:r>
      <w:r w:rsidR="004F2022">
        <w:tab/>
      </w:r>
      <w:r w:rsidRPr="00347EA8">
        <w:t>Nicolas Bratza</w:t>
      </w:r>
    </w:p>
    <w:p w:rsidR="0046299D" w:rsidRPr="00347EA8" w:rsidRDefault="0046299D" w:rsidP="004F2022">
      <w:pPr>
        <w:pStyle w:val="Paragrafi0"/>
        <w:jc w:val="center"/>
      </w:pPr>
      <w:r w:rsidRPr="00347EA8">
        <w:t>Sekretar</w:t>
      </w:r>
      <w:r w:rsidRPr="00347EA8">
        <w:tab/>
      </w:r>
      <w:r w:rsidR="004F2022">
        <w:tab/>
      </w:r>
      <w:r w:rsidR="004F2022">
        <w:tab/>
      </w:r>
      <w:r w:rsidR="004F2022">
        <w:tab/>
      </w:r>
      <w:r w:rsidRPr="00347EA8">
        <w:t>Kryetar</w:t>
      </w:r>
    </w:p>
    <w:p w:rsidR="0046299D" w:rsidRPr="00347EA8" w:rsidRDefault="0046299D" w:rsidP="004F2022">
      <w:pPr>
        <w:pStyle w:val="Paragrafi0"/>
        <w:jc w:val="center"/>
      </w:pPr>
    </w:p>
    <w:p w:rsidR="00016606" w:rsidRDefault="00016606" w:rsidP="00946209">
      <w:pPr>
        <w:pStyle w:val="Paragrafi0"/>
      </w:pPr>
    </w:p>
    <w:sectPr w:rsidR="00016606" w:rsidSect="00005A55">
      <w:footerReference w:type="even" r:id="rId8"/>
      <w:footerReference w:type="default" r:id="rId9"/>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309" w:rsidRDefault="00C07309">
      <w:r>
        <w:separator/>
      </w:r>
    </w:p>
  </w:endnote>
  <w:endnote w:type="continuationSeparator" w:id="0">
    <w:p w:rsidR="00C07309" w:rsidRDefault="00C0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Brougham">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E1" w:rsidRDefault="00B603E1" w:rsidP="00CA3A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603E1" w:rsidRPr="00446D1F" w:rsidRDefault="00B603E1" w:rsidP="00EE6ED5">
    <w:pPr>
      <w:pStyle w:val="Footer"/>
      <w:pBdr>
        <w:top w:val="single" w:sz="4" w:space="0" w:color="auto"/>
      </w:pBdr>
      <w:tabs>
        <w:tab w:val="center" w:pos="8505"/>
      </w:tabs>
      <w:ind w:right="360" w:firstLine="360"/>
      <w:jc w:val="center"/>
      <w:rPr>
        <w:b/>
        <w:i/>
        <w:color w:val="000080"/>
        <w:sz w:val="22"/>
        <w:szCs w:val="22"/>
      </w:rPr>
    </w:pPr>
    <w:r w:rsidRPr="00446D1F">
      <w:rPr>
        <w:b/>
        <w:i/>
        <w:color w:val="000080"/>
        <w:sz w:val="22"/>
        <w:szCs w:val="22"/>
      </w:rPr>
      <w:t>Shërbimi i Përkthimit Zyrtar, Ministria e Drejtësisë, Republika e Shqipërisë</w:t>
    </w:r>
  </w:p>
  <w:p w:rsidR="00B603E1" w:rsidRPr="00446D1F" w:rsidRDefault="00B603E1" w:rsidP="0046299D">
    <w:pPr>
      <w:pStyle w:val="Footer"/>
      <w:tabs>
        <w:tab w:val="left" w:pos="0"/>
        <w:tab w:val="right" w:pos="8789"/>
      </w:tabs>
      <w:jc w:val="center"/>
      <w:rPr>
        <w:b/>
        <w:i/>
        <w:color w:val="000080"/>
        <w:sz w:val="22"/>
        <w:szCs w:val="22"/>
        <w:lang w:val="fr-FR"/>
      </w:rPr>
    </w:pPr>
    <w:r w:rsidRPr="00446D1F">
      <w:rPr>
        <w:b/>
        <w:i/>
        <w:color w:val="000080"/>
        <w:sz w:val="22"/>
        <w:szCs w:val="22"/>
        <w:lang w:val="fr-FR"/>
      </w:rPr>
      <w:t>Service des Traductions Officielles du Ministère de la Justice de la République d’Albanie</w:t>
    </w:r>
  </w:p>
  <w:p w:rsidR="00B603E1" w:rsidRPr="00446D1F" w:rsidRDefault="00B603E1" w:rsidP="0046299D">
    <w:pPr>
      <w:pStyle w:val="Footer"/>
      <w:tabs>
        <w:tab w:val="left" w:pos="567"/>
        <w:tab w:val="right" w:pos="7938"/>
      </w:tabs>
      <w:jc w:val="center"/>
      <w:rPr>
        <w:sz w:val="22"/>
        <w:szCs w:val="22"/>
      </w:rPr>
    </w:pPr>
    <w:smartTag w:uri="urn:schemas-microsoft-com:office:smarttags" w:element="place">
      <w:smartTag w:uri="urn:schemas-microsoft-com:office:smarttags" w:element="PlaceType">
        <w:r w:rsidRPr="00446D1F">
          <w:rPr>
            <w:b/>
            <w:i/>
            <w:color w:val="000080"/>
            <w:sz w:val="22"/>
            <w:szCs w:val="22"/>
          </w:rPr>
          <w:t>Republic</w:t>
        </w:r>
      </w:smartTag>
      <w:r w:rsidRPr="00446D1F">
        <w:rPr>
          <w:b/>
          <w:i/>
          <w:color w:val="000080"/>
          <w:sz w:val="22"/>
          <w:szCs w:val="22"/>
        </w:rPr>
        <w:t xml:space="preserve"> of </w:t>
      </w:r>
      <w:smartTag w:uri="urn:schemas-microsoft-com:office:smarttags" w:element="PlaceName">
        <w:r w:rsidRPr="00446D1F">
          <w:rPr>
            <w:b/>
            <w:i/>
            <w:color w:val="000080"/>
            <w:sz w:val="22"/>
            <w:szCs w:val="22"/>
          </w:rPr>
          <w:t>Albania</w:t>
        </w:r>
      </w:smartTag>
    </w:smartTag>
    <w:r w:rsidRPr="00446D1F">
      <w:rPr>
        <w:b/>
        <w:i/>
        <w:color w:val="000080"/>
        <w:sz w:val="22"/>
        <w:szCs w:val="22"/>
      </w:rPr>
      <w:t>, Ministry of Justice, Official Translations Service</w:t>
    </w:r>
  </w:p>
  <w:p w:rsidR="00B603E1" w:rsidRDefault="00B603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E1" w:rsidRPr="00005A55" w:rsidRDefault="00B603E1" w:rsidP="00CA3A87">
    <w:pPr>
      <w:pStyle w:val="Footer"/>
      <w:framePr w:wrap="around" w:vAnchor="text" w:hAnchor="margin" w:xAlign="outside" w:y="1"/>
      <w:rPr>
        <w:rStyle w:val="PageNumber"/>
        <w:rFonts w:ascii="CG Times" w:hAnsi="CG Times"/>
        <w:sz w:val="22"/>
        <w:szCs w:val="22"/>
      </w:rPr>
    </w:pPr>
    <w:r w:rsidRPr="00005A55">
      <w:rPr>
        <w:rStyle w:val="PageNumber"/>
        <w:rFonts w:ascii="CG Times" w:hAnsi="CG Times"/>
        <w:sz w:val="22"/>
        <w:szCs w:val="22"/>
      </w:rPr>
      <w:fldChar w:fldCharType="begin"/>
    </w:r>
    <w:r w:rsidRPr="00005A55">
      <w:rPr>
        <w:rStyle w:val="PageNumber"/>
        <w:rFonts w:ascii="CG Times" w:hAnsi="CG Times"/>
        <w:sz w:val="22"/>
        <w:szCs w:val="22"/>
      </w:rPr>
      <w:instrText xml:space="preserve">PAGE  </w:instrText>
    </w:r>
    <w:r w:rsidRPr="00005A55">
      <w:rPr>
        <w:rStyle w:val="PageNumber"/>
        <w:rFonts w:ascii="CG Times" w:hAnsi="CG Times"/>
        <w:sz w:val="22"/>
        <w:szCs w:val="22"/>
      </w:rPr>
      <w:fldChar w:fldCharType="separate"/>
    </w:r>
    <w:r w:rsidR="00F021C8">
      <w:rPr>
        <w:rStyle w:val="PageNumber"/>
        <w:rFonts w:ascii="CG Times" w:hAnsi="CG Times"/>
        <w:noProof/>
        <w:sz w:val="22"/>
        <w:szCs w:val="22"/>
      </w:rPr>
      <w:t>3</w:t>
    </w:r>
    <w:r w:rsidRPr="00005A55">
      <w:rPr>
        <w:rStyle w:val="PageNumber"/>
        <w:rFonts w:ascii="CG Times" w:hAnsi="CG Times"/>
        <w:sz w:val="22"/>
        <w:szCs w:val="22"/>
      </w:rPr>
      <w:fldChar w:fldCharType="end"/>
    </w:r>
  </w:p>
  <w:p w:rsidR="00B603E1" w:rsidRDefault="00B603E1" w:rsidP="00EE6ED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309" w:rsidRDefault="00C07309">
      <w:r>
        <w:separator/>
      </w:r>
    </w:p>
  </w:footnote>
  <w:footnote w:type="continuationSeparator" w:id="0">
    <w:p w:rsidR="00C07309" w:rsidRDefault="00C073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18F6F2D"/>
    <w:multiLevelType w:val="multilevel"/>
    <w:tmpl w:val="BE541958"/>
    <w:lvl w:ilvl="0">
      <w:start w:val="1"/>
      <w:numFmt w:val="upperLetter"/>
      <w:pStyle w:val="autoritetiemer"/>
      <w:lvlText w:val="%1."/>
      <w:lvlJc w:val="left"/>
      <w:pPr>
        <w:tabs>
          <w:tab w:val="num" w:pos="360"/>
        </w:tabs>
        <w:ind w:left="360" w:hanging="360"/>
      </w:pPr>
      <w:rPr>
        <w:rFonts w:hint="default"/>
      </w:rPr>
    </w:lvl>
    <w:lvl w:ilvl="1">
      <w:start w:val="1"/>
      <w:numFmt w:val="decimal"/>
      <w:pStyle w:val="CharChar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2AE69DC"/>
    <w:multiLevelType w:val="hybridMultilevel"/>
    <w:tmpl w:val="EE70DB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3">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27B800D5"/>
    <w:multiLevelType w:val="hybridMultilevel"/>
    <w:tmpl w:val="13CCCD8C"/>
    <w:lvl w:ilvl="0" w:tplc="CED2D1F4">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15">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graph"/>
      <w:lvlText w:val="%2."/>
      <w:lvlJc w:val="left"/>
      <w:pPr>
        <w:tabs>
          <w:tab w:val="num" w:pos="720"/>
        </w:tabs>
        <w:ind w:left="720" w:hanging="720"/>
      </w:pPr>
      <w:rPr>
        <w:rFonts w:hint="default"/>
      </w:rPr>
    </w:lvl>
    <w:lvl w:ilvl="2">
      <w:start w:val="1"/>
      <w:numFmt w:val="lowerLetter"/>
      <w:pStyle w:val="ParagraphNumbering"/>
      <w:lvlText w:val="(%3)"/>
      <w:lvlJc w:val="left"/>
      <w:pPr>
        <w:tabs>
          <w:tab w:val="num" w:pos="1080"/>
        </w:tabs>
        <w:ind w:left="720" w:hanging="360"/>
      </w:pPr>
      <w:rPr>
        <w:rFonts w:hint="default"/>
      </w:rPr>
    </w:lvl>
    <w:lvl w:ilvl="3">
      <w:start w:val="1"/>
      <w:numFmt w:val="lowerRoman"/>
      <w:pStyle w:val="PDSHeading1"/>
      <w:lvlText w:val="(%4)"/>
      <w:lvlJc w:val="left"/>
      <w:pPr>
        <w:tabs>
          <w:tab w:val="num" w:pos="1800"/>
        </w:tabs>
        <w:ind w:left="1080" w:hanging="360"/>
      </w:pPr>
      <w:rPr>
        <w:rFonts w:hint="default"/>
      </w:rPr>
    </w:lvl>
    <w:lvl w:ilvl="4">
      <w:start w:val="1"/>
      <w:numFmt w:val="lowerLetter"/>
      <w:pStyle w:val="Stil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38851541"/>
    <w:multiLevelType w:val="hybridMultilevel"/>
    <w:tmpl w:val="07186E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F7A6910"/>
    <w:multiLevelType w:val="hybridMultilevel"/>
    <w:tmpl w:val="A7BA3B08"/>
    <w:lvl w:ilvl="0" w:tplc="7B20E4CA">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24">
    <w:nsid w:val="4B194478"/>
    <w:multiLevelType w:val="hybridMultilevel"/>
    <w:tmpl w:val="46127972"/>
    <w:lvl w:ilvl="0" w:tplc="8BAE17B8">
      <w:start w:val="1"/>
      <w:numFmt w:val="lowerLetter"/>
      <w:lvlText w:val="(%1)"/>
      <w:lvlJc w:val="left"/>
      <w:pPr>
        <w:tabs>
          <w:tab w:val="num" w:pos="927"/>
        </w:tabs>
        <w:ind w:left="927" w:hanging="36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25">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526C4F02"/>
    <w:multiLevelType w:val="hybridMultilevel"/>
    <w:tmpl w:val="BB68FF08"/>
    <w:lvl w:ilvl="0" w:tplc="D64A58EC">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28">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64CF25CE"/>
    <w:multiLevelType w:val="hybridMultilevel"/>
    <w:tmpl w:val="57B8A628"/>
    <w:lvl w:ilvl="0" w:tplc="14427888">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1">
    <w:nsid w:val="64D04DA5"/>
    <w:multiLevelType w:val="hybridMultilevel"/>
    <w:tmpl w:val="1F321BC8"/>
    <w:lvl w:ilvl="0" w:tplc="F6C447BA">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2A270D9"/>
    <w:multiLevelType w:val="hybridMultilevel"/>
    <w:tmpl w:val="DE38AB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aratable"/>
      <w:lvlText w:val="%1.%2"/>
      <w:lvlJc w:val="left"/>
      <w:pPr>
        <w:tabs>
          <w:tab w:val="num" w:pos="720"/>
        </w:tabs>
        <w:ind w:left="720" w:hanging="720"/>
      </w:pPr>
      <w:rPr>
        <w:rFonts w:hint="default"/>
      </w:rPr>
    </w:lvl>
    <w:lvl w:ilvl="2">
      <w:start w:val="1"/>
      <w:numFmt w:val="lowerLetter"/>
      <w:pStyle w:val="PDSAnnexHeading"/>
      <w:lvlText w:val="(%3)"/>
      <w:lvlJc w:val="left"/>
      <w:pPr>
        <w:tabs>
          <w:tab w:val="num" w:pos="1440"/>
        </w:tabs>
        <w:ind w:left="1080" w:hanging="360"/>
      </w:pPr>
      <w:rPr>
        <w:rFonts w:hint="default"/>
      </w:rPr>
    </w:lvl>
    <w:lvl w:ilvl="3">
      <w:start w:val="1"/>
      <w:numFmt w:val="lowerRoman"/>
      <w:pStyle w:val="PDSHeading2"/>
      <w:lvlText w:val="(%4)"/>
      <w:lvlJc w:val="left"/>
      <w:pPr>
        <w:tabs>
          <w:tab w:val="num" w:pos="2160"/>
        </w:tabs>
        <w:ind w:left="1440" w:hanging="360"/>
      </w:pPr>
      <w:rPr>
        <w:rFonts w:hint="default"/>
      </w:rPr>
    </w:lvl>
    <w:lvl w:ilvl="4">
      <w:start w:val="1"/>
      <w:numFmt w:val="lowerLetter"/>
      <w:pStyle w:val="Style1"/>
      <w:lvlText w:val="%5."/>
      <w:lvlJc w:val="left"/>
      <w:pPr>
        <w:tabs>
          <w:tab w:val="num" w:pos="1800"/>
        </w:tabs>
        <w:ind w:left="1800" w:hanging="360"/>
      </w:pPr>
      <w:rPr>
        <w:rFonts w:hint="default"/>
      </w:rPr>
    </w:lvl>
    <w:lvl w:ilvl="5">
      <w:start w:val="1"/>
      <w:numFmt w:val="lowerRoman"/>
      <w:pStyle w:val="vendos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7">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5"/>
  </w:num>
  <w:num w:numId="2">
    <w:abstractNumId w:val="17"/>
  </w:num>
  <w:num w:numId="3">
    <w:abstractNumId w:val="36"/>
  </w:num>
  <w:num w:numId="4">
    <w:abstractNumId w:val="11"/>
  </w:num>
  <w:num w:numId="5">
    <w:abstractNumId w:val="34"/>
  </w:num>
  <w:num w:numId="6">
    <w:abstractNumId w:val="15"/>
  </w:num>
  <w:num w:numId="7">
    <w:abstractNumId w:val="32"/>
  </w:num>
  <w:num w:numId="8">
    <w:abstractNumId w:val="42"/>
  </w:num>
  <w:num w:numId="9">
    <w:abstractNumId w:val="7"/>
  </w:num>
  <w:num w:numId="10">
    <w:abstractNumId w:val="39"/>
  </w:num>
  <w:num w:numId="11">
    <w:abstractNumId w:val="4"/>
  </w:num>
  <w:num w:numId="12">
    <w:abstractNumId w:val="2"/>
  </w:num>
  <w:num w:numId="13">
    <w:abstractNumId w:val="1"/>
  </w:num>
  <w:num w:numId="14">
    <w:abstractNumId w:val="0"/>
  </w:num>
  <w:num w:numId="15">
    <w:abstractNumId w:val="3"/>
  </w:num>
  <w:num w:numId="16">
    <w:abstractNumId w:val="12"/>
  </w:num>
  <w:num w:numId="17">
    <w:abstractNumId w:val="28"/>
  </w:num>
  <w:num w:numId="18">
    <w:abstractNumId w:val="37"/>
  </w:num>
  <w:num w:numId="19">
    <w:abstractNumId w:val="16"/>
  </w:num>
  <w:num w:numId="20">
    <w:abstractNumId w:val="29"/>
  </w:num>
  <w:num w:numId="21">
    <w:abstractNumId w:val="40"/>
  </w:num>
  <w:num w:numId="22">
    <w:abstractNumId w:val="38"/>
  </w:num>
  <w:num w:numId="23">
    <w:abstractNumId w:val="13"/>
  </w:num>
  <w:num w:numId="24">
    <w:abstractNumId w:val="33"/>
  </w:num>
  <w:num w:numId="25">
    <w:abstractNumId w:val="21"/>
  </w:num>
  <w:num w:numId="26">
    <w:abstractNumId w:val="25"/>
  </w:num>
  <w:num w:numId="27">
    <w:abstractNumId w:val="8"/>
  </w:num>
  <w:num w:numId="28">
    <w:abstractNumId w:val="10"/>
  </w:num>
  <w:num w:numId="29">
    <w:abstractNumId w:val="41"/>
  </w:num>
  <w:num w:numId="30">
    <w:abstractNumId w:val="20"/>
  </w:num>
  <w:num w:numId="31">
    <w:abstractNumId w:val="26"/>
  </w:num>
  <w:num w:numId="32">
    <w:abstractNumId w:val="22"/>
  </w:num>
  <w:num w:numId="33">
    <w:abstractNumId w:val="18"/>
  </w:num>
  <w:num w:numId="34">
    <w:abstractNumId w:val="9"/>
  </w:num>
  <w:num w:numId="35">
    <w:abstractNumId w:val="23"/>
  </w:num>
  <w:num w:numId="36">
    <w:abstractNumId w:val="30"/>
  </w:num>
  <w:num w:numId="37">
    <w:abstractNumId w:val="31"/>
  </w:num>
  <w:num w:numId="38">
    <w:abstractNumId w:val="27"/>
  </w:num>
  <w:num w:numId="39">
    <w:abstractNumId w:val="14"/>
  </w:num>
  <w:num w:numId="40">
    <w:abstractNumId w:val="24"/>
  </w:num>
  <w:num w:numId="41">
    <w:abstractNumId w:val="35"/>
  </w:num>
  <w:num w:numId="42">
    <w:abstractNumId w:val="6"/>
  </w:num>
  <w:num w:numId="43">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209"/>
    <w:rsid w:val="00001D7F"/>
    <w:rsid w:val="00001ED4"/>
    <w:rsid w:val="0000253A"/>
    <w:rsid w:val="00003060"/>
    <w:rsid w:val="0000363C"/>
    <w:rsid w:val="00003A81"/>
    <w:rsid w:val="00004CDC"/>
    <w:rsid w:val="00005805"/>
    <w:rsid w:val="00005A5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00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39C"/>
    <w:rsid w:val="000D648F"/>
    <w:rsid w:val="000D65A1"/>
    <w:rsid w:val="000E09FD"/>
    <w:rsid w:val="000E0DE0"/>
    <w:rsid w:val="000E1D7D"/>
    <w:rsid w:val="000E25A4"/>
    <w:rsid w:val="000E3B52"/>
    <w:rsid w:val="000E41BC"/>
    <w:rsid w:val="000E42C9"/>
    <w:rsid w:val="000E47F5"/>
    <w:rsid w:val="000E5718"/>
    <w:rsid w:val="000E5A61"/>
    <w:rsid w:val="000E6159"/>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5CF2"/>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6F7"/>
    <w:rsid w:val="001623F8"/>
    <w:rsid w:val="00162839"/>
    <w:rsid w:val="00162C4F"/>
    <w:rsid w:val="00163B8A"/>
    <w:rsid w:val="001661C2"/>
    <w:rsid w:val="001661C9"/>
    <w:rsid w:val="001664E1"/>
    <w:rsid w:val="001719D2"/>
    <w:rsid w:val="00172642"/>
    <w:rsid w:val="00172EB6"/>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7E"/>
    <w:rsid w:val="00197CB4"/>
    <w:rsid w:val="001A02D5"/>
    <w:rsid w:val="001A0868"/>
    <w:rsid w:val="001A21DE"/>
    <w:rsid w:val="001A2871"/>
    <w:rsid w:val="001A2C51"/>
    <w:rsid w:val="001A32EC"/>
    <w:rsid w:val="001A3A7E"/>
    <w:rsid w:val="001A4548"/>
    <w:rsid w:val="001A4BD2"/>
    <w:rsid w:val="001A4F0B"/>
    <w:rsid w:val="001A5C54"/>
    <w:rsid w:val="001A5F32"/>
    <w:rsid w:val="001B01A2"/>
    <w:rsid w:val="001B05F9"/>
    <w:rsid w:val="001B06BA"/>
    <w:rsid w:val="001B07CE"/>
    <w:rsid w:val="001B0A97"/>
    <w:rsid w:val="001B0B9C"/>
    <w:rsid w:val="001B103C"/>
    <w:rsid w:val="001B10B7"/>
    <w:rsid w:val="001B2938"/>
    <w:rsid w:val="001B2E8C"/>
    <w:rsid w:val="001B39D0"/>
    <w:rsid w:val="001B3AC8"/>
    <w:rsid w:val="001B4397"/>
    <w:rsid w:val="001B4E4C"/>
    <w:rsid w:val="001B5CDE"/>
    <w:rsid w:val="001C1609"/>
    <w:rsid w:val="001C19B3"/>
    <w:rsid w:val="001C1ADE"/>
    <w:rsid w:val="001C2169"/>
    <w:rsid w:val="001C28FE"/>
    <w:rsid w:val="001C345E"/>
    <w:rsid w:val="001C39AD"/>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16AD0"/>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833"/>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674F"/>
    <w:rsid w:val="00257AE3"/>
    <w:rsid w:val="0026012B"/>
    <w:rsid w:val="002608DE"/>
    <w:rsid w:val="002612BA"/>
    <w:rsid w:val="00262C74"/>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1345"/>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463"/>
    <w:rsid w:val="003148A3"/>
    <w:rsid w:val="00314EA9"/>
    <w:rsid w:val="0031550B"/>
    <w:rsid w:val="00315CA3"/>
    <w:rsid w:val="0032002D"/>
    <w:rsid w:val="00320574"/>
    <w:rsid w:val="00321267"/>
    <w:rsid w:val="003228C5"/>
    <w:rsid w:val="00322CEB"/>
    <w:rsid w:val="00323062"/>
    <w:rsid w:val="00323516"/>
    <w:rsid w:val="00323EBA"/>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5B1C"/>
    <w:rsid w:val="00370819"/>
    <w:rsid w:val="003714DD"/>
    <w:rsid w:val="00371546"/>
    <w:rsid w:val="003722BB"/>
    <w:rsid w:val="003724AE"/>
    <w:rsid w:val="00373196"/>
    <w:rsid w:val="00373677"/>
    <w:rsid w:val="00373FD0"/>
    <w:rsid w:val="0037658A"/>
    <w:rsid w:val="00380290"/>
    <w:rsid w:val="003804F8"/>
    <w:rsid w:val="00380620"/>
    <w:rsid w:val="00380843"/>
    <w:rsid w:val="0038255E"/>
    <w:rsid w:val="00383AE3"/>
    <w:rsid w:val="0038481A"/>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3C2"/>
    <w:rsid w:val="00435F64"/>
    <w:rsid w:val="00436E88"/>
    <w:rsid w:val="00436ECF"/>
    <w:rsid w:val="00437A15"/>
    <w:rsid w:val="00437C52"/>
    <w:rsid w:val="0044061A"/>
    <w:rsid w:val="00440A12"/>
    <w:rsid w:val="00441BE8"/>
    <w:rsid w:val="00443025"/>
    <w:rsid w:val="00443258"/>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023"/>
    <w:rsid w:val="00453249"/>
    <w:rsid w:val="0045357A"/>
    <w:rsid w:val="00453864"/>
    <w:rsid w:val="00453A0F"/>
    <w:rsid w:val="00460D88"/>
    <w:rsid w:val="0046102B"/>
    <w:rsid w:val="004612CF"/>
    <w:rsid w:val="0046143B"/>
    <w:rsid w:val="00461A5E"/>
    <w:rsid w:val="00461D98"/>
    <w:rsid w:val="00461EC8"/>
    <w:rsid w:val="0046299D"/>
    <w:rsid w:val="00462C6A"/>
    <w:rsid w:val="004632B7"/>
    <w:rsid w:val="004654E6"/>
    <w:rsid w:val="00465837"/>
    <w:rsid w:val="004658EB"/>
    <w:rsid w:val="00465BB5"/>
    <w:rsid w:val="00466946"/>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52DB"/>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AD5"/>
    <w:rsid w:val="004D7EC5"/>
    <w:rsid w:val="004E084E"/>
    <w:rsid w:val="004E089B"/>
    <w:rsid w:val="004E175A"/>
    <w:rsid w:val="004E19EF"/>
    <w:rsid w:val="004E22D7"/>
    <w:rsid w:val="004E22ED"/>
    <w:rsid w:val="004E3B69"/>
    <w:rsid w:val="004E4819"/>
    <w:rsid w:val="004E4952"/>
    <w:rsid w:val="004E550D"/>
    <w:rsid w:val="004E661B"/>
    <w:rsid w:val="004E72E6"/>
    <w:rsid w:val="004F2022"/>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6FFA"/>
    <w:rsid w:val="0054702E"/>
    <w:rsid w:val="00551086"/>
    <w:rsid w:val="00551675"/>
    <w:rsid w:val="005519BA"/>
    <w:rsid w:val="00552B6D"/>
    <w:rsid w:val="00552EDF"/>
    <w:rsid w:val="0055383C"/>
    <w:rsid w:val="00553E41"/>
    <w:rsid w:val="00554516"/>
    <w:rsid w:val="00554E9A"/>
    <w:rsid w:val="00555BF7"/>
    <w:rsid w:val="0055741E"/>
    <w:rsid w:val="00557A25"/>
    <w:rsid w:val="00557C2A"/>
    <w:rsid w:val="005603E3"/>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307A"/>
    <w:rsid w:val="005942EB"/>
    <w:rsid w:val="0059471E"/>
    <w:rsid w:val="005951D5"/>
    <w:rsid w:val="0059540E"/>
    <w:rsid w:val="005962B9"/>
    <w:rsid w:val="00596563"/>
    <w:rsid w:val="00596A83"/>
    <w:rsid w:val="005A0672"/>
    <w:rsid w:val="005A074C"/>
    <w:rsid w:val="005A1632"/>
    <w:rsid w:val="005A41BB"/>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4D25"/>
    <w:rsid w:val="005C58E9"/>
    <w:rsid w:val="005C65F3"/>
    <w:rsid w:val="005C708B"/>
    <w:rsid w:val="005C7884"/>
    <w:rsid w:val="005D0396"/>
    <w:rsid w:val="005D0EFC"/>
    <w:rsid w:val="005D1D64"/>
    <w:rsid w:val="005D242F"/>
    <w:rsid w:val="005D3274"/>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652"/>
    <w:rsid w:val="00615823"/>
    <w:rsid w:val="006159DC"/>
    <w:rsid w:val="00615F4E"/>
    <w:rsid w:val="00616583"/>
    <w:rsid w:val="00616B11"/>
    <w:rsid w:val="0062204B"/>
    <w:rsid w:val="00622D32"/>
    <w:rsid w:val="00622EC8"/>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1E86"/>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BF2"/>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2C"/>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6F795D"/>
    <w:rsid w:val="00700189"/>
    <w:rsid w:val="007009F8"/>
    <w:rsid w:val="00701DE5"/>
    <w:rsid w:val="00702E27"/>
    <w:rsid w:val="00703187"/>
    <w:rsid w:val="00703A1C"/>
    <w:rsid w:val="00704754"/>
    <w:rsid w:val="00704CA8"/>
    <w:rsid w:val="00705FE0"/>
    <w:rsid w:val="007061BC"/>
    <w:rsid w:val="00706E88"/>
    <w:rsid w:val="007070CD"/>
    <w:rsid w:val="007071C1"/>
    <w:rsid w:val="00707546"/>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03A"/>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A54"/>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027A"/>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2AD"/>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353"/>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800"/>
    <w:rsid w:val="00837999"/>
    <w:rsid w:val="008409A9"/>
    <w:rsid w:val="0084106E"/>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08CE"/>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16"/>
    <w:rsid w:val="008F7093"/>
    <w:rsid w:val="008F71A1"/>
    <w:rsid w:val="008F725C"/>
    <w:rsid w:val="00900DD8"/>
    <w:rsid w:val="00901184"/>
    <w:rsid w:val="009013AA"/>
    <w:rsid w:val="009016F3"/>
    <w:rsid w:val="009019AC"/>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6209"/>
    <w:rsid w:val="00947074"/>
    <w:rsid w:val="00947475"/>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748"/>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036B"/>
    <w:rsid w:val="009A192D"/>
    <w:rsid w:val="009A1FDB"/>
    <w:rsid w:val="009A2C93"/>
    <w:rsid w:val="009A3407"/>
    <w:rsid w:val="009A4576"/>
    <w:rsid w:val="009A467F"/>
    <w:rsid w:val="009A5059"/>
    <w:rsid w:val="009A5905"/>
    <w:rsid w:val="009A5C77"/>
    <w:rsid w:val="009A67D2"/>
    <w:rsid w:val="009A68F5"/>
    <w:rsid w:val="009A69DD"/>
    <w:rsid w:val="009A7512"/>
    <w:rsid w:val="009B04E3"/>
    <w:rsid w:val="009B07E3"/>
    <w:rsid w:val="009B1CD9"/>
    <w:rsid w:val="009B3645"/>
    <w:rsid w:val="009B49A1"/>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4A80"/>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4974"/>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664F"/>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A54"/>
    <w:rsid w:val="00AB3621"/>
    <w:rsid w:val="00AB4005"/>
    <w:rsid w:val="00AB45F9"/>
    <w:rsid w:val="00AB6598"/>
    <w:rsid w:val="00AB6ED0"/>
    <w:rsid w:val="00AC0878"/>
    <w:rsid w:val="00AC0C13"/>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57C6F"/>
    <w:rsid w:val="00B603E1"/>
    <w:rsid w:val="00B60AFB"/>
    <w:rsid w:val="00B61E59"/>
    <w:rsid w:val="00B6247D"/>
    <w:rsid w:val="00B63B4E"/>
    <w:rsid w:val="00B65249"/>
    <w:rsid w:val="00B661E4"/>
    <w:rsid w:val="00B6709A"/>
    <w:rsid w:val="00B674E9"/>
    <w:rsid w:val="00B71539"/>
    <w:rsid w:val="00B7170D"/>
    <w:rsid w:val="00B721D5"/>
    <w:rsid w:val="00B724EB"/>
    <w:rsid w:val="00B72A79"/>
    <w:rsid w:val="00B73086"/>
    <w:rsid w:val="00B75278"/>
    <w:rsid w:val="00B76640"/>
    <w:rsid w:val="00B76EF7"/>
    <w:rsid w:val="00B77628"/>
    <w:rsid w:val="00B80503"/>
    <w:rsid w:val="00B805CC"/>
    <w:rsid w:val="00B822F1"/>
    <w:rsid w:val="00B827A4"/>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14E0"/>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472"/>
    <w:rsid w:val="00BF6A44"/>
    <w:rsid w:val="00BF6E17"/>
    <w:rsid w:val="00BF7754"/>
    <w:rsid w:val="00C004EF"/>
    <w:rsid w:val="00C00601"/>
    <w:rsid w:val="00C01F5D"/>
    <w:rsid w:val="00C01FF8"/>
    <w:rsid w:val="00C04730"/>
    <w:rsid w:val="00C049A9"/>
    <w:rsid w:val="00C04BEA"/>
    <w:rsid w:val="00C04C46"/>
    <w:rsid w:val="00C05B57"/>
    <w:rsid w:val="00C0606C"/>
    <w:rsid w:val="00C070F5"/>
    <w:rsid w:val="00C07309"/>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0DB5"/>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88C"/>
    <w:rsid w:val="00C72FCC"/>
    <w:rsid w:val="00C75174"/>
    <w:rsid w:val="00C7562E"/>
    <w:rsid w:val="00C76C12"/>
    <w:rsid w:val="00C77128"/>
    <w:rsid w:val="00C773A6"/>
    <w:rsid w:val="00C77BE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A8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3D"/>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813"/>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7D56"/>
    <w:rsid w:val="00D02DFD"/>
    <w:rsid w:val="00D0346B"/>
    <w:rsid w:val="00D03DA1"/>
    <w:rsid w:val="00D03F6E"/>
    <w:rsid w:val="00D046F8"/>
    <w:rsid w:val="00D04FFE"/>
    <w:rsid w:val="00D06106"/>
    <w:rsid w:val="00D06F7B"/>
    <w:rsid w:val="00D07148"/>
    <w:rsid w:val="00D0758D"/>
    <w:rsid w:val="00D078B5"/>
    <w:rsid w:val="00D07F47"/>
    <w:rsid w:val="00D11AEB"/>
    <w:rsid w:val="00D11FE6"/>
    <w:rsid w:val="00D13A72"/>
    <w:rsid w:val="00D14D49"/>
    <w:rsid w:val="00D14F5E"/>
    <w:rsid w:val="00D1516B"/>
    <w:rsid w:val="00D17E90"/>
    <w:rsid w:val="00D2018C"/>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3C0F"/>
    <w:rsid w:val="00D440A8"/>
    <w:rsid w:val="00D444DE"/>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4CFE"/>
    <w:rsid w:val="00D65923"/>
    <w:rsid w:val="00D661E4"/>
    <w:rsid w:val="00D6683B"/>
    <w:rsid w:val="00D67D59"/>
    <w:rsid w:val="00D709A2"/>
    <w:rsid w:val="00D709CF"/>
    <w:rsid w:val="00D70CAF"/>
    <w:rsid w:val="00D70F57"/>
    <w:rsid w:val="00D721E6"/>
    <w:rsid w:val="00D724A6"/>
    <w:rsid w:val="00D729A8"/>
    <w:rsid w:val="00D7449C"/>
    <w:rsid w:val="00D74505"/>
    <w:rsid w:val="00D756D3"/>
    <w:rsid w:val="00D75EA0"/>
    <w:rsid w:val="00D7633F"/>
    <w:rsid w:val="00D76EEB"/>
    <w:rsid w:val="00D773F4"/>
    <w:rsid w:val="00D77A64"/>
    <w:rsid w:val="00D8028C"/>
    <w:rsid w:val="00D807EA"/>
    <w:rsid w:val="00D838B0"/>
    <w:rsid w:val="00D83D47"/>
    <w:rsid w:val="00D83F02"/>
    <w:rsid w:val="00D83FA3"/>
    <w:rsid w:val="00D8461F"/>
    <w:rsid w:val="00D8488D"/>
    <w:rsid w:val="00D84FFC"/>
    <w:rsid w:val="00D85DD8"/>
    <w:rsid w:val="00D869A8"/>
    <w:rsid w:val="00D86C7B"/>
    <w:rsid w:val="00D9091F"/>
    <w:rsid w:val="00D9127D"/>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46F"/>
    <w:rsid w:val="00DD0751"/>
    <w:rsid w:val="00DD0A92"/>
    <w:rsid w:val="00DD4806"/>
    <w:rsid w:val="00DD4888"/>
    <w:rsid w:val="00DD5009"/>
    <w:rsid w:val="00DD64CF"/>
    <w:rsid w:val="00DD75BE"/>
    <w:rsid w:val="00DE095D"/>
    <w:rsid w:val="00DE1D90"/>
    <w:rsid w:val="00DE376D"/>
    <w:rsid w:val="00DE3D88"/>
    <w:rsid w:val="00DE408C"/>
    <w:rsid w:val="00DE44ED"/>
    <w:rsid w:val="00DE5E4C"/>
    <w:rsid w:val="00DE71ED"/>
    <w:rsid w:val="00DF0160"/>
    <w:rsid w:val="00DF04FF"/>
    <w:rsid w:val="00DF0CAC"/>
    <w:rsid w:val="00DF1F3C"/>
    <w:rsid w:val="00DF2459"/>
    <w:rsid w:val="00DF2484"/>
    <w:rsid w:val="00DF265E"/>
    <w:rsid w:val="00DF389B"/>
    <w:rsid w:val="00DF4BE8"/>
    <w:rsid w:val="00DF6D87"/>
    <w:rsid w:val="00DF776F"/>
    <w:rsid w:val="00DF7F3F"/>
    <w:rsid w:val="00E00020"/>
    <w:rsid w:val="00E01487"/>
    <w:rsid w:val="00E02436"/>
    <w:rsid w:val="00E027A0"/>
    <w:rsid w:val="00E02A89"/>
    <w:rsid w:val="00E02E71"/>
    <w:rsid w:val="00E03C33"/>
    <w:rsid w:val="00E03C4C"/>
    <w:rsid w:val="00E03CC8"/>
    <w:rsid w:val="00E03FE5"/>
    <w:rsid w:val="00E04E74"/>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34F4"/>
    <w:rsid w:val="00E34938"/>
    <w:rsid w:val="00E35CA9"/>
    <w:rsid w:val="00E35F12"/>
    <w:rsid w:val="00E3650D"/>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A7F8F"/>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1164"/>
    <w:rsid w:val="00ED318B"/>
    <w:rsid w:val="00ED345D"/>
    <w:rsid w:val="00ED399B"/>
    <w:rsid w:val="00ED3C23"/>
    <w:rsid w:val="00ED4A4B"/>
    <w:rsid w:val="00ED5AB3"/>
    <w:rsid w:val="00ED6362"/>
    <w:rsid w:val="00ED71C8"/>
    <w:rsid w:val="00ED791B"/>
    <w:rsid w:val="00EE0D44"/>
    <w:rsid w:val="00EE1A54"/>
    <w:rsid w:val="00EE26E8"/>
    <w:rsid w:val="00EE3772"/>
    <w:rsid w:val="00EE4BA9"/>
    <w:rsid w:val="00EE6ED5"/>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1C8"/>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08"/>
    <w:rsid w:val="00F56840"/>
    <w:rsid w:val="00F5691C"/>
    <w:rsid w:val="00F57511"/>
    <w:rsid w:val="00F579B6"/>
    <w:rsid w:val="00F622B4"/>
    <w:rsid w:val="00F62AA2"/>
    <w:rsid w:val="00F630E5"/>
    <w:rsid w:val="00F63240"/>
    <w:rsid w:val="00F63996"/>
    <w:rsid w:val="00F63A55"/>
    <w:rsid w:val="00F63B8B"/>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CE0"/>
    <w:rsid w:val="00F91553"/>
    <w:rsid w:val="00F9168A"/>
    <w:rsid w:val="00F91815"/>
    <w:rsid w:val="00F91AFA"/>
    <w:rsid w:val="00F92161"/>
    <w:rsid w:val="00F92E39"/>
    <w:rsid w:val="00F92E90"/>
    <w:rsid w:val="00F933C5"/>
    <w:rsid w:val="00F937CA"/>
    <w:rsid w:val="00F94E5D"/>
    <w:rsid w:val="00F9500B"/>
    <w:rsid w:val="00F9522D"/>
    <w:rsid w:val="00F958B2"/>
    <w:rsid w:val="00F95969"/>
    <w:rsid w:val="00F95DC9"/>
    <w:rsid w:val="00F96850"/>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6D7E"/>
    <w:rsid w:val="00FC7650"/>
    <w:rsid w:val="00FC7E5F"/>
    <w:rsid w:val="00FD1061"/>
    <w:rsid w:val="00FD246D"/>
    <w:rsid w:val="00FD24BC"/>
    <w:rsid w:val="00FD5F42"/>
    <w:rsid w:val="00FD623E"/>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15"/>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contacts" w:name="middlename"/>
  <w:smartTagType w:namespaceuri="urn:schemas:contacts" w:name="GivenName"/>
  <w:smartTagType w:namespaceuri="urn:schemas:contacts" w:name="Sn"/>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6209"/>
    <w:rPr>
      <w:rFonts w:ascii="Arial" w:hAnsi="Arial"/>
      <w:sz w:val="24"/>
      <w:lang w:val="sq-AL"/>
    </w:rPr>
  </w:style>
  <w:style w:type="paragraph" w:styleId="Heading1">
    <w:name w:val="heading 1"/>
    <w:basedOn w:val="Normal"/>
    <w:next w:val="Normal"/>
    <w:link w:val="Heading1Char"/>
    <w:qFormat/>
    <w:rsid w:val="00B320F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946209"/>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946209"/>
    <w:pPr>
      <w:keepNext/>
      <w:jc w:val="center"/>
      <w:outlineLvl w:val="2"/>
    </w:pPr>
    <w:rPr>
      <w:rFonts w:ascii="Times New Roman" w:hAnsi="Times New Roman"/>
      <w:b/>
      <w:i/>
      <w:color w:val="000080"/>
    </w:rPr>
  </w:style>
  <w:style w:type="paragraph" w:styleId="Heading4">
    <w:name w:val="heading 4"/>
    <w:basedOn w:val="Normal"/>
    <w:next w:val="Normal"/>
    <w:link w:val="Heading4Char"/>
    <w:qFormat/>
    <w:rsid w:val="00946209"/>
    <w:pPr>
      <w:keepNext/>
      <w:jc w:val="center"/>
      <w:outlineLvl w:val="3"/>
    </w:pPr>
    <w:rPr>
      <w:rFonts w:ascii="Times New Roman" w:hAnsi="Times New Roman"/>
      <w:b/>
      <w:i/>
      <w:color w:val="000080"/>
      <w:sz w:val="22"/>
    </w:rPr>
  </w:style>
  <w:style w:type="paragraph" w:styleId="Heading5">
    <w:name w:val="heading 5"/>
    <w:basedOn w:val="Normal"/>
    <w:next w:val="Normal"/>
    <w:link w:val="Heading5Char"/>
    <w:qFormat/>
    <w:rsid w:val="0046299D"/>
    <w:pPr>
      <w:widowControl w:val="0"/>
      <w:suppressAutoHyphens/>
      <w:outlineLvl w:val="4"/>
    </w:pPr>
    <w:rPr>
      <w:rFonts w:ascii="Courier" w:hAnsi="Courier"/>
      <w:snapToGrid w:val="0"/>
      <w:lang w:val="en-US"/>
    </w:rPr>
  </w:style>
  <w:style w:type="paragraph" w:styleId="Heading6">
    <w:name w:val="heading 6"/>
    <w:basedOn w:val="Normal"/>
    <w:next w:val="Normal"/>
    <w:link w:val="Heading6Char"/>
    <w:qFormat/>
    <w:rsid w:val="0046299D"/>
    <w:pPr>
      <w:widowControl w:val="0"/>
      <w:suppressAutoHyphens/>
      <w:outlineLvl w:val="5"/>
    </w:pPr>
    <w:rPr>
      <w:rFonts w:ascii="Courier" w:hAnsi="Courier"/>
      <w:snapToGrid w:val="0"/>
      <w:lang w:val="en-US"/>
    </w:rPr>
  </w:style>
  <w:style w:type="paragraph" w:styleId="Heading7">
    <w:name w:val="heading 7"/>
    <w:basedOn w:val="Normal"/>
    <w:next w:val="Normal"/>
    <w:link w:val="Heading7Char"/>
    <w:qFormat/>
    <w:rsid w:val="00946209"/>
    <w:pPr>
      <w:keepNext/>
      <w:jc w:val="center"/>
      <w:outlineLvl w:val="6"/>
    </w:pPr>
    <w:rPr>
      <w:b/>
    </w:rPr>
  </w:style>
  <w:style w:type="paragraph" w:styleId="Heading8">
    <w:name w:val="heading 8"/>
    <w:basedOn w:val="Normal"/>
    <w:next w:val="Normal"/>
    <w:link w:val="Heading8Char"/>
    <w:qFormat/>
    <w:rsid w:val="0046299D"/>
    <w:pPr>
      <w:widowControl w:val="0"/>
      <w:suppressAutoHyphens/>
      <w:outlineLvl w:val="7"/>
    </w:pPr>
    <w:rPr>
      <w:rFonts w:ascii="Courier" w:hAnsi="Courier"/>
      <w:snapToGrid w:val="0"/>
      <w:lang w:val="en-US"/>
    </w:rPr>
  </w:style>
  <w:style w:type="paragraph" w:styleId="Heading9">
    <w:name w:val="heading 9"/>
    <w:basedOn w:val="Normal"/>
    <w:next w:val="Normal"/>
    <w:link w:val="Heading9Char"/>
    <w:qFormat/>
    <w:rsid w:val="0046299D"/>
    <w:pPr>
      <w:keepNext/>
      <w:tabs>
        <w:tab w:val="left" w:pos="-1440"/>
        <w:tab w:val="left" w:pos="-720"/>
        <w:tab w:val="left" w:pos="0"/>
        <w:tab w:val="left" w:pos="1056"/>
        <w:tab w:val="left" w:pos="1584"/>
        <w:tab w:val="left" w:pos="2112"/>
        <w:tab w:val="left" w:pos="2880"/>
      </w:tabs>
      <w:suppressAutoHyphens/>
      <w:ind w:left="-306" w:right="-306"/>
      <w:jc w:val="both"/>
      <w:outlineLvl w:val="8"/>
    </w:pPr>
    <w:rPr>
      <w:rFonts w:ascii="Times New Roman" w:hAnsi="Times New Roman"/>
      <w:i/>
      <w:spacing w:val="-2"/>
      <w:sz w:val="22"/>
      <w:lang w:val="en-GB" w:eastAsia="fr-F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46299D"/>
    <w:rPr>
      <w:rFonts w:ascii="Arial" w:hAnsi="Arial" w:cs="Arial"/>
      <w:b/>
      <w:bCs/>
      <w:kern w:val="32"/>
      <w:sz w:val="32"/>
      <w:szCs w:val="32"/>
      <w:lang w:val="sq-AL" w:eastAsia="en-US" w:bidi="ar-SA"/>
    </w:rPr>
  </w:style>
  <w:style w:type="character" w:customStyle="1" w:styleId="Heading2Char">
    <w:name w:val="Heading 2 Char"/>
    <w:basedOn w:val="DefaultParagraphFont"/>
    <w:link w:val="Heading2"/>
    <w:rsid w:val="00946209"/>
    <w:rPr>
      <w:rFonts w:ascii="Arial" w:hAnsi="Arial" w:cs="Arial"/>
      <w:b/>
      <w:bCs/>
      <w:i/>
      <w:iCs/>
      <w:sz w:val="28"/>
      <w:szCs w:val="28"/>
      <w:lang w:val="sq-AL" w:eastAsia="en-US" w:bidi="ar-SA"/>
    </w:rPr>
  </w:style>
  <w:style w:type="character" w:customStyle="1" w:styleId="Heading3Char">
    <w:name w:val="Heading 3 Char"/>
    <w:basedOn w:val="DefaultParagraphFont"/>
    <w:link w:val="Heading3"/>
    <w:rsid w:val="0046299D"/>
    <w:rPr>
      <w:b/>
      <w:i/>
      <w:color w:val="000080"/>
      <w:sz w:val="24"/>
      <w:lang w:val="sq-AL" w:eastAsia="en-US" w:bidi="ar-SA"/>
    </w:rPr>
  </w:style>
  <w:style w:type="character" w:customStyle="1" w:styleId="Heading4Char">
    <w:name w:val="Heading 4 Char"/>
    <w:basedOn w:val="DefaultParagraphFont"/>
    <w:link w:val="Heading4"/>
    <w:rsid w:val="0046299D"/>
    <w:rPr>
      <w:b/>
      <w:i/>
      <w:color w:val="000080"/>
      <w:sz w:val="22"/>
      <w:lang w:val="sq-AL" w:eastAsia="en-US" w:bidi="ar-SA"/>
    </w:rPr>
  </w:style>
  <w:style w:type="character" w:customStyle="1" w:styleId="Heading5Char">
    <w:name w:val="Heading 5 Char"/>
    <w:basedOn w:val="DefaultParagraphFont"/>
    <w:link w:val="Heading5"/>
    <w:rsid w:val="0046299D"/>
    <w:rPr>
      <w:rFonts w:ascii="Courier" w:hAnsi="Courier"/>
      <w:snapToGrid w:val="0"/>
      <w:sz w:val="24"/>
      <w:lang w:val="en-US" w:eastAsia="en-US" w:bidi="ar-SA"/>
    </w:rPr>
  </w:style>
  <w:style w:type="character" w:customStyle="1" w:styleId="Heading6Char">
    <w:name w:val="Heading 6 Char"/>
    <w:basedOn w:val="DefaultParagraphFont"/>
    <w:link w:val="Heading6"/>
    <w:rsid w:val="0046299D"/>
    <w:rPr>
      <w:rFonts w:ascii="Courier" w:hAnsi="Courier"/>
      <w:snapToGrid w:val="0"/>
      <w:sz w:val="24"/>
      <w:lang w:val="en-US" w:eastAsia="en-US" w:bidi="ar-SA"/>
    </w:rPr>
  </w:style>
  <w:style w:type="character" w:customStyle="1" w:styleId="Heading7Char">
    <w:name w:val="Heading 7 Char"/>
    <w:basedOn w:val="DefaultParagraphFont"/>
    <w:link w:val="Heading7"/>
    <w:rsid w:val="0046299D"/>
    <w:rPr>
      <w:rFonts w:ascii="Arial" w:hAnsi="Arial"/>
      <w:b/>
      <w:sz w:val="24"/>
      <w:lang w:val="sq-AL" w:eastAsia="en-US" w:bidi="ar-SA"/>
    </w:rPr>
  </w:style>
  <w:style w:type="character" w:customStyle="1" w:styleId="Heading8Char">
    <w:name w:val="Heading 8 Char"/>
    <w:basedOn w:val="DefaultParagraphFont"/>
    <w:link w:val="Heading8"/>
    <w:rsid w:val="0046299D"/>
    <w:rPr>
      <w:rFonts w:ascii="Courier" w:hAnsi="Courier"/>
      <w:snapToGrid w:val="0"/>
      <w:sz w:val="24"/>
      <w:lang w:val="en-US" w:eastAsia="en-US" w:bidi="ar-SA"/>
    </w:rPr>
  </w:style>
  <w:style w:type="character" w:customStyle="1" w:styleId="Heading9Char">
    <w:name w:val="Heading 9 Char"/>
    <w:basedOn w:val="DefaultParagraphFont"/>
    <w:link w:val="Heading9"/>
    <w:rsid w:val="0046299D"/>
    <w:rPr>
      <w:i/>
      <w:spacing w:val="-2"/>
      <w:sz w:val="22"/>
      <w:lang w:val="en-GB" w:eastAsia="fr-FR" w:bidi="ar-SA"/>
    </w:rPr>
  </w:style>
  <w:style w:type="paragraph" w:customStyle="1" w:styleId="Char">
    <w:name w:val=" Char"/>
    <w:basedOn w:val="Normal"/>
    <w:rsid w:val="00392BE0"/>
    <w:pPr>
      <w:spacing w:after="160" w:line="240" w:lineRule="exact"/>
    </w:pPr>
    <w:rPr>
      <w:rFonts w:ascii="Tahoma" w:eastAsia="MS Mincho" w:hAnsi="Tahoma"/>
      <w:sz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0">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eastAsia="MS Mincho"/>
      <w:noProof/>
      <w:sz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3"/>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1"/>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lang w:val="en-GB"/>
    </w:rPr>
  </w:style>
  <w:style w:type="paragraph" w:customStyle="1" w:styleId="ParagraphNumbering">
    <w:name w:val="Paragraph Numbering"/>
    <w:basedOn w:val="Normal"/>
    <w:rsid w:val="00392BE0"/>
    <w:pPr>
      <w:numPr>
        <w:numId w:val="1"/>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2"/>
      </w:numPr>
      <w:spacing w:after="240"/>
      <w:outlineLvl w:val="2"/>
    </w:pPr>
    <w:rPr>
      <w:rFonts w:eastAsia="MS Mincho"/>
    </w:rPr>
  </w:style>
  <w:style w:type="paragraph" w:customStyle="1" w:styleId="Sub-Para1underXY">
    <w:name w:val="Sub-Para 1 under X.Y"/>
    <w:basedOn w:val="Normal"/>
    <w:rsid w:val="00392BE0"/>
    <w:pPr>
      <w:numPr>
        <w:ilvl w:val="1"/>
        <w:numId w:val="3"/>
      </w:numPr>
      <w:spacing w:after="240"/>
      <w:outlineLvl w:val="2"/>
    </w:pPr>
    <w:rPr>
      <w:rFonts w:eastAsia="MS Mincho"/>
    </w:rPr>
  </w:style>
  <w:style w:type="paragraph" w:customStyle="1" w:styleId="Sub-Para2underX">
    <w:name w:val="Sub-Para 2 under X."/>
    <w:basedOn w:val="Normal"/>
    <w:rsid w:val="00392BE0"/>
    <w:pPr>
      <w:numPr>
        <w:ilvl w:val="2"/>
        <w:numId w:val="2"/>
      </w:numPr>
      <w:spacing w:after="240"/>
      <w:outlineLvl w:val="3"/>
    </w:pPr>
    <w:rPr>
      <w:rFonts w:eastAsia="MS Mincho"/>
    </w:rPr>
  </w:style>
  <w:style w:type="paragraph" w:customStyle="1" w:styleId="Sub-Para2underXY">
    <w:name w:val="Sub-Para 2 under X.Y"/>
    <w:basedOn w:val="Normal"/>
    <w:rsid w:val="00392BE0"/>
    <w:pPr>
      <w:numPr>
        <w:ilvl w:val="2"/>
        <w:numId w:val="3"/>
      </w:numPr>
      <w:spacing w:after="240"/>
      <w:outlineLvl w:val="3"/>
    </w:pPr>
    <w:rPr>
      <w:rFonts w:eastAsia="MS Mincho"/>
    </w:rPr>
  </w:style>
  <w:style w:type="paragraph" w:customStyle="1" w:styleId="Sub-Para3underX">
    <w:name w:val="Sub-Para 3 under X."/>
    <w:basedOn w:val="Normal"/>
    <w:rsid w:val="00392BE0"/>
    <w:pPr>
      <w:numPr>
        <w:ilvl w:val="3"/>
        <w:numId w:val="2"/>
      </w:numPr>
      <w:spacing w:after="240"/>
      <w:outlineLvl w:val="4"/>
    </w:pPr>
    <w:rPr>
      <w:rFonts w:eastAsia="MS Mincho"/>
    </w:rPr>
  </w:style>
  <w:style w:type="paragraph" w:customStyle="1" w:styleId="Sub-Para3underXY">
    <w:name w:val="Sub-Para 3 under X.Y"/>
    <w:basedOn w:val="Normal"/>
    <w:rsid w:val="00392BE0"/>
    <w:pPr>
      <w:numPr>
        <w:ilvl w:val="3"/>
        <w:numId w:val="3"/>
      </w:numPr>
      <w:spacing w:after="240"/>
      <w:outlineLvl w:val="4"/>
    </w:pPr>
    <w:rPr>
      <w:rFonts w:eastAsia="MS Mincho"/>
    </w:rPr>
  </w:style>
  <w:style w:type="paragraph" w:customStyle="1" w:styleId="Sub-Para4underX">
    <w:name w:val="Sub-Para 4 under X."/>
    <w:basedOn w:val="Normal"/>
    <w:rsid w:val="00392BE0"/>
    <w:pPr>
      <w:numPr>
        <w:ilvl w:val="4"/>
        <w:numId w:val="2"/>
      </w:numPr>
      <w:spacing w:after="240"/>
      <w:outlineLvl w:val="5"/>
    </w:pPr>
    <w:rPr>
      <w:rFonts w:eastAsia="MS Mincho"/>
    </w:rPr>
  </w:style>
  <w:style w:type="paragraph" w:customStyle="1" w:styleId="Sub-Para4underXY">
    <w:name w:val="Sub-Para 4 under X.Y"/>
    <w:basedOn w:val="Normal"/>
    <w:rsid w:val="00392BE0"/>
    <w:pPr>
      <w:numPr>
        <w:ilvl w:val="4"/>
        <w:numId w:val="3"/>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Header">
    <w:name w:val="header"/>
    <w:basedOn w:val="Normal"/>
    <w:rsid w:val="00946209"/>
    <w:pPr>
      <w:tabs>
        <w:tab w:val="center" w:pos="4320"/>
        <w:tab w:val="right" w:pos="8640"/>
      </w:tabs>
    </w:pPr>
  </w:style>
  <w:style w:type="paragraph" w:styleId="Footer">
    <w:name w:val="footer"/>
    <w:basedOn w:val="Normal"/>
    <w:link w:val="FooterChar"/>
    <w:rsid w:val="00946209"/>
    <w:pPr>
      <w:tabs>
        <w:tab w:val="center" w:pos="4320"/>
        <w:tab w:val="right" w:pos="8640"/>
      </w:tabs>
    </w:pPr>
  </w:style>
  <w:style w:type="character" w:customStyle="1" w:styleId="FooterChar">
    <w:name w:val="Footer Char"/>
    <w:basedOn w:val="DefaultParagraphFont"/>
    <w:link w:val="Footer"/>
    <w:rsid w:val="00946209"/>
    <w:rPr>
      <w:rFonts w:ascii="Arial" w:hAnsi="Arial"/>
      <w:sz w:val="24"/>
      <w:lang w:val="sq-AL" w:eastAsia="en-US" w:bidi="ar-SA"/>
    </w:rPr>
  </w:style>
  <w:style w:type="paragraph" w:styleId="BalloonText">
    <w:name w:val="Balloon Text"/>
    <w:basedOn w:val="Normal"/>
    <w:semiHidden/>
    <w:rsid w:val="00946209"/>
    <w:rPr>
      <w:rFonts w:ascii="Tahoma" w:hAnsi="Tahoma" w:cs="Tahoma"/>
      <w:sz w:val="16"/>
      <w:szCs w:val="16"/>
    </w:rPr>
  </w:style>
  <w:style w:type="paragraph" w:styleId="CommentText">
    <w:name w:val="annotation text"/>
    <w:basedOn w:val="Normal"/>
    <w:semiHidden/>
    <w:rsid w:val="00946209"/>
    <w:rPr>
      <w:sz w:val="20"/>
    </w:rPr>
  </w:style>
  <w:style w:type="paragraph" w:styleId="FootnoteText">
    <w:name w:val="footnote text"/>
    <w:aliases w:val="Fußnote,Footnote Text Char,Footnote Text Char Char Char,Footnote Text Char Char"/>
    <w:basedOn w:val="Normal"/>
    <w:semiHidden/>
    <w:rsid w:val="00946209"/>
    <w:pPr>
      <w:ind w:left="720" w:hanging="720"/>
      <w:jc w:val="both"/>
    </w:pPr>
    <w:rPr>
      <w:rFonts w:ascii="Times New Roman" w:hAnsi="Times New Roman"/>
      <w:sz w:val="20"/>
      <w:lang w:eastAsia="en-GB"/>
    </w:rPr>
  </w:style>
  <w:style w:type="table" w:styleId="TableGrid">
    <w:name w:val="Table Grid"/>
    <w:basedOn w:val="TableNormal"/>
    <w:rsid w:val="00946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946209"/>
    <w:rPr>
      <w:rFonts w:ascii="Courier New" w:hAnsi="Courier New" w:cs="Courier New"/>
      <w:sz w:val="20"/>
    </w:rPr>
  </w:style>
  <w:style w:type="character" w:styleId="Hyperlink">
    <w:name w:val="Hyperlink"/>
    <w:basedOn w:val="DefaultParagraphFont"/>
    <w:rsid w:val="00946209"/>
    <w:rPr>
      <w:color w:val="0000FF"/>
      <w:u w:val="single"/>
    </w:rPr>
  </w:style>
  <w:style w:type="character" w:styleId="PageNumber">
    <w:name w:val="page number"/>
    <w:basedOn w:val="DefaultParagraphFont"/>
    <w:rsid w:val="00946209"/>
  </w:style>
  <w:style w:type="paragraph" w:styleId="BodyText2">
    <w:name w:val="Body Text 2"/>
    <w:basedOn w:val="Normal"/>
    <w:rsid w:val="00946209"/>
    <w:pPr>
      <w:jc w:val="both"/>
    </w:pPr>
    <w:rPr>
      <w:rFonts w:ascii="Times New Roman" w:hAnsi="Times New Roman"/>
      <w:color w:val="000080"/>
      <w:lang w:val="en-US"/>
    </w:rPr>
  </w:style>
  <w:style w:type="paragraph" w:styleId="BodyText3">
    <w:name w:val="Body Text 3"/>
    <w:basedOn w:val="Normal"/>
    <w:rsid w:val="00946209"/>
    <w:rPr>
      <w:rFonts w:ascii="Times New Roman" w:hAnsi="Times New Roman"/>
      <w:color w:val="000080"/>
      <w:lang w:val="en-US"/>
    </w:rPr>
  </w:style>
  <w:style w:type="paragraph" w:styleId="Title">
    <w:name w:val="Title"/>
    <w:basedOn w:val="Normal"/>
    <w:qFormat/>
    <w:rsid w:val="00946209"/>
    <w:pPr>
      <w:jc w:val="center"/>
    </w:pPr>
    <w:rPr>
      <w:rFonts w:ascii="Times New Roman" w:hAnsi="Times New Roman"/>
      <w:b/>
      <w:color w:val="000080"/>
      <w:sz w:val="22"/>
    </w:rPr>
  </w:style>
  <w:style w:type="paragraph" w:styleId="DocumentMap">
    <w:name w:val="Document Map"/>
    <w:basedOn w:val="Normal"/>
    <w:semiHidden/>
    <w:rsid w:val="00946209"/>
    <w:pPr>
      <w:shd w:val="clear" w:color="auto" w:fill="000080"/>
    </w:pPr>
    <w:rPr>
      <w:rFonts w:ascii="Tahoma" w:hAnsi="Tahoma" w:cs="Tahoma"/>
      <w:sz w:val="20"/>
    </w:rPr>
  </w:style>
  <w:style w:type="paragraph" w:styleId="ListParagraph">
    <w:name w:val="List Paragraph"/>
    <w:basedOn w:val="Normal"/>
    <w:qFormat/>
    <w:rsid w:val="00946209"/>
    <w:pPr>
      <w:overflowPunct w:val="0"/>
      <w:autoSpaceDE w:val="0"/>
      <w:autoSpaceDN w:val="0"/>
      <w:adjustRightInd w:val="0"/>
      <w:ind w:left="720"/>
      <w:jc w:val="both"/>
      <w:textAlignment w:val="baseline"/>
    </w:pPr>
    <w:rPr>
      <w:rFonts w:ascii="CG Times (WN)" w:hAnsi="CG Times (WN)"/>
    </w:rPr>
  </w:style>
  <w:style w:type="paragraph" w:customStyle="1" w:styleId="texte">
    <w:name w:val="texte"/>
    <w:basedOn w:val="Normal"/>
    <w:rsid w:val="00946209"/>
    <w:pPr>
      <w:overflowPunct w:val="0"/>
      <w:autoSpaceDE w:val="0"/>
      <w:autoSpaceDN w:val="0"/>
      <w:adjustRightInd w:val="0"/>
      <w:spacing w:line="360" w:lineRule="auto"/>
      <w:ind w:left="1134" w:firstLine="1134"/>
      <w:textAlignment w:val="baseline"/>
    </w:pPr>
    <w:rPr>
      <w:rFonts w:ascii="Brougham" w:hAnsi="Brougham"/>
      <w:color w:val="000080"/>
      <w:sz w:val="20"/>
      <w:lang w:val="fr-FR" w:eastAsia="fr-FR"/>
    </w:rPr>
  </w:style>
  <w:style w:type="paragraph" w:customStyle="1" w:styleId="texteb">
    <w:name w:val="texte b"/>
    <w:basedOn w:val="Normal"/>
    <w:rsid w:val="00946209"/>
    <w:pPr>
      <w:overflowPunct w:val="0"/>
      <w:autoSpaceDE w:val="0"/>
      <w:autoSpaceDN w:val="0"/>
      <w:adjustRightInd w:val="0"/>
      <w:spacing w:line="360" w:lineRule="auto"/>
      <w:ind w:left="1474" w:hanging="340"/>
      <w:textAlignment w:val="baseline"/>
    </w:pPr>
    <w:rPr>
      <w:rFonts w:ascii="Brougham" w:hAnsi="Brougham"/>
      <w:color w:val="000080"/>
      <w:sz w:val="20"/>
      <w:lang w:val="fr-FR" w:eastAsia="fr-FR"/>
    </w:rPr>
  </w:style>
  <w:style w:type="paragraph" w:styleId="BodyTextIndent">
    <w:name w:val="Body Text Indent"/>
    <w:basedOn w:val="Normal"/>
    <w:link w:val="BodyTextIndentChar"/>
    <w:rsid w:val="00946209"/>
    <w:pPr>
      <w:spacing w:after="120"/>
      <w:ind w:left="360"/>
    </w:pPr>
    <w:rPr>
      <w:szCs w:val="24"/>
    </w:rPr>
  </w:style>
  <w:style w:type="character" w:customStyle="1" w:styleId="BodyTextIndentChar">
    <w:name w:val="Body Text Indent Char"/>
    <w:basedOn w:val="DefaultParagraphFont"/>
    <w:link w:val="BodyTextIndent"/>
    <w:rsid w:val="00946209"/>
    <w:rPr>
      <w:rFonts w:ascii="Arial" w:hAnsi="Arial"/>
      <w:sz w:val="24"/>
      <w:szCs w:val="24"/>
      <w:lang w:val="sq-AL" w:eastAsia="en-US" w:bidi="ar-SA"/>
    </w:rPr>
  </w:style>
  <w:style w:type="paragraph" w:customStyle="1" w:styleId="ModelNrmlDouble">
    <w:name w:val="ModelNrmlDouble"/>
    <w:basedOn w:val="Normal"/>
    <w:rsid w:val="00946209"/>
    <w:pPr>
      <w:spacing w:after="360" w:line="480" w:lineRule="auto"/>
      <w:ind w:firstLine="720"/>
      <w:jc w:val="both"/>
    </w:pPr>
    <w:rPr>
      <w:rFonts w:ascii="Times New Roman" w:hAnsi="Times New Roman"/>
      <w:sz w:val="22"/>
      <w:lang w:val="en-US"/>
    </w:rPr>
  </w:style>
  <w:style w:type="paragraph" w:customStyle="1" w:styleId="ModelDoubleNoIndent">
    <w:name w:val="ModelDoubleNoIndent"/>
    <w:basedOn w:val="ModelNrmlDouble"/>
    <w:rsid w:val="00946209"/>
    <w:pPr>
      <w:ind w:firstLine="0"/>
    </w:pPr>
    <w:rPr>
      <w:u w:val="single"/>
    </w:rPr>
  </w:style>
  <w:style w:type="paragraph" w:customStyle="1" w:styleId="ModelNrmlSingle">
    <w:name w:val="ModelNrmlSingle"/>
    <w:basedOn w:val="Normal"/>
    <w:rsid w:val="00946209"/>
    <w:pPr>
      <w:spacing w:after="240"/>
      <w:ind w:firstLine="720"/>
      <w:jc w:val="both"/>
    </w:pPr>
    <w:rPr>
      <w:rFonts w:ascii="Times New Roman" w:hAnsi="Times New Roman"/>
      <w:sz w:val="22"/>
      <w:lang w:val="en-US"/>
    </w:rPr>
  </w:style>
  <w:style w:type="paragraph" w:styleId="NoSpacing">
    <w:name w:val="No Spacing"/>
    <w:link w:val="NoSpacingChar"/>
    <w:qFormat/>
    <w:rsid w:val="00946209"/>
    <w:rPr>
      <w:sz w:val="24"/>
      <w:szCs w:val="24"/>
    </w:rPr>
  </w:style>
  <w:style w:type="character" w:customStyle="1" w:styleId="NoSpacingChar">
    <w:name w:val="No Spacing Char"/>
    <w:basedOn w:val="DefaultParagraphFont"/>
    <w:link w:val="NoSpacing"/>
    <w:rsid w:val="0046299D"/>
    <w:rPr>
      <w:sz w:val="24"/>
      <w:szCs w:val="24"/>
      <w:lang w:val="en-US" w:eastAsia="en-US" w:bidi="ar-SA"/>
    </w:rPr>
  </w:style>
  <w:style w:type="paragraph" w:customStyle="1" w:styleId="Parg">
    <w:name w:val="Parg"/>
    <w:basedOn w:val="Normal"/>
    <w:rsid w:val="00946209"/>
  </w:style>
  <w:style w:type="character" w:customStyle="1" w:styleId="CharChar11">
    <w:name w:val=" Char Char11"/>
    <w:basedOn w:val="DefaultParagraphFont"/>
    <w:rsid w:val="0046299D"/>
    <w:rPr>
      <w:b/>
      <w:sz w:val="24"/>
      <w:lang w:val="en-GB" w:eastAsia="fr-FR" w:bidi="ar-SA"/>
    </w:rPr>
  </w:style>
  <w:style w:type="paragraph" w:customStyle="1" w:styleId="JuPara">
    <w:name w:val="Ju_Para"/>
    <w:aliases w:val="Left,First line:  0 cm"/>
    <w:basedOn w:val="Normal"/>
    <w:link w:val="JuParaCar"/>
    <w:rsid w:val="0046299D"/>
    <w:pPr>
      <w:suppressAutoHyphens/>
      <w:ind w:firstLine="284"/>
      <w:jc w:val="both"/>
    </w:pPr>
    <w:rPr>
      <w:rFonts w:ascii="Times New Roman" w:hAnsi="Times New Roman"/>
      <w:lang w:val="en-GB" w:eastAsia="fr-FR"/>
    </w:rPr>
  </w:style>
  <w:style w:type="character" w:customStyle="1" w:styleId="JuParaCar">
    <w:name w:val="Ju_Para Car"/>
    <w:basedOn w:val="DefaultParagraphFont"/>
    <w:link w:val="JuPara"/>
    <w:rsid w:val="0046299D"/>
    <w:rPr>
      <w:sz w:val="24"/>
      <w:lang w:val="en-GB" w:eastAsia="fr-FR" w:bidi="ar-SA"/>
    </w:rPr>
  </w:style>
  <w:style w:type="paragraph" w:customStyle="1" w:styleId="JuHIRoman">
    <w:name w:val="Ju_H_I_Roman"/>
    <w:basedOn w:val="JuHHead"/>
    <w:next w:val="JuPara"/>
    <w:rsid w:val="0046299D"/>
    <w:pPr>
      <w:tabs>
        <w:tab w:val="left" w:pos="357"/>
      </w:tabs>
      <w:spacing w:before="360"/>
      <w:ind w:left="357" w:hanging="357"/>
    </w:pPr>
    <w:rPr>
      <w:sz w:val="24"/>
    </w:rPr>
  </w:style>
  <w:style w:type="paragraph" w:customStyle="1" w:styleId="JuHHead">
    <w:name w:val="Ju_H_Head"/>
    <w:basedOn w:val="Normal"/>
    <w:next w:val="JuPara"/>
    <w:rsid w:val="0046299D"/>
    <w:pPr>
      <w:keepNext/>
      <w:keepLines/>
      <w:suppressAutoHyphens/>
      <w:spacing w:before="720" w:after="240"/>
      <w:jc w:val="both"/>
    </w:pPr>
    <w:rPr>
      <w:rFonts w:ascii="Times New Roman" w:hAnsi="Times New Roman"/>
      <w:sz w:val="28"/>
      <w:lang w:val="en-GB" w:eastAsia="fr-FR"/>
    </w:rPr>
  </w:style>
  <w:style w:type="paragraph" w:customStyle="1" w:styleId="JuJudges">
    <w:name w:val="Ju_Judges"/>
    <w:basedOn w:val="Normal"/>
    <w:link w:val="JuJudgesChar"/>
    <w:rsid w:val="0046299D"/>
    <w:pPr>
      <w:tabs>
        <w:tab w:val="left" w:pos="567"/>
        <w:tab w:val="left" w:pos="1134"/>
      </w:tabs>
      <w:suppressAutoHyphens/>
    </w:pPr>
    <w:rPr>
      <w:rFonts w:ascii="Times New Roman" w:hAnsi="Times New Roman"/>
      <w:lang w:val="en-GB" w:eastAsia="fr-FR"/>
    </w:rPr>
  </w:style>
  <w:style w:type="character" w:customStyle="1" w:styleId="JuJudgesChar">
    <w:name w:val="Ju_Judges Char"/>
    <w:basedOn w:val="DefaultParagraphFont"/>
    <w:link w:val="JuJudges"/>
    <w:rsid w:val="0046299D"/>
    <w:rPr>
      <w:sz w:val="24"/>
      <w:lang w:val="en-GB" w:eastAsia="fr-FR" w:bidi="ar-SA"/>
    </w:rPr>
  </w:style>
  <w:style w:type="character" w:customStyle="1" w:styleId="JuNames">
    <w:name w:val="Ju_Names"/>
    <w:basedOn w:val="DefaultParagraphFont"/>
    <w:rsid w:val="0046299D"/>
    <w:rPr>
      <w:smallCaps/>
    </w:rPr>
  </w:style>
  <w:style w:type="paragraph" w:customStyle="1" w:styleId="JuHA">
    <w:name w:val="Ju_H_A"/>
    <w:basedOn w:val="JuHIRoman"/>
    <w:next w:val="JuPara"/>
    <w:rsid w:val="0046299D"/>
    <w:pPr>
      <w:tabs>
        <w:tab w:val="clear" w:pos="357"/>
        <w:tab w:val="left" w:pos="584"/>
      </w:tabs>
      <w:ind w:left="584" w:hanging="352"/>
    </w:pPr>
    <w:rPr>
      <w:b/>
    </w:rPr>
  </w:style>
  <w:style w:type="paragraph" w:customStyle="1" w:styleId="JuQuot">
    <w:name w:val="Ju_Quot"/>
    <w:basedOn w:val="JuPara"/>
    <w:rsid w:val="0046299D"/>
    <w:pPr>
      <w:spacing w:before="120" w:after="120"/>
      <w:ind w:left="425" w:firstLine="142"/>
    </w:pPr>
    <w:rPr>
      <w:sz w:val="20"/>
    </w:rPr>
  </w:style>
  <w:style w:type="paragraph" w:customStyle="1" w:styleId="JuSigned">
    <w:name w:val="Ju_Signed"/>
    <w:basedOn w:val="Normal"/>
    <w:next w:val="JuParaLast"/>
    <w:link w:val="JuSignedChar"/>
    <w:rsid w:val="0046299D"/>
    <w:pPr>
      <w:tabs>
        <w:tab w:val="center" w:pos="851"/>
        <w:tab w:val="center" w:pos="6407"/>
      </w:tabs>
      <w:suppressAutoHyphens/>
      <w:spacing w:before="720"/>
    </w:pPr>
    <w:rPr>
      <w:rFonts w:ascii="Times New Roman" w:hAnsi="Times New Roman"/>
      <w:lang w:val="en-GB" w:eastAsia="fr-FR"/>
    </w:rPr>
  </w:style>
  <w:style w:type="paragraph" w:customStyle="1" w:styleId="JuParaLast">
    <w:name w:val="Ju_Para_Last"/>
    <w:basedOn w:val="JuPara"/>
    <w:next w:val="JuPara"/>
    <w:rsid w:val="0046299D"/>
    <w:pPr>
      <w:keepNext/>
      <w:keepLines/>
      <w:spacing w:before="240"/>
    </w:pPr>
  </w:style>
  <w:style w:type="character" w:customStyle="1" w:styleId="JuSignedChar">
    <w:name w:val="Ju_Signed Char"/>
    <w:basedOn w:val="DefaultParagraphFont"/>
    <w:link w:val="JuSigned"/>
    <w:rsid w:val="0046299D"/>
    <w:rPr>
      <w:sz w:val="24"/>
      <w:lang w:val="en-GB" w:eastAsia="fr-FR" w:bidi="ar-SA"/>
    </w:rPr>
  </w:style>
  <w:style w:type="paragraph" w:customStyle="1" w:styleId="JuCase">
    <w:name w:val="Ju_Case"/>
    <w:basedOn w:val="JuPara"/>
    <w:next w:val="JuPara"/>
    <w:rsid w:val="0046299D"/>
    <w:rPr>
      <w:b/>
    </w:rPr>
  </w:style>
  <w:style w:type="paragraph" w:customStyle="1" w:styleId="JuList">
    <w:name w:val="Ju_List"/>
    <w:basedOn w:val="JuPara"/>
    <w:rsid w:val="0046299D"/>
    <w:pPr>
      <w:ind w:left="340" w:hanging="340"/>
    </w:pPr>
  </w:style>
  <w:style w:type="paragraph" w:customStyle="1" w:styleId="JuHArticle">
    <w:name w:val="Ju_H_Article"/>
    <w:basedOn w:val="JuHa0"/>
    <w:next w:val="JuQuot"/>
    <w:rsid w:val="0046299D"/>
    <w:pPr>
      <w:ind w:left="0" w:firstLine="0"/>
      <w:jc w:val="center"/>
    </w:pPr>
  </w:style>
  <w:style w:type="paragraph" w:customStyle="1" w:styleId="JuHa0">
    <w:name w:val="Ju_H_a"/>
    <w:basedOn w:val="JuH1"/>
    <w:next w:val="JuPara"/>
    <w:rsid w:val="0046299D"/>
    <w:pPr>
      <w:tabs>
        <w:tab w:val="clear" w:pos="731"/>
        <w:tab w:val="left" w:pos="975"/>
      </w:tabs>
      <w:ind w:left="975" w:hanging="340"/>
    </w:pPr>
    <w:rPr>
      <w:b/>
      <w:i w:val="0"/>
      <w:sz w:val="20"/>
    </w:rPr>
  </w:style>
  <w:style w:type="paragraph" w:customStyle="1" w:styleId="JuH1">
    <w:name w:val="Ju_H_1."/>
    <w:basedOn w:val="JuHA"/>
    <w:next w:val="JuPara"/>
    <w:rsid w:val="0046299D"/>
    <w:pPr>
      <w:tabs>
        <w:tab w:val="clear" w:pos="584"/>
        <w:tab w:val="left" w:pos="731"/>
      </w:tabs>
      <w:spacing w:before="240" w:after="120"/>
      <w:ind w:left="732" w:hanging="301"/>
    </w:pPr>
    <w:rPr>
      <w:b w:val="0"/>
      <w:i/>
    </w:rPr>
  </w:style>
  <w:style w:type="paragraph" w:customStyle="1" w:styleId="JuCourt">
    <w:name w:val="Ju_Court"/>
    <w:basedOn w:val="JuJudges"/>
    <w:rsid w:val="0046299D"/>
    <w:pPr>
      <w:tabs>
        <w:tab w:val="clear" w:pos="567"/>
        <w:tab w:val="clear" w:pos="1134"/>
        <w:tab w:val="left" w:pos="907"/>
        <w:tab w:val="left" w:pos="1701"/>
        <w:tab w:val="right" w:pos="7371"/>
      </w:tabs>
      <w:spacing w:before="240"/>
      <w:ind w:left="397" w:hanging="397"/>
    </w:pPr>
  </w:style>
  <w:style w:type="paragraph" w:customStyle="1" w:styleId="JuHi">
    <w:name w:val="Ju_H_i"/>
    <w:basedOn w:val="JuHa0"/>
    <w:next w:val="JuPara"/>
    <w:rsid w:val="0046299D"/>
    <w:pPr>
      <w:tabs>
        <w:tab w:val="clear" w:pos="975"/>
        <w:tab w:val="left" w:pos="1191"/>
      </w:tabs>
      <w:ind w:left="1190" w:hanging="357"/>
    </w:pPr>
    <w:rPr>
      <w:b w:val="0"/>
      <w:i/>
    </w:rPr>
  </w:style>
  <w:style w:type="paragraph" w:customStyle="1" w:styleId="JuH">
    <w:name w:val="Ju_H_–"/>
    <w:basedOn w:val="JuHalpha"/>
    <w:next w:val="JuPara"/>
    <w:rsid w:val="0046299D"/>
    <w:pPr>
      <w:tabs>
        <w:tab w:val="clear" w:pos="1372"/>
      </w:tabs>
      <w:ind w:left="1236" w:firstLine="0"/>
    </w:pPr>
    <w:rPr>
      <w:i/>
    </w:rPr>
  </w:style>
  <w:style w:type="paragraph" w:customStyle="1" w:styleId="JuHalpha">
    <w:name w:val="Ju_H_alpha"/>
    <w:basedOn w:val="JuHi"/>
    <w:next w:val="JuPara"/>
    <w:rsid w:val="0046299D"/>
    <w:pPr>
      <w:tabs>
        <w:tab w:val="clear" w:pos="1191"/>
        <w:tab w:val="left" w:pos="1372"/>
      </w:tabs>
      <w:ind w:left="1373" w:hanging="335"/>
    </w:pPr>
    <w:rPr>
      <w:i w:val="0"/>
    </w:rPr>
  </w:style>
  <w:style w:type="paragraph" w:customStyle="1" w:styleId="JuLista">
    <w:name w:val="Ju_List_a"/>
    <w:basedOn w:val="JuList"/>
    <w:rsid w:val="0046299D"/>
    <w:pPr>
      <w:ind w:left="346" w:firstLine="0"/>
    </w:pPr>
  </w:style>
  <w:style w:type="paragraph" w:customStyle="1" w:styleId="JuListi">
    <w:name w:val="Ju_List_i"/>
    <w:basedOn w:val="JuLista"/>
    <w:rsid w:val="0046299D"/>
    <w:pPr>
      <w:ind w:left="794"/>
    </w:pPr>
  </w:style>
  <w:style w:type="paragraph" w:customStyle="1" w:styleId="OpiHHead">
    <w:name w:val="Opi_H_Head"/>
    <w:basedOn w:val="JuHHead"/>
    <w:next w:val="OpiPara"/>
    <w:rsid w:val="0046299D"/>
    <w:pPr>
      <w:spacing w:before="0"/>
      <w:jc w:val="center"/>
    </w:pPr>
  </w:style>
  <w:style w:type="paragraph" w:customStyle="1" w:styleId="OpiPara">
    <w:name w:val="Opi_Para"/>
    <w:basedOn w:val="JuPara"/>
    <w:rsid w:val="0046299D"/>
  </w:style>
  <w:style w:type="paragraph" w:customStyle="1" w:styleId="OpiTranslation">
    <w:name w:val="Opi_Translation"/>
    <w:basedOn w:val="OpiHHead"/>
    <w:next w:val="OpiPara"/>
    <w:rsid w:val="0046299D"/>
    <w:rPr>
      <w:i/>
      <w:sz w:val="24"/>
    </w:rPr>
  </w:style>
  <w:style w:type="paragraph" w:customStyle="1" w:styleId="JuInitialled">
    <w:name w:val="Ju_Initialled"/>
    <w:basedOn w:val="JuSigned"/>
    <w:rsid w:val="0046299D"/>
    <w:pPr>
      <w:tabs>
        <w:tab w:val="clear" w:pos="851"/>
      </w:tabs>
      <w:jc w:val="right"/>
    </w:pPr>
  </w:style>
  <w:style w:type="paragraph" w:customStyle="1" w:styleId="JuHeader">
    <w:name w:val="Ju_Header"/>
    <w:basedOn w:val="Header"/>
    <w:rsid w:val="0046299D"/>
    <w:pPr>
      <w:tabs>
        <w:tab w:val="clear" w:pos="4320"/>
        <w:tab w:val="clear" w:pos="8640"/>
        <w:tab w:val="center" w:pos="3686"/>
        <w:tab w:val="right" w:pos="7371"/>
      </w:tabs>
      <w:suppressAutoHyphens/>
    </w:pPr>
    <w:rPr>
      <w:rFonts w:ascii="Times New Roman" w:hAnsi="Times New Roman"/>
      <w:sz w:val="18"/>
      <w:lang w:val="en-GB" w:eastAsia="fr-FR"/>
    </w:rPr>
  </w:style>
  <w:style w:type="paragraph" w:customStyle="1" w:styleId="DecHTitle">
    <w:name w:val="Dec_H_Title"/>
    <w:basedOn w:val="Normal"/>
    <w:rsid w:val="0046299D"/>
    <w:pPr>
      <w:suppressAutoHyphens/>
      <w:spacing w:after="240"/>
      <w:jc w:val="center"/>
    </w:pPr>
    <w:rPr>
      <w:rFonts w:ascii="Times New Roman" w:hAnsi="Times New Roman"/>
      <w:sz w:val="28"/>
      <w:lang w:val="en-GB" w:eastAsia="fr-FR"/>
    </w:rPr>
  </w:style>
  <w:style w:type="paragraph" w:customStyle="1" w:styleId="DecHCase">
    <w:name w:val="Dec_H_Case"/>
    <w:basedOn w:val="DecHTitle"/>
    <w:next w:val="JuPara"/>
    <w:rsid w:val="0046299D"/>
    <w:rPr>
      <w:sz w:val="24"/>
    </w:rPr>
  </w:style>
  <w:style w:type="paragraph" w:customStyle="1" w:styleId="DecList">
    <w:name w:val="Dec_List"/>
    <w:basedOn w:val="Normal"/>
    <w:rsid w:val="0046299D"/>
    <w:pPr>
      <w:suppressAutoHyphens/>
      <w:spacing w:before="240"/>
      <w:ind w:left="284"/>
      <w:jc w:val="both"/>
    </w:pPr>
    <w:rPr>
      <w:rFonts w:ascii="Times New Roman" w:hAnsi="Times New Roman"/>
      <w:lang w:val="en-GB" w:eastAsia="fr-FR"/>
    </w:rPr>
  </w:style>
  <w:style w:type="paragraph" w:customStyle="1" w:styleId="JuParaSub">
    <w:name w:val="Ju_Para_Sub"/>
    <w:basedOn w:val="JuPara"/>
    <w:rsid w:val="0046299D"/>
    <w:pPr>
      <w:ind w:left="284"/>
    </w:pPr>
    <w:rPr>
      <w:szCs w:val="24"/>
    </w:rPr>
  </w:style>
  <w:style w:type="paragraph" w:customStyle="1" w:styleId="JuQuotSub">
    <w:name w:val="Ju_Quot_Sub"/>
    <w:basedOn w:val="JuQuot"/>
    <w:rsid w:val="0046299D"/>
    <w:pPr>
      <w:ind w:left="567"/>
    </w:pPr>
  </w:style>
  <w:style w:type="paragraph" w:customStyle="1" w:styleId="PJuPara">
    <w:name w:val="P_Ju_Para"/>
    <w:basedOn w:val="Normal"/>
    <w:rsid w:val="0046299D"/>
    <w:pPr>
      <w:suppressAutoHyphens/>
      <w:ind w:firstLine="284"/>
      <w:jc w:val="both"/>
    </w:pPr>
    <w:rPr>
      <w:rFonts w:ascii="Times New Roman" w:hAnsi="Times New Roman"/>
      <w:lang w:val="en-GB" w:eastAsia="fr-FR"/>
    </w:rPr>
  </w:style>
  <w:style w:type="paragraph" w:customStyle="1" w:styleId="PJuQuot">
    <w:name w:val="P_Ju_Quot"/>
    <w:basedOn w:val="Normal"/>
    <w:rsid w:val="0046299D"/>
    <w:pPr>
      <w:suppressAutoHyphens/>
      <w:spacing w:before="120" w:after="120"/>
      <w:ind w:left="403" w:firstLine="176"/>
      <w:jc w:val="both"/>
    </w:pPr>
    <w:rPr>
      <w:rFonts w:ascii="Times New Roman" w:hAnsi="Times New Roman"/>
      <w:sz w:val="20"/>
      <w:lang w:val="en-GB" w:eastAsia="fr-FR"/>
    </w:rPr>
  </w:style>
  <w:style w:type="paragraph" w:customStyle="1" w:styleId="OpiHA">
    <w:name w:val="Opi_H_A"/>
    <w:basedOn w:val="JuHIRoman"/>
    <w:next w:val="OpiPara"/>
    <w:rsid w:val="0046299D"/>
    <w:pPr>
      <w:tabs>
        <w:tab w:val="clear" w:pos="357"/>
      </w:tabs>
    </w:pPr>
    <w:rPr>
      <w:b/>
    </w:rPr>
  </w:style>
  <w:style w:type="paragraph" w:customStyle="1" w:styleId="OpiH1">
    <w:name w:val="Opi_H_1."/>
    <w:basedOn w:val="OpiHA"/>
    <w:next w:val="OpiPara"/>
    <w:rsid w:val="0046299D"/>
    <w:pPr>
      <w:spacing w:before="240" w:after="120"/>
      <w:ind w:left="635"/>
    </w:pPr>
    <w:rPr>
      <w:b w:val="0"/>
      <w:i/>
    </w:rPr>
  </w:style>
  <w:style w:type="paragraph" w:customStyle="1" w:styleId="OpiHa0">
    <w:name w:val="Opi_H_a"/>
    <w:basedOn w:val="OpiH1"/>
    <w:next w:val="OpiPara"/>
    <w:rsid w:val="0046299D"/>
    <w:pPr>
      <w:ind w:left="834"/>
    </w:pPr>
    <w:rPr>
      <w:b/>
      <w:i w:val="0"/>
      <w:sz w:val="20"/>
    </w:rPr>
  </w:style>
  <w:style w:type="paragraph" w:customStyle="1" w:styleId="OpiHi">
    <w:name w:val="Opi_H_i"/>
    <w:basedOn w:val="OpiHa0"/>
    <w:next w:val="OpiPara"/>
    <w:rsid w:val="0046299D"/>
    <w:pPr>
      <w:ind w:left="1038"/>
    </w:pPr>
    <w:rPr>
      <w:b w:val="0"/>
      <w:i/>
    </w:rPr>
  </w:style>
  <w:style w:type="paragraph" w:customStyle="1" w:styleId="PListArticleSubject">
    <w:name w:val="P_List_ArticleSubject"/>
    <w:basedOn w:val="Normal"/>
    <w:rsid w:val="0046299D"/>
    <w:pPr>
      <w:tabs>
        <w:tab w:val="left" w:pos="2977"/>
      </w:tabs>
      <w:suppressAutoHyphens/>
      <w:ind w:left="2977" w:hanging="2977"/>
    </w:pPr>
    <w:rPr>
      <w:rFonts w:ascii="Times New Roman" w:hAnsi="Times New Roman"/>
      <w:lang w:val="en-GB" w:eastAsia="fr-FR"/>
    </w:rPr>
  </w:style>
  <w:style w:type="paragraph" w:customStyle="1" w:styleId="OpiQuot">
    <w:name w:val="Opi_Quot"/>
    <w:basedOn w:val="JuQuot"/>
    <w:rsid w:val="0046299D"/>
  </w:style>
  <w:style w:type="paragraph" w:customStyle="1" w:styleId="SuCoverTitle1">
    <w:name w:val="Su_Cover_Title1"/>
    <w:basedOn w:val="Normal"/>
    <w:next w:val="SuCoverTitle2"/>
    <w:rsid w:val="0046299D"/>
    <w:pPr>
      <w:suppressAutoHyphens/>
      <w:spacing w:before="2500"/>
      <w:jc w:val="center"/>
    </w:pPr>
    <w:rPr>
      <w:rFonts w:ascii="Times New Roman" w:hAnsi="Times New Roman"/>
      <w:sz w:val="22"/>
      <w:lang w:val="en-GB" w:eastAsia="fr-FR"/>
    </w:rPr>
  </w:style>
  <w:style w:type="paragraph" w:customStyle="1" w:styleId="SuCoverTitle2">
    <w:name w:val="Su_Cover_Title2"/>
    <w:basedOn w:val="SuCoverTitle1"/>
    <w:next w:val="Normal"/>
    <w:rsid w:val="0046299D"/>
    <w:pPr>
      <w:spacing w:before="240"/>
    </w:pPr>
    <w:rPr>
      <w:sz w:val="18"/>
    </w:rPr>
  </w:style>
  <w:style w:type="paragraph" w:customStyle="1" w:styleId="SuPara">
    <w:name w:val="Su_Para"/>
    <w:basedOn w:val="SuKeywords"/>
    <w:rsid w:val="0046299D"/>
    <w:pPr>
      <w:spacing w:before="0" w:after="0"/>
    </w:pPr>
    <w:rPr>
      <w:i w:val="0"/>
    </w:rPr>
  </w:style>
  <w:style w:type="paragraph" w:customStyle="1" w:styleId="SuKeywords">
    <w:name w:val="Su_Keywords"/>
    <w:basedOn w:val="SuHHead"/>
    <w:rsid w:val="0046299D"/>
    <w:pPr>
      <w:spacing w:before="120"/>
    </w:pPr>
    <w:rPr>
      <w:b w:val="0"/>
      <w:i/>
    </w:rPr>
  </w:style>
  <w:style w:type="paragraph" w:customStyle="1" w:styleId="SuHHead">
    <w:name w:val="Su_H_Head"/>
    <w:basedOn w:val="SuSubject"/>
    <w:rsid w:val="0046299D"/>
    <w:pPr>
      <w:spacing w:after="120"/>
    </w:pPr>
  </w:style>
  <w:style w:type="paragraph" w:customStyle="1" w:styleId="SuSubject">
    <w:name w:val="Su_Subject"/>
    <w:basedOn w:val="SuSummary"/>
    <w:rsid w:val="0046299D"/>
    <w:pPr>
      <w:spacing w:before="360"/>
      <w:jc w:val="both"/>
    </w:pPr>
    <w:rPr>
      <w:b/>
      <w:sz w:val="22"/>
    </w:rPr>
  </w:style>
  <w:style w:type="paragraph" w:customStyle="1" w:styleId="SuSummary">
    <w:name w:val="Su_Summary"/>
    <w:basedOn w:val="Normal"/>
    <w:next w:val="SuSubject"/>
    <w:rsid w:val="0046299D"/>
    <w:pPr>
      <w:suppressAutoHyphens/>
      <w:spacing w:after="240"/>
      <w:jc w:val="center"/>
    </w:pPr>
    <w:rPr>
      <w:rFonts w:ascii="Times New Roman" w:hAnsi="Times New Roman"/>
      <w:lang w:val="en-GB" w:eastAsia="fr-FR"/>
    </w:rPr>
  </w:style>
  <w:style w:type="paragraph" w:customStyle="1" w:styleId="PListCaseNo">
    <w:name w:val="P_List_CaseNo"/>
    <w:basedOn w:val="Normal"/>
    <w:rsid w:val="0046299D"/>
    <w:pPr>
      <w:tabs>
        <w:tab w:val="left" w:pos="1276"/>
      </w:tabs>
      <w:suppressAutoHyphens/>
      <w:spacing w:line="288" w:lineRule="auto"/>
      <w:ind w:left="1276" w:hanging="1276"/>
    </w:pPr>
    <w:rPr>
      <w:rFonts w:ascii="Times New Roman" w:hAnsi="Times New Roman"/>
      <w:lang w:val="en-GB" w:eastAsia="fr-FR"/>
    </w:rPr>
  </w:style>
  <w:style w:type="paragraph" w:customStyle="1" w:styleId="PListCases">
    <w:name w:val="P_List_Cases"/>
    <w:basedOn w:val="Normal"/>
    <w:rsid w:val="0046299D"/>
    <w:pPr>
      <w:suppressAutoHyphens/>
      <w:spacing w:line="288" w:lineRule="auto"/>
    </w:pPr>
    <w:rPr>
      <w:rFonts w:ascii="Times New Roman" w:hAnsi="Times New Roman"/>
      <w:lang w:val="en-GB" w:eastAsia="fr-FR"/>
    </w:rPr>
  </w:style>
  <w:style w:type="paragraph" w:customStyle="1" w:styleId="PTextIntro">
    <w:name w:val="P_Text_Intro"/>
    <w:basedOn w:val="Normal"/>
    <w:rsid w:val="0046299D"/>
    <w:pPr>
      <w:suppressAutoHyphens/>
      <w:jc w:val="both"/>
    </w:pPr>
    <w:rPr>
      <w:rFonts w:ascii="Times New Roman" w:hAnsi="Times New Roman"/>
      <w:i/>
      <w:sz w:val="20"/>
      <w:lang w:val="en-GB" w:eastAsia="fr-FR"/>
    </w:rPr>
  </w:style>
  <w:style w:type="paragraph" w:customStyle="1" w:styleId="PTitleCover">
    <w:name w:val="P_Title_Cover"/>
    <w:basedOn w:val="Normal"/>
    <w:rsid w:val="0046299D"/>
    <w:pPr>
      <w:suppressAutoHyphens/>
      <w:spacing w:before="2500"/>
      <w:jc w:val="center"/>
    </w:pPr>
    <w:rPr>
      <w:rFonts w:ascii="Times New Roman" w:hAnsi="Times New Roman"/>
      <w:b/>
      <w:smallCaps/>
      <w:sz w:val="30"/>
      <w:lang w:val="en-GB" w:eastAsia="fr-FR"/>
    </w:rPr>
  </w:style>
  <w:style w:type="paragraph" w:customStyle="1" w:styleId="PTitle1Alpha">
    <w:name w:val="P_Title1_Alpha"/>
    <w:basedOn w:val="Normal"/>
    <w:next w:val="Normal"/>
    <w:rsid w:val="0046299D"/>
    <w:pPr>
      <w:suppressAutoHyphens/>
      <w:spacing w:after="120"/>
      <w:jc w:val="center"/>
    </w:pPr>
    <w:rPr>
      <w:rFonts w:ascii="Times New Roman" w:hAnsi="Times New Roman"/>
      <w:b/>
      <w:smallCaps/>
      <w:sz w:val="30"/>
      <w:lang w:val="en-GB" w:eastAsia="fr-FR"/>
    </w:rPr>
  </w:style>
  <w:style w:type="paragraph" w:customStyle="1" w:styleId="PTitle1IndexArticle">
    <w:name w:val="P_Title1_IndexArticle"/>
    <w:basedOn w:val="Normal"/>
    <w:rsid w:val="0046299D"/>
    <w:pPr>
      <w:suppressAutoHyphens/>
      <w:spacing w:after="120"/>
      <w:jc w:val="center"/>
    </w:pPr>
    <w:rPr>
      <w:rFonts w:ascii="Times New Roman" w:hAnsi="Times New Roman"/>
      <w:b/>
      <w:smallCaps/>
      <w:sz w:val="30"/>
      <w:lang w:val="en-GB" w:eastAsia="fr-FR"/>
    </w:rPr>
  </w:style>
  <w:style w:type="paragraph" w:customStyle="1" w:styleId="PTitle1IndexKey">
    <w:name w:val="P_Title1_IndexKey"/>
    <w:basedOn w:val="Normal"/>
    <w:rsid w:val="0046299D"/>
    <w:pPr>
      <w:suppressAutoHyphens/>
      <w:spacing w:after="600"/>
      <w:jc w:val="center"/>
    </w:pPr>
    <w:rPr>
      <w:rFonts w:ascii="Times New Roman" w:hAnsi="Times New Roman"/>
      <w:b/>
      <w:smallCaps/>
      <w:sz w:val="30"/>
      <w:lang w:val="en-GB" w:eastAsia="fr-FR"/>
    </w:rPr>
  </w:style>
  <w:style w:type="paragraph" w:customStyle="1" w:styleId="PTitle1Num">
    <w:name w:val="P_Title1_Num"/>
    <w:basedOn w:val="Normal"/>
    <w:next w:val="PListCaseNo"/>
    <w:rsid w:val="0046299D"/>
    <w:pPr>
      <w:suppressAutoHyphens/>
      <w:spacing w:after="720"/>
      <w:jc w:val="center"/>
    </w:pPr>
    <w:rPr>
      <w:rFonts w:ascii="Times New Roman" w:hAnsi="Times New Roman"/>
      <w:b/>
      <w:smallCaps/>
      <w:sz w:val="30"/>
      <w:lang w:val="en-GB" w:eastAsia="fr-FR"/>
    </w:rPr>
  </w:style>
  <w:style w:type="paragraph" w:customStyle="1" w:styleId="PTitle2Country">
    <w:name w:val="P_Title2_Country"/>
    <w:basedOn w:val="Normal"/>
    <w:next w:val="PListCases"/>
    <w:rsid w:val="0046299D"/>
    <w:pPr>
      <w:keepNext/>
      <w:keepLines/>
      <w:suppressAutoHyphens/>
      <w:spacing w:before="600" w:after="360"/>
    </w:pPr>
    <w:rPr>
      <w:rFonts w:ascii="Times New Roman" w:hAnsi="Times New Roman"/>
      <w:b/>
      <w:lang w:val="en-GB" w:eastAsia="fr-FR"/>
    </w:rPr>
  </w:style>
  <w:style w:type="paragraph" w:customStyle="1" w:styleId="PTitle2Letters">
    <w:name w:val="P_Title2_Letters"/>
    <w:basedOn w:val="Normal"/>
    <w:next w:val="PListCases"/>
    <w:rsid w:val="0046299D"/>
    <w:pPr>
      <w:keepNext/>
      <w:keepLines/>
      <w:suppressAutoHyphens/>
      <w:spacing w:before="600" w:after="360"/>
    </w:pPr>
    <w:rPr>
      <w:rFonts w:ascii="Times New Roman" w:hAnsi="Times New Roman"/>
      <w:b/>
      <w:sz w:val="28"/>
      <w:lang w:val="en-GB" w:eastAsia="fr-FR"/>
    </w:rPr>
  </w:style>
  <w:style w:type="paragraph" w:customStyle="1" w:styleId="PTitle2Part">
    <w:name w:val="P_Title2_Part"/>
    <w:basedOn w:val="Normal"/>
    <w:rsid w:val="0046299D"/>
    <w:pPr>
      <w:keepNext/>
      <w:keepLines/>
      <w:suppressAutoHyphens/>
      <w:spacing w:before="600" w:after="240"/>
      <w:jc w:val="center"/>
    </w:pPr>
    <w:rPr>
      <w:rFonts w:ascii="Times New Roman" w:hAnsi="Times New Roman"/>
      <w:b/>
      <w:caps/>
      <w:lang w:val="en-GB" w:eastAsia="fr-FR"/>
    </w:rPr>
  </w:style>
  <w:style w:type="paragraph" w:customStyle="1" w:styleId="PTitle3Article">
    <w:name w:val="P_Title3_Article"/>
    <w:basedOn w:val="Normal"/>
    <w:rsid w:val="0046299D"/>
    <w:pPr>
      <w:keepNext/>
      <w:keepLines/>
      <w:suppressAutoHyphens/>
      <w:spacing w:before="360" w:after="120"/>
      <w:jc w:val="center"/>
    </w:pPr>
    <w:rPr>
      <w:rFonts w:ascii="Times New Roman" w:hAnsi="Times New Roman"/>
      <w:b/>
      <w:smallCaps/>
      <w:sz w:val="22"/>
      <w:lang w:val="en-GB" w:eastAsia="fr-FR"/>
    </w:rPr>
  </w:style>
  <w:style w:type="paragraph" w:customStyle="1" w:styleId="PTitle4ArticleSub">
    <w:name w:val="P_Title4_Article_Sub"/>
    <w:basedOn w:val="PTitle3Article"/>
    <w:rsid w:val="0046299D"/>
    <w:pPr>
      <w:spacing w:before="240"/>
    </w:pPr>
    <w:rPr>
      <w:smallCaps w:val="0"/>
      <w:sz w:val="20"/>
    </w:rPr>
  </w:style>
  <w:style w:type="paragraph" w:customStyle="1" w:styleId="PTitle5Subject">
    <w:name w:val="P_Title5_Subject"/>
    <w:basedOn w:val="Normal"/>
    <w:rsid w:val="0046299D"/>
    <w:pPr>
      <w:keepNext/>
      <w:keepLines/>
      <w:suppressAutoHyphens/>
      <w:spacing w:before="240" w:after="120"/>
      <w:jc w:val="both"/>
    </w:pPr>
    <w:rPr>
      <w:rFonts w:ascii="Times New Roman" w:hAnsi="Times New Roman"/>
      <w:b/>
      <w:i/>
      <w:lang w:val="en-GB" w:eastAsia="fr-FR"/>
    </w:rPr>
  </w:style>
  <w:style w:type="paragraph" w:customStyle="1" w:styleId="PTitle6SubjectSub">
    <w:name w:val="P_Title6_Subject_Sub"/>
    <w:basedOn w:val="Normal"/>
    <w:rsid w:val="0046299D"/>
    <w:pPr>
      <w:keepNext/>
      <w:keepLines/>
      <w:suppressAutoHyphens/>
      <w:spacing w:before="240" w:after="120"/>
      <w:ind w:left="284"/>
      <w:jc w:val="both"/>
    </w:pPr>
    <w:rPr>
      <w:rFonts w:ascii="Times New Roman" w:hAnsi="Times New Roman"/>
      <w:b/>
      <w:sz w:val="20"/>
      <w:lang w:val="en-GB" w:eastAsia="fr-FR"/>
    </w:rPr>
  </w:style>
  <w:style w:type="paragraph" w:customStyle="1" w:styleId="PTitle7CaseName">
    <w:name w:val="P_Title7_CaseName"/>
    <w:basedOn w:val="Normal"/>
    <w:rsid w:val="0046299D"/>
    <w:pPr>
      <w:keepLines/>
      <w:suppressAutoHyphens/>
      <w:spacing w:after="240"/>
      <w:jc w:val="right"/>
    </w:pPr>
    <w:rPr>
      <w:rFonts w:ascii="Times New Roman" w:hAnsi="Times New Roman"/>
      <w:sz w:val="22"/>
      <w:lang w:val="en-GB" w:eastAsia="fr-FR"/>
    </w:rPr>
  </w:style>
  <w:style w:type="paragraph" w:customStyle="1" w:styleId="OpiParaSub">
    <w:name w:val="Opi_Para_Sub"/>
    <w:basedOn w:val="JuParaSub"/>
    <w:rsid w:val="0046299D"/>
  </w:style>
  <w:style w:type="paragraph" w:customStyle="1" w:styleId="OpiQuotSub">
    <w:name w:val="Opi_Quot_Sub"/>
    <w:basedOn w:val="JuQuotSub"/>
    <w:rsid w:val="0046299D"/>
  </w:style>
  <w:style w:type="paragraph" w:customStyle="1" w:styleId="NormalJustified">
    <w:name w:val="Normal_Justified"/>
    <w:basedOn w:val="Normal"/>
    <w:rsid w:val="0046299D"/>
    <w:pPr>
      <w:suppressAutoHyphens/>
      <w:jc w:val="both"/>
    </w:pPr>
    <w:rPr>
      <w:rFonts w:ascii="Times New Roman" w:hAnsi="Times New Roman"/>
      <w:lang w:val="en-GB" w:eastAsia="fr-FR"/>
    </w:rPr>
  </w:style>
  <w:style w:type="character" w:customStyle="1" w:styleId="ju-005fpara-0020char--char">
    <w:name w:val="ju-005fpara-0020char--char"/>
    <w:basedOn w:val="DefaultParagraphFont"/>
    <w:rsid w:val="0046299D"/>
  </w:style>
  <w:style w:type="paragraph" w:customStyle="1" w:styleId="ju-005fpara">
    <w:name w:val="ju-005fpara"/>
    <w:basedOn w:val="Normal"/>
    <w:rsid w:val="0046299D"/>
    <w:pPr>
      <w:spacing w:before="100" w:beforeAutospacing="1" w:after="100" w:afterAutospacing="1"/>
    </w:pPr>
    <w:rPr>
      <w:rFonts w:ascii="Times New Roman" w:hAnsi="Times New Roman"/>
      <w:szCs w:val="24"/>
      <w:lang w:val="it-IT" w:eastAsia="it-IT"/>
    </w:rPr>
  </w:style>
  <w:style w:type="character" w:customStyle="1" w:styleId="ju-005fpara--char">
    <w:name w:val="ju-005fpara--char"/>
    <w:basedOn w:val="DefaultParagraphFont"/>
    <w:rsid w:val="0046299D"/>
  </w:style>
  <w:style w:type="paragraph" w:customStyle="1" w:styleId="ju-005fpara-0020char">
    <w:name w:val="ju-005fpara-0020char"/>
    <w:basedOn w:val="Normal"/>
    <w:rsid w:val="0046299D"/>
    <w:pPr>
      <w:spacing w:before="100" w:beforeAutospacing="1" w:after="100" w:afterAutospacing="1"/>
    </w:pPr>
    <w:rPr>
      <w:rFonts w:ascii="Times New Roman" w:hAnsi="Times New Roman"/>
      <w:szCs w:val="24"/>
      <w:lang w:val="en-GB" w:eastAsia="en-GB"/>
    </w:rPr>
  </w:style>
  <w:style w:type="paragraph" w:customStyle="1" w:styleId="ju-005fquot-0020char-0020char">
    <w:name w:val="ju-005fquot-0020char-0020char"/>
    <w:basedOn w:val="Normal"/>
    <w:rsid w:val="0046299D"/>
    <w:pPr>
      <w:spacing w:before="100" w:beforeAutospacing="1" w:after="100" w:afterAutospacing="1"/>
    </w:pPr>
    <w:rPr>
      <w:rFonts w:ascii="Times New Roman" w:hAnsi="Times New Roman"/>
      <w:szCs w:val="24"/>
      <w:lang w:val="en-GB" w:eastAsia="en-GB"/>
    </w:rPr>
  </w:style>
  <w:style w:type="character" w:customStyle="1" w:styleId="ju-005fpara-0020char1--char">
    <w:name w:val="ju-005fpara-0020char1--char"/>
    <w:basedOn w:val="DefaultParagraphFont"/>
    <w:rsid w:val="0046299D"/>
  </w:style>
  <w:style w:type="paragraph" w:customStyle="1" w:styleId="JuParaCharChar">
    <w:name w:val="Ju_Para Char Char"/>
    <w:basedOn w:val="Normal"/>
    <w:link w:val="JuParaCharCharChar"/>
    <w:rsid w:val="0046299D"/>
    <w:pPr>
      <w:suppressAutoHyphens/>
      <w:ind w:firstLine="284"/>
      <w:jc w:val="both"/>
    </w:pPr>
    <w:rPr>
      <w:rFonts w:ascii="Times New Roman" w:hAnsi="Times New Roman"/>
      <w:lang w:val="en-GB" w:eastAsia="fr-FR"/>
    </w:rPr>
  </w:style>
  <w:style w:type="character" w:customStyle="1" w:styleId="JuParaCharCharChar">
    <w:name w:val="Ju_Para Char Char Char"/>
    <w:basedOn w:val="DefaultParagraphFont"/>
    <w:link w:val="JuParaCharChar"/>
    <w:rsid w:val="0046299D"/>
    <w:rPr>
      <w:sz w:val="24"/>
      <w:lang w:val="en-GB" w:eastAsia="fr-FR" w:bidi="ar-SA"/>
    </w:rPr>
  </w:style>
  <w:style w:type="paragraph" w:customStyle="1" w:styleId="JuQuotChar">
    <w:name w:val="Ju_Quot Char"/>
    <w:basedOn w:val="Normal"/>
    <w:link w:val="JuQuotCharChar"/>
    <w:rsid w:val="0046299D"/>
    <w:pPr>
      <w:suppressAutoHyphens/>
      <w:spacing w:before="120" w:after="120"/>
      <w:ind w:left="425" w:firstLine="142"/>
      <w:jc w:val="both"/>
    </w:pPr>
    <w:rPr>
      <w:rFonts w:ascii="Times New Roman" w:hAnsi="Times New Roman"/>
      <w:sz w:val="20"/>
      <w:lang w:val="en-GB" w:eastAsia="fr-FR"/>
    </w:rPr>
  </w:style>
  <w:style w:type="character" w:customStyle="1" w:styleId="JuQuotCharChar">
    <w:name w:val="Ju_Quot Char Char"/>
    <w:basedOn w:val="DefaultParagraphFont"/>
    <w:link w:val="JuQuotChar"/>
    <w:rsid w:val="0046299D"/>
    <w:rPr>
      <w:lang w:val="en-GB" w:eastAsia="fr-FR" w:bidi="ar-SA"/>
    </w:rPr>
  </w:style>
  <w:style w:type="character" w:customStyle="1" w:styleId="ju----005fpara--------char----char--char">
    <w:name w:val="ju----005fpara--------char----char--char"/>
    <w:basedOn w:val="DefaultParagraphFont"/>
    <w:rsid w:val="0046299D"/>
  </w:style>
  <w:style w:type="character" w:customStyle="1" w:styleId="ju--005fpara----char--char">
    <w:name w:val="ju--005fpara----char--char"/>
    <w:basedOn w:val="DefaultParagraphFont"/>
    <w:rsid w:val="0046299D"/>
  </w:style>
  <w:style w:type="paragraph" w:customStyle="1" w:styleId="ju-005flist">
    <w:name w:val="ju-005flist"/>
    <w:basedOn w:val="Normal"/>
    <w:rsid w:val="0046299D"/>
    <w:pPr>
      <w:spacing w:before="100" w:beforeAutospacing="1" w:after="100" w:afterAutospacing="1"/>
    </w:pPr>
    <w:rPr>
      <w:rFonts w:ascii="Times New Roman" w:hAnsi="Times New Roman"/>
      <w:szCs w:val="24"/>
      <w:lang w:val="en-GB" w:eastAsia="en-GB"/>
    </w:rPr>
  </w:style>
  <w:style w:type="character" w:customStyle="1" w:styleId="ju-005flist--char">
    <w:name w:val="ju-005flist--char"/>
    <w:basedOn w:val="DefaultParagraphFont"/>
    <w:rsid w:val="0046299D"/>
  </w:style>
  <w:style w:type="paragraph" w:customStyle="1" w:styleId="ju-005flist-005fa">
    <w:name w:val="ju-005flist-005fa"/>
    <w:basedOn w:val="Normal"/>
    <w:rsid w:val="0046299D"/>
    <w:pPr>
      <w:spacing w:before="100" w:beforeAutospacing="1" w:after="100" w:afterAutospacing="1"/>
    </w:pPr>
    <w:rPr>
      <w:rFonts w:ascii="Times New Roman" w:hAnsi="Times New Roman"/>
      <w:szCs w:val="24"/>
      <w:lang w:val="en-GB" w:eastAsia="en-GB"/>
    </w:rPr>
  </w:style>
  <w:style w:type="paragraph" w:customStyle="1" w:styleId="ju-005fpara-002cleft-002cfirst-0020line-003a-0020-00200-0020cm">
    <w:name w:val="ju-005fpara-002cleft-002cfirst-0020line-003a-0020-00200-0020cm"/>
    <w:basedOn w:val="Normal"/>
    <w:rsid w:val="0046299D"/>
    <w:pPr>
      <w:spacing w:before="100" w:beforeAutospacing="1" w:after="100" w:afterAutospacing="1"/>
    </w:pPr>
    <w:rPr>
      <w:rFonts w:ascii="Times New Roman" w:hAnsi="Times New Roman"/>
      <w:szCs w:val="24"/>
      <w:lang w:val="en-GB" w:eastAsia="en-GB"/>
    </w:rPr>
  </w:style>
  <w:style w:type="character" w:customStyle="1" w:styleId="ju-005fpara-002cleft-002cfirst-0020line-003a-0020-00200-0020cm--char">
    <w:name w:val="ju-005fpara-002cleft-002cfirst-0020line-003a-0020-00200-0020cm--char"/>
    <w:basedOn w:val="DefaultParagraphFont"/>
    <w:rsid w:val="0046299D"/>
  </w:style>
  <w:style w:type="character" w:customStyle="1" w:styleId="normal----char--char">
    <w:name w:val="normal----char--char"/>
    <w:basedOn w:val="DefaultParagraphFont"/>
    <w:rsid w:val="0046299D"/>
  </w:style>
  <w:style w:type="character" w:customStyle="1" w:styleId="p-005fju-005fpara--char">
    <w:name w:val="p-005fju-005fpara--char"/>
    <w:basedOn w:val="DefaultParagraphFont"/>
    <w:rsid w:val="0046299D"/>
  </w:style>
  <w:style w:type="character" w:customStyle="1" w:styleId="ju--------005fpara----------------char--------char----char--char">
    <w:name w:val="ju--------005fpara----------------char--------char----char--char"/>
    <w:basedOn w:val="DefaultParagraphFont"/>
    <w:rsid w:val="0046299D"/>
  </w:style>
  <w:style w:type="paragraph" w:styleId="Subtitle">
    <w:name w:val="Subtitle"/>
    <w:basedOn w:val="Normal"/>
    <w:next w:val="Normal"/>
    <w:qFormat/>
    <w:rsid w:val="0046299D"/>
    <w:pPr>
      <w:spacing w:after="560"/>
      <w:jc w:val="center"/>
    </w:pPr>
    <w:rPr>
      <w:rFonts w:ascii="Cambria" w:hAnsi="Cambria"/>
      <w:caps/>
      <w:spacing w:val="20"/>
      <w:sz w:val="18"/>
      <w:szCs w:val="18"/>
      <w:lang w:val="en-US" w:bidi="en-US"/>
    </w:rPr>
  </w:style>
  <w:style w:type="character" w:styleId="Strong">
    <w:name w:val="Strong"/>
    <w:qFormat/>
    <w:rsid w:val="0046299D"/>
    <w:rPr>
      <w:b/>
      <w:bCs/>
      <w:color w:val="943634"/>
      <w:spacing w:val="5"/>
    </w:rPr>
  </w:style>
  <w:style w:type="character" w:styleId="Emphasis">
    <w:name w:val="Emphasis"/>
    <w:qFormat/>
    <w:rsid w:val="0046299D"/>
    <w:rPr>
      <w:caps/>
      <w:spacing w:val="5"/>
      <w:sz w:val="20"/>
      <w:szCs w:val="20"/>
    </w:rPr>
  </w:style>
  <w:style w:type="paragraph" w:styleId="Quote">
    <w:name w:val="Quote"/>
    <w:basedOn w:val="Normal"/>
    <w:next w:val="Normal"/>
    <w:link w:val="QuoteChar"/>
    <w:qFormat/>
    <w:rsid w:val="0046299D"/>
    <w:pPr>
      <w:spacing w:after="200" w:line="252" w:lineRule="auto"/>
    </w:pPr>
    <w:rPr>
      <w:rFonts w:ascii="Cambria" w:hAnsi="Cambria"/>
      <w:i/>
      <w:iCs/>
      <w:sz w:val="22"/>
      <w:szCs w:val="22"/>
      <w:lang w:val="en-US" w:bidi="en-US"/>
    </w:rPr>
  </w:style>
  <w:style w:type="character" w:customStyle="1" w:styleId="QuoteChar">
    <w:name w:val="Quote Char"/>
    <w:basedOn w:val="DefaultParagraphFont"/>
    <w:link w:val="Quote"/>
    <w:rsid w:val="0046299D"/>
    <w:rPr>
      <w:rFonts w:ascii="Cambria" w:hAnsi="Cambria"/>
      <w:i/>
      <w:iCs/>
      <w:sz w:val="22"/>
      <w:szCs w:val="22"/>
      <w:lang w:val="en-US" w:eastAsia="en-US" w:bidi="en-US"/>
    </w:rPr>
  </w:style>
  <w:style w:type="paragraph" w:styleId="IntenseQuote">
    <w:name w:val="Intense Quote"/>
    <w:basedOn w:val="Normal"/>
    <w:next w:val="Normal"/>
    <w:link w:val="IntenseQuoteChar"/>
    <w:qFormat/>
    <w:rsid w:val="0046299D"/>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lang w:val="en-US" w:bidi="en-US"/>
    </w:rPr>
  </w:style>
  <w:style w:type="character" w:customStyle="1" w:styleId="IntenseQuoteChar">
    <w:name w:val="Intense Quote Char"/>
    <w:basedOn w:val="DefaultParagraphFont"/>
    <w:link w:val="IntenseQuote"/>
    <w:rsid w:val="0046299D"/>
    <w:rPr>
      <w:rFonts w:ascii="Cambria" w:hAnsi="Cambria"/>
      <w:caps/>
      <w:color w:val="622423"/>
      <w:spacing w:val="5"/>
      <w:lang w:val="en-US" w:eastAsia="en-US" w:bidi="en-US"/>
    </w:rPr>
  </w:style>
  <w:style w:type="character" w:styleId="SubtleEmphasis">
    <w:name w:val="Subtle Emphasis"/>
    <w:qFormat/>
    <w:rsid w:val="0046299D"/>
    <w:rPr>
      <w:i/>
      <w:iCs/>
    </w:rPr>
  </w:style>
  <w:style w:type="character" w:styleId="IntenseEmphasis">
    <w:name w:val="Intense Emphasis"/>
    <w:qFormat/>
    <w:rsid w:val="0046299D"/>
    <w:rPr>
      <w:i/>
      <w:iCs/>
      <w:caps/>
      <w:spacing w:val="10"/>
      <w:sz w:val="20"/>
      <w:szCs w:val="20"/>
    </w:rPr>
  </w:style>
  <w:style w:type="character" w:styleId="SubtleReference">
    <w:name w:val="Subtle Reference"/>
    <w:basedOn w:val="DefaultParagraphFont"/>
    <w:qFormat/>
    <w:rsid w:val="0046299D"/>
    <w:rPr>
      <w:rFonts w:ascii="Calibri" w:eastAsia="Times New Roman" w:hAnsi="Calibri" w:cs="Times New Roman"/>
      <w:i/>
      <w:iCs/>
      <w:color w:val="622423"/>
    </w:rPr>
  </w:style>
  <w:style w:type="character" w:styleId="IntenseReference">
    <w:name w:val="Intense Reference"/>
    <w:qFormat/>
    <w:rsid w:val="0046299D"/>
    <w:rPr>
      <w:rFonts w:ascii="Calibri" w:eastAsia="Times New Roman" w:hAnsi="Calibri" w:cs="Times New Roman"/>
      <w:b/>
      <w:bCs/>
      <w:i/>
      <w:iCs/>
      <w:color w:val="622423"/>
    </w:rPr>
  </w:style>
  <w:style w:type="character" w:styleId="BookTitle">
    <w:name w:val="Book Title"/>
    <w:qFormat/>
    <w:rsid w:val="0046299D"/>
    <w:rPr>
      <w:caps/>
      <w:color w:val="622423"/>
      <w:spacing w:val="5"/>
      <w:u w:color="622423"/>
    </w:rPr>
  </w:style>
  <w:style w:type="character" w:customStyle="1" w:styleId="CharChar3">
    <w:name w:val=" Char Char3"/>
    <w:basedOn w:val="DefaultParagraphFont"/>
    <w:rsid w:val="0046299D"/>
    <w:rPr>
      <w:sz w:val="18"/>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6209"/>
    <w:rPr>
      <w:rFonts w:ascii="Arial" w:hAnsi="Arial"/>
      <w:sz w:val="24"/>
      <w:lang w:val="sq-AL"/>
    </w:rPr>
  </w:style>
  <w:style w:type="paragraph" w:styleId="Heading1">
    <w:name w:val="heading 1"/>
    <w:basedOn w:val="Normal"/>
    <w:next w:val="Normal"/>
    <w:link w:val="Heading1Char"/>
    <w:qFormat/>
    <w:rsid w:val="00B320F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946209"/>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946209"/>
    <w:pPr>
      <w:keepNext/>
      <w:jc w:val="center"/>
      <w:outlineLvl w:val="2"/>
    </w:pPr>
    <w:rPr>
      <w:rFonts w:ascii="Times New Roman" w:hAnsi="Times New Roman"/>
      <w:b/>
      <w:i/>
      <w:color w:val="000080"/>
    </w:rPr>
  </w:style>
  <w:style w:type="paragraph" w:styleId="Heading4">
    <w:name w:val="heading 4"/>
    <w:basedOn w:val="Normal"/>
    <w:next w:val="Normal"/>
    <w:link w:val="Heading4Char"/>
    <w:qFormat/>
    <w:rsid w:val="00946209"/>
    <w:pPr>
      <w:keepNext/>
      <w:jc w:val="center"/>
      <w:outlineLvl w:val="3"/>
    </w:pPr>
    <w:rPr>
      <w:rFonts w:ascii="Times New Roman" w:hAnsi="Times New Roman"/>
      <w:b/>
      <w:i/>
      <w:color w:val="000080"/>
      <w:sz w:val="22"/>
    </w:rPr>
  </w:style>
  <w:style w:type="paragraph" w:styleId="Heading5">
    <w:name w:val="heading 5"/>
    <w:basedOn w:val="Normal"/>
    <w:next w:val="Normal"/>
    <w:link w:val="Heading5Char"/>
    <w:qFormat/>
    <w:rsid w:val="0046299D"/>
    <w:pPr>
      <w:widowControl w:val="0"/>
      <w:suppressAutoHyphens/>
      <w:outlineLvl w:val="4"/>
    </w:pPr>
    <w:rPr>
      <w:rFonts w:ascii="Courier" w:hAnsi="Courier"/>
      <w:snapToGrid w:val="0"/>
      <w:lang w:val="en-US"/>
    </w:rPr>
  </w:style>
  <w:style w:type="paragraph" w:styleId="Heading6">
    <w:name w:val="heading 6"/>
    <w:basedOn w:val="Normal"/>
    <w:next w:val="Normal"/>
    <w:link w:val="Heading6Char"/>
    <w:qFormat/>
    <w:rsid w:val="0046299D"/>
    <w:pPr>
      <w:widowControl w:val="0"/>
      <w:suppressAutoHyphens/>
      <w:outlineLvl w:val="5"/>
    </w:pPr>
    <w:rPr>
      <w:rFonts w:ascii="Courier" w:hAnsi="Courier"/>
      <w:snapToGrid w:val="0"/>
      <w:lang w:val="en-US"/>
    </w:rPr>
  </w:style>
  <w:style w:type="paragraph" w:styleId="Heading7">
    <w:name w:val="heading 7"/>
    <w:basedOn w:val="Normal"/>
    <w:next w:val="Normal"/>
    <w:link w:val="Heading7Char"/>
    <w:qFormat/>
    <w:rsid w:val="00946209"/>
    <w:pPr>
      <w:keepNext/>
      <w:jc w:val="center"/>
      <w:outlineLvl w:val="6"/>
    </w:pPr>
    <w:rPr>
      <w:b/>
    </w:rPr>
  </w:style>
  <w:style w:type="paragraph" w:styleId="Heading8">
    <w:name w:val="heading 8"/>
    <w:basedOn w:val="Normal"/>
    <w:next w:val="Normal"/>
    <w:link w:val="Heading8Char"/>
    <w:qFormat/>
    <w:rsid w:val="0046299D"/>
    <w:pPr>
      <w:widowControl w:val="0"/>
      <w:suppressAutoHyphens/>
      <w:outlineLvl w:val="7"/>
    </w:pPr>
    <w:rPr>
      <w:rFonts w:ascii="Courier" w:hAnsi="Courier"/>
      <w:snapToGrid w:val="0"/>
      <w:lang w:val="en-US"/>
    </w:rPr>
  </w:style>
  <w:style w:type="paragraph" w:styleId="Heading9">
    <w:name w:val="heading 9"/>
    <w:basedOn w:val="Normal"/>
    <w:next w:val="Normal"/>
    <w:link w:val="Heading9Char"/>
    <w:qFormat/>
    <w:rsid w:val="0046299D"/>
    <w:pPr>
      <w:keepNext/>
      <w:tabs>
        <w:tab w:val="left" w:pos="-1440"/>
        <w:tab w:val="left" w:pos="-720"/>
        <w:tab w:val="left" w:pos="0"/>
        <w:tab w:val="left" w:pos="1056"/>
        <w:tab w:val="left" w:pos="1584"/>
        <w:tab w:val="left" w:pos="2112"/>
        <w:tab w:val="left" w:pos="2880"/>
      </w:tabs>
      <w:suppressAutoHyphens/>
      <w:ind w:left="-306" w:right="-306"/>
      <w:jc w:val="both"/>
      <w:outlineLvl w:val="8"/>
    </w:pPr>
    <w:rPr>
      <w:rFonts w:ascii="Times New Roman" w:hAnsi="Times New Roman"/>
      <w:i/>
      <w:spacing w:val="-2"/>
      <w:sz w:val="22"/>
      <w:lang w:val="en-GB" w:eastAsia="fr-F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46299D"/>
    <w:rPr>
      <w:rFonts w:ascii="Arial" w:hAnsi="Arial" w:cs="Arial"/>
      <w:b/>
      <w:bCs/>
      <w:kern w:val="32"/>
      <w:sz w:val="32"/>
      <w:szCs w:val="32"/>
      <w:lang w:val="sq-AL" w:eastAsia="en-US" w:bidi="ar-SA"/>
    </w:rPr>
  </w:style>
  <w:style w:type="character" w:customStyle="1" w:styleId="Heading2Char">
    <w:name w:val="Heading 2 Char"/>
    <w:basedOn w:val="DefaultParagraphFont"/>
    <w:link w:val="Heading2"/>
    <w:rsid w:val="00946209"/>
    <w:rPr>
      <w:rFonts w:ascii="Arial" w:hAnsi="Arial" w:cs="Arial"/>
      <w:b/>
      <w:bCs/>
      <w:i/>
      <w:iCs/>
      <w:sz w:val="28"/>
      <w:szCs w:val="28"/>
      <w:lang w:val="sq-AL" w:eastAsia="en-US" w:bidi="ar-SA"/>
    </w:rPr>
  </w:style>
  <w:style w:type="character" w:customStyle="1" w:styleId="Heading3Char">
    <w:name w:val="Heading 3 Char"/>
    <w:basedOn w:val="DefaultParagraphFont"/>
    <w:link w:val="Heading3"/>
    <w:rsid w:val="0046299D"/>
    <w:rPr>
      <w:b/>
      <w:i/>
      <w:color w:val="000080"/>
      <w:sz w:val="24"/>
      <w:lang w:val="sq-AL" w:eastAsia="en-US" w:bidi="ar-SA"/>
    </w:rPr>
  </w:style>
  <w:style w:type="character" w:customStyle="1" w:styleId="Heading4Char">
    <w:name w:val="Heading 4 Char"/>
    <w:basedOn w:val="DefaultParagraphFont"/>
    <w:link w:val="Heading4"/>
    <w:rsid w:val="0046299D"/>
    <w:rPr>
      <w:b/>
      <w:i/>
      <w:color w:val="000080"/>
      <w:sz w:val="22"/>
      <w:lang w:val="sq-AL" w:eastAsia="en-US" w:bidi="ar-SA"/>
    </w:rPr>
  </w:style>
  <w:style w:type="character" w:customStyle="1" w:styleId="Heading5Char">
    <w:name w:val="Heading 5 Char"/>
    <w:basedOn w:val="DefaultParagraphFont"/>
    <w:link w:val="Heading5"/>
    <w:rsid w:val="0046299D"/>
    <w:rPr>
      <w:rFonts w:ascii="Courier" w:hAnsi="Courier"/>
      <w:snapToGrid w:val="0"/>
      <w:sz w:val="24"/>
      <w:lang w:val="en-US" w:eastAsia="en-US" w:bidi="ar-SA"/>
    </w:rPr>
  </w:style>
  <w:style w:type="character" w:customStyle="1" w:styleId="Heading6Char">
    <w:name w:val="Heading 6 Char"/>
    <w:basedOn w:val="DefaultParagraphFont"/>
    <w:link w:val="Heading6"/>
    <w:rsid w:val="0046299D"/>
    <w:rPr>
      <w:rFonts w:ascii="Courier" w:hAnsi="Courier"/>
      <w:snapToGrid w:val="0"/>
      <w:sz w:val="24"/>
      <w:lang w:val="en-US" w:eastAsia="en-US" w:bidi="ar-SA"/>
    </w:rPr>
  </w:style>
  <w:style w:type="character" w:customStyle="1" w:styleId="Heading7Char">
    <w:name w:val="Heading 7 Char"/>
    <w:basedOn w:val="DefaultParagraphFont"/>
    <w:link w:val="Heading7"/>
    <w:rsid w:val="0046299D"/>
    <w:rPr>
      <w:rFonts w:ascii="Arial" w:hAnsi="Arial"/>
      <w:b/>
      <w:sz w:val="24"/>
      <w:lang w:val="sq-AL" w:eastAsia="en-US" w:bidi="ar-SA"/>
    </w:rPr>
  </w:style>
  <w:style w:type="character" w:customStyle="1" w:styleId="Heading8Char">
    <w:name w:val="Heading 8 Char"/>
    <w:basedOn w:val="DefaultParagraphFont"/>
    <w:link w:val="Heading8"/>
    <w:rsid w:val="0046299D"/>
    <w:rPr>
      <w:rFonts w:ascii="Courier" w:hAnsi="Courier"/>
      <w:snapToGrid w:val="0"/>
      <w:sz w:val="24"/>
      <w:lang w:val="en-US" w:eastAsia="en-US" w:bidi="ar-SA"/>
    </w:rPr>
  </w:style>
  <w:style w:type="character" w:customStyle="1" w:styleId="Heading9Char">
    <w:name w:val="Heading 9 Char"/>
    <w:basedOn w:val="DefaultParagraphFont"/>
    <w:link w:val="Heading9"/>
    <w:rsid w:val="0046299D"/>
    <w:rPr>
      <w:i/>
      <w:spacing w:val="-2"/>
      <w:sz w:val="22"/>
      <w:lang w:val="en-GB" w:eastAsia="fr-FR" w:bidi="ar-SA"/>
    </w:rPr>
  </w:style>
  <w:style w:type="paragraph" w:customStyle="1" w:styleId="Char">
    <w:name w:val=" Char"/>
    <w:basedOn w:val="Normal"/>
    <w:rsid w:val="00392BE0"/>
    <w:pPr>
      <w:spacing w:after="160" w:line="240" w:lineRule="exact"/>
    </w:pPr>
    <w:rPr>
      <w:rFonts w:ascii="Tahoma" w:eastAsia="MS Mincho" w:hAnsi="Tahoma"/>
      <w:sz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0">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eastAsia="MS Mincho"/>
      <w:noProof/>
      <w:sz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3"/>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1"/>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lang w:val="en-GB"/>
    </w:rPr>
  </w:style>
  <w:style w:type="paragraph" w:customStyle="1" w:styleId="ParagraphNumbering">
    <w:name w:val="Paragraph Numbering"/>
    <w:basedOn w:val="Normal"/>
    <w:rsid w:val="00392BE0"/>
    <w:pPr>
      <w:numPr>
        <w:numId w:val="1"/>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2"/>
      </w:numPr>
      <w:spacing w:after="240"/>
      <w:outlineLvl w:val="2"/>
    </w:pPr>
    <w:rPr>
      <w:rFonts w:eastAsia="MS Mincho"/>
    </w:rPr>
  </w:style>
  <w:style w:type="paragraph" w:customStyle="1" w:styleId="Sub-Para1underXY">
    <w:name w:val="Sub-Para 1 under X.Y"/>
    <w:basedOn w:val="Normal"/>
    <w:rsid w:val="00392BE0"/>
    <w:pPr>
      <w:numPr>
        <w:ilvl w:val="1"/>
        <w:numId w:val="3"/>
      </w:numPr>
      <w:spacing w:after="240"/>
      <w:outlineLvl w:val="2"/>
    </w:pPr>
    <w:rPr>
      <w:rFonts w:eastAsia="MS Mincho"/>
    </w:rPr>
  </w:style>
  <w:style w:type="paragraph" w:customStyle="1" w:styleId="Sub-Para2underX">
    <w:name w:val="Sub-Para 2 under X."/>
    <w:basedOn w:val="Normal"/>
    <w:rsid w:val="00392BE0"/>
    <w:pPr>
      <w:numPr>
        <w:ilvl w:val="2"/>
        <w:numId w:val="2"/>
      </w:numPr>
      <w:spacing w:after="240"/>
      <w:outlineLvl w:val="3"/>
    </w:pPr>
    <w:rPr>
      <w:rFonts w:eastAsia="MS Mincho"/>
    </w:rPr>
  </w:style>
  <w:style w:type="paragraph" w:customStyle="1" w:styleId="Sub-Para2underXY">
    <w:name w:val="Sub-Para 2 under X.Y"/>
    <w:basedOn w:val="Normal"/>
    <w:rsid w:val="00392BE0"/>
    <w:pPr>
      <w:numPr>
        <w:ilvl w:val="2"/>
        <w:numId w:val="3"/>
      </w:numPr>
      <w:spacing w:after="240"/>
      <w:outlineLvl w:val="3"/>
    </w:pPr>
    <w:rPr>
      <w:rFonts w:eastAsia="MS Mincho"/>
    </w:rPr>
  </w:style>
  <w:style w:type="paragraph" w:customStyle="1" w:styleId="Sub-Para3underX">
    <w:name w:val="Sub-Para 3 under X."/>
    <w:basedOn w:val="Normal"/>
    <w:rsid w:val="00392BE0"/>
    <w:pPr>
      <w:numPr>
        <w:ilvl w:val="3"/>
        <w:numId w:val="2"/>
      </w:numPr>
      <w:spacing w:after="240"/>
      <w:outlineLvl w:val="4"/>
    </w:pPr>
    <w:rPr>
      <w:rFonts w:eastAsia="MS Mincho"/>
    </w:rPr>
  </w:style>
  <w:style w:type="paragraph" w:customStyle="1" w:styleId="Sub-Para3underXY">
    <w:name w:val="Sub-Para 3 under X.Y"/>
    <w:basedOn w:val="Normal"/>
    <w:rsid w:val="00392BE0"/>
    <w:pPr>
      <w:numPr>
        <w:ilvl w:val="3"/>
        <w:numId w:val="3"/>
      </w:numPr>
      <w:spacing w:after="240"/>
      <w:outlineLvl w:val="4"/>
    </w:pPr>
    <w:rPr>
      <w:rFonts w:eastAsia="MS Mincho"/>
    </w:rPr>
  </w:style>
  <w:style w:type="paragraph" w:customStyle="1" w:styleId="Sub-Para4underX">
    <w:name w:val="Sub-Para 4 under X."/>
    <w:basedOn w:val="Normal"/>
    <w:rsid w:val="00392BE0"/>
    <w:pPr>
      <w:numPr>
        <w:ilvl w:val="4"/>
        <w:numId w:val="2"/>
      </w:numPr>
      <w:spacing w:after="240"/>
      <w:outlineLvl w:val="5"/>
    </w:pPr>
    <w:rPr>
      <w:rFonts w:eastAsia="MS Mincho"/>
    </w:rPr>
  </w:style>
  <w:style w:type="paragraph" w:customStyle="1" w:styleId="Sub-Para4underXY">
    <w:name w:val="Sub-Para 4 under X.Y"/>
    <w:basedOn w:val="Normal"/>
    <w:rsid w:val="00392BE0"/>
    <w:pPr>
      <w:numPr>
        <w:ilvl w:val="4"/>
        <w:numId w:val="3"/>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Header">
    <w:name w:val="header"/>
    <w:basedOn w:val="Normal"/>
    <w:rsid w:val="00946209"/>
    <w:pPr>
      <w:tabs>
        <w:tab w:val="center" w:pos="4320"/>
        <w:tab w:val="right" w:pos="8640"/>
      </w:tabs>
    </w:pPr>
  </w:style>
  <w:style w:type="paragraph" w:styleId="Footer">
    <w:name w:val="footer"/>
    <w:basedOn w:val="Normal"/>
    <w:link w:val="FooterChar"/>
    <w:rsid w:val="00946209"/>
    <w:pPr>
      <w:tabs>
        <w:tab w:val="center" w:pos="4320"/>
        <w:tab w:val="right" w:pos="8640"/>
      </w:tabs>
    </w:pPr>
  </w:style>
  <w:style w:type="character" w:customStyle="1" w:styleId="FooterChar">
    <w:name w:val="Footer Char"/>
    <w:basedOn w:val="DefaultParagraphFont"/>
    <w:link w:val="Footer"/>
    <w:rsid w:val="00946209"/>
    <w:rPr>
      <w:rFonts w:ascii="Arial" w:hAnsi="Arial"/>
      <w:sz w:val="24"/>
      <w:lang w:val="sq-AL" w:eastAsia="en-US" w:bidi="ar-SA"/>
    </w:rPr>
  </w:style>
  <w:style w:type="paragraph" w:styleId="BalloonText">
    <w:name w:val="Balloon Text"/>
    <w:basedOn w:val="Normal"/>
    <w:semiHidden/>
    <w:rsid w:val="00946209"/>
    <w:rPr>
      <w:rFonts w:ascii="Tahoma" w:hAnsi="Tahoma" w:cs="Tahoma"/>
      <w:sz w:val="16"/>
      <w:szCs w:val="16"/>
    </w:rPr>
  </w:style>
  <w:style w:type="paragraph" w:styleId="CommentText">
    <w:name w:val="annotation text"/>
    <w:basedOn w:val="Normal"/>
    <w:semiHidden/>
    <w:rsid w:val="00946209"/>
    <w:rPr>
      <w:sz w:val="20"/>
    </w:rPr>
  </w:style>
  <w:style w:type="paragraph" w:styleId="FootnoteText">
    <w:name w:val="footnote text"/>
    <w:aliases w:val="Fußnote,Footnote Text Char,Footnote Text Char Char Char,Footnote Text Char Char"/>
    <w:basedOn w:val="Normal"/>
    <w:semiHidden/>
    <w:rsid w:val="00946209"/>
    <w:pPr>
      <w:ind w:left="720" w:hanging="720"/>
      <w:jc w:val="both"/>
    </w:pPr>
    <w:rPr>
      <w:rFonts w:ascii="Times New Roman" w:hAnsi="Times New Roman"/>
      <w:sz w:val="20"/>
      <w:lang w:eastAsia="en-GB"/>
    </w:rPr>
  </w:style>
  <w:style w:type="table" w:styleId="TableGrid">
    <w:name w:val="Table Grid"/>
    <w:basedOn w:val="TableNormal"/>
    <w:rsid w:val="00946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946209"/>
    <w:rPr>
      <w:rFonts w:ascii="Courier New" w:hAnsi="Courier New" w:cs="Courier New"/>
      <w:sz w:val="20"/>
    </w:rPr>
  </w:style>
  <w:style w:type="character" w:styleId="Hyperlink">
    <w:name w:val="Hyperlink"/>
    <w:basedOn w:val="DefaultParagraphFont"/>
    <w:rsid w:val="00946209"/>
    <w:rPr>
      <w:color w:val="0000FF"/>
      <w:u w:val="single"/>
    </w:rPr>
  </w:style>
  <w:style w:type="character" w:styleId="PageNumber">
    <w:name w:val="page number"/>
    <w:basedOn w:val="DefaultParagraphFont"/>
    <w:rsid w:val="00946209"/>
  </w:style>
  <w:style w:type="paragraph" w:styleId="BodyText2">
    <w:name w:val="Body Text 2"/>
    <w:basedOn w:val="Normal"/>
    <w:rsid w:val="00946209"/>
    <w:pPr>
      <w:jc w:val="both"/>
    </w:pPr>
    <w:rPr>
      <w:rFonts w:ascii="Times New Roman" w:hAnsi="Times New Roman"/>
      <w:color w:val="000080"/>
      <w:lang w:val="en-US"/>
    </w:rPr>
  </w:style>
  <w:style w:type="paragraph" w:styleId="BodyText3">
    <w:name w:val="Body Text 3"/>
    <w:basedOn w:val="Normal"/>
    <w:rsid w:val="00946209"/>
    <w:rPr>
      <w:rFonts w:ascii="Times New Roman" w:hAnsi="Times New Roman"/>
      <w:color w:val="000080"/>
      <w:lang w:val="en-US"/>
    </w:rPr>
  </w:style>
  <w:style w:type="paragraph" w:styleId="Title">
    <w:name w:val="Title"/>
    <w:basedOn w:val="Normal"/>
    <w:qFormat/>
    <w:rsid w:val="00946209"/>
    <w:pPr>
      <w:jc w:val="center"/>
    </w:pPr>
    <w:rPr>
      <w:rFonts w:ascii="Times New Roman" w:hAnsi="Times New Roman"/>
      <w:b/>
      <w:color w:val="000080"/>
      <w:sz w:val="22"/>
    </w:rPr>
  </w:style>
  <w:style w:type="paragraph" w:styleId="DocumentMap">
    <w:name w:val="Document Map"/>
    <w:basedOn w:val="Normal"/>
    <w:semiHidden/>
    <w:rsid w:val="00946209"/>
    <w:pPr>
      <w:shd w:val="clear" w:color="auto" w:fill="000080"/>
    </w:pPr>
    <w:rPr>
      <w:rFonts w:ascii="Tahoma" w:hAnsi="Tahoma" w:cs="Tahoma"/>
      <w:sz w:val="20"/>
    </w:rPr>
  </w:style>
  <w:style w:type="paragraph" w:styleId="ListParagraph">
    <w:name w:val="List Paragraph"/>
    <w:basedOn w:val="Normal"/>
    <w:qFormat/>
    <w:rsid w:val="00946209"/>
    <w:pPr>
      <w:overflowPunct w:val="0"/>
      <w:autoSpaceDE w:val="0"/>
      <w:autoSpaceDN w:val="0"/>
      <w:adjustRightInd w:val="0"/>
      <w:ind w:left="720"/>
      <w:jc w:val="both"/>
      <w:textAlignment w:val="baseline"/>
    </w:pPr>
    <w:rPr>
      <w:rFonts w:ascii="CG Times (WN)" w:hAnsi="CG Times (WN)"/>
    </w:rPr>
  </w:style>
  <w:style w:type="paragraph" w:customStyle="1" w:styleId="texte">
    <w:name w:val="texte"/>
    <w:basedOn w:val="Normal"/>
    <w:rsid w:val="00946209"/>
    <w:pPr>
      <w:overflowPunct w:val="0"/>
      <w:autoSpaceDE w:val="0"/>
      <w:autoSpaceDN w:val="0"/>
      <w:adjustRightInd w:val="0"/>
      <w:spacing w:line="360" w:lineRule="auto"/>
      <w:ind w:left="1134" w:firstLine="1134"/>
      <w:textAlignment w:val="baseline"/>
    </w:pPr>
    <w:rPr>
      <w:rFonts w:ascii="Brougham" w:hAnsi="Brougham"/>
      <w:color w:val="000080"/>
      <w:sz w:val="20"/>
      <w:lang w:val="fr-FR" w:eastAsia="fr-FR"/>
    </w:rPr>
  </w:style>
  <w:style w:type="paragraph" w:customStyle="1" w:styleId="texteb">
    <w:name w:val="texte b"/>
    <w:basedOn w:val="Normal"/>
    <w:rsid w:val="00946209"/>
    <w:pPr>
      <w:overflowPunct w:val="0"/>
      <w:autoSpaceDE w:val="0"/>
      <w:autoSpaceDN w:val="0"/>
      <w:adjustRightInd w:val="0"/>
      <w:spacing w:line="360" w:lineRule="auto"/>
      <w:ind w:left="1474" w:hanging="340"/>
      <w:textAlignment w:val="baseline"/>
    </w:pPr>
    <w:rPr>
      <w:rFonts w:ascii="Brougham" w:hAnsi="Brougham"/>
      <w:color w:val="000080"/>
      <w:sz w:val="20"/>
      <w:lang w:val="fr-FR" w:eastAsia="fr-FR"/>
    </w:rPr>
  </w:style>
  <w:style w:type="paragraph" w:styleId="BodyTextIndent">
    <w:name w:val="Body Text Indent"/>
    <w:basedOn w:val="Normal"/>
    <w:link w:val="BodyTextIndentChar"/>
    <w:rsid w:val="00946209"/>
    <w:pPr>
      <w:spacing w:after="120"/>
      <w:ind w:left="360"/>
    </w:pPr>
    <w:rPr>
      <w:szCs w:val="24"/>
    </w:rPr>
  </w:style>
  <w:style w:type="character" w:customStyle="1" w:styleId="BodyTextIndentChar">
    <w:name w:val="Body Text Indent Char"/>
    <w:basedOn w:val="DefaultParagraphFont"/>
    <w:link w:val="BodyTextIndent"/>
    <w:rsid w:val="00946209"/>
    <w:rPr>
      <w:rFonts w:ascii="Arial" w:hAnsi="Arial"/>
      <w:sz w:val="24"/>
      <w:szCs w:val="24"/>
      <w:lang w:val="sq-AL" w:eastAsia="en-US" w:bidi="ar-SA"/>
    </w:rPr>
  </w:style>
  <w:style w:type="paragraph" w:customStyle="1" w:styleId="ModelNrmlDouble">
    <w:name w:val="ModelNrmlDouble"/>
    <w:basedOn w:val="Normal"/>
    <w:rsid w:val="00946209"/>
    <w:pPr>
      <w:spacing w:after="360" w:line="480" w:lineRule="auto"/>
      <w:ind w:firstLine="720"/>
      <w:jc w:val="both"/>
    </w:pPr>
    <w:rPr>
      <w:rFonts w:ascii="Times New Roman" w:hAnsi="Times New Roman"/>
      <w:sz w:val="22"/>
      <w:lang w:val="en-US"/>
    </w:rPr>
  </w:style>
  <w:style w:type="paragraph" w:customStyle="1" w:styleId="ModelDoubleNoIndent">
    <w:name w:val="ModelDoubleNoIndent"/>
    <w:basedOn w:val="ModelNrmlDouble"/>
    <w:rsid w:val="00946209"/>
    <w:pPr>
      <w:ind w:firstLine="0"/>
    </w:pPr>
    <w:rPr>
      <w:u w:val="single"/>
    </w:rPr>
  </w:style>
  <w:style w:type="paragraph" w:customStyle="1" w:styleId="ModelNrmlSingle">
    <w:name w:val="ModelNrmlSingle"/>
    <w:basedOn w:val="Normal"/>
    <w:rsid w:val="00946209"/>
    <w:pPr>
      <w:spacing w:after="240"/>
      <w:ind w:firstLine="720"/>
      <w:jc w:val="both"/>
    </w:pPr>
    <w:rPr>
      <w:rFonts w:ascii="Times New Roman" w:hAnsi="Times New Roman"/>
      <w:sz w:val="22"/>
      <w:lang w:val="en-US"/>
    </w:rPr>
  </w:style>
  <w:style w:type="paragraph" w:styleId="NoSpacing">
    <w:name w:val="No Spacing"/>
    <w:link w:val="NoSpacingChar"/>
    <w:qFormat/>
    <w:rsid w:val="00946209"/>
    <w:rPr>
      <w:sz w:val="24"/>
      <w:szCs w:val="24"/>
    </w:rPr>
  </w:style>
  <w:style w:type="character" w:customStyle="1" w:styleId="NoSpacingChar">
    <w:name w:val="No Spacing Char"/>
    <w:basedOn w:val="DefaultParagraphFont"/>
    <w:link w:val="NoSpacing"/>
    <w:rsid w:val="0046299D"/>
    <w:rPr>
      <w:sz w:val="24"/>
      <w:szCs w:val="24"/>
      <w:lang w:val="en-US" w:eastAsia="en-US" w:bidi="ar-SA"/>
    </w:rPr>
  </w:style>
  <w:style w:type="paragraph" w:customStyle="1" w:styleId="Parg">
    <w:name w:val="Parg"/>
    <w:basedOn w:val="Normal"/>
    <w:rsid w:val="00946209"/>
  </w:style>
  <w:style w:type="character" w:customStyle="1" w:styleId="CharChar11">
    <w:name w:val=" Char Char11"/>
    <w:basedOn w:val="DefaultParagraphFont"/>
    <w:rsid w:val="0046299D"/>
    <w:rPr>
      <w:b/>
      <w:sz w:val="24"/>
      <w:lang w:val="en-GB" w:eastAsia="fr-FR" w:bidi="ar-SA"/>
    </w:rPr>
  </w:style>
  <w:style w:type="paragraph" w:customStyle="1" w:styleId="JuPara">
    <w:name w:val="Ju_Para"/>
    <w:aliases w:val="Left,First line:  0 cm"/>
    <w:basedOn w:val="Normal"/>
    <w:link w:val="JuParaCar"/>
    <w:rsid w:val="0046299D"/>
    <w:pPr>
      <w:suppressAutoHyphens/>
      <w:ind w:firstLine="284"/>
      <w:jc w:val="both"/>
    </w:pPr>
    <w:rPr>
      <w:rFonts w:ascii="Times New Roman" w:hAnsi="Times New Roman"/>
      <w:lang w:val="en-GB" w:eastAsia="fr-FR"/>
    </w:rPr>
  </w:style>
  <w:style w:type="character" w:customStyle="1" w:styleId="JuParaCar">
    <w:name w:val="Ju_Para Car"/>
    <w:basedOn w:val="DefaultParagraphFont"/>
    <w:link w:val="JuPara"/>
    <w:rsid w:val="0046299D"/>
    <w:rPr>
      <w:sz w:val="24"/>
      <w:lang w:val="en-GB" w:eastAsia="fr-FR" w:bidi="ar-SA"/>
    </w:rPr>
  </w:style>
  <w:style w:type="paragraph" w:customStyle="1" w:styleId="JuHIRoman">
    <w:name w:val="Ju_H_I_Roman"/>
    <w:basedOn w:val="JuHHead"/>
    <w:next w:val="JuPara"/>
    <w:rsid w:val="0046299D"/>
    <w:pPr>
      <w:tabs>
        <w:tab w:val="left" w:pos="357"/>
      </w:tabs>
      <w:spacing w:before="360"/>
      <w:ind w:left="357" w:hanging="357"/>
    </w:pPr>
    <w:rPr>
      <w:sz w:val="24"/>
    </w:rPr>
  </w:style>
  <w:style w:type="paragraph" w:customStyle="1" w:styleId="JuHHead">
    <w:name w:val="Ju_H_Head"/>
    <w:basedOn w:val="Normal"/>
    <w:next w:val="JuPara"/>
    <w:rsid w:val="0046299D"/>
    <w:pPr>
      <w:keepNext/>
      <w:keepLines/>
      <w:suppressAutoHyphens/>
      <w:spacing w:before="720" w:after="240"/>
      <w:jc w:val="both"/>
    </w:pPr>
    <w:rPr>
      <w:rFonts w:ascii="Times New Roman" w:hAnsi="Times New Roman"/>
      <w:sz w:val="28"/>
      <w:lang w:val="en-GB" w:eastAsia="fr-FR"/>
    </w:rPr>
  </w:style>
  <w:style w:type="paragraph" w:customStyle="1" w:styleId="JuJudges">
    <w:name w:val="Ju_Judges"/>
    <w:basedOn w:val="Normal"/>
    <w:link w:val="JuJudgesChar"/>
    <w:rsid w:val="0046299D"/>
    <w:pPr>
      <w:tabs>
        <w:tab w:val="left" w:pos="567"/>
        <w:tab w:val="left" w:pos="1134"/>
      </w:tabs>
      <w:suppressAutoHyphens/>
    </w:pPr>
    <w:rPr>
      <w:rFonts w:ascii="Times New Roman" w:hAnsi="Times New Roman"/>
      <w:lang w:val="en-GB" w:eastAsia="fr-FR"/>
    </w:rPr>
  </w:style>
  <w:style w:type="character" w:customStyle="1" w:styleId="JuJudgesChar">
    <w:name w:val="Ju_Judges Char"/>
    <w:basedOn w:val="DefaultParagraphFont"/>
    <w:link w:val="JuJudges"/>
    <w:rsid w:val="0046299D"/>
    <w:rPr>
      <w:sz w:val="24"/>
      <w:lang w:val="en-GB" w:eastAsia="fr-FR" w:bidi="ar-SA"/>
    </w:rPr>
  </w:style>
  <w:style w:type="character" w:customStyle="1" w:styleId="JuNames">
    <w:name w:val="Ju_Names"/>
    <w:basedOn w:val="DefaultParagraphFont"/>
    <w:rsid w:val="0046299D"/>
    <w:rPr>
      <w:smallCaps/>
    </w:rPr>
  </w:style>
  <w:style w:type="paragraph" w:customStyle="1" w:styleId="JuHA">
    <w:name w:val="Ju_H_A"/>
    <w:basedOn w:val="JuHIRoman"/>
    <w:next w:val="JuPara"/>
    <w:rsid w:val="0046299D"/>
    <w:pPr>
      <w:tabs>
        <w:tab w:val="clear" w:pos="357"/>
        <w:tab w:val="left" w:pos="584"/>
      </w:tabs>
      <w:ind w:left="584" w:hanging="352"/>
    </w:pPr>
    <w:rPr>
      <w:b/>
    </w:rPr>
  </w:style>
  <w:style w:type="paragraph" w:customStyle="1" w:styleId="JuQuot">
    <w:name w:val="Ju_Quot"/>
    <w:basedOn w:val="JuPara"/>
    <w:rsid w:val="0046299D"/>
    <w:pPr>
      <w:spacing w:before="120" w:after="120"/>
      <w:ind w:left="425" w:firstLine="142"/>
    </w:pPr>
    <w:rPr>
      <w:sz w:val="20"/>
    </w:rPr>
  </w:style>
  <w:style w:type="paragraph" w:customStyle="1" w:styleId="JuSigned">
    <w:name w:val="Ju_Signed"/>
    <w:basedOn w:val="Normal"/>
    <w:next w:val="JuParaLast"/>
    <w:link w:val="JuSignedChar"/>
    <w:rsid w:val="0046299D"/>
    <w:pPr>
      <w:tabs>
        <w:tab w:val="center" w:pos="851"/>
        <w:tab w:val="center" w:pos="6407"/>
      </w:tabs>
      <w:suppressAutoHyphens/>
      <w:spacing w:before="720"/>
    </w:pPr>
    <w:rPr>
      <w:rFonts w:ascii="Times New Roman" w:hAnsi="Times New Roman"/>
      <w:lang w:val="en-GB" w:eastAsia="fr-FR"/>
    </w:rPr>
  </w:style>
  <w:style w:type="paragraph" w:customStyle="1" w:styleId="JuParaLast">
    <w:name w:val="Ju_Para_Last"/>
    <w:basedOn w:val="JuPara"/>
    <w:next w:val="JuPara"/>
    <w:rsid w:val="0046299D"/>
    <w:pPr>
      <w:keepNext/>
      <w:keepLines/>
      <w:spacing w:before="240"/>
    </w:pPr>
  </w:style>
  <w:style w:type="character" w:customStyle="1" w:styleId="JuSignedChar">
    <w:name w:val="Ju_Signed Char"/>
    <w:basedOn w:val="DefaultParagraphFont"/>
    <w:link w:val="JuSigned"/>
    <w:rsid w:val="0046299D"/>
    <w:rPr>
      <w:sz w:val="24"/>
      <w:lang w:val="en-GB" w:eastAsia="fr-FR" w:bidi="ar-SA"/>
    </w:rPr>
  </w:style>
  <w:style w:type="paragraph" w:customStyle="1" w:styleId="JuCase">
    <w:name w:val="Ju_Case"/>
    <w:basedOn w:val="JuPara"/>
    <w:next w:val="JuPara"/>
    <w:rsid w:val="0046299D"/>
    <w:rPr>
      <w:b/>
    </w:rPr>
  </w:style>
  <w:style w:type="paragraph" w:customStyle="1" w:styleId="JuList">
    <w:name w:val="Ju_List"/>
    <w:basedOn w:val="JuPara"/>
    <w:rsid w:val="0046299D"/>
    <w:pPr>
      <w:ind w:left="340" w:hanging="340"/>
    </w:pPr>
  </w:style>
  <w:style w:type="paragraph" w:customStyle="1" w:styleId="JuHArticle">
    <w:name w:val="Ju_H_Article"/>
    <w:basedOn w:val="JuHa0"/>
    <w:next w:val="JuQuot"/>
    <w:rsid w:val="0046299D"/>
    <w:pPr>
      <w:ind w:left="0" w:firstLine="0"/>
      <w:jc w:val="center"/>
    </w:pPr>
  </w:style>
  <w:style w:type="paragraph" w:customStyle="1" w:styleId="JuHa0">
    <w:name w:val="Ju_H_a"/>
    <w:basedOn w:val="JuH1"/>
    <w:next w:val="JuPara"/>
    <w:rsid w:val="0046299D"/>
    <w:pPr>
      <w:tabs>
        <w:tab w:val="clear" w:pos="731"/>
        <w:tab w:val="left" w:pos="975"/>
      </w:tabs>
      <w:ind w:left="975" w:hanging="340"/>
    </w:pPr>
    <w:rPr>
      <w:b/>
      <w:i w:val="0"/>
      <w:sz w:val="20"/>
    </w:rPr>
  </w:style>
  <w:style w:type="paragraph" w:customStyle="1" w:styleId="JuH1">
    <w:name w:val="Ju_H_1."/>
    <w:basedOn w:val="JuHA"/>
    <w:next w:val="JuPara"/>
    <w:rsid w:val="0046299D"/>
    <w:pPr>
      <w:tabs>
        <w:tab w:val="clear" w:pos="584"/>
        <w:tab w:val="left" w:pos="731"/>
      </w:tabs>
      <w:spacing w:before="240" w:after="120"/>
      <w:ind w:left="732" w:hanging="301"/>
    </w:pPr>
    <w:rPr>
      <w:b w:val="0"/>
      <w:i/>
    </w:rPr>
  </w:style>
  <w:style w:type="paragraph" w:customStyle="1" w:styleId="JuCourt">
    <w:name w:val="Ju_Court"/>
    <w:basedOn w:val="JuJudges"/>
    <w:rsid w:val="0046299D"/>
    <w:pPr>
      <w:tabs>
        <w:tab w:val="clear" w:pos="567"/>
        <w:tab w:val="clear" w:pos="1134"/>
        <w:tab w:val="left" w:pos="907"/>
        <w:tab w:val="left" w:pos="1701"/>
        <w:tab w:val="right" w:pos="7371"/>
      </w:tabs>
      <w:spacing w:before="240"/>
      <w:ind w:left="397" w:hanging="397"/>
    </w:pPr>
  </w:style>
  <w:style w:type="paragraph" w:customStyle="1" w:styleId="JuHi">
    <w:name w:val="Ju_H_i"/>
    <w:basedOn w:val="JuHa0"/>
    <w:next w:val="JuPara"/>
    <w:rsid w:val="0046299D"/>
    <w:pPr>
      <w:tabs>
        <w:tab w:val="clear" w:pos="975"/>
        <w:tab w:val="left" w:pos="1191"/>
      </w:tabs>
      <w:ind w:left="1190" w:hanging="357"/>
    </w:pPr>
    <w:rPr>
      <w:b w:val="0"/>
      <w:i/>
    </w:rPr>
  </w:style>
  <w:style w:type="paragraph" w:customStyle="1" w:styleId="JuH">
    <w:name w:val="Ju_H_–"/>
    <w:basedOn w:val="JuHalpha"/>
    <w:next w:val="JuPara"/>
    <w:rsid w:val="0046299D"/>
    <w:pPr>
      <w:tabs>
        <w:tab w:val="clear" w:pos="1372"/>
      </w:tabs>
      <w:ind w:left="1236" w:firstLine="0"/>
    </w:pPr>
    <w:rPr>
      <w:i/>
    </w:rPr>
  </w:style>
  <w:style w:type="paragraph" w:customStyle="1" w:styleId="JuHalpha">
    <w:name w:val="Ju_H_alpha"/>
    <w:basedOn w:val="JuHi"/>
    <w:next w:val="JuPara"/>
    <w:rsid w:val="0046299D"/>
    <w:pPr>
      <w:tabs>
        <w:tab w:val="clear" w:pos="1191"/>
        <w:tab w:val="left" w:pos="1372"/>
      </w:tabs>
      <w:ind w:left="1373" w:hanging="335"/>
    </w:pPr>
    <w:rPr>
      <w:i w:val="0"/>
    </w:rPr>
  </w:style>
  <w:style w:type="paragraph" w:customStyle="1" w:styleId="JuLista">
    <w:name w:val="Ju_List_a"/>
    <w:basedOn w:val="JuList"/>
    <w:rsid w:val="0046299D"/>
    <w:pPr>
      <w:ind w:left="346" w:firstLine="0"/>
    </w:pPr>
  </w:style>
  <w:style w:type="paragraph" w:customStyle="1" w:styleId="JuListi">
    <w:name w:val="Ju_List_i"/>
    <w:basedOn w:val="JuLista"/>
    <w:rsid w:val="0046299D"/>
    <w:pPr>
      <w:ind w:left="794"/>
    </w:pPr>
  </w:style>
  <w:style w:type="paragraph" w:customStyle="1" w:styleId="OpiHHead">
    <w:name w:val="Opi_H_Head"/>
    <w:basedOn w:val="JuHHead"/>
    <w:next w:val="OpiPara"/>
    <w:rsid w:val="0046299D"/>
    <w:pPr>
      <w:spacing w:before="0"/>
      <w:jc w:val="center"/>
    </w:pPr>
  </w:style>
  <w:style w:type="paragraph" w:customStyle="1" w:styleId="OpiPara">
    <w:name w:val="Opi_Para"/>
    <w:basedOn w:val="JuPara"/>
    <w:rsid w:val="0046299D"/>
  </w:style>
  <w:style w:type="paragraph" w:customStyle="1" w:styleId="OpiTranslation">
    <w:name w:val="Opi_Translation"/>
    <w:basedOn w:val="OpiHHead"/>
    <w:next w:val="OpiPara"/>
    <w:rsid w:val="0046299D"/>
    <w:rPr>
      <w:i/>
      <w:sz w:val="24"/>
    </w:rPr>
  </w:style>
  <w:style w:type="paragraph" w:customStyle="1" w:styleId="JuInitialled">
    <w:name w:val="Ju_Initialled"/>
    <w:basedOn w:val="JuSigned"/>
    <w:rsid w:val="0046299D"/>
    <w:pPr>
      <w:tabs>
        <w:tab w:val="clear" w:pos="851"/>
      </w:tabs>
      <w:jc w:val="right"/>
    </w:pPr>
  </w:style>
  <w:style w:type="paragraph" w:customStyle="1" w:styleId="JuHeader">
    <w:name w:val="Ju_Header"/>
    <w:basedOn w:val="Header"/>
    <w:rsid w:val="0046299D"/>
    <w:pPr>
      <w:tabs>
        <w:tab w:val="clear" w:pos="4320"/>
        <w:tab w:val="clear" w:pos="8640"/>
        <w:tab w:val="center" w:pos="3686"/>
        <w:tab w:val="right" w:pos="7371"/>
      </w:tabs>
      <w:suppressAutoHyphens/>
    </w:pPr>
    <w:rPr>
      <w:rFonts w:ascii="Times New Roman" w:hAnsi="Times New Roman"/>
      <w:sz w:val="18"/>
      <w:lang w:val="en-GB" w:eastAsia="fr-FR"/>
    </w:rPr>
  </w:style>
  <w:style w:type="paragraph" w:customStyle="1" w:styleId="DecHTitle">
    <w:name w:val="Dec_H_Title"/>
    <w:basedOn w:val="Normal"/>
    <w:rsid w:val="0046299D"/>
    <w:pPr>
      <w:suppressAutoHyphens/>
      <w:spacing w:after="240"/>
      <w:jc w:val="center"/>
    </w:pPr>
    <w:rPr>
      <w:rFonts w:ascii="Times New Roman" w:hAnsi="Times New Roman"/>
      <w:sz w:val="28"/>
      <w:lang w:val="en-GB" w:eastAsia="fr-FR"/>
    </w:rPr>
  </w:style>
  <w:style w:type="paragraph" w:customStyle="1" w:styleId="DecHCase">
    <w:name w:val="Dec_H_Case"/>
    <w:basedOn w:val="DecHTitle"/>
    <w:next w:val="JuPara"/>
    <w:rsid w:val="0046299D"/>
    <w:rPr>
      <w:sz w:val="24"/>
    </w:rPr>
  </w:style>
  <w:style w:type="paragraph" w:customStyle="1" w:styleId="DecList">
    <w:name w:val="Dec_List"/>
    <w:basedOn w:val="Normal"/>
    <w:rsid w:val="0046299D"/>
    <w:pPr>
      <w:suppressAutoHyphens/>
      <w:spacing w:before="240"/>
      <w:ind w:left="284"/>
      <w:jc w:val="both"/>
    </w:pPr>
    <w:rPr>
      <w:rFonts w:ascii="Times New Roman" w:hAnsi="Times New Roman"/>
      <w:lang w:val="en-GB" w:eastAsia="fr-FR"/>
    </w:rPr>
  </w:style>
  <w:style w:type="paragraph" w:customStyle="1" w:styleId="JuParaSub">
    <w:name w:val="Ju_Para_Sub"/>
    <w:basedOn w:val="JuPara"/>
    <w:rsid w:val="0046299D"/>
    <w:pPr>
      <w:ind w:left="284"/>
    </w:pPr>
    <w:rPr>
      <w:szCs w:val="24"/>
    </w:rPr>
  </w:style>
  <w:style w:type="paragraph" w:customStyle="1" w:styleId="JuQuotSub">
    <w:name w:val="Ju_Quot_Sub"/>
    <w:basedOn w:val="JuQuot"/>
    <w:rsid w:val="0046299D"/>
    <w:pPr>
      <w:ind w:left="567"/>
    </w:pPr>
  </w:style>
  <w:style w:type="paragraph" w:customStyle="1" w:styleId="PJuPara">
    <w:name w:val="P_Ju_Para"/>
    <w:basedOn w:val="Normal"/>
    <w:rsid w:val="0046299D"/>
    <w:pPr>
      <w:suppressAutoHyphens/>
      <w:ind w:firstLine="284"/>
      <w:jc w:val="both"/>
    </w:pPr>
    <w:rPr>
      <w:rFonts w:ascii="Times New Roman" w:hAnsi="Times New Roman"/>
      <w:lang w:val="en-GB" w:eastAsia="fr-FR"/>
    </w:rPr>
  </w:style>
  <w:style w:type="paragraph" w:customStyle="1" w:styleId="PJuQuot">
    <w:name w:val="P_Ju_Quot"/>
    <w:basedOn w:val="Normal"/>
    <w:rsid w:val="0046299D"/>
    <w:pPr>
      <w:suppressAutoHyphens/>
      <w:spacing w:before="120" w:after="120"/>
      <w:ind w:left="403" w:firstLine="176"/>
      <w:jc w:val="both"/>
    </w:pPr>
    <w:rPr>
      <w:rFonts w:ascii="Times New Roman" w:hAnsi="Times New Roman"/>
      <w:sz w:val="20"/>
      <w:lang w:val="en-GB" w:eastAsia="fr-FR"/>
    </w:rPr>
  </w:style>
  <w:style w:type="paragraph" w:customStyle="1" w:styleId="OpiHA">
    <w:name w:val="Opi_H_A"/>
    <w:basedOn w:val="JuHIRoman"/>
    <w:next w:val="OpiPara"/>
    <w:rsid w:val="0046299D"/>
    <w:pPr>
      <w:tabs>
        <w:tab w:val="clear" w:pos="357"/>
      </w:tabs>
    </w:pPr>
    <w:rPr>
      <w:b/>
    </w:rPr>
  </w:style>
  <w:style w:type="paragraph" w:customStyle="1" w:styleId="OpiH1">
    <w:name w:val="Opi_H_1."/>
    <w:basedOn w:val="OpiHA"/>
    <w:next w:val="OpiPara"/>
    <w:rsid w:val="0046299D"/>
    <w:pPr>
      <w:spacing w:before="240" w:after="120"/>
      <w:ind w:left="635"/>
    </w:pPr>
    <w:rPr>
      <w:b w:val="0"/>
      <w:i/>
    </w:rPr>
  </w:style>
  <w:style w:type="paragraph" w:customStyle="1" w:styleId="OpiHa0">
    <w:name w:val="Opi_H_a"/>
    <w:basedOn w:val="OpiH1"/>
    <w:next w:val="OpiPara"/>
    <w:rsid w:val="0046299D"/>
    <w:pPr>
      <w:ind w:left="834"/>
    </w:pPr>
    <w:rPr>
      <w:b/>
      <w:i w:val="0"/>
      <w:sz w:val="20"/>
    </w:rPr>
  </w:style>
  <w:style w:type="paragraph" w:customStyle="1" w:styleId="OpiHi">
    <w:name w:val="Opi_H_i"/>
    <w:basedOn w:val="OpiHa0"/>
    <w:next w:val="OpiPara"/>
    <w:rsid w:val="0046299D"/>
    <w:pPr>
      <w:ind w:left="1038"/>
    </w:pPr>
    <w:rPr>
      <w:b w:val="0"/>
      <w:i/>
    </w:rPr>
  </w:style>
  <w:style w:type="paragraph" w:customStyle="1" w:styleId="PListArticleSubject">
    <w:name w:val="P_List_ArticleSubject"/>
    <w:basedOn w:val="Normal"/>
    <w:rsid w:val="0046299D"/>
    <w:pPr>
      <w:tabs>
        <w:tab w:val="left" w:pos="2977"/>
      </w:tabs>
      <w:suppressAutoHyphens/>
      <w:ind w:left="2977" w:hanging="2977"/>
    </w:pPr>
    <w:rPr>
      <w:rFonts w:ascii="Times New Roman" w:hAnsi="Times New Roman"/>
      <w:lang w:val="en-GB" w:eastAsia="fr-FR"/>
    </w:rPr>
  </w:style>
  <w:style w:type="paragraph" w:customStyle="1" w:styleId="OpiQuot">
    <w:name w:val="Opi_Quot"/>
    <w:basedOn w:val="JuQuot"/>
    <w:rsid w:val="0046299D"/>
  </w:style>
  <w:style w:type="paragraph" w:customStyle="1" w:styleId="SuCoverTitle1">
    <w:name w:val="Su_Cover_Title1"/>
    <w:basedOn w:val="Normal"/>
    <w:next w:val="SuCoverTitle2"/>
    <w:rsid w:val="0046299D"/>
    <w:pPr>
      <w:suppressAutoHyphens/>
      <w:spacing w:before="2500"/>
      <w:jc w:val="center"/>
    </w:pPr>
    <w:rPr>
      <w:rFonts w:ascii="Times New Roman" w:hAnsi="Times New Roman"/>
      <w:sz w:val="22"/>
      <w:lang w:val="en-GB" w:eastAsia="fr-FR"/>
    </w:rPr>
  </w:style>
  <w:style w:type="paragraph" w:customStyle="1" w:styleId="SuCoverTitle2">
    <w:name w:val="Su_Cover_Title2"/>
    <w:basedOn w:val="SuCoverTitle1"/>
    <w:next w:val="Normal"/>
    <w:rsid w:val="0046299D"/>
    <w:pPr>
      <w:spacing w:before="240"/>
    </w:pPr>
    <w:rPr>
      <w:sz w:val="18"/>
    </w:rPr>
  </w:style>
  <w:style w:type="paragraph" w:customStyle="1" w:styleId="SuPara">
    <w:name w:val="Su_Para"/>
    <w:basedOn w:val="SuKeywords"/>
    <w:rsid w:val="0046299D"/>
    <w:pPr>
      <w:spacing w:before="0" w:after="0"/>
    </w:pPr>
    <w:rPr>
      <w:i w:val="0"/>
    </w:rPr>
  </w:style>
  <w:style w:type="paragraph" w:customStyle="1" w:styleId="SuKeywords">
    <w:name w:val="Su_Keywords"/>
    <w:basedOn w:val="SuHHead"/>
    <w:rsid w:val="0046299D"/>
    <w:pPr>
      <w:spacing w:before="120"/>
    </w:pPr>
    <w:rPr>
      <w:b w:val="0"/>
      <w:i/>
    </w:rPr>
  </w:style>
  <w:style w:type="paragraph" w:customStyle="1" w:styleId="SuHHead">
    <w:name w:val="Su_H_Head"/>
    <w:basedOn w:val="SuSubject"/>
    <w:rsid w:val="0046299D"/>
    <w:pPr>
      <w:spacing w:after="120"/>
    </w:pPr>
  </w:style>
  <w:style w:type="paragraph" w:customStyle="1" w:styleId="SuSubject">
    <w:name w:val="Su_Subject"/>
    <w:basedOn w:val="SuSummary"/>
    <w:rsid w:val="0046299D"/>
    <w:pPr>
      <w:spacing w:before="360"/>
      <w:jc w:val="both"/>
    </w:pPr>
    <w:rPr>
      <w:b/>
      <w:sz w:val="22"/>
    </w:rPr>
  </w:style>
  <w:style w:type="paragraph" w:customStyle="1" w:styleId="SuSummary">
    <w:name w:val="Su_Summary"/>
    <w:basedOn w:val="Normal"/>
    <w:next w:val="SuSubject"/>
    <w:rsid w:val="0046299D"/>
    <w:pPr>
      <w:suppressAutoHyphens/>
      <w:spacing w:after="240"/>
      <w:jc w:val="center"/>
    </w:pPr>
    <w:rPr>
      <w:rFonts w:ascii="Times New Roman" w:hAnsi="Times New Roman"/>
      <w:lang w:val="en-GB" w:eastAsia="fr-FR"/>
    </w:rPr>
  </w:style>
  <w:style w:type="paragraph" w:customStyle="1" w:styleId="PListCaseNo">
    <w:name w:val="P_List_CaseNo"/>
    <w:basedOn w:val="Normal"/>
    <w:rsid w:val="0046299D"/>
    <w:pPr>
      <w:tabs>
        <w:tab w:val="left" w:pos="1276"/>
      </w:tabs>
      <w:suppressAutoHyphens/>
      <w:spacing w:line="288" w:lineRule="auto"/>
      <w:ind w:left="1276" w:hanging="1276"/>
    </w:pPr>
    <w:rPr>
      <w:rFonts w:ascii="Times New Roman" w:hAnsi="Times New Roman"/>
      <w:lang w:val="en-GB" w:eastAsia="fr-FR"/>
    </w:rPr>
  </w:style>
  <w:style w:type="paragraph" w:customStyle="1" w:styleId="PListCases">
    <w:name w:val="P_List_Cases"/>
    <w:basedOn w:val="Normal"/>
    <w:rsid w:val="0046299D"/>
    <w:pPr>
      <w:suppressAutoHyphens/>
      <w:spacing w:line="288" w:lineRule="auto"/>
    </w:pPr>
    <w:rPr>
      <w:rFonts w:ascii="Times New Roman" w:hAnsi="Times New Roman"/>
      <w:lang w:val="en-GB" w:eastAsia="fr-FR"/>
    </w:rPr>
  </w:style>
  <w:style w:type="paragraph" w:customStyle="1" w:styleId="PTextIntro">
    <w:name w:val="P_Text_Intro"/>
    <w:basedOn w:val="Normal"/>
    <w:rsid w:val="0046299D"/>
    <w:pPr>
      <w:suppressAutoHyphens/>
      <w:jc w:val="both"/>
    </w:pPr>
    <w:rPr>
      <w:rFonts w:ascii="Times New Roman" w:hAnsi="Times New Roman"/>
      <w:i/>
      <w:sz w:val="20"/>
      <w:lang w:val="en-GB" w:eastAsia="fr-FR"/>
    </w:rPr>
  </w:style>
  <w:style w:type="paragraph" w:customStyle="1" w:styleId="PTitleCover">
    <w:name w:val="P_Title_Cover"/>
    <w:basedOn w:val="Normal"/>
    <w:rsid w:val="0046299D"/>
    <w:pPr>
      <w:suppressAutoHyphens/>
      <w:spacing w:before="2500"/>
      <w:jc w:val="center"/>
    </w:pPr>
    <w:rPr>
      <w:rFonts w:ascii="Times New Roman" w:hAnsi="Times New Roman"/>
      <w:b/>
      <w:smallCaps/>
      <w:sz w:val="30"/>
      <w:lang w:val="en-GB" w:eastAsia="fr-FR"/>
    </w:rPr>
  </w:style>
  <w:style w:type="paragraph" w:customStyle="1" w:styleId="PTitle1Alpha">
    <w:name w:val="P_Title1_Alpha"/>
    <w:basedOn w:val="Normal"/>
    <w:next w:val="Normal"/>
    <w:rsid w:val="0046299D"/>
    <w:pPr>
      <w:suppressAutoHyphens/>
      <w:spacing w:after="120"/>
      <w:jc w:val="center"/>
    </w:pPr>
    <w:rPr>
      <w:rFonts w:ascii="Times New Roman" w:hAnsi="Times New Roman"/>
      <w:b/>
      <w:smallCaps/>
      <w:sz w:val="30"/>
      <w:lang w:val="en-GB" w:eastAsia="fr-FR"/>
    </w:rPr>
  </w:style>
  <w:style w:type="paragraph" w:customStyle="1" w:styleId="PTitle1IndexArticle">
    <w:name w:val="P_Title1_IndexArticle"/>
    <w:basedOn w:val="Normal"/>
    <w:rsid w:val="0046299D"/>
    <w:pPr>
      <w:suppressAutoHyphens/>
      <w:spacing w:after="120"/>
      <w:jc w:val="center"/>
    </w:pPr>
    <w:rPr>
      <w:rFonts w:ascii="Times New Roman" w:hAnsi="Times New Roman"/>
      <w:b/>
      <w:smallCaps/>
      <w:sz w:val="30"/>
      <w:lang w:val="en-GB" w:eastAsia="fr-FR"/>
    </w:rPr>
  </w:style>
  <w:style w:type="paragraph" w:customStyle="1" w:styleId="PTitle1IndexKey">
    <w:name w:val="P_Title1_IndexKey"/>
    <w:basedOn w:val="Normal"/>
    <w:rsid w:val="0046299D"/>
    <w:pPr>
      <w:suppressAutoHyphens/>
      <w:spacing w:after="600"/>
      <w:jc w:val="center"/>
    </w:pPr>
    <w:rPr>
      <w:rFonts w:ascii="Times New Roman" w:hAnsi="Times New Roman"/>
      <w:b/>
      <w:smallCaps/>
      <w:sz w:val="30"/>
      <w:lang w:val="en-GB" w:eastAsia="fr-FR"/>
    </w:rPr>
  </w:style>
  <w:style w:type="paragraph" w:customStyle="1" w:styleId="PTitle1Num">
    <w:name w:val="P_Title1_Num"/>
    <w:basedOn w:val="Normal"/>
    <w:next w:val="PListCaseNo"/>
    <w:rsid w:val="0046299D"/>
    <w:pPr>
      <w:suppressAutoHyphens/>
      <w:spacing w:after="720"/>
      <w:jc w:val="center"/>
    </w:pPr>
    <w:rPr>
      <w:rFonts w:ascii="Times New Roman" w:hAnsi="Times New Roman"/>
      <w:b/>
      <w:smallCaps/>
      <w:sz w:val="30"/>
      <w:lang w:val="en-GB" w:eastAsia="fr-FR"/>
    </w:rPr>
  </w:style>
  <w:style w:type="paragraph" w:customStyle="1" w:styleId="PTitle2Country">
    <w:name w:val="P_Title2_Country"/>
    <w:basedOn w:val="Normal"/>
    <w:next w:val="PListCases"/>
    <w:rsid w:val="0046299D"/>
    <w:pPr>
      <w:keepNext/>
      <w:keepLines/>
      <w:suppressAutoHyphens/>
      <w:spacing w:before="600" w:after="360"/>
    </w:pPr>
    <w:rPr>
      <w:rFonts w:ascii="Times New Roman" w:hAnsi="Times New Roman"/>
      <w:b/>
      <w:lang w:val="en-GB" w:eastAsia="fr-FR"/>
    </w:rPr>
  </w:style>
  <w:style w:type="paragraph" w:customStyle="1" w:styleId="PTitle2Letters">
    <w:name w:val="P_Title2_Letters"/>
    <w:basedOn w:val="Normal"/>
    <w:next w:val="PListCases"/>
    <w:rsid w:val="0046299D"/>
    <w:pPr>
      <w:keepNext/>
      <w:keepLines/>
      <w:suppressAutoHyphens/>
      <w:spacing w:before="600" w:after="360"/>
    </w:pPr>
    <w:rPr>
      <w:rFonts w:ascii="Times New Roman" w:hAnsi="Times New Roman"/>
      <w:b/>
      <w:sz w:val="28"/>
      <w:lang w:val="en-GB" w:eastAsia="fr-FR"/>
    </w:rPr>
  </w:style>
  <w:style w:type="paragraph" w:customStyle="1" w:styleId="PTitle2Part">
    <w:name w:val="P_Title2_Part"/>
    <w:basedOn w:val="Normal"/>
    <w:rsid w:val="0046299D"/>
    <w:pPr>
      <w:keepNext/>
      <w:keepLines/>
      <w:suppressAutoHyphens/>
      <w:spacing w:before="600" w:after="240"/>
      <w:jc w:val="center"/>
    </w:pPr>
    <w:rPr>
      <w:rFonts w:ascii="Times New Roman" w:hAnsi="Times New Roman"/>
      <w:b/>
      <w:caps/>
      <w:lang w:val="en-GB" w:eastAsia="fr-FR"/>
    </w:rPr>
  </w:style>
  <w:style w:type="paragraph" w:customStyle="1" w:styleId="PTitle3Article">
    <w:name w:val="P_Title3_Article"/>
    <w:basedOn w:val="Normal"/>
    <w:rsid w:val="0046299D"/>
    <w:pPr>
      <w:keepNext/>
      <w:keepLines/>
      <w:suppressAutoHyphens/>
      <w:spacing w:before="360" w:after="120"/>
      <w:jc w:val="center"/>
    </w:pPr>
    <w:rPr>
      <w:rFonts w:ascii="Times New Roman" w:hAnsi="Times New Roman"/>
      <w:b/>
      <w:smallCaps/>
      <w:sz w:val="22"/>
      <w:lang w:val="en-GB" w:eastAsia="fr-FR"/>
    </w:rPr>
  </w:style>
  <w:style w:type="paragraph" w:customStyle="1" w:styleId="PTitle4ArticleSub">
    <w:name w:val="P_Title4_Article_Sub"/>
    <w:basedOn w:val="PTitle3Article"/>
    <w:rsid w:val="0046299D"/>
    <w:pPr>
      <w:spacing w:before="240"/>
    </w:pPr>
    <w:rPr>
      <w:smallCaps w:val="0"/>
      <w:sz w:val="20"/>
    </w:rPr>
  </w:style>
  <w:style w:type="paragraph" w:customStyle="1" w:styleId="PTitle5Subject">
    <w:name w:val="P_Title5_Subject"/>
    <w:basedOn w:val="Normal"/>
    <w:rsid w:val="0046299D"/>
    <w:pPr>
      <w:keepNext/>
      <w:keepLines/>
      <w:suppressAutoHyphens/>
      <w:spacing w:before="240" w:after="120"/>
      <w:jc w:val="both"/>
    </w:pPr>
    <w:rPr>
      <w:rFonts w:ascii="Times New Roman" w:hAnsi="Times New Roman"/>
      <w:b/>
      <w:i/>
      <w:lang w:val="en-GB" w:eastAsia="fr-FR"/>
    </w:rPr>
  </w:style>
  <w:style w:type="paragraph" w:customStyle="1" w:styleId="PTitle6SubjectSub">
    <w:name w:val="P_Title6_Subject_Sub"/>
    <w:basedOn w:val="Normal"/>
    <w:rsid w:val="0046299D"/>
    <w:pPr>
      <w:keepNext/>
      <w:keepLines/>
      <w:suppressAutoHyphens/>
      <w:spacing w:before="240" w:after="120"/>
      <w:ind w:left="284"/>
      <w:jc w:val="both"/>
    </w:pPr>
    <w:rPr>
      <w:rFonts w:ascii="Times New Roman" w:hAnsi="Times New Roman"/>
      <w:b/>
      <w:sz w:val="20"/>
      <w:lang w:val="en-GB" w:eastAsia="fr-FR"/>
    </w:rPr>
  </w:style>
  <w:style w:type="paragraph" w:customStyle="1" w:styleId="PTitle7CaseName">
    <w:name w:val="P_Title7_CaseName"/>
    <w:basedOn w:val="Normal"/>
    <w:rsid w:val="0046299D"/>
    <w:pPr>
      <w:keepLines/>
      <w:suppressAutoHyphens/>
      <w:spacing w:after="240"/>
      <w:jc w:val="right"/>
    </w:pPr>
    <w:rPr>
      <w:rFonts w:ascii="Times New Roman" w:hAnsi="Times New Roman"/>
      <w:sz w:val="22"/>
      <w:lang w:val="en-GB" w:eastAsia="fr-FR"/>
    </w:rPr>
  </w:style>
  <w:style w:type="paragraph" w:customStyle="1" w:styleId="OpiParaSub">
    <w:name w:val="Opi_Para_Sub"/>
    <w:basedOn w:val="JuParaSub"/>
    <w:rsid w:val="0046299D"/>
  </w:style>
  <w:style w:type="paragraph" w:customStyle="1" w:styleId="OpiQuotSub">
    <w:name w:val="Opi_Quot_Sub"/>
    <w:basedOn w:val="JuQuotSub"/>
    <w:rsid w:val="0046299D"/>
  </w:style>
  <w:style w:type="paragraph" w:customStyle="1" w:styleId="NormalJustified">
    <w:name w:val="Normal_Justified"/>
    <w:basedOn w:val="Normal"/>
    <w:rsid w:val="0046299D"/>
    <w:pPr>
      <w:suppressAutoHyphens/>
      <w:jc w:val="both"/>
    </w:pPr>
    <w:rPr>
      <w:rFonts w:ascii="Times New Roman" w:hAnsi="Times New Roman"/>
      <w:lang w:val="en-GB" w:eastAsia="fr-FR"/>
    </w:rPr>
  </w:style>
  <w:style w:type="character" w:customStyle="1" w:styleId="ju-005fpara-0020char--char">
    <w:name w:val="ju-005fpara-0020char--char"/>
    <w:basedOn w:val="DefaultParagraphFont"/>
    <w:rsid w:val="0046299D"/>
  </w:style>
  <w:style w:type="paragraph" w:customStyle="1" w:styleId="ju-005fpara">
    <w:name w:val="ju-005fpara"/>
    <w:basedOn w:val="Normal"/>
    <w:rsid w:val="0046299D"/>
    <w:pPr>
      <w:spacing w:before="100" w:beforeAutospacing="1" w:after="100" w:afterAutospacing="1"/>
    </w:pPr>
    <w:rPr>
      <w:rFonts w:ascii="Times New Roman" w:hAnsi="Times New Roman"/>
      <w:szCs w:val="24"/>
      <w:lang w:val="it-IT" w:eastAsia="it-IT"/>
    </w:rPr>
  </w:style>
  <w:style w:type="character" w:customStyle="1" w:styleId="ju-005fpara--char">
    <w:name w:val="ju-005fpara--char"/>
    <w:basedOn w:val="DefaultParagraphFont"/>
    <w:rsid w:val="0046299D"/>
  </w:style>
  <w:style w:type="paragraph" w:customStyle="1" w:styleId="ju-005fpara-0020char">
    <w:name w:val="ju-005fpara-0020char"/>
    <w:basedOn w:val="Normal"/>
    <w:rsid w:val="0046299D"/>
    <w:pPr>
      <w:spacing w:before="100" w:beforeAutospacing="1" w:after="100" w:afterAutospacing="1"/>
    </w:pPr>
    <w:rPr>
      <w:rFonts w:ascii="Times New Roman" w:hAnsi="Times New Roman"/>
      <w:szCs w:val="24"/>
      <w:lang w:val="en-GB" w:eastAsia="en-GB"/>
    </w:rPr>
  </w:style>
  <w:style w:type="paragraph" w:customStyle="1" w:styleId="ju-005fquot-0020char-0020char">
    <w:name w:val="ju-005fquot-0020char-0020char"/>
    <w:basedOn w:val="Normal"/>
    <w:rsid w:val="0046299D"/>
    <w:pPr>
      <w:spacing w:before="100" w:beforeAutospacing="1" w:after="100" w:afterAutospacing="1"/>
    </w:pPr>
    <w:rPr>
      <w:rFonts w:ascii="Times New Roman" w:hAnsi="Times New Roman"/>
      <w:szCs w:val="24"/>
      <w:lang w:val="en-GB" w:eastAsia="en-GB"/>
    </w:rPr>
  </w:style>
  <w:style w:type="character" w:customStyle="1" w:styleId="ju-005fpara-0020char1--char">
    <w:name w:val="ju-005fpara-0020char1--char"/>
    <w:basedOn w:val="DefaultParagraphFont"/>
    <w:rsid w:val="0046299D"/>
  </w:style>
  <w:style w:type="paragraph" w:customStyle="1" w:styleId="JuParaCharChar">
    <w:name w:val="Ju_Para Char Char"/>
    <w:basedOn w:val="Normal"/>
    <w:link w:val="JuParaCharCharChar"/>
    <w:rsid w:val="0046299D"/>
    <w:pPr>
      <w:suppressAutoHyphens/>
      <w:ind w:firstLine="284"/>
      <w:jc w:val="both"/>
    </w:pPr>
    <w:rPr>
      <w:rFonts w:ascii="Times New Roman" w:hAnsi="Times New Roman"/>
      <w:lang w:val="en-GB" w:eastAsia="fr-FR"/>
    </w:rPr>
  </w:style>
  <w:style w:type="character" w:customStyle="1" w:styleId="JuParaCharCharChar">
    <w:name w:val="Ju_Para Char Char Char"/>
    <w:basedOn w:val="DefaultParagraphFont"/>
    <w:link w:val="JuParaCharChar"/>
    <w:rsid w:val="0046299D"/>
    <w:rPr>
      <w:sz w:val="24"/>
      <w:lang w:val="en-GB" w:eastAsia="fr-FR" w:bidi="ar-SA"/>
    </w:rPr>
  </w:style>
  <w:style w:type="paragraph" w:customStyle="1" w:styleId="JuQuotChar">
    <w:name w:val="Ju_Quot Char"/>
    <w:basedOn w:val="Normal"/>
    <w:link w:val="JuQuotCharChar"/>
    <w:rsid w:val="0046299D"/>
    <w:pPr>
      <w:suppressAutoHyphens/>
      <w:spacing w:before="120" w:after="120"/>
      <w:ind w:left="425" w:firstLine="142"/>
      <w:jc w:val="both"/>
    </w:pPr>
    <w:rPr>
      <w:rFonts w:ascii="Times New Roman" w:hAnsi="Times New Roman"/>
      <w:sz w:val="20"/>
      <w:lang w:val="en-GB" w:eastAsia="fr-FR"/>
    </w:rPr>
  </w:style>
  <w:style w:type="character" w:customStyle="1" w:styleId="JuQuotCharChar">
    <w:name w:val="Ju_Quot Char Char"/>
    <w:basedOn w:val="DefaultParagraphFont"/>
    <w:link w:val="JuQuotChar"/>
    <w:rsid w:val="0046299D"/>
    <w:rPr>
      <w:lang w:val="en-GB" w:eastAsia="fr-FR" w:bidi="ar-SA"/>
    </w:rPr>
  </w:style>
  <w:style w:type="character" w:customStyle="1" w:styleId="ju----005fpara--------char----char--char">
    <w:name w:val="ju----005fpara--------char----char--char"/>
    <w:basedOn w:val="DefaultParagraphFont"/>
    <w:rsid w:val="0046299D"/>
  </w:style>
  <w:style w:type="character" w:customStyle="1" w:styleId="ju--005fpara----char--char">
    <w:name w:val="ju--005fpara----char--char"/>
    <w:basedOn w:val="DefaultParagraphFont"/>
    <w:rsid w:val="0046299D"/>
  </w:style>
  <w:style w:type="paragraph" w:customStyle="1" w:styleId="ju-005flist">
    <w:name w:val="ju-005flist"/>
    <w:basedOn w:val="Normal"/>
    <w:rsid w:val="0046299D"/>
    <w:pPr>
      <w:spacing w:before="100" w:beforeAutospacing="1" w:after="100" w:afterAutospacing="1"/>
    </w:pPr>
    <w:rPr>
      <w:rFonts w:ascii="Times New Roman" w:hAnsi="Times New Roman"/>
      <w:szCs w:val="24"/>
      <w:lang w:val="en-GB" w:eastAsia="en-GB"/>
    </w:rPr>
  </w:style>
  <w:style w:type="character" w:customStyle="1" w:styleId="ju-005flist--char">
    <w:name w:val="ju-005flist--char"/>
    <w:basedOn w:val="DefaultParagraphFont"/>
    <w:rsid w:val="0046299D"/>
  </w:style>
  <w:style w:type="paragraph" w:customStyle="1" w:styleId="ju-005flist-005fa">
    <w:name w:val="ju-005flist-005fa"/>
    <w:basedOn w:val="Normal"/>
    <w:rsid w:val="0046299D"/>
    <w:pPr>
      <w:spacing w:before="100" w:beforeAutospacing="1" w:after="100" w:afterAutospacing="1"/>
    </w:pPr>
    <w:rPr>
      <w:rFonts w:ascii="Times New Roman" w:hAnsi="Times New Roman"/>
      <w:szCs w:val="24"/>
      <w:lang w:val="en-GB" w:eastAsia="en-GB"/>
    </w:rPr>
  </w:style>
  <w:style w:type="paragraph" w:customStyle="1" w:styleId="ju-005fpara-002cleft-002cfirst-0020line-003a-0020-00200-0020cm">
    <w:name w:val="ju-005fpara-002cleft-002cfirst-0020line-003a-0020-00200-0020cm"/>
    <w:basedOn w:val="Normal"/>
    <w:rsid w:val="0046299D"/>
    <w:pPr>
      <w:spacing w:before="100" w:beforeAutospacing="1" w:after="100" w:afterAutospacing="1"/>
    </w:pPr>
    <w:rPr>
      <w:rFonts w:ascii="Times New Roman" w:hAnsi="Times New Roman"/>
      <w:szCs w:val="24"/>
      <w:lang w:val="en-GB" w:eastAsia="en-GB"/>
    </w:rPr>
  </w:style>
  <w:style w:type="character" w:customStyle="1" w:styleId="ju-005fpara-002cleft-002cfirst-0020line-003a-0020-00200-0020cm--char">
    <w:name w:val="ju-005fpara-002cleft-002cfirst-0020line-003a-0020-00200-0020cm--char"/>
    <w:basedOn w:val="DefaultParagraphFont"/>
    <w:rsid w:val="0046299D"/>
  </w:style>
  <w:style w:type="character" w:customStyle="1" w:styleId="normal----char--char">
    <w:name w:val="normal----char--char"/>
    <w:basedOn w:val="DefaultParagraphFont"/>
    <w:rsid w:val="0046299D"/>
  </w:style>
  <w:style w:type="character" w:customStyle="1" w:styleId="p-005fju-005fpara--char">
    <w:name w:val="p-005fju-005fpara--char"/>
    <w:basedOn w:val="DefaultParagraphFont"/>
    <w:rsid w:val="0046299D"/>
  </w:style>
  <w:style w:type="character" w:customStyle="1" w:styleId="ju--------005fpara----------------char--------char----char--char">
    <w:name w:val="ju--------005fpara----------------char--------char----char--char"/>
    <w:basedOn w:val="DefaultParagraphFont"/>
    <w:rsid w:val="0046299D"/>
  </w:style>
  <w:style w:type="paragraph" w:styleId="Subtitle">
    <w:name w:val="Subtitle"/>
    <w:basedOn w:val="Normal"/>
    <w:next w:val="Normal"/>
    <w:qFormat/>
    <w:rsid w:val="0046299D"/>
    <w:pPr>
      <w:spacing w:after="560"/>
      <w:jc w:val="center"/>
    </w:pPr>
    <w:rPr>
      <w:rFonts w:ascii="Cambria" w:hAnsi="Cambria"/>
      <w:caps/>
      <w:spacing w:val="20"/>
      <w:sz w:val="18"/>
      <w:szCs w:val="18"/>
      <w:lang w:val="en-US" w:bidi="en-US"/>
    </w:rPr>
  </w:style>
  <w:style w:type="character" w:styleId="Strong">
    <w:name w:val="Strong"/>
    <w:qFormat/>
    <w:rsid w:val="0046299D"/>
    <w:rPr>
      <w:b/>
      <w:bCs/>
      <w:color w:val="943634"/>
      <w:spacing w:val="5"/>
    </w:rPr>
  </w:style>
  <w:style w:type="character" w:styleId="Emphasis">
    <w:name w:val="Emphasis"/>
    <w:qFormat/>
    <w:rsid w:val="0046299D"/>
    <w:rPr>
      <w:caps/>
      <w:spacing w:val="5"/>
      <w:sz w:val="20"/>
      <w:szCs w:val="20"/>
    </w:rPr>
  </w:style>
  <w:style w:type="paragraph" w:styleId="Quote">
    <w:name w:val="Quote"/>
    <w:basedOn w:val="Normal"/>
    <w:next w:val="Normal"/>
    <w:link w:val="QuoteChar"/>
    <w:qFormat/>
    <w:rsid w:val="0046299D"/>
    <w:pPr>
      <w:spacing w:after="200" w:line="252" w:lineRule="auto"/>
    </w:pPr>
    <w:rPr>
      <w:rFonts w:ascii="Cambria" w:hAnsi="Cambria"/>
      <w:i/>
      <w:iCs/>
      <w:sz w:val="22"/>
      <w:szCs w:val="22"/>
      <w:lang w:val="en-US" w:bidi="en-US"/>
    </w:rPr>
  </w:style>
  <w:style w:type="character" w:customStyle="1" w:styleId="QuoteChar">
    <w:name w:val="Quote Char"/>
    <w:basedOn w:val="DefaultParagraphFont"/>
    <w:link w:val="Quote"/>
    <w:rsid w:val="0046299D"/>
    <w:rPr>
      <w:rFonts w:ascii="Cambria" w:hAnsi="Cambria"/>
      <w:i/>
      <w:iCs/>
      <w:sz w:val="22"/>
      <w:szCs w:val="22"/>
      <w:lang w:val="en-US" w:eastAsia="en-US" w:bidi="en-US"/>
    </w:rPr>
  </w:style>
  <w:style w:type="paragraph" w:styleId="IntenseQuote">
    <w:name w:val="Intense Quote"/>
    <w:basedOn w:val="Normal"/>
    <w:next w:val="Normal"/>
    <w:link w:val="IntenseQuoteChar"/>
    <w:qFormat/>
    <w:rsid w:val="0046299D"/>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lang w:val="en-US" w:bidi="en-US"/>
    </w:rPr>
  </w:style>
  <w:style w:type="character" w:customStyle="1" w:styleId="IntenseQuoteChar">
    <w:name w:val="Intense Quote Char"/>
    <w:basedOn w:val="DefaultParagraphFont"/>
    <w:link w:val="IntenseQuote"/>
    <w:rsid w:val="0046299D"/>
    <w:rPr>
      <w:rFonts w:ascii="Cambria" w:hAnsi="Cambria"/>
      <w:caps/>
      <w:color w:val="622423"/>
      <w:spacing w:val="5"/>
      <w:lang w:val="en-US" w:eastAsia="en-US" w:bidi="en-US"/>
    </w:rPr>
  </w:style>
  <w:style w:type="character" w:styleId="SubtleEmphasis">
    <w:name w:val="Subtle Emphasis"/>
    <w:qFormat/>
    <w:rsid w:val="0046299D"/>
    <w:rPr>
      <w:i/>
      <w:iCs/>
    </w:rPr>
  </w:style>
  <w:style w:type="character" w:styleId="IntenseEmphasis">
    <w:name w:val="Intense Emphasis"/>
    <w:qFormat/>
    <w:rsid w:val="0046299D"/>
    <w:rPr>
      <w:i/>
      <w:iCs/>
      <w:caps/>
      <w:spacing w:val="10"/>
      <w:sz w:val="20"/>
      <w:szCs w:val="20"/>
    </w:rPr>
  </w:style>
  <w:style w:type="character" w:styleId="SubtleReference">
    <w:name w:val="Subtle Reference"/>
    <w:basedOn w:val="DefaultParagraphFont"/>
    <w:qFormat/>
    <w:rsid w:val="0046299D"/>
    <w:rPr>
      <w:rFonts w:ascii="Calibri" w:eastAsia="Times New Roman" w:hAnsi="Calibri" w:cs="Times New Roman"/>
      <w:i/>
      <w:iCs/>
      <w:color w:val="622423"/>
    </w:rPr>
  </w:style>
  <w:style w:type="character" w:styleId="IntenseReference">
    <w:name w:val="Intense Reference"/>
    <w:qFormat/>
    <w:rsid w:val="0046299D"/>
    <w:rPr>
      <w:rFonts w:ascii="Calibri" w:eastAsia="Times New Roman" w:hAnsi="Calibri" w:cs="Times New Roman"/>
      <w:b/>
      <w:bCs/>
      <w:i/>
      <w:iCs/>
      <w:color w:val="622423"/>
    </w:rPr>
  </w:style>
  <w:style w:type="character" w:styleId="BookTitle">
    <w:name w:val="Book Title"/>
    <w:qFormat/>
    <w:rsid w:val="0046299D"/>
    <w:rPr>
      <w:caps/>
      <w:color w:val="622423"/>
      <w:spacing w:val="5"/>
      <w:u w:color="622423"/>
    </w:rPr>
  </w:style>
  <w:style w:type="character" w:customStyle="1" w:styleId="CharChar3">
    <w:name w:val=" Char Char3"/>
    <w:basedOn w:val="DefaultParagraphFont"/>
    <w:rsid w:val="0046299D"/>
    <w:rPr>
      <w:sz w:val="18"/>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12337</Words>
  <Characters>70327</Characters>
  <Application>Microsoft Office Word</Application>
  <DocSecurity>0</DocSecurity>
  <Lines>586</Lines>
  <Paragraphs>164</Paragraphs>
  <ScaleCrop>false</ScaleCrop>
  <HeadingPairs>
    <vt:vector size="2" baseType="variant">
      <vt:variant>
        <vt:lpstr>Title</vt:lpstr>
      </vt:variant>
      <vt:variant>
        <vt:i4>1</vt:i4>
      </vt:variant>
    </vt:vector>
  </HeadingPairs>
  <TitlesOfParts>
    <vt:vector size="1" baseType="lpstr">
      <vt:lpstr>GJYKATA EVROPIANE E TË DREJTAVE TË NJERIUT</vt:lpstr>
    </vt:vector>
  </TitlesOfParts>
  <Company/>
  <LinksUpToDate>false</LinksUpToDate>
  <CharactersWithSpaces>82500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GJYKATA EVROPIANE E TË DREJTAVE TË NJERIUT</dc:title>
  <dc:subject/>
  <dc:creator>n.fagu</dc:creator>
  <cp:keywords/>
  <dc:description/>
  <cp:lastModifiedBy>Jonida Resulaj</cp:lastModifiedBy>
  <cp:revision>2</cp:revision>
  <cp:lastPrinted>2010-01-27T09:43:00Z</cp:lastPrinted>
  <dcterms:created xsi:type="dcterms:W3CDTF">2019-05-22T10:10:00Z</dcterms:created>
  <dcterms:modified xsi:type="dcterms:W3CDTF">2019-05-22T10:10:00Z</dcterms:modified>
</cp:coreProperties>
</file>