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ED" w:rsidRPr="00D45111" w:rsidRDefault="00FC065E" w:rsidP="008A3CED">
      <w:pPr>
        <w:pStyle w:val="Paragrafi0"/>
        <w:jc w:val="center"/>
      </w:pPr>
      <w:bookmarkStart w:id="0" w:name="_GoBack"/>
      <w:bookmarkEnd w:id="0"/>
      <w:r>
        <w:t>SEKSIONI I KATË</w:t>
      </w:r>
      <w:r w:rsidR="008A3CED" w:rsidRPr="00D45111">
        <w:t>RT</w:t>
      </w:r>
    </w:p>
    <w:p w:rsidR="008A3CED" w:rsidRPr="00D45111" w:rsidRDefault="008A3CED" w:rsidP="008A3CED">
      <w:pPr>
        <w:pStyle w:val="Paragrafi0"/>
        <w:jc w:val="center"/>
      </w:pPr>
      <w:r w:rsidRPr="00D45111">
        <w:t xml:space="preserve">ÇËSHTJA LASKA DHE LIKA </w:t>
      </w:r>
      <w:r w:rsidR="00C938CB" w:rsidRPr="00D45111">
        <w:t>K</w:t>
      </w:r>
      <w:r w:rsidR="00C938CB">
        <w:t xml:space="preserve">UNDËR </w:t>
      </w:r>
      <w:r w:rsidR="00C938CB" w:rsidRPr="00D45111">
        <w:t xml:space="preserve"> </w:t>
      </w:r>
      <w:r w:rsidRPr="00D45111">
        <w:t>SHQIPËRISË</w:t>
      </w:r>
    </w:p>
    <w:p w:rsidR="008A3CED" w:rsidRPr="008A3CED" w:rsidRDefault="008A3CED" w:rsidP="008A3CED">
      <w:pPr>
        <w:pStyle w:val="Paragrafi0"/>
        <w:jc w:val="center"/>
        <w:rPr>
          <w:lang w:val="it-IT"/>
        </w:rPr>
      </w:pPr>
      <w:r w:rsidRPr="008A3CED">
        <w:rPr>
          <w:lang w:val="it-IT"/>
        </w:rPr>
        <w:t>(Ankimet nr. 12315/04 dhe 17605/04)</w:t>
      </w:r>
    </w:p>
    <w:p w:rsidR="008A3CED" w:rsidRPr="008A3CED" w:rsidRDefault="008A3CED" w:rsidP="008A3CED">
      <w:pPr>
        <w:pStyle w:val="Paragrafi0"/>
        <w:jc w:val="center"/>
        <w:rPr>
          <w:lang w:val="it-IT"/>
        </w:rPr>
      </w:pPr>
    </w:p>
    <w:p w:rsidR="008A3CED" w:rsidRPr="008A3CED" w:rsidRDefault="008A3CED" w:rsidP="008A3CED">
      <w:pPr>
        <w:pStyle w:val="Paragrafi0"/>
        <w:jc w:val="center"/>
        <w:rPr>
          <w:b/>
          <w:lang w:val="it-IT"/>
        </w:rPr>
      </w:pPr>
      <w:r w:rsidRPr="008A3CED">
        <w:rPr>
          <w:b/>
          <w:lang w:val="it-IT"/>
        </w:rPr>
        <w:t>VENDIM</w:t>
      </w:r>
    </w:p>
    <w:p w:rsidR="008A3CED" w:rsidRPr="008A3CED" w:rsidRDefault="008A3CED" w:rsidP="008A3CED">
      <w:pPr>
        <w:pStyle w:val="Paragrafi0"/>
        <w:jc w:val="center"/>
        <w:rPr>
          <w:lang w:val="it-IT"/>
        </w:rPr>
      </w:pPr>
    </w:p>
    <w:p w:rsidR="008A3CED" w:rsidRPr="008A3CED" w:rsidRDefault="008A3CED" w:rsidP="008A3CED">
      <w:pPr>
        <w:pStyle w:val="Paragrafi0"/>
        <w:jc w:val="center"/>
        <w:rPr>
          <w:lang w:val="it-IT"/>
        </w:rPr>
      </w:pPr>
      <w:r w:rsidRPr="008A3CED">
        <w:rPr>
          <w:lang w:val="it-IT"/>
        </w:rPr>
        <w:t>STRASBURG</w:t>
      </w:r>
    </w:p>
    <w:p w:rsidR="008A3CED" w:rsidRPr="008A3CED" w:rsidRDefault="008A3CED" w:rsidP="008A3CED">
      <w:pPr>
        <w:pStyle w:val="Paragrafi0"/>
        <w:jc w:val="center"/>
        <w:rPr>
          <w:lang w:val="it-IT"/>
        </w:rPr>
      </w:pPr>
      <w:r w:rsidRPr="008A3CED">
        <w:rPr>
          <w:lang w:val="it-IT"/>
        </w:rPr>
        <w:t>2O</w:t>
      </w:r>
      <w:r w:rsidR="00661D56">
        <w:rPr>
          <w:lang w:val="it-IT"/>
        </w:rPr>
        <w:t xml:space="preserve"> prill </w:t>
      </w:r>
      <w:r w:rsidRPr="008A3CED">
        <w:rPr>
          <w:lang w:val="it-IT"/>
        </w:rPr>
        <w:t>2010</w:t>
      </w:r>
    </w:p>
    <w:p w:rsid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Ky vendim do të marrë formë të prerë në rrethanat e përcaktuara në</w:t>
      </w:r>
      <w:r w:rsidR="00FC065E">
        <w:rPr>
          <w:lang w:val="it-IT"/>
        </w:rPr>
        <w:t xml:space="preserve"> nenin </w:t>
      </w:r>
      <w:r w:rsidRPr="008A3CED">
        <w:rPr>
          <w:lang w:val="it-IT"/>
        </w:rPr>
        <w:t>44 § 2 të Konventës. Ai mund t’i nënshtrohet rishikimit redaktues.</w:t>
      </w:r>
    </w:p>
    <w:p w:rsidR="008A3CED" w:rsidRPr="008A3CED" w:rsidRDefault="008A3CED" w:rsidP="006A210C">
      <w:pPr>
        <w:pStyle w:val="Paragrafi0"/>
        <w:ind w:firstLine="0"/>
        <w:rPr>
          <w:lang w:val="it-IT"/>
        </w:rPr>
      </w:pPr>
    </w:p>
    <w:p w:rsidR="008A3CED" w:rsidRPr="008A3CED" w:rsidRDefault="008A3CED" w:rsidP="008A3CED">
      <w:pPr>
        <w:pStyle w:val="Paragrafi0"/>
        <w:rPr>
          <w:lang w:val="it-IT"/>
        </w:rPr>
      </w:pPr>
      <w:r w:rsidRPr="008A3CED">
        <w:rPr>
          <w:lang w:val="it-IT"/>
        </w:rPr>
        <w:t>Në çështjen Laska dhe Lika kundër Shqipërisë,</w:t>
      </w:r>
    </w:p>
    <w:p w:rsidR="008A3CED" w:rsidRPr="008A3CED" w:rsidRDefault="008A3CED" w:rsidP="008A3CED">
      <w:pPr>
        <w:pStyle w:val="Paragrafi0"/>
        <w:rPr>
          <w:lang w:val="it-IT"/>
        </w:rPr>
      </w:pPr>
      <w:r w:rsidRPr="008A3CED">
        <w:rPr>
          <w:lang w:val="it-IT"/>
        </w:rPr>
        <w:t>Gjykata Europiane e të Drejtave të Njeriut (Seksioni i Katërt), duke gjykuar si dhomë e përbërë nga:</w:t>
      </w:r>
    </w:p>
    <w:p w:rsidR="008A3CED" w:rsidRPr="007E1B8F" w:rsidRDefault="00210A82" w:rsidP="008A3CED">
      <w:pPr>
        <w:pStyle w:val="Paragrafi0"/>
      </w:pPr>
      <w:r>
        <w:t>Nicolas Bratza, p</w:t>
      </w:r>
      <w:r w:rsidR="008A3CED" w:rsidRPr="007E1B8F">
        <w:t>resident</w:t>
      </w:r>
    </w:p>
    <w:p w:rsidR="008A3CED" w:rsidRPr="007E1B8F" w:rsidRDefault="008A3CED" w:rsidP="008A3CED">
      <w:pPr>
        <w:pStyle w:val="Paragrafi0"/>
      </w:pPr>
      <w:smartTag w:uri="urn:schemas-microsoft-com:office:smarttags" w:element="place">
        <w:r w:rsidRPr="007E1B8F">
          <w:t>Lech</w:t>
        </w:r>
      </w:smartTag>
      <w:r w:rsidRPr="007E1B8F">
        <w:t xml:space="preserve"> Garlicki,</w:t>
      </w:r>
    </w:p>
    <w:p w:rsidR="008A3CED" w:rsidRDefault="008A3CED" w:rsidP="008A3CED">
      <w:pPr>
        <w:pStyle w:val="Paragrafi0"/>
        <w:rPr>
          <w:lang w:val="it-IT"/>
        </w:rPr>
      </w:pPr>
      <w:r w:rsidRPr="008A3CED">
        <w:rPr>
          <w:lang w:val="it-IT"/>
        </w:rPr>
        <w:t>Giovanni Bonello,</w:t>
      </w:r>
    </w:p>
    <w:p w:rsidR="008A3CED" w:rsidRDefault="008A3CED" w:rsidP="008A3CED">
      <w:pPr>
        <w:pStyle w:val="Paragrafi0"/>
        <w:rPr>
          <w:lang w:val="it-IT"/>
        </w:rPr>
      </w:pPr>
      <w:r w:rsidRPr="008A3CED">
        <w:rPr>
          <w:lang w:val="it-IT"/>
        </w:rPr>
        <w:t>Ljiljana Mijović,</w:t>
      </w:r>
    </w:p>
    <w:p w:rsidR="008A3CED" w:rsidRDefault="008A3CED" w:rsidP="008A3CED">
      <w:pPr>
        <w:pStyle w:val="Paragrafi0"/>
        <w:rPr>
          <w:lang w:val="it-IT"/>
        </w:rPr>
      </w:pPr>
      <w:r w:rsidRPr="008A3CED">
        <w:rPr>
          <w:lang w:val="it-IT"/>
        </w:rPr>
        <w:t>Päivi Hirvelä,</w:t>
      </w:r>
    </w:p>
    <w:p w:rsidR="008A3CED" w:rsidRDefault="008A3CED" w:rsidP="008A3CED">
      <w:pPr>
        <w:pStyle w:val="Paragrafi0"/>
        <w:rPr>
          <w:lang w:val="it-IT"/>
        </w:rPr>
      </w:pPr>
      <w:r w:rsidRPr="008A3CED">
        <w:rPr>
          <w:lang w:val="it-IT"/>
        </w:rPr>
        <w:t>Ledi Bianku,</w:t>
      </w:r>
    </w:p>
    <w:p w:rsidR="008A3CED" w:rsidRDefault="008A3CED" w:rsidP="008A3CED">
      <w:pPr>
        <w:pStyle w:val="Paragrafi0"/>
        <w:rPr>
          <w:lang w:val="it-IT"/>
        </w:rPr>
      </w:pPr>
      <w:r w:rsidRPr="008A3CED">
        <w:rPr>
          <w:lang w:val="it-IT"/>
        </w:rPr>
        <w:t>Nebojša Vučinić, gjyqtarë,</w:t>
      </w:r>
    </w:p>
    <w:p w:rsidR="008A3CED" w:rsidRPr="008A3CED" w:rsidRDefault="008C6425" w:rsidP="008A3CED">
      <w:pPr>
        <w:pStyle w:val="Paragrafi0"/>
        <w:rPr>
          <w:lang w:val="it-IT"/>
        </w:rPr>
      </w:pPr>
      <w:r>
        <w:rPr>
          <w:lang w:val="it-IT"/>
        </w:rPr>
        <w:t xml:space="preserve">dhe Fatoş Aracı, </w:t>
      </w:r>
      <w:r w:rsidR="009E7D07">
        <w:rPr>
          <w:lang w:val="it-IT"/>
        </w:rPr>
        <w:t>z</w:t>
      </w:r>
      <w:r>
        <w:rPr>
          <w:lang w:val="it-IT"/>
        </w:rPr>
        <w:t>ëvendësr</w:t>
      </w:r>
      <w:r w:rsidR="008A3CED" w:rsidRPr="008A3CED">
        <w:rPr>
          <w:lang w:val="it-IT"/>
        </w:rPr>
        <w:t>egjistrues i Seksionit,</w:t>
      </w:r>
    </w:p>
    <w:p w:rsidR="008A3CED" w:rsidRPr="00D45111" w:rsidRDefault="008C6425" w:rsidP="008A3CED">
      <w:pPr>
        <w:pStyle w:val="Paragrafi0"/>
      </w:pPr>
      <w:r>
        <w:t>p</w:t>
      </w:r>
      <w:r w:rsidR="008A3CED" w:rsidRPr="00D45111">
        <w:t>as shqyrt</w:t>
      </w:r>
      <w:r>
        <w:t>imit me dyer të mbyllura</w:t>
      </w:r>
      <w:r w:rsidR="00210A82">
        <w:t>,</w:t>
      </w:r>
      <w:r>
        <w:t xml:space="preserve"> më 12 janar 2010 dhe 23</w:t>
      </w:r>
      <w:r w:rsidR="00661D56">
        <w:t xml:space="preserve"> mars </w:t>
      </w:r>
      <w:r w:rsidR="008A3CED" w:rsidRPr="00D45111">
        <w:t>2010,</w:t>
      </w:r>
    </w:p>
    <w:p w:rsidR="008A3CED" w:rsidRPr="008A3CED" w:rsidRDefault="008C6425" w:rsidP="008A3CED">
      <w:pPr>
        <w:pStyle w:val="Paragrafi0"/>
        <w:rPr>
          <w:lang w:val="it-IT"/>
        </w:rPr>
      </w:pPr>
      <w:r w:rsidRPr="00196692">
        <w:rPr>
          <w:lang w:val="it-IT"/>
        </w:rPr>
        <w:t>s</w:t>
      </w:r>
      <w:r w:rsidR="008A3CED" w:rsidRPr="008A3CED">
        <w:rPr>
          <w:lang w:val="it-IT"/>
        </w:rPr>
        <w:t>hpall vendimin e mëposhtëm, i cili u miratua në datën e fundit të përmendur:</w:t>
      </w:r>
    </w:p>
    <w:p w:rsid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PROCEDURA</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w:t>
      </w:r>
      <w:r w:rsidRPr="00D45111">
        <w:fldChar w:fldCharType="end"/>
      </w:r>
      <w:r w:rsidR="00664519">
        <w:rPr>
          <w:lang w:val="it-IT"/>
        </w:rPr>
        <w:t>. </w:t>
      </w:r>
      <w:r w:rsidRPr="008A3CED">
        <w:rPr>
          <w:lang w:val="it-IT"/>
        </w:rPr>
        <w:t>Çështja e ka zanafillën në dy ankime (nr. 12315/04 dhe 17605/04) kundër Republikës së Shqipërisë</w:t>
      </w:r>
      <w:r w:rsidR="009E7D07">
        <w:rPr>
          <w:lang w:val="it-IT"/>
        </w:rPr>
        <w:t>,</w:t>
      </w:r>
      <w:r w:rsidRPr="008A3CED">
        <w:rPr>
          <w:lang w:val="it-IT"/>
        </w:rPr>
        <w:t xml:space="preserve"> d</w:t>
      </w:r>
      <w:r w:rsidR="00196692">
        <w:rPr>
          <w:lang w:val="it-IT"/>
        </w:rPr>
        <w:t>epozituar pranë Gjykatës sipas</w:t>
      </w:r>
      <w:r w:rsidR="002E4B93">
        <w:rPr>
          <w:lang w:val="it-IT"/>
        </w:rPr>
        <w:t xml:space="preserve"> nenit </w:t>
      </w:r>
      <w:r w:rsidRPr="008A3CED">
        <w:rPr>
          <w:lang w:val="it-IT"/>
        </w:rPr>
        <w:t>34 të Konventës për Mbrojtjen e të Drejtave të Njeriut dhe Lirive</w:t>
      </w:r>
      <w:r w:rsidR="00196692">
        <w:rPr>
          <w:lang w:val="it-IT"/>
        </w:rPr>
        <w:t xml:space="preserve"> Themelore (Konventa</w:t>
      </w:r>
      <w:r w:rsidRPr="008A3CED">
        <w:rPr>
          <w:lang w:val="it-IT"/>
        </w:rPr>
        <w:t xml:space="preserve">) nga dy shtetas </w:t>
      </w:r>
      <w:r w:rsidR="00196692" w:rsidRPr="008A3CED">
        <w:rPr>
          <w:lang w:val="it-IT"/>
        </w:rPr>
        <w:t>shqiptarë</w:t>
      </w:r>
      <w:r w:rsidRPr="008A3CED">
        <w:rPr>
          <w:lang w:val="it-IT"/>
        </w:rPr>
        <w:t>,</w:t>
      </w:r>
      <w:r w:rsidR="009E7D07" w:rsidRPr="008A3CED">
        <w:rPr>
          <w:lang w:val="it-IT"/>
        </w:rPr>
        <w:t xml:space="preserve"> z</w:t>
      </w:r>
      <w:r w:rsidRPr="008A3CED">
        <w:rPr>
          <w:lang w:val="it-IT"/>
        </w:rPr>
        <w:t>. Vla</w:t>
      </w:r>
      <w:r w:rsidR="00196692">
        <w:rPr>
          <w:lang w:val="it-IT"/>
        </w:rPr>
        <w:t xml:space="preserve">dimir Laska </w:t>
      </w:r>
      <w:r w:rsidR="009E7D07">
        <w:rPr>
          <w:lang w:val="it-IT"/>
        </w:rPr>
        <w:t>dhe z</w:t>
      </w:r>
      <w:r w:rsidR="00196692">
        <w:rPr>
          <w:lang w:val="it-IT"/>
        </w:rPr>
        <w:t>. Artur Lika (ankuesit</w:t>
      </w:r>
      <w:r w:rsidR="008C1898">
        <w:rPr>
          <w:lang w:val="it-IT"/>
        </w:rPr>
        <w:t>), më 8</w:t>
      </w:r>
      <w:r w:rsidR="00661D56">
        <w:rPr>
          <w:lang w:val="it-IT"/>
        </w:rPr>
        <w:t xml:space="preserve"> mars </w:t>
      </w:r>
      <w:r w:rsidRPr="008A3CED">
        <w:rPr>
          <w:lang w:val="it-IT"/>
        </w:rPr>
        <w:t>2004.</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w:t>
      </w:r>
      <w:r w:rsidRPr="00D45111">
        <w:fldChar w:fldCharType="end"/>
      </w:r>
      <w:r w:rsidR="00664519">
        <w:rPr>
          <w:lang w:val="it-IT"/>
        </w:rPr>
        <w:t>. </w:t>
      </w:r>
      <w:r w:rsidR="008C1898">
        <w:rPr>
          <w:lang w:val="it-IT"/>
        </w:rPr>
        <w:t>Ankuesit u përfaqësuan nga z</w:t>
      </w:r>
      <w:r w:rsidRPr="008A3CED">
        <w:rPr>
          <w:lang w:val="it-IT"/>
        </w:rPr>
        <w:t>. A. Dobrushi i Qendrës Europiane për të Drejt</w:t>
      </w:r>
      <w:r w:rsidR="008C1898">
        <w:rPr>
          <w:lang w:val="it-IT"/>
        </w:rPr>
        <w:t>at e Romëve dhe më pas u bashkë</w:t>
      </w:r>
      <w:r w:rsidRPr="008A3CED">
        <w:rPr>
          <w:lang w:val="it-IT"/>
        </w:rPr>
        <w:t>përfaqësuan nga Komiteti Shqiptar i</w:t>
      </w:r>
      <w:r w:rsidR="00D6692F">
        <w:rPr>
          <w:lang w:val="it-IT"/>
        </w:rPr>
        <w:t xml:space="preserve"> Helsinkit. Qeveria Shqiptare (Qeveria</w:t>
      </w:r>
      <w:r w:rsidRPr="008A3CED">
        <w:rPr>
          <w:lang w:val="it-IT"/>
        </w:rPr>
        <w:t xml:space="preserve">) u përfaqësua nga </w:t>
      </w:r>
      <w:r w:rsidR="002E4B93">
        <w:rPr>
          <w:lang w:val="it-IT"/>
        </w:rPr>
        <w:t>agjentja e asaj kohe, z</w:t>
      </w:r>
      <w:r w:rsidRPr="008A3CED">
        <w:rPr>
          <w:lang w:val="it-IT"/>
        </w:rPr>
        <w:t xml:space="preserve">nj. S. Meneri, dhe, në vijim të parashtrimit të komenteve të saj mbi pretendimin e ankuesit për një dëmshpërblim të drejtë, nga </w:t>
      </w:r>
      <w:r w:rsidR="002E4B93">
        <w:rPr>
          <w:lang w:val="it-IT"/>
        </w:rPr>
        <w:t>agjentja e saj, z</w:t>
      </w:r>
      <w:r w:rsidRPr="008A3CED">
        <w:rPr>
          <w:lang w:val="it-IT"/>
        </w:rPr>
        <w:t>nj. E. Hajro.</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w:t>
      </w:r>
      <w:r w:rsidRPr="00D45111">
        <w:fldChar w:fldCharType="end"/>
      </w:r>
      <w:r w:rsidRPr="008A3CED">
        <w:rPr>
          <w:lang w:val="it-IT"/>
        </w:rPr>
        <w:t>.  Ankuesit u ankuan sipas</w:t>
      </w:r>
      <w:r w:rsidR="002E4B93">
        <w:rPr>
          <w:lang w:val="it-IT"/>
        </w:rPr>
        <w:t xml:space="preserve"> nenit </w:t>
      </w:r>
      <w:r w:rsidRPr="008A3CED">
        <w:rPr>
          <w:lang w:val="it-IT"/>
        </w:rPr>
        <w:t>3 të Konventës se ata i ishin nënshtruar keqtrajtimit gjatë marrjes në pyetje nga ana e policisë për t’i detyruar të pranonin shkeljet e supozuara. Gjithashtu bazuar në</w:t>
      </w:r>
      <w:r w:rsidR="00FC065E">
        <w:rPr>
          <w:lang w:val="it-IT"/>
        </w:rPr>
        <w:t xml:space="preserve"> nenin </w:t>
      </w:r>
      <w:r w:rsidRPr="008A3CED">
        <w:rPr>
          <w:lang w:val="it-IT"/>
        </w:rPr>
        <w:t xml:space="preserve">6 § 1 të Konventës ata u ankuan për padrejtësi të procedimeve gjyqësore. </w:t>
      </w:r>
    </w:p>
    <w:bookmarkStart w:id="1" w:name="Article29oftheConvention"/>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w:t>
      </w:r>
      <w:r w:rsidRPr="00D45111">
        <w:fldChar w:fldCharType="end"/>
      </w:r>
      <w:bookmarkEnd w:id="1"/>
      <w:r w:rsidR="00664519">
        <w:rPr>
          <w:lang w:val="it-IT"/>
        </w:rPr>
        <w:t>. </w:t>
      </w:r>
      <w:r w:rsidRPr="008A3CED">
        <w:rPr>
          <w:lang w:val="it-IT"/>
        </w:rPr>
        <w:t xml:space="preserve">Më 10 </w:t>
      </w:r>
      <w:r w:rsidR="009E7D07" w:rsidRPr="008A3CED">
        <w:rPr>
          <w:lang w:val="it-IT"/>
        </w:rPr>
        <w:t>tetor 2007 zëvendës</w:t>
      </w:r>
      <w:r w:rsidR="009E7D07">
        <w:rPr>
          <w:lang w:val="it-IT"/>
        </w:rPr>
        <w:t>p</w:t>
      </w:r>
      <w:r w:rsidR="009E7D07" w:rsidRPr="008A3CED">
        <w:rPr>
          <w:lang w:val="it-IT"/>
        </w:rPr>
        <w:t xml:space="preserve">residenti </w:t>
      </w:r>
      <w:r w:rsidRPr="008A3CED">
        <w:rPr>
          <w:lang w:val="it-IT"/>
        </w:rPr>
        <w:t>i Seksionit</w:t>
      </w:r>
      <w:r w:rsidR="002E4B93">
        <w:rPr>
          <w:lang w:val="it-IT"/>
        </w:rPr>
        <w:t>,</w:t>
      </w:r>
      <w:r w:rsidRPr="008A3CED">
        <w:rPr>
          <w:lang w:val="it-IT"/>
        </w:rPr>
        <w:t xml:space="preserve"> të cilit i ishte caktuar çështja</w:t>
      </w:r>
      <w:r w:rsidR="002E4B93">
        <w:rPr>
          <w:lang w:val="it-IT"/>
        </w:rPr>
        <w:t>,</w:t>
      </w:r>
      <w:r w:rsidRPr="008A3CED">
        <w:rPr>
          <w:lang w:val="it-IT"/>
        </w:rPr>
        <w:t xml:space="preserve"> vendosi ta njoftojë Qeverinë për ankimet. Sipas dispozitave të</w:t>
      </w:r>
      <w:r w:rsidR="002E4B93">
        <w:rPr>
          <w:lang w:val="it-IT"/>
        </w:rPr>
        <w:t xml:space="preserve"> nenit </w:t>
      </w:r>
      <w:r w:rsidRPr="008A3CED">
        <w:rPr>
          <w:lang w:val="it-IT"/>
        </w:rPr>
        <w:t>29 § 3 të Konventës, u vendos të shqyrtohej themeli i ankimeve në të njëjtën kohë me pranueshmërinë e tyre.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w:t>
      </w:r>
      <w:r w:rsidRPr="00D45111">
        <w:fldChar w:fldCharType="end"/>
      </w:r>
      <w:r w:rsidRPr="008A3CED">
        <w:rPr>
          <w:lang w:val="it-IT"/>
        </w:rPr>
        <w:t>.  Secila nga palët, ankuesit dhe Qeveria, parashtru</w:t>
      </w:r>
      <w:r w:rsidR="002E4B93">
        <w:rPr>
          <w:lang w:val="it-IT"/>
        </w:rPr>
        <w:t>an vërejtjet e tyre me shkrim (r</w:t>
      </w:r>
      <w:r w:rsidRPr="008A3CED">
        <w:rPr>
          <w:lang w:val="it-IT"/>
        </w:rPr>
        <w:t>regulli 59 § 1).</w:t>
      </w:r>
    </w:p>
    <w:p w:rsidR="008A3CED" w:rsidRP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FAKTET</w:t>
      </w:r>
    </w:p>
    <w:p w:rsidR="008A3CED" w:rsidRPr="008A3CED" w:rsidRDefault="00664519" w:rsidP="008A3CED">
      <w:pPr>
        <w:pStyle w:val="Paragrafi0"/>
        <w:rPr>
          <w:lang w:val="it-IT"/>
        </w:rPr>
      </w:pPr>
      <w:r>
        <w:rPr>
          <w:lang w:val="it-IT"/>
        </w:rPr>
        <w:t>I. </w:t>
      </w:r>
      <w:r w:rsidR="008A3CED" w:rsidRPr="008A3CED">
        <w:rPr>
          <w:lang w:val="it-IT"/>
        </w:rPr>
        <w:t>RRETHANAT E ÇËSHTJES</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w:t>
      </w:r>
      <w:r w:rsidRPr="00D45111">
        <w:fldChar w:fldCharType="end"/>
      </w:r>
      <w:r w:rsidR="00664519">
        <w:rPr>
          <w:lang w:val="it-IT"/>
        </w:rPr>
        <w:t>. </w:t>
      </w:r>
      <w:r w:rsidRPr="008A3CED">
        <w:rPr>
          <w:lang w:val="it-IT"/>
        </w:rPr>
        <w:t xml:space="preserve">Të dy ankuesit kanë lindur në vitin 1980 dhe aktualisht vuajnë dënimin me burgim në burgun e Burrelit, në Shqipëri. </w:t>
      </w:r>
    </w:p>
    <w:p w:rsidR="008A3CED" w:rsidRDefault="008A3CED" w:rsidP="008A3CED">
      <w:pPr>
        <w:pStyle w:val="Paragrafi0"/>
        <w:rPr>
          <w:lang w:val="it-IT"/>
        </w:rPr>
      </w:pPr>
    </w:p>
    <w:p w:rsidR="00AB2049" w:rsidRDefault="00AB2049" w:rsidP="008A3CED">
      <w:pPr>
        <w:pStyle w:val="Paragrafi0"/>
        <w:rPr>
          <w:lang w:val="it-IT"/>
        </w:rPr>
      </w:pPr>
    </w:p>
    <w:p w:rsidR="006A210C" w:rsidRDefault="006A210C" w:rsidP="008A3CED">
      <w:pPr>
        <w:pStyle w:val="Paragrafi0"/>
        <w:rPr>
          <w:lang w:val="it-IT"/>
        </w:rPr>
      </w:pPr>
    </w:p>
    <w:p w:rsidR="00664519" w:rsidRDefault="00664519" w:rsidP="008A3CED">
      <w:pPr>
        <w:pStyle w:val="Paragrafi0"/>
        <w:rPr>
          <w:lang w:val="it-IT"/>
        </w:rPr>
      </w:pPr>
    </w:p>
    <w:p w:rsidR="008A3CED" w:rsidRPr="008A3CED" w:rsidRDefault="008A3CED" w:rsidP="008A3CED">
      <w:pPr>
        <w:pStyle w:val="Paragrafi0"/>
        <w:rPr>
          <w:lang w:val="it-IT"/>
        </w:rPr>
      </w:pPr>
      <w:r w:rsidRPr="008A3CED">
        <w:rPr>
          <w:lang w:val="it-IT"/>
        </w:rPr>
        <w:t>A.  Arrestimi i ankuesve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w:t>
      </w:r>
      <w:r w:rsidRPr="00D45111">
        <w:fldChar w:fldCharType="end"/>
      </w:r>
      <w:r w:rsidRPr="008A3CED">
        <w:rPr>
          <w:lang w:val="it-IT"/>
        </w:rPr>
        <w:t>.  Më 31</w:t>
      </w:r>
      <w:r w:rsidR="00661D56">
        <w:rPr>
          <w:lang w:val="it-IT"/>
        </w:rPr>
        <w:t xml:space="preserve"> mars </w:t>
      </w:r>
      <w:r w:rsidRPr="008A3CED">
        <w:rPr>
          <w:lang w:val="it-IT"/>
        </w:rPr>
        <w:t>2001 në mëngjes,</w:t>
      </w:r>
      <w:r w:rsidR="00661D56">
        <w:rPr>
          <w:lang w:val="it-IT"/>
        </w:rPr>
        <w:t xml:space="preserve"> tre persona të veshur me kapuça</w:t>
      </w:r>
      <w:r w:rsidRPr="008A3CED">
        <w:rPr>
          <w:lang w:val="it-IT"/>
        </w:rPr>
        <w:t xml:space="preserve"> me ngjyrë blu dhe të </w:t>
      </w:r>
      <w:r w:rsidRPr="008A3CED">
        <w:rPr>
          <w:lang w:val="it-IT"/>
        </w:rPr>
        <w:lastRenderedPageBreak/>
        <w:t>bardhë</w:t>
      </w:r>
      <w:r w:rsidR="00661D56">
        <w:rPr>
          <w:lang w:val="it-IT"/>
        </w:rPr>
        <w:t>,</w:t>
      </w:r>
      <w:r w:rsidRPr="008A3CED">
        <w:rPr>
          <w:lang w:val="it-IT"/>
        </w:rPr>
        <w:t xml:space="preserve"> grabitën një mikrobus në linjën ndërmjet Tiranës dhe Kukësit. Ata ishin të armatosur me dy kallashnikovë dhe një thikë. Pasi kanë marrë paratë dhe stolitë e pasagjerëve, ata janë larguar nga vendi i ngjarjes pa shkaktuar viktima.</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8</w:t>
      </w:r>
      <w:r w:rsidRPr="00D45111">
        <w:fldChar w:fldCharType="end"/>
      </w:r>
      <w:r w:rsidRPr="008A3CED">
        <w:rPr>
          <w:lang w:val="it-IT"/>
        </w:rPr>
        <w:t>.  Disa orë pas ngjarjes, policia</w:t>
      </w:r>
      <w:r w:rsidR="00661D56">
        <w:rPr>
          <w:lang w:val="it-IT"/>
        </w:rPr>
        <w:t xml:space="preserve"> kontrolloi shtëpitë pranë vend</w:t>
      </w:r>
      <w:r w:rsidRPr="008A3CED">
        <w:rPr>
          <w:lang w:val="it-IT"/>
        </w:rPr>
        <w:t>ngjarj</w:t>
      </w:r>
      <w:r w:rsidR="00661D56">
        <w:rPr>
          <w:lang w:val="it-IT"/>
        </w:rPr>
        <w:t>es, duke përfshirë edhe atë të z. Lika (ankuesi i dytë</w:t>
      </w:r>
      <w:r w:rsidRPr="008A3CED">
        <w:rPr>
          <w:lang w:val="it-IT"/>
        </w:rPr>
        <w:t>), ku ai po hante drekë me babain e tij, vëllain e tij, B.L</w:t>
      </w:r>
      <w:r w:rsidR="00661D56">
        <w:rPr>
          <w:lang w:val="it-IT"/>
        </w:rPr>
        <w:t>., dhe shokun e tij, z. Laska (</w:t>
      </w:r>
      <w:r w:rsidRPr="008A3CED">
        <w:rPr>
          <w:lang w:val="it-IT"/>
        </w:rPr>
        <w:t>ankuesi i p</w:t>
      </w:r>
      <w:r w:rsidR="00661D56">
        <w:rPr>
          <w:lang w:val="it-IT"/>
        </w:rPr>
        <w:t>arë</w:t>
      </w:r>
      <w:r w:rsidRPr="008A3CED">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9</w:t>
      </w:r>
      <w:r w:rsidRPr="00D45111">
        <w:fldChar w:fldCharType="end"/>
      </w:r>
      <w:r w:rsidRPr="008A3CED">
        <w:rPr>
          <w:lang w:val="it-IT"/>
        </w:rPr>
        <w:t xml:space="preserve">.  Oficerët e policisë kanë kryer kontrollin e mësipërm në mungesë të avokatit të ankuesve.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10</w:t>
      </w:r>
      <w:r w:rsidRPr="00D45111">
        <w:fldChar w:fldCharType="end"/>
      </w:r>
      <w:r w:rsidRPr="008A3CED">
        <w:rPr>
          <w:lang w:val="it-IT"/>
        </w:rPr>
        <w:t>.  Sipas raportit të kontrollit të policisë, policia gjeti në xhepin e xhaketës së ankuesit të parë dy bluza pambuku dhe një co</w:t>
      </w:r>
      <w:r w:rsidR="00661D56">
        <w:rPr>
          <w:lang w:val="it-IT"/>
        </w:rPr>
        <w:t>hë ngjyrë blu, të bëra në kapuça</w:t>
      </w:r>
      <w:r w:rsidRPr="008A3CED">
        <w:rPr>
          <w:lang w:val="it-IT"/>
        </w:rPr>
        <w:t xml:space="preserve">. Për më tepër, në afërsi të shtëpisë ata gjetën disa granata, por nuk arritën të gjejnë mallra të vjedhura apo armë që kishin qenë në posedim të agresorëve.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11</w:t>
      </w:r>
      <w:r w:rsidRPr="00D45111">
        <w:fldChar w:fldCharType="end"/>
      </w:r>
      <w:r w:rsidRPr="008A3CED">
        <w:rPr>
          <w:lang w:val="it-IT"/>
        </w:rPr>
        <w:t>.  Ankuesit, B.L, dhe babai u shoqëruan në polici për t’u pyetur. Ankuesi i parë kërkoi, por iu refuzua prania e avokatit të tij (H.B). Ai kundërshtoi të ketë pasur në zotërim të tij një kapuç apo lloj tjetër maske</w:t>
      </w:r>
      <w:r w:rsidR="00661D56">
        <w:rPr>
          <w:lang w:val="it-IT"/>
        </w:rPr>
        <w:t>,</w:t>
      </w:r>
      <w:r w:rsidRPr="008A3CED">
        <w:rPr>
          <w:lang w:val="it-IT"/>
        </w:rPr>
        <w:t xml:space="preserve"> si dhe akuzoi policinë për manipulimin e provave.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12</w:t>
      </w:r>
      <w:r w:rsidRPr="00D45111">
        <w:fldChar w:fldCharType="end"/>
      </w:r>
      <w:r w:rsidRPr="008A3CED">
        <w:rPr>
          <w:lang w:val="it-IT"/>
        </w:rPr>
        <w:t>.  Në të njëjtën ditë, oficerët e policisë të ngarkuar me hetimin vazhduan me identifikimin e personave dhe sendeve të viktimave të grabitjes, sipas</w:t>
      </w:r>
      <w:r w:rsidR="008177C2">
        <w:rPr>
          <w:lang w:val="it-IT"/>
        </w:rPr>
        <w:t xml:space="preserve"> neneve</w:t>
      </w:r>
      <w:r w:rsidR="002E4B93">
        <w:rPr>
          <w:lang w:val="it-IT"/>
        </w:rPr>
        <w:t xml:space="preserve"> </w:t>
      </w:r>
      <w:r w:rsidRPr="008A3CED">
        <w:rPr>
          <w:lang w:val="it-IT"/>
        </w:rPr>
        <w:t xml:space="preserve">171 dhe 172 </w:t>
      </w:r>
      <w:r w:rsidR="00470920">
        <w:rPr>
          <w:lang w:val="it-IT"/>
        </w:rPr>
        <w:t>të Kodit të Procedurës Penale (KPP</w:t>
      </w:r>
      <w:r w:rsidRPr="008A3CED">
        <w:rPr>
          <w:lang w:val="it-IT"/>
        </w:rPr>
        <w:t xml:space="preserve">). Avokati i ankuesve nuk ishte i pranishëm. </w:t>
      </w:r>
    </w:p>
    <w:bookmarkStart w:id="2" w:name="identificationofpersons"/>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13</w:t>
      </w:r>
      <w:r w:rsidRPr="00D45111">
        <w:fldChar w:fldCharType="end"/>
      </w:r>
      <w:bookmarkEnd w:id="2"/>
      <w:r w:rsidRPr="008A3CED">
        <w:rPr>
          <w:lang w:val="it-IT"/>
        </w:rPr>
        <w:t>.  Në lidhje me identifikimin e personave, ankuesit dhe B.L., të veshur me kapuç</w:t>
      </w:r>
      <w:r w:rsidR="00661D56">
        <w:rPr>
          <w:lang w:val="it-IT"/>
        </w:rPr>
        <w:t>a</w:t>
      </w:r>
      <w:r w:rsidRPr="008A3CED">
        <w:rPr>
          <w:lang w:val="it-IT"/>
        </w:rPr>
        <w:t xml:space="preserve"> blu dhe të bardhë të bëra në shtëpi, dhe dy persona të tjerë të veshur me kapuç</w:t>
      </w:r>
      <w:r w:rsidR="00661D56">
        <w:rPr>
          <w:lang w:val="it-IT"/>
        </w:rPr>
        <w:t>a</w:t>
      </w:r>
      <w:r w:rsidRPr="008A3CED">
        <w:rPr>
          <w:lang w:val="it-IT"/>
        </w:rPr>
        <w:t xml:space="preserve"> të zinj, janë vendosur në rresht në të njëjtën dhomë në mënyrë që të identifikoheshin. Pavarësisht nga fakti se policia ndryshoi pozicionin e personave në dhomë, viktimat identifikua</w:t>
      </w:r>
      <w:r w:rsidR="00661D56">
        <w:rPr>
          <w:lang w:val="it-IT"/>
        </w:rPr>
        <w:t>n vazhdimisht personat me kapuça</w:t>
      </w:r>
      <w:r w:rsidRPr="008A3CED">
        <w:rPr>
          <w:lang w:val="it-IT"/>
        </w:rPr>
        <w:t xml:space="preserve"> blu dhe të bardhë si agresorë, që do të thotë ankuesit dhe B.L.</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14</w:t>
      </w:r>
      <w:r w:rsidRPr="00D45111">
        <w:fldChar w:fldCharType="end"/>
      </w:r>
      <w:r w:rsidRPr="008A3CED">
        <w:rPr>
          <w:lang w:val="it-IT"/>
        </w:rPr>
        <w:t>.  Në lidhje me identifikimin e objekteve, viktimave i</w:t>
      </w:r>
      <w:r w:rsidR="008177C2">
        <w:rPr>
          <w:lang w:val="it-IT"/>
        </w:rPr>
        <w:t>u kërkua të identifikojnë kapuça</w:t>
      </w:r>
      <w:r w:rsidRPr="008A3CED">
        <w:rPr>
          <w:lang w:val="it-IT"/>
        </w:rPr>
        <w:t xml:space="preserve">t e përdorur nga agresorët, </w:t>
      </w:r>
      <w:r w:rsidR="00661D56">
        <w:rPr>
          <w:lang w:val="it-IT"/>
        </w:rPr>
        <w:t>duke zgjedhur ndërmjet dy kapuçave të zinj, dy kapuça</w:t>
      </w:r>
      <w:r w:rsidRPr="008A3CED">
        <w:rPr>
          <w:lang w:val="it-IT"/>
        </w:rPr>
        <w:t>ve të bardhë dhe një blu. Viktimat identifikuan kapuç</w:t>
      </w:r>
      <w:r w:rsidR="00661D56">
        <w:rPr>
          <w:lang w:val="it-IT"/>
        </w:rPr>
        <w:t>a</w:t>
      </w:r>
      <w:r w:rsidRPr="008A3CED">
        <w:rPr>
          <w:lang w:val="it-IT"/>
        </w:rPr>
        <w:t xml:space="preserve">t e bardhë dhe blu njëlloj me ato të veshur nga agresorët.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15</w:t>
      </w:r>
      <w:r w:rsidRPr="00D45111">
        <w:fldChar w:fldCharType="end"/>
      </w:r>
      <w:r w:rsidRPr="008A3CED">
        <w:rPr>
          <w:lang w:val="it-IT"/>
        </w:rPr>
        <w:t>.  </w:t>
      </w:r>
      <w:r w:rsidR="008177C2">
        <w:rPr>
          <w:lang w:val="it-IT"/>
        </w:rPr>
        <w:t>Në orën</w:t>
      </w:r>
      <w:r w:rsidRPr="008A3CED">
        <w:rPr>
          <w:lang w:val="it-IT"/>
        </w:rPr>
        <w:t xml:space="preserve"> 21.30 në të njëjtën ditë, ankuesit dhe B.L. u arrestuan me dyshimin për grabitje të armatosur. Ata u pyetën nga policia në mungesë të një avokati, pavarësisht nga fakti se B.L. ishte i mitur në atë periudhë dhe se ankuesit kishin kërkuar haptazi praninë e një avokati. Ankuesi i parë pranoi se kishte në zotërim të tij një bluzë pambuku të bardhë, të shndërruar nga F.N, një oficer policie i ngarkuar me hetimet, në një kapuç të bërë në shtëpi. Ankuesi i dytë deklaroi se bluza prej pambuku e bardhë që ishte gjetur në posedim të ankuesit të parë nuk ishte e tij.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16</w:t>
      </w:r>
      <w:r w:rsidRPr="00D45111">
        <w:fldChar w:fldCharType="end"/>
      </w:r>
      <w:r w:rsidRPr="008A3CED">
        <w:rPr>
          <w:lang w:val="it-IT"/>
        </w:rPr>
        <w:t>.  Më 2</w:t>
      </w:r>
      <w:r w:rsidR="00661D56">
        <w:rPr>
          <w:lang w:val="it-IT"/>
        </w:rPr>
        <w:t xml:space="preserve"> prill </w:t>
      </w:r>
      <w:r w:rsidRPr="008A3CED">
        <w:rPr>
          <w:lang w:val="it-IT"/>
        </w:rPr>
        <w:t xml:space="preserve">2001 ankuesit dhe B.L. u akuzuan për grabitje të armatosur dhe për armëmbajtje pa leje. Ata u pyetën nga prokurori në të njëjtën ditë. Ankuesi i parë kërkoi të përfaqësohej nga H.B. Ankuesi i dytë kërkoi të mbrohej nga një avokat. </w:t>
      </w:r>
    </w:p>
    <w:p w:rsidR="008A3CED" w:rsidRPr="008A3CED" w:rsidRDefault="00661D56" w:rsidP="008A3CED">
      <w:pPr>
        <w:pStyle w:val="Paragrafi0"/>
        <w:rPr>
          <w:lang w:val="it-IT"/>
        </w:rPr>
      </w:pPr>
      <w:r>
        <w:rPr>
          <w:lang w:val="it-IT"/>
        </w:rPr>
        <w:t>B.  Proc</w:t>
      </w:r>
      <w:r w:rsidR="008A3CED" w:rsidRPr="008A3CED">
        <w:rPr>
          <w:lang w:val="it-IT"/>
        </w:rPr>
        <w:t>edimet gjyqësore kundër ankuesve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17</w:t>
      </w:r>
      <w:r w:rsidRPr="00D45111">
        <w:fldChar w:fldCharType="end"/>
      </w:r>
      <w:r w:rsidR="00661D56">
        <w:rPr>
          <w:lang w:val="it-IT"/>
        </w:rPr>
        <w:t>.  Më 29 q</w:t>
      </w:r>
      <w:r w:rsidRPr="008A3CED">
        <w:rPr>
          <w:lang w:val="it-IT"/>
        </w:rPr>
        <w:t>ershor 2001 Zyra e Prokurorit të Përgjithshëm (ZPP) kërkoi të inspektojë dosjen penale të hetimit në li</w:t>
      </w:r>
      <w:r w:rsidR="00661D56">
        <w:rPr>
          <w:lang w:val="it-IT"/>
        </w:rPr>
        <w:t xml:space="preserve">dhje me ankuesin e dytë. Më 10 shtator </w:t>
      </w:r>
      <w:r w:rsidRPr="008A3CED">
        <w:rPr>
          <w:lang w:val="it-IT"/>
        </w:rPr>
        <w:t>2001 ZPP pranoi çështjen duke u angazhuar për gjykimin e saj.</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18</w:t>
      </w:r>
      <w:r w:rsidRPr="00D45111">
        <w:fldChar w:fldCharType="end"/>
      </w:r>
      <w:r w:rsidRPr="008A3CED">
        <w:rPr>
          <w:lang w:val="it-IT"/>
        </w:rPr>
        <w:t>.  Më 11</w:t>
      </w:r>
      <w:r w:rsidR="00661D56">
        <w:rPr>
          <w:lang w:val="it-IT"/>
        </w:rPr>
        <w:t xml:space="preserve"> shtator </w:t>
      </w:r>
      <w:r w:rsidRPr="008A3CED">
        <w:rPr>
          <w:lang w:val="it-IT"/>
        </w:rPr>
        <w:t>2001, prokurori dërgoi ankuesit dhe B.L. për gjykim me akuzën e grabitjes së armatosur dhe armëmbajtje pa leje.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19</w:t>
      </w:r>
      <w:r w:rsidRPr="00D45111">
        <w:fldChar w:fldCharType="end"/>
      </w:r>
      <w:r w:rsidRPr="008A3CED">
        <w:rPr>
          <w:lang w:val="it-IT"/>
        </w:rPr>
        <w:t>.  Gjatë</w:t>
      </w:r>
      <w:r w:rsidR="00661D56">
        <w:rPr>
          <w:lang w:val="it-IT"/>
        </w:rPr>
        <w:t xml:space="preserve"> seancës gjyqësore të datës 26 n</w:t>
      </w:r>
      <w:r w:rsidRPr="008A3CED">
        <w:rPr>
          <w:lang w:val="it-IT"/>
        </w:rPr>
        <w:t>ëntor 2001 pranë Gjykatës së Rrethit Pukë, (Gjykata e Rrethit), ankuesit kundërshtuan akuzat kundër tyre d</w:t>
      </w:r>
      <w:r w:rsidR="00661D56">
        <w:rPr>
          <w:lang w:val="it-IT"/>
        </w:rPr>
        <w:t>he i kërkuan gjykatës vendase ta</w:t>
      </w:r>
      <w:r w:rsidRPr="008A3CED">
        <w:rPr>
          <w:lang w:val="it-IT"/>
        </w:rPr>
        <w:t xml:space="preserve"> deklaronte të pavlefshëm identifikimin e kryer nga policia të personave </w:t>
      </w:r>
      <w:r w:rsidR="008177C2">
        <w:rPr>
          <w:lang w:val="it-IT"/>
        </w:rPr>
        <w:t>dhe objekteve, meqenëse përbënte</w:t>
      </w:r>
      <w:r w:rsidRPr="008A3CED">
        <w:rPr>
          <w:lang w:val="it-IT"/>
        </w:rPr>
        <w:t xml:space="preserve"> shkelje të dispozitave përkatëse të KPP. Për më tepër, ata akuzonin oficerët e policisë të ngarkuar me hetimin për manipulimin e provave kundër tyre, për këtë arsye ankuesit i </w:t>
      </w:r>
      <w:r w:rsidR="00661D56">
        <w:rPr>
          <w:lang w:val="it-IT"/>
        </w:rPr>
        <w:t>kërkuan gjykatës të thërrasë ofi</w:t>
      </w:r>
      <w:r w:rsidRPr="008A3CED">
        <w:rPr>
          <w:lang w:val="it-IT"/>
        </w:rPr>
        <w:t>cerët e policisë si dëshmitarë dhe të paraqesin në gjyq sendet e konsideruara nga policia si kapuç</w:t>
      </w:r>
      <w:r w:rsidR="00661D56">
        <w:rPr>
          <w:lang w:val="it-IT"/>
        </w:rPr>
        <w:t>a</w:t>
      </w:r>
      <w:r w:rsidRPr="008A3CED">
        <w:rPr>
          <w:lang w:val="it-IT"/>
        </w:rPr>
        <w:t>, por të cilat ishin, sipas mendimit të tyre, bluza pambuku të thjeshta. Ankuesit i kërkuan gjykatës vendase për të përjashtuar provat e paligjshme kundër tyre. Në lidhje me akuzën për armëmbajtje pa leje, ankuesit pohuan se hetimi nuk kishte arritur të gjente armët e përdorura nga shkelësit e ligjit gjatë grabitjes</w:t>
      </w:r>
      <w:r w:rsidR="00661D56">
        <w:rPr>
          <w:lang w:val="it-IT"/>
        </w:rPr>
        <w:t>,</w:t>
      </w:r>
      <w:r w:rsidRPr="008A3CED">
        <w:rPr>
          <w:lang w:val="it-IT"/>
        </w:rPr>
        <w:t xml:space="preserve"> si dhe nuk ishte provuar që granatat e gjetura ishin në posedim të tyre. Të dy ankuesit u përfaqësuan nga i njëjti mbrojtës, P.Gj.</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20</w:t>
      </w:r>
      <w:r w:rsidRPr="00D45111">
        <w:fldChar w:fldCharType="end"/>
      </w:r>
      <w:r w:rsidRPr="008A3CED">
        <w:rPr>
          <w:lang w:val="it-IT"/>
        </w:rPr>
        <w:t xml:space="preserve">.  Më 24 </w:t>
      </w:r>
      <w:r w:rsidR="001C68A2" w:rsidRPr="008A3CED">
        <w:rPr>
          <w:lang w:val="it-IT"/>
        </w:rPr>
        <w:t xml:space="preserve">maj 2002 gjykata e rrethit </w:t>
      </w:r>
      <w:r w:rsidRPr="008A3CED">
        <w:rPr>
          <w:lang w:val="it-IT"/>
        </w:rPr>
        <w:t xml:space="preserve">rrëzoi kërkesën e ankuesve për të thirrur si dëshmitarë oficerët e policisë, pa dhënë arsyet. Pavarësisht faktit që gjykata konstatoi disa parregullsi gjatë fazës së hetimeve (si mungesa e avokatit gjatë pyetjes së ankuesve dhe gjatë identifikimit të personave dhe </w:t>
      </w:r>
      <w:r w:rsidRPr="008A3CED">
        <w:rPr>
          <w:lang w:val="it-IT"/>
        </w:rPr>
        <w:lastRenderedPageBreak/>
        <w:t xml:space="preserve">objekteve), gjykata i shpalli ankuesit fajtorë për grabitje të armatosur bazuar në identifikimin e dëshmitarëve okularë të ankuesve si shkelës të ligjit. Për më tepër, gjykata i shpalli ankuesit fajtorë për armëmbajtje pa leje të dy </w:t>
      </w:r>
      <w:r w:rsidR="001C68A2" w:rsidRPr="008A3CED">
        <w:rPr>
          <w:lang w:val="it-IT"/>
        </w:rPr>
        <w:t>kallashnikovëve</w:t>
      </w:r>
      <w:r w:rsidR="001C68A2">
        <w:rPr>
          <w:lang w:val="it-IT"/>
        </w:rPr>
        <w:t>,</w:t>
      </w:r>
      <w:r w:rsidR="001C68A2" w:rsidRPr="008A3CED">
        <w:rPr>
          <w:lang w:val="it-IT"/>
        </w:rPr>
        <w:t xml:space="preserve"> </w:t>
      </w:r>
      <w:r w:rsidRPr="008A3CED">
        <w:rPr>
          <w:lang w:val="it-IT"/>
        </w:rPr>
        <w:t xml:space="preserve">si dhe B.L. fajtor për posedim të një thike. Meqenëse nuk janë gjetur armë, dënimi i ankuesve është bazuar në deklaratat e dëshmitarëve okularë. Gjykata i dënoi ankuesit me trembëdhjetë vjet burg dhe B.L. me pesë vjet burg. Ankuesit janë urdhëruar të vuajnë dënimin e tyre në një burg të sigurisë së lartë.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21</w:t>
      </w:r>
      <w:r w:rsidRPr="00D45111">
        <w:fldChar w:fldCharType="end"/>
      </w:r>
      <w:r w:rsidRPr="008A3CED">
        <w:rPr>
          <w:lang w:val="it-IT"/>
        </w:rPr>
        <w:t xml:space="preserve">.  Më 29 </w:t>
      </w:r>
      <w:r w:rsidR="001C68A2" w:rsidRPr="008A3CED">
        <w:rPr>
          <w:lang w:val="it-IT"/>
        </w:rPr>
        <w:t xml:space="preserve">maj </w:t>
      </w:r>
      <w:r w:rsidRPr="008A3CED">
        <w:rPr>
          <w:lang w:val="it-IT"/>
        </w:rPr>
        <w:t xml:space="preserve">2002 ankuesit iu drejtuan Gjykatës së Apelit </w:t>
      </w:r>
      <w:r w:rsidR="00B12959" w:rsidRPr="008A3CED">
        <w:rPr>
          <w:lang w:val="it-IT"/>
        </w:rPr>
        <w:t>Shkod</w:t>
      </w:r>
      <w:r w:rsidR="00B12959">
        <w:rPr>
          <w:lang w:val="it-IT"/>
        </w:rPr>
        <w:t>ë</w:t>
      </w:r>
      <w:r w:rsidR="00B12959" w:rsidRPr="008A3CED">
        <w:rPr>
          <w:lang w:val="it-IT"/>
        </w:rPr>
        <w:t>r</w:t>
      </w:r>
      <w:r w:rsidR="00B12959">
        <w:rPr>
          <w:lang w:val="it-IT"/>
        </w:rPr>
        <w:t xml:space="preserve"> </w:t>
      </w:r>
      <w:r w:rsidR="001C68A2">
        <w:rPr>
          <w:lang w:val="it-IT"/>
        </w:rPr>
        <w:t>(Gjykata e Apelit</w:t>
      </w:r>
      <w:r w:rsidRPr="008A3CED">
        <w:rPr>
          <w:lang w:val="it-IT"/>
        </w:rPr>
        <w:t xml:space="preserve">), për arsye se vendimi i </w:t>
      </w:r>
      <w:r w:rsidR="001C68A2" w:rsidRPr="008A3CED">
        <w:rPr>
          <w:lang w:val="it-IT"/>
        </w:rPr>
        <w:t xml:space="preserve">gjykatës </w:t>
      </w:r>
      <w:r w:rsidRPr="008A3CED">
        <w:rPr>
          <w:lang w:val="it-IT"/>
        </w:rPr>
        <w:t xml:space="preserve">së </w:t>
      </w:r>
      <w:r w:rsidR="001C68A2" w:rsidRPr="008A3CED">
        <w:rPr>
          <w:lang w:val="it-IT"/>
        </w:rPr>
        <w:t xml:space="preserve">rrethit </w:t>
      </w:r>
      <w:r w:rsidRPr="008A3CED">
        <w:rPr>
          <w:lang w:val="it-IT"/>
        </w:rPr>
        <w:t xml:space="preserve">ishte rezultat i procedurave të padrejta. Ata argumentuan që identifikimi është kryer në shkelje flagrante të </w:t>
      </w:r>
      <w:r w:rsidR="001C68A2" w:rsidRPr="008A3CED">
        <w:rPr>
          <w:lang w:val="it-IT"/>
        </w:rPr>
        <w:t xml:space="preserve">neneve </w:t>
      </w:r>
      <w:r w:rsidRPr="008A3CED">
        <w:rPr>
          <w:lang w:val="it-IT"/>
        </w:rPr>
        <w:t>171-175 të KPP meqenëse ata mbanin ve</w:t>
      </w:r>
      <w:r w:rsidR="001C68A2">
        <w:rPr>
          <w:lang w:val="it-IT"/>
        </w:rPr>
        <w:t>shur të njëjtët kapuça</w:t>
      </w:r>
      <w:r w:rsidRPr="008A3CED">
        <w:rPr>
          <w:lang w:val="it-IT"/>
        </w:rPr>
        <w:t xml:space="preserve"> gjatë paradës së identifikimit. Kërkesa e avokatëve të tyre mbi pavlefshmërinë e veprimeve në lidhje me identifikimin, ishte refuzuar nga gjykata. Gjithashtu ata deklaruan që asnjë nga provat materiale (kapuç</w:t>
      </w:r>
      <w:r w:rsidR="001C68A2">
        <w:rPr>
          <w:lang w:val="it-IT"/>
        </w:rPr>
        <w:t>a</w:t>
      </w:r>
      <w:r w:rsidRPr="008A3CED">
        <w:rPr>
          <w:lang w:val="it-IT"/>
        </w:rPr>
        <w:t xml:space="preserve">t), siç u kërkua nga ata vetë, nuk u paraqitën në procedimet gjyqësore. Për më tepër, autoritetet nuk kanë arritur të gjejnë paratë dhe armët që janë përdorur gjatë grabitjes.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22</w:t>
      </w:r>
      <w:r w:rsidRPr="00D45111">
        <w:fldChar w:fldCharType="end"/>
      </w:r>
      <w:r w:rsidRPr="008A3CED">
        <w:rPr>
          <w:lang w:val="it-IT"/>
        </w:rPr>
        <w:t>.  Më 9</w:t>
      </w:r>
      <w:r w:rsidR="00661D56">
        <w:rPr>
          <w:lang w:val="it-IT"/>
        </w:rPr>
        <w:t xml:space="preserve"> shtator </w:t>
      </w:r>
      <w:r w:rsidRPr="008A3CED">
        <w:rPr>
          <w:lang w:val="it-IT"/>
        </w:rPr>
        <w:t>2002</w:t>
      </w:r>
      <w:r w:rsidR="001C68A2" w:rsidRPr="008A3CED">
        <w:rPr>
          <w:lang w:val="it-IT"/>
        </w:rPr>
        <w:t xml:space="preserve">, gjykata e apelit </w:t>
      </w:r>
      <w:r w:rsidRPr="008A3CED">
        <w:rPr>
          <w:lang w:val="it-IT"/>
        </w:rPr>
        <w:t xml:space="preserve">la në fuqi vendimin e </w:t>
      </w:r>
      <w:r w:rsidR="00B12959" w:rsidRPr="008A3CED">
        <w:rPr>
          <w:lang w:val="it-IT"/>
        </w:rPr>
        <w:t>gjykatës së rrethit</w:t>
      </w:r>
      <w:r w:rsidRPr="008A3CED">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23</w:t>
      </w:r>
      <w:r w:rsidRPr="00D45111">
        <w:fldChar w:fldCharType="end"/>
      </w:r>
      <w:r w:rsidRPr="008A3CED">
        <w:rPr>
          <w:lang w:val="it-IT"/>
        </w:rPr>
        <w:t xml:space="preserve">.  Më 7 </w:t>
      </w:r>
      <w:r w:rsidR="001C68A2" w:rsidRPr="008A3CED">
        <w:rPr>
          <w:lang w:val="it-IT"/>
        </w:rPr>
        <w:t xml:space="preserve">tetor </w:t>
      </w:r>
      <w:r w:rsidRPr="008A3CED">
        <w:rPr>
          <w:lang w:val="it-IT"/>
        </w:rPr>
        <w:t xml:space="preserve">2002 ankuesit apeluan pranë Gjykatës së Lartë. Ata u bazuan në të njëjtat argumente të ankimit si para </w:t>
      </w:r>
      <w:r w:rsidR="001C68A2" w:rsidRPr="008A3CED">
        <w:rPr>
          <w:lang w:val="it-IT"/>
        </w:rPr>
        <w:t>gjykatës së apelit</w:t>
      </w:r>
      <w:r w:rsidRPr="008A3CED">
        <w:rPr>
          <w:lang w:val="it-IT"/>
        </w:rPr>
        <w:t>. Gjithashtu ata pretenduan që të dy janë përfaqësuar nga i njëjti mbrojtës para gjykatave më të ul</w:t>
      </w:r>
      <w:r w:rsidR="00B12959">
        <w:rPr>
          <w:lang w:val="it-IT"/>
        </w:rPr>
        <w:t>ë</w:t>
      </w:r>
      <w:r w:rsidRPr="008A3CED">
        <w:rPr>
          <w:lang w:val="it-IT"/>
        </w:rPr>
        <w:t xml:space="preserve">ta, në një kohë kur në dëshmitë e tyre kishte mospërputhje gjatë hetimeve penale.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24</w:t>
      </w:r>
      <w:r w:rsidRPr="00D45111">
        <w:fldChar w:fldCharType="end"/>
      </w:r>
      <w:r w:rsidR="00470920">
        <w:rPr>
          <w:lang w:val="it-IT"/>
        </w:rPr>
        <w:t>.  Më 26 d</w:t>
      </w:r>
      <w:r w:rsidRPr="008A3CED">
        <w:rPr>
          <w:lang w:val="it-IT"/>
        </w:rPr>
        <w:t>hjetor 2002 Gjykata e Lartë e shpalli ankimin të papranueshëm meqenëse argumentet e tij ishin jashtë fushës së veprimit të</w:t>
      </w:r>
      <w:r w:rsidR="002E4B93">
        <w:rPr>
          <w:lang w:val="it-IT"/>
        </w:rPr>
        <w:t xml:space="preserve"> nenit </w:t>
      </w:r>
      <w:r w:rsidRPr="008A3CED">
        <w:rPr>
          <w:lang w:val="it-IT"/>
        </w:rPr>
        <w:t>432 të KPP.</w:t>
      </w:r>
    </w:p>
    <w:bookmarkStart w:id="3" w:name="constitutionalcomplaint"/>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25</w:t>
      </w:r>
      <w:r w:rsidRPr="00D45111">
        <w:fldChar w:fldCharType="end"/>
      </w:r>
      <w:bookmarkEnd w:id="3"/>
      <w:r w:rsidRPr="008A3CED">
        <w:rPr>
          <w:lang w:val="it-IT"/>
        </w:rPr>
        <w:t>.  Në një datë të pacaktuar ankuesi i parë depozitoi një ankesë pranë G</w:t>
      </w:r>
      <w:r w:rsidR="0067201A">
        <w:rPr>
          <w:lang w:val="it-IT"/>
        </w:rPr>
        <w:t>jykatës Kushtetuese mbi padrejtë</w:t>
      </w:r>
      <w:r w:rsidRPr="008A3CED">
        <w:rPr>
          <w:lang w:val="it-IT"/>
        </w:rPr>
        <w:t xml:space="preserve">sinë e procedimeve gjyqësore. Ai u bazua në të njëjtat argumente të ngritura pranë </w:t>
      </w:r>
      <w:r w:rsidR="0067201A" w:rsidRPr="008A3CED">
        <w:rPr>
          <w:lang w:val="it-IT"/>
        </w:rPr>
        <w:t xml:space="preserve">gjykatës së apelit dhe </w:t>
      </w:r>
      <w:r w:rsidRPr="008A3CED">
        <w:rPr>
          <w:lang w:val="it-IT"/>
        </w:rPr>
        <w:t xml:space="preserve">Gjykatës së Lartë.  </w:t>
      </w:r>
    </w:p>
    <w:bookmarkStart w:id="4" w:name="constitutionalcourtdec"/>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26</w:t>
      </w:r>
      <w:r w:rsidRPr="00D45111">
        <w:fldChar w:fldCharType="end"/>
      </w:r>
      <w:bookmarkEnd w:id="4"/>
      <w:r w:rsidRPr="008A3CED">
        <w:rPr>
          <w:lang w:val="it-IT"/>
        </w:rPr>
        <w:t>.  Më 17</w:t>
      </w:r>
      <w:r w:rsidR="00661D56">
        <w:rPr>
          <w:lang w:val="it-IT"/>
        </w:rPr>
        <w:t xml:space="preserve"> shtator </w:t>
      </w:r>
      <w:r w:rsidRPr="008A3CED">
        <w:rPr>
          <w:lang w:val="it-IT"/>
        </w:rPr>
        <w:t>2004 Gjykata Kushtetuese, me trup gjykues prej tre gjyqtarësh, e deklaroi ankimin të papranueshëm. Ajo vendosi që ankimet e ankuesve nuk ngrinin çështje që lidhen me gjykimin e drejtë, por kryesisht kishin të bënin me vlerësimin e provave, gjë që ishte funksion i gjykatave më të ul</w:t>
      </w:r>
      <w:r w:rsidR="0067201A">
        <w:rPr>
          <w:lang w:val="it-IT"/>
        </w:rPr>
        <w:t>ë</w:t>
      </w:r>
      <w:r w:rsidRPr="008A3CED">
        <w:rPr>
          <w:lang w:val="it-IT"/>
        </w:rPr>
        <w:t xml:space="preserve">ta. </w:t>
      </w:r>
    </w:p>
    <w:p w:rsidR="008A3CED" w:rsidRPr="008A3CED" w:rsidRDefault="008A3CED" w:rsidP="008A3CED">
      <w:pPr>
        <w:pStyle w:val="Paragrafi0"/>
        <w:rPr>
          <w:lang w:val="it-IT"/>
        </w:rPr>
      </w:pPr>
      <w:r w:rsidRPr="008A3CED">
        <w:rPr>
          <w:lang w:val="it-IT"/>
        </w:rPr>
        <w:t>C. Pretendimi për keqtrajtim nga policia</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27</w:t>
      </w:r>
      <w:r w:rsidRPr="00D45111">
        <w:fldChar w:fldCharType="end"/>
      </w:r>
      <w:r w:rsidRPr="008A3CED">
        <w:rPr>
          <w:lang w:val="it-IT"/>
        </w:rPr>
        <w:t xml:space="preserve">.  Ankuesit pretenduan që janë keqtrajtuar nga F.N. dhe oficerë të tjerë të policisë gjatë marrjes në pyetje. Ata pretendonin se janë lidhur me litarë, rrahur dhe lagur me ujë të ftohtë gjatë hetimeve.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28</w:t>
      </w:r>
      <w:r w:rsidRPr="00D45111">
        <w:fldChar w:fldCharType="end"/>
      </w:r>
      <w:r w:rsidRPr="008A3CED">
        <w:rPr>
          <w:lang w:val="it-IT"/>
        </w:rPr>
        <w:t xml:space="preserve">.  Në seancën gjyqësore të datës 26 </w:t>
      </w:r>
      <w:r w:rsidR="0067201A" w:rsidRPr="008A3CED">
        <w:rPr>
          <w:lang w:val="it-IT"/>
        </w:rPr>
        <w:t xml:space="preserve">nëntor </w:t>
      </w:r>
      <w:r w:rsidRPr="008A3CED">
        <w:rPr>
          <w:lang w:val="it-IT"/>
        </w:rPr>
        <w:t xml:space="preserve">2001 pranë </w:t>
      </w:r>
      <w:r w:rsidR="0067201A" w:rsidRPr="008A3CED">
        <w:rPr>
          <w:lang w:val="it-IT"/>
        </w:rPr>
        <w:t xml:space="preserve">gjykatës së rrethit, ankuesit </w:t>
      </w:r>
      <w:r w:rsidRPr="008A3CED">
        <w:rPr>
          <w:lang w:val="it-IT"/>
        </w:rPr>
        <w:t xml:space="preserve">pretenduan se janë keqtrajtuar nga oficerët e policisë të ngarkuar me hetimet, në atë që ky i fundit ishte përpjekur të detyronte ata të pranonin grabitjen dhe të tregonin vendndodhjen e mallrave të vjedhura dhe armëve të përdorura. B.L. dhe ankuesit kanë dhënë të njëjtin përshkrim për keqtrajtimin e pretenduar.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29</w:t>
      </w:r>
      <w:r w:rsidRPr="00D45111">
        <w:fldChar w:fldCharType="end"/>
      </w:r>
      <w:r w:rsidRPr="008A3CED">
        <w:rPr>
          <w:lang w:val="it-IT"/>
        </w:rPr>
        <w:t xml:space="preserve">.  Më 24 </w:t>
      </w:r>
      <w:r w:rsidR="0067201A" w:rsidRPr="008A3CED">
        <w:rPr>
          <w:lang w:val="it-IT"/>
        </w:rPr>
        <w:t xml:space="preserve">maj </w:t>
      </w:r>
      <w:r w:rsidRPr="008A3CED">
        <w:rPr>
          <w:lang w:val="it-IT"/>
        </w:rPr>
        <w:t>2002 Gjykata e Rrethit rrëzoi kërkesat e ankuesve duke argumentuar që ato janë pa</w:t>
      </w:r>
      <w:r w:rsidR="0067201A">
        <w:rPr>
          <w:lang w:val="it-IT"/>
        </w:rPr>
        <w:t>rashtruar përtej afatit gjashtë</w:t>
      </w:r>
      <w:r w:rsidRPr="008A3CED">
        <w:rPr>
          <w:lang w:val="it-IT"/>
        </w:rPr>
        <w:t xml:space="preserve">mujor. Në vendim nuk është përmendur asnjë bazë ligjore. </w:t>
      </w:r>
    </w:p>
    <w:p w:rsidR="008A3CED" w:rsidRP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II. E DREJTA NDËRKOMBËTARE DHE E BRENDSHME PËRKATËSE DHE PRAKTIKA</w:t>
      </w:r>
    </w:p>
    <w:p w:rsidR="008A3CED" w:rsidRPr="008A3CED" w:rsidRDefault="008A3CED" w:rsidP="008A3CED">
      <w:pPr>
        <w:pStyle w:val="Paragrafi0"/>
        <w:rPr>
          <w:lang w:val="it-IT"/>
        </w:rPr>
      </w:pPr>
      <w:r w:rsidRPr="008A3CED">
        <w:rPr>
          <w:lang w:val="it-IT"/>
        </w:rPr>
        <w:t>A. E drejta e brendshme përkatëse dhe praktika</w:t>
      </w:r>
    </w:p>
    <w:p w:rsidR="008A3CED" w:rsidRPr="008A3CED" w:rsidRDefault="008A3CED" w:rsidP="008A3CED">
      <w:pPr>
        <w:pStyle w:val="Paragrafi0"/>
        <w:rPr>
          <w:lang w:val="it-IT"/>
        </w:rPr>
      </w:pPr>
      <w:r w:rsidRPr="008A3CED">
        <w:rPr>
          <w:lang w:val="it-IT"/>
        </w:rPr>
        <w:t>1. Kodi i Procedurës Penale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30</w:t>
      </w:r>
      <w:r w:rsidRPr="00D45111">
        <w:fldChar w:fldCharType="end"/>
      </w:r>
      <w:r w:rsidRPr="008A3CED">
        <w:rPr>
          <w:lang w:val="it-IT"/>
        </w:rPr>
        <w:t xml:space="preserve">.  Kodi </w:t>
      </w:r>
      <w:r w:rsidR="00B12959" w:rsidRPr="008A3CED">
        <w:rPr>
          <w:lang w:val="it-IT"/>
        </w:rPr>
        <w:t xml:space="preserve">shqiptar </w:t>
      </w:r>
      <w:r w:rsidR="00B12959">
        <w:rPr>
          <w:lang w:val="it-IT"/>
        </w:rPr>
        <w:t>i Procedurës Penale (KPP</w:t>
      </w:r>
      <w:r w:rsidRPr="008A3CED">
        <w:rPr>
          <w:lang w:val="it-IT"/>
        </w:rPr>
        <w:t>) në pjesët përkatëse vijon si më poshtë:</w:t>
      </w:r>
    </w:p>
    <w:p w:rsidR="008A3CED" w:rsidRPr="008A3CED" w:rsidRDefault="008A3CED" w:rsidP="008A3CED">
      <w:pPr>
        <w:pStyle w:val="Paragrafi0"/>
        <w:rPr>
          <w:lang w:val="it-IT"/>
        </w:rPr>
      </w:pPr>
      <w:r w:rsidRPr="008A3CED">
        <w:rPr>
          <w:lang w:val="it-IT"/>
        </w:rPr>
        <w:t>Neni 171: Identifikimi i personave</w:t>
      </w:r>
    </w:p>
    <w:p w:rsidR="008A3CED" w:rsidRPr="008A3CED" w:rsidRDefault="008A3CED" w:rsidP="008A3CED">
      <w:pPr>
        <w:pStyle w:val="Paragrafi0"/>
        <w:rPr>
          <w:lang w:val="it-IT"/>
        </w:rPr>
      </w:pPr>
      <w:r w:rsidRPr="008A3CED">
        <w:rPr>
          <w:lang w:val="it-IT"/>
        </w:rPr>
        <w:t xml:space="preserve">1. Kur lind e drejta për identifikimin e një personi, autoriteti procedues fton personin që duhet të bëjë identifikimin që të përshkruajë personin (që do </w:t>
      </w:r>
      <w:r w:rsidR="00806D34">
        <w:rPr>
          <w:lang w:val="it-IT"/>
        </w:rPr>
        <w:t xml:space="preserve">të </w:t>
      </w:r>
      <w:r w:rsidRPr="008A3CED">
        <w:rPr>
          <w:lang w:val="it-IT"/>
        </w:rPr>
        <w:t xml:space="preserve">identifikohet), në lidhje me të gjitha shenjat që ai/ajo kujton dhe personi pyetet nëse ai/ajo është thirrur më parë për të bërë identifikimin dhe për rrethana të tjera, të cilat mund të ndihmojnë në saktësinë e identifikimit.  </w:t>
      </w:r>
    </w:p>
    <w:p w:rsidR="008A3CED" w:rsidRPr="008A3CED" w:rsidRDefault="008A3CED" w:rsidP="008A3CED">
      <w:pPr>
        <w:pStyle w:val="Paragrafi0"/>
        <w:rPr>
          <w:lang w:val="it-IT"/>
        </w:rPr>
      </w:pPr>
      <w:r w:rsidRPr="008A3CED">
        <w:rPr>
          <w:lang w:val="it-IT"/>
        </w:rPr>
        <w:t>2. Veprimet e parashikuara në paragrafin 1 dhe deklaratat e bëra nga personi që bën identifikimin shënohen në regjistër.</w:t>
      </w:r>
    </w:p>
    <w:p w:rsidR="008A3CED" w:rsidRPr="008A3CED" w:rsidRDefault="008A3CED" w:rsidP="008A3CED">
      <w:pPr>
        <w:pStyle w:val="Paragrafi0"/>
        <w:rPr>
          <w:lang w:val="it-IT"/>
        </w:rPr>
      </w:pPr>
      <w:r w:rsidRPr="008A3CED">
        <w:rPr>
          <w:lang w:val="it-IT"/>
        </w:rPr>
        <w:t>3. Moszbatimi në përputhje me dispozitat e paragrafëve 1 dhe 2 përbën shkak për pavlefshmërinë e identifikimit.</w:t>
      </w:r>
    </w:p>
    <w:p w:rsidR="008A3CED" w:rsidRPr="008A3CED" w:rsidRDefault="008A3CED" w:rsidP="008A3CED">
      <w:pPr>
        <w:pStyle w:val="Paragrafi0"/>
        <w:rPr>
          <w:lang w:val="it-IT"/>
        </w:rPr>
      </w:pPr>
      <w:r w:rsidRPr="008A3CED">
        <w:rPr>
          <w:lang w:val="it-IT"/>
        </w:rPr>
        <w:t>Neni 172: Kryerja e identifikimit</w:t>
      </w:r>
    </w:p>
    <w:p w:rsidR="008A3CED" w:rsidRPr="008A3CED" w:rsidRDefault="008A3CED" w:rsidP="008A3CED">
      <w:pPr>
        <w:pStyle w:val="Paragrafi0"/>
        <w:rPr>
          <w:lang w:val="it-IT"/>
        </w:rPr>
      </w:pPr>
      <w:r w:rsidRPr="008A3CED">
        <w:rPr>
          <w:lang w:val="it-IT"/>
        </w:rPr>
        <w:t xml:space="preserve">1. Autoriteti procedues, pasi largon personin që do </w:t>
      </w:r>
      <w:r w:rsidR="00AE20A9">
        <w:rPr>
          <w:lang w:val="it-IT"/>
        </w:rPr>
        <w:t xml:space="preserve">të </w:t>
      </w:r>
      <w:r w:rsidRPr="008A3CED">
        <w:rPr>
          <w:lang w:val="it-IT"/>
        </w:rPr>
        <w:t>bëjë identifikimin, siguron praninë e të paktën dy personave, të cilët të duken mundësisht sa më të ngjashëm, me personin që do të identifikohet. Më pas fton këtë të fundit për të zgjedhur vendin e tij/saj në lidhje me të tjerët, duke u kujdesur që t’i duket portreti, sa më shumë që të jetë e mundur, në të njëjtat rrethana në të cilat ai/ajo do të ishte parë nga person</w:t>
      </w:r>
      <w:r w:rsidR="00AE20A9">
        <w:rPr>
          <w:lang w:val="it-IT"/>
        </w:rPr>
        <w:t>i</w:t>
      </w:r>
      <w:r w:rsidRPr="008A3CED">
        <w:rPr>
          <w:lang w:val="it-IT"/>
        </w:rPr>
        <w:t xml:space="preserve"> i thirrur për të bërë identifikimin. Pasi shfaqet personi që do të bëjë identifikimin, gjykata e pyet këtë të fundit nëse ai/ajo njeh ndonjërin prej personave të pranishëm për identifikim, dhe nëse po, të tregojë personin që ai/ajo njeh</w:t>
      </w:r>
      <w:r w:rsidR="00AE20A9">
        <w:rPr>
          <w:lang w:val="it-IT"/>
        </w:rPr>
        <w:t>,</w:t>
      </w:r>
      <w:r w:rsidRPr="008A3CED">
        <w:rPr>
          <w:lang w:val="it-IT"/>
        </w:rPr>
        <w:t xml:space="preserve"> si dhe të përcaktojë nëse ai/ajo është i sigurtë.  </w:t>
      </w:r>
    </w:p>
    <w:p w:rsidR="008A3CED" w:rsidRPr="008A3CED" w:rsidRDefault="008A3CED" w:rsidP="008A3CED">
      <w:pPr>
        <w:pStyle w:val="Paragrafi0"/>
        <w:rPr>
          <w:lang w:val="it-IT"/>
        </w:rPr>
      </w:pPr>
      <w:r w:rsidRPr="008A3CED">
        <w:rPr>
          <w:lang w:val="it-IT"/>
        </w:rPr>
        <w:t>2. Kur ka arsye të besohet se personi i thirrur për të bërë identifikimin mund të jetë i frikësuar ose i ndikuar nga prania e personit që do identifikohet, autoriteti procedues urdhëron kryerjen e veprimit pa e parë ky i fundit të parin.</w:t>
      </w:r>
    </w:p>
    <w:p w:rsidR="008A3CED" w:rsidRPr="008A3CED" w:rsidRDefault="008A3CED" w:rsidP="008A3CED">
      <w:pPr>
        <w:pStyle w:val="Paragrafi0"/>
        <w:rPr>
          <w:lang w:val="it-IT"/>
        </w:rPr>
      </w:pPr>
      <w:r w:rsidRPr="008A3CED">
        <w:rPr>
          <w:lang w:val="it-IT"/>
        </w:rPr>
        <w:t xml:space="preserve">3. Regjistrimi duhet të përshkruajë mënyrën e kryerjes së identifikimit. Nëse kjo gjë nuk mundësohet, identifikimi bëhet i pavlefshëm. Për qëllime regjistrimi, autoriteti procedues mund të urdhërojë që kryerja e identifikimit të fotografohet apo filmohet. </w:t>
      </w:r>
    </w:p>
    <w:p w:rsidR="008A3CED" w:rsidRPr="008A3CED" w:rsidRDefault="00251DB5" w:rsidP="008A3CED">
      <w:pPr>
        <w:pStyle w:val="Paragrafi0"/>
        <w:rPr>
          <w:lang w:val="it-IT"/>
        </w:rPr>
      </w:pPr>
      <w:r>
        <w:rPr>
          <w:lang w:val="it-IT"/>
        </w:rPr>
        <w:t>Neni</w:t>
      </w:r>
      <w:r w:rsidRPr="008A3CED">
        <w:rPr>
          <w:lang w:val="it-IT"/>
        </w:rPr>
        <w:t xml:space="preserve"> </w:t>
      </w:r>
      <w:r w:rsidR="008A3CED" w:rsidRPr="008A3CED">
        <w:rPr>
          <w:lang w:val="it-IT"/>
        </w:rPr>
        <w:t>173: Identifikimi i objekteve</w:t>
      </w:r>
    </w:p>
    <w:p w:rsidR="008A3CED" w:rsidRPr="008A3CED" w:rsidRDefault="008A3CED" w:rsidP="008A3CED">
      <w:pPr>
        <w:pStyle w:val="Paragrafi0"/>
        <w:rPr>
          <w:lang w:val="it-IT"/>
        </w:rPr>
      </w:pPr>
      <w:r w:rsidRPr="008A3CED">
        <w:rPr>
          <w:lang w:val="it-IT"/>
        </w:rPr>
        <w:t xml:space="preserve">1. Kur duhet të kryhet identifikimi i provave materiale apo objekteve të tjera në lidhje me veprën penale, autoriteti procedues vepron në përputhje me rregullat për identifikimin e personave në masën që ato janë të zbatueshme. </w:t>
      </w:r>
    </w:p>
    <w:p w:rsidR="008A3CED" w:rsidRPr="008A3CED" w:rsidRDefault="008A3CED" w:rsidP="008A3CED">
      <w:pPr>
        <w:pStyle w:val="Paragrafi0"/>
        <w:rPr>
          <w:lang w:val="it-IT"/>
        </w:rPr>
      </w:pPr>
      <w:r w:rsidRPr="008A3CED">
        <w:rPr>
          <w:lang w:val="it-IT"/>
        </w:rPr>
        <w:t>2. Pas zbulimit, nëse është e mundur, e të paktën dy objekteve të ngjashme me atë që do të identifikohet, autoriteti procedues pyet personin e thirrur për të identifikuar nëse ai/ajo njeh ndonjë prej tyre dhe, nëse përgjigja është po, e fton atë të deklarojë cilin prej objekteve ai/ajo njeh</w:t>
      </w:r>
      <w:r w:rsidR="00AE20A9">
        <w:rPr>
          <w:lang w:val="it-IT"/>
        </w:rPr>
        <w:t>,</w:t>
      </w:r>
      <w:r w:rsidRPr="008A3CED">
        <w:rPr>
          <w:lang w:val="it-IT"/>
        </w:rPr>
        <w:t xml:space="preserve"> si dhe të përcaktojë nëse është i/e sigurt.  </w:t>
      </w:r>
    </w:p>
    <w:p w:rsidR="008A3CED" w:rsidRPr="008A3CED" w:rsidRDefault="008A3CED" w:rsidP="008A3CED">
      <w:pPr>
        <w:pStyle w:val="Paragrafi0"/>
        <w:rPr>
          <w:lang w:val="it-IT"/>
        </w:rPr>
      </w:pPr>
      <w:r w:rsidRPr="008A3CED">
        <w:rPr>
          <w:lang w:val="it-IT"/>
        </w:rPr>
        <w:t>3. Regjistrimi duhet të përshkruajë mënyrën e kryerjes së identifikimit. Nëse kjo gjë nuk mundësohet, identifikimi bëhet i pavlefshëm.</w:t>
      </w:r>
    </w:p>
    <w:p w:rsidR="008A3CED" w:rsidRPr="008A3CED" w:rsidRDefault="008A3CED" w:rsidP="008A3CED">
      <w:pPr>
        <w:pStyle w:val="Paragrafi0"/>
        <w:rPr>
          <w:lang w:val="it-IT"/>
        </w:rPr>
      </w:pPr>
      <w:r w:rsidRPr="008A3CED">
        <w:rPr>
          <w:lang w:val="it-IT"/>
        </w:rPr>
        <w:t>Neni 175: Identifikimi nga disa persona</w:t>
      </w:r>
    </w:p>
    <w:p w:rsidR="008A3CED" w:rsidRPr="008A3CED" w:rsidRDefault="008A3CED" w:rsidP="008A3CED">
      <w:pPr>
        <w:pStyle w:val="Paragrafi0"/>
        <w:rPr>
          <w:lang w:val="it-IT"/>
        </w:rPr>
      </w:pPr>
      <w:r w:rsidRPr="008A3CED">
        <w:rPr>
          <w:lang w:val="it-IT"/>
        </w:rPr>
        <w:t xml:space="preserve">1. Kur disa persona thirren për të dëshmuar për të njëjtin person apo objekt, autoriteti procedues e kryen atë duke i marrë një nga një në veçanti, duke ndaluar komunikimin ndërmjet personit që ka bërë identifikimin dhe atyre që do të bëjnë identifikimin më vonë. </w:t>
      </w:r>
    </w:p>
    <w:p w:rsidR="008A3CED" w:rsidRPr="008A3CED" w:rsidRDefault="008A3CED" w:rsidP="008A3CED">
      <w:pPr>
        <w:pStyle w:val="Paragrafi0"/>
        <w:rPr>
          <w:lang w:val="it-IT"/>
        </w:rPr>
      </w:pPr>
      <w:r w:rsidRPr="008A3CED">
        <w:rPr>
          <w:lang w:val="it-IT"/>
        </w:rPr>
        <w:t xml:space="preserve">2. Kur një person duhet të identifikojë disa persona ose objekte, autoriteti procedues urdhëron që personi apo objekti që do identifikohet të vendoset ndërmjet personave apo objekteve të tjera. </w:t>
      </w:r>
    </w:p>
    <w:p w:rsidR="008A3CED" w:rsidRPr="008A3CED" w:rsidRDefault="008A3CED" w:rsidP="008A3CED">
      <w:pPr>
        <w:pStyle w:val="Paragrafi0"/>
        <w:rPr>
          <w:lang w:val="it-IT"/>
        </w:rPr>
      </w:pPr>
      <w:r w:rsidRPr="008A3CED">
        <w:rPr>
          <w:lang w:val="it-IT"/>
        </w:rPr>
        <w:t xml:space="preserve">3. Dispozitat e </w:t>
      </w:r>
      <w:r w:rsidR="00AE20A9">
        <w:rPr>
          <w:lang w:val="it-IT"/>
        </w:rPr>
        <w:t>n</w:t>
      </w:r>
      <w:r w:rsidRPr="008A3CED">
        <w:rPr>
          <w:lang w:val="it-IT"/>
        </w:rPr>
        <w:t>eneve 171, 172 dhe 173 të KPP janë të zbatueshme.</w:t>
      </w:r>
    </w:p>
    <w:p w:rsidR="008A3CED" w:rsidRPr="008A3CED" w:rsidRDefault="008A3CED" w:rsidP="008A3CED">
      <w:pPr>
        <w:pStyle w:val="Paragrafi0"/>
        <w:rPr>
          <w:lang w:val="it-IT"/>
        </w:rPr>
      </w:pPr>
      <w:r w:rsidRPr="008A3CED">
        <w:rPr>
          <w:lang w:val="it-IT"/>
        </w:rPr>
        <w:t>Neni 205: Kontrolli i amb</w:t>
      </w:r>
      <w:r w:rsidR="00AE20A9">
        <w:rPr>
          <w:lang w:val="it-IT"/>
        </w:rPr>
        <w:t>i</w:t>
      </w:r>
      <w:r w:rsidRPr="008A3CED">
        <w:rPr>
          <w:lang w:val="it-IT"/>
        </w:rPr>
        <w:t>entit</w:t>
      </w:r>
    </w:p>
    <w:p w:rsidR="008A3CED" w:rsidRPr="008A3CED" w:rsidRDefault="008A3CED" w:rsidP="008A3CED">
      <w:pPr>
        <w:pStyle w:val="Paragrafi0"/>
        <w:rPr>
          <w:lang w:val="it-IT"/>
        </w:rPr>
      </w:pPr>
      <w:r w:rsidRPr="008A3CED">
        <w:rPr>
          <w:lang w:val="it-IT"/>
        </w:rPr>
        <w:t xml:space="preserve">1. Të pandehurit, kur është i pranishëm, </w:t>
      </w:r>
      <w:r w:rsidR="00AE20A9">
        <w:rPr>
          <w:lang w:val="it-IT"/>
        </w:rPr>
        <w:t>dhe personit i cili posedon ambi</w:t>
      </w:r>
      <w:r w:rsidRPr="008A3CED">
        <w:rPr>
          <w:lang w:val="it-IT"/>
        </w:rPr>
        <w:t xml:space="preserve">entet që do </w:t>
      </w:r>
      <w:r w:rsidR="00AE20A9">
        <w:rPr>
          <w:lang w:val="it-IT"/>
        </w:rPr>
        <w:t>t’</w:t>
      </w:r>
      <w:r w:rsidRPr="008A3CED">
        <w:rPr>
          <w:lang w:val="it-IT"/>
        </w:rPr>
        <w:t>i nënshtrohen kontrollit, i jepet një kopje</w:t>
      </w:r>
      <w:r w:rsidR="00AE20A9">
        <w:rPr>
          <w:lang w:val="it-IT"/>
        </w:rPr>
        <w:t xml:space="preserve"> e urdhër</w:t>
      </w:r>
      <w:r w:rsidRPr="008A3CED">
        <w:rPr>
          <w:lang w:val="it-IT"/>
        </w:rPr>
        <w:t xml:space="preserve">kontrollit, duke i informuar ata për të drejtën për të kërkuar praninë e një personi tek i cili kanë besim.   </w:t>
      </w:r>
    </w:p>
    <w:p w:rsidR="008A3CED" w:rsidRPr="008A3CED" w:rsidRDefault="008A3CED" w:rsidP="008A3CED">
      <w:pPr>
        <w:pStyle w:val="Paragrafi0"/>
        <w:rPr>
          <w:lang w:val="it-IT"/>
        </w:rPr>
      </w:pPr>
      <w:r w:rsidRPr="008A3CED">
        <w:rPr>
          <w:lang w:val="it-IT"/>
        </w:rPr>
        <w:t xml:space="preserve">2. Kur personat e përcaktuar në paragrafin 1 mungojnë, një kopje i jepet të afërmit, komshiut ose kolegut. </w:t>
      </w:r>
    </w:p>
    <w:p w:rsidR="008A3CED" w:rsidRPr="008A3CED" w:rsidRDefault="008A3CED" w:rsidP="008A3CED">
      <w:pPr>
        <w:pStyle w:val="Paragrafi0"/>
        <w:rPr>
          <w:lang w:val="it-IT"/>
        </w:rPr>
      </w:pPr>
      <w:r w:rsidRPr="008A3CED">
        <w:rPr>
          <w:lang w:val="it-IT"/>
        </w:rPr>
        <w:t xml:space="preserve">3. Autoriteti procedues mund të kontrollojë personat e pranishëm nëse gjykon që ata mund të fshehin prova materiale ose objekte në lidhje me veprën penale. Ai mund të urdhërojë që personat e pranishëm nuk mund të largohen përpara përfundimit të kontrollit dhe mund të përdorë forcën për t’i mbajtur ata që largohen. </w:t>
      </w:r>
    </w:p>
    <w:p w:rsidR="008A3CED" w:rsidRPr="008A3CED" w:rsidRDefault="008A3CED" w:rsidP="008A3CED">
      <w:pPr>
        <w:pStyle w:val="Paragrafi0"/>
        <w:rPr>
          <w:lang w:val="it-IT"/>
        </w:rPr>
      </w:pPr>
      <w:r w:rsidRPr="008A3CED">
        <w:rPr>
          <w:lang w:val="it-IT"/>
        </w:rPr>
        <w:t>Neni 256: Pyetja e të arrestuarit ose të ndaluarit</w:t>
      </w:r>
    </w:p>
    <w:p w:rsidR="008A3CED" w:rsidRPr="008A3CED" w:rsidRDefault="008A3CED" w:rsidP="008A3CED">
      <w:pPr>
        <w:pStyle w:val="Paragrafi0"/>
        <w:rPr>
          <w:lang w:val="it-IT"/>
        </w:rPr>
      </w:pPr>
      <w:r w:rsidRPr="008A3CED">
        <w:rPr>
          <w:lang w:val="it-IT"/>
        </w:rPr>
        <w:t xml:space="preserve">Prokurori pyet personin e arrestuar ose të ndaluar në prani të avokatit të zgjedhur apo të caktuar. Ai njofton personin e arrestuar apo të ndaluar mbi faktet për të cilat ai po ndiqet dhe arsyet e hetimit, duke i bërë të njohur informacionin në dispozicion për akuzën dhe, kur hetimi nuk dëmtohet, edhe burimet.  </w:t>
      </w:r>
    </w:p>
    <w:p w:rsidR="008A3CED" w:rsidRPr="008A3CED" w:rsidRDefault="008A3CED" w:rsidP="008A3CED">
      <w:pPr>
        <w:pStyle w:val="Paragrafi0"/>
        <w:rPr>
          <w:lang w:val="it-IT"/>
        </w:rPr>
      </w:pPr>
      <w:r w:rsidRPr="008A3CED">
        <w:rPr>
          <w:lang w:val="it-IT"/>
        </w:rPr>
        <w:t>Neni 380: Provat e përdorura nga gjykata</w:t>
      </w:r>
    </w:p>
    <w:p w:rsidR="008A3CED" w:rsidRPr="008A3CED" w:rsidRDefault="008A3CED" w:rsidP="008A3CED">
      <w:pPr>
        <w:pStyle w:val="Paragrafi0"/>
        <w:rPr>
          <w:lang w:val="it-IT"/>
        </w:rPr>
      </w:pPr>
      <w:r w:rsidRPr="008A3CED">
        <w:rPr>
          <w:lang w:val="it-IT"/>
        </w:rPr>
        <w:t>Në marrjen e vendimit gjykata nuk përdor prova të ndryshme nga ato që janë marrë ose konfirmuar gjatë gjykimit.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31</w:t>
      </w:r>
      <w:r w:rsidRPr="00D45111">
        <w:fldChar w:fldCharType="end"/>
      </w:r>
      <w:r w:rsidRPr="008A3CED">
        <w:rPr>
          <w:lang w:val="it-IT"/>
        </w:rPr>
        <w:t>.  Nenet 449–461 të KPP rregullojnë zbatimin për rishqyrtim të vendimit përfundimtar. Sipas</w:t>
      </w:r>
      <w:r w:rsidR="002E4B93">
        <w:rPr>
          <w:lang w:val="it-IT"/>
        </w:rPr>
        <w:t xml:space="preserve"> nenit </w:t>
      </w:r>
      <w:r w:rsidRPr="008A3CED">
        <w:rPr>
          <w:lang w:val="it-IT"/>
        </w:rPr>
        <w:t>451, i akuzuari ose prokurori mund të depozitojë një kërkesë për rishqyrtim në përputhje me argumentet e kufizuara për rishqyrtim që gjenden në</w:t>
      </w:r>
      <w:r w:rsidR="00FC065E">
        <w:rPr>
          <w:lang w:val="it-IT"/>
        </w:rPr>
        <w:t xml:space="preserve"> nenin </w:t>
      </w:r>
      <w:r w:rsidRPr="008A3CED">
        <w:rPr>
          <w:lang w:val="it-IT"/>
        </w:rPr>
        <w:t>450. Kërkesa i parashtrohet Gjykatës së Lartë</w:t>
      </w:r>
      <w:r w:rsidR="00251DB5">
        <w:rPr>
          <w:lang w:val="it-IT"/>
        </w:rPr>
        <w:t>,</w:t>
      </w:r>
      <w:r w:rsidRPr="008A3CED">
        <w:rPr>
          <w:lang w:val="it-IT"/>
        </w:rPr>
        <w:t xml:space="preserve"> e cila mund të vendosë</w:t>
      </w:r>
      <w:r w:rsidR="00C96E8D">
        <w:rPr>
          <w:lang w:val="it-IT"/>
        </w:rPr>
        <w:t xml:space="preserve"> refuzimin ose pranimin e saj (n</w:t>
      </w:r>
      <w:r w:rsidRPr="008A3CED">
        <w:rPr>
          <w:lang w:val="it-IT"/>
        </w:rPr>
        <w:t>eni 453).</w:t>
      </w:r>
    </w:p>
    <w:p w:rsidR="008A3CED" w:rsidRPr="008A3CED" w:rsidRDefault="008A3CED" w:rsidP="008A3CED">
      <w:pPr>
        <w:pStyle w:val="Paragrafi0"/>
        <w:rPr>
          <w:lang w:val="it-IT"/>
        </w:rPr>
      </w:pPr>
      <w:r w:rsidRPr="008A3CED">
        <w:rPr>
          <w:lang w:val="it-IT"/>
        </w:rPr>
        <w:t>Vendimi i Kolegjeve të Bashkuara të Gjyk</w:t>
      </w:r>
      <w:r w:rsidR="00C96E8D">
        <w:rPr>
          <w:lang w:val="it-IT"/>
        </w:rPr>
        <w:t>atës së Lartë nr. 6 i datës 11 t</w:t>
      </w:r>
      <w:r w:rsidRPr="008A3CED">
        <w:rPr>
          <w:lang w:val="it-IT"/>
        </w:rPr>
        <w:t>etor 2002</w:t>
      </w:r>
    </w:p>
    <w:bookmarkStart w:id="5" w:name="SupremeCourtdec"/>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32</w:t>
      </w:r>
      <w:r w:rsidRPr="00D45111">
        <w:fldChar w:fldCharType="end"/>
      </w:r>
      <w:bookmarkEnd w:id="5"/>
      <w:r w:rsidRPr="008A3CED">
        <w:rPr>
          <w:lang w:val="it-IT"/>
        </w:rPr>
        <w:t>.  Në përpjekje për të harmonizuar praktikën ligjore, Kolegjet e Bashkuara të Gjykatës së Lartë filluan shqyrtimin gjyqësor</w:t>
      </w:r>
      <w:r w:rsidR="00C96E8D">
        <w:rPr>
          <w:lang w:val="it-IT"/>
        </w:rPr>
        <w:t xml:space="preserve"> të vendimit nr. 6 të datës 11 t</w:t>
      </w:r>
      <w:r w:rsidRPr="008A3CED">
        <w:rPr>
          <w:lang w:val="it-IT"/>
        </w:rPr>
        <w:t>etor 2002. Pjesët përkatëse të vendimit vijojnë:</w:t>
      </w:r>
    </w:p>
    <w:p w:rsidR="008A3CED" w:rsidRPr="008A3CED" w:rsidRDefault="008A3CED" w:rsidP="008A3CED">
      <w:pPr>
        <w:pStyle w:val="Paragrafi0"/>
        <w:rPr>
          <w:lang w:val="it-IT"/>
        </w:rPr>
      </w:pPr>
      <w:r w:rsidRPr="008A3CED">
        <w:rPr>
          <w:lang w:val="it-IT"/>
        </w:rPr>
        <w:t>“(...) Është e ditur që rishqyrtimi i vendimeve përfundimtare është një mjet ligjor i jashtëzakonshëm, i vetmi, që është parashikuar nga ligjvënësit në KPP për të ndrequr gabimet gjyqësore (në lidhje me vendimet përfundimtare të gjykatës).</w:t>
      </w:r>
    </w:p>
    <w:p w:rsidR="008A3CED" w:rsidRPr="008A3CED" w:rsidRDefault="008A3CED" w:rsidP="008A3CED">
      <w:pPr>
        <w:pStyle w:val="Paragrafi0"/>
        <w:rPr>
          <w:lang w:val="it-IT"/>
        </w:rPr>
      </w:pPr>
      <w:r w:rsidRPr="008A3CED">
        <w:rPr>
          <w:lang w:val="it-IT"/>
        </w:rPr>
        <w:t>Gjykimi i zhvilluar, si rezultat i rishqyrtimit [procedurave], nuk kufizohet me një shqyrtim të thjeshtë (në kuptimin më të ngushtë të fjalës) të gjykimit të mëparshëm. Në përfundimin e saj, gjykata pasi shqyrton faktet, rrethanat dhe provat e parashtruara nga palët, të marra së bashku dhe në bashkërendim me provat, rrethanat dhe faktet e administruara dhe shqyrtuara gjatë gjykimit të mëparshëm, mund të arrijë në një përfundim të ndryshëm, aq sa të shpallë një vendim në kundërshtim të plotë me të mëparshmin. (...)</w:t>
      </w:r>
      <w:r w:rsidR="00C96E8D">
        <w:rPr>
          <w:lang w:val="it-IT"/>
        </w:rPr>
        <w:t>.</w:t>
      </w:r>
    </w:p>
    <w:p w:rsidR="008A3CED" w:rsidRPr="008A3CED" w:rsidRDefault="008A3CED" w:rsidP="008A3CED">
      <w:pPr>
        <w:pStyle w:val="Paragrafi0"/>
        <w:rPr>
          <w:lang w:val="it-IT"/>
        </w:rPr>
      </w:pPr>
      <w:r w:rsidRPr="008A3CED">
        <w:rPr>
          <w:lang w:val="it-IT"/>
        </w:rPr>
        <w:t>Kjo është arsyeja pse ligjvënësi lejoi shqyrtimin në raste të përcaktuara qartë, të cilat përcaktohen qartë në një dispozitë të veçantë të KPP, veçanërisht në</w:t>
      </w:r>
      <w:r w:rsidR="00FC065E">
        <w:rPr>
          <w:lang w:val="it-IT"/>
        </w:rPr>
        <w:t xml:space="preserve"> nenin </w:t>
      </w:r>
      <w:r w:rsidRPr="008A3CED">
        <w:rPr>
          <w:lang w:val="it-IT"/>
        </w:rPr>
        <w:t>450 (…). Sipas kësaj dispozite, shqyrtimi mund të kërkohet nga palët vetëm nëse ekziston një nga kushtet të parashikuara qartë në të.”</w:t>
      </w:r>
      <w:r w:rsidR="00C96E8D">
        <w:rPr>
          <w:lang w:val="it-IT"/>
        </w:rPr>
        <w:t>.</w:t>
      </w:r>
    </w:p>
    <w:p w:rsidR="008A3CED" w:rsidRPr="008A3CED" w:rsidRDefault="008A3CED" w:rsidP="008A3CED">
      <w:pPr>
        <w:pStyle w:val="Paragrafi0"/>
        <w:rPr>
          <w:lang w:val="it-IT"/>
        </w:rPr>
      </w:pPr>
      <w:r w:rsidRPr="008A3CED">
        <w:rPr>
          <w:lang w:val="it-IT"/>
        </w:rPr>
        <w:t>B. E drejta ndërkombëtare përkatëse</w:t>
      </w:r>
    </w:p>
    <w:p w:rsidR="008A3CED" w:rsidRPr="008A3CED" w:rsidRDefault="00C96E8D" w:rsidP="008A3CED">
      <w:pPr>
        <w:pStyle w:val="Paragrafi0"/>
        <w:rPr>
          <w:lang w:val="it-IT"/>
        </w:rPr>
      </w:pPr>
      <w:r>
        <w:rPr>
          <w:lang w:val="it-IT"/>
        </w:rPr>
        <w:t>1. Rekomandimi n</w:t>
      </w:r>
      <w:r w:rsidR="008A3CED" w:rsidRPr="008A3CED">
        <w:rPr>
          <w:lang w:val="it-IT"/>
        </w:rPr>
        <w:t>r. R (2000) 2 i Komitetit të Ministrave të Këshillit të Europës për shtetet anëtare mbi rishqyrtimin apo rihapjen e çështjeve të caktuara në nivel vendi pas vendimeve të Gjykatës Europiane të të Drejtave të Njeriut.</w:t>
      </w:r>
    </w:p>
    <w:bookmarkStart w:id="6" w:name="recommendation2000"/>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33</w:t>
      </w:r>
      <w:r w:rsidRPr="00D45111">
        <w:fldChar w:fldCharType="end"/>
      </w:r>
      <w:bookmarkEnd w:id="6"/>
      <w:r w:rsidRPr="008A3CED">
        <w:rPr>
          <w:lang w:val="it-IT"/>
        </w:rPr>
        <w:t xml:space="preserve">.  Më 19 </w:t>
      </w:r>
      <w:r w:rsidR="00C96E8D" w:rsidRPr="008A3CED">
        <w:rPr>
          <w:lang w:val="it-IT"/>
        </w:rPr>
        <w:t xml:space="preserve">janar </w:t>
      </w:r>
      <w:r w:rsidRPr="008A3CED">
        <w:rPr>
          <w:lang w:val="it-IT"/>
        </w:rPr>
        <w:t xml:space="preserve">2000, në takimin e 694 të </w:t>
      </w:r>
      <w:r w:rsidR="00C96E8D">
        <w:rPr>
          <w:lang w:val="it-IT"/>
        </w:rPr>
        <w:t>zëvendësm</w:t>
      </w:r>
      <w:r w:rsidRPr="008A3CED">
        <w:rPr>
          <w:lang w:val="it-IT"/>
        </w:rPr>
        <w:t>inistrave, Komiteti i Ministrave të Këshillit t</w:t>
      </w:r>
      <w:r w:rsidR="00C96E8D">
        <w:rPr>
          <w:lang w:val="it-IT"/>
        </w:rPr>
        <w:t>ë Europës miratoi Rekomandimin n</w:t>
      </w:r>
      <w:r w:rsidRPr="008A3CED">
        <w:rPr>
          <w:lang w:val="it-IT"/>
        </w:rPr>
        <w:t>r. R (2000) 2 mbi rishqyrtimin dhe rihapjen e çështjeve të caktuara në nivel vendi pas vendimeve të Gjykatës Europiane të të Drejtave të Njeriut:</w:t>
      </w:r>
    </w:p>
    <w:p w:rsidR="00251DB5" w:rsidRDefault="008A3CED" w:rsidP="008A3CED">
      <w:pPr>
        <w:pStyle w:val="Paragrafi0"/>
        <w:rPr>
          <w:lang w:val="it-IT"/>
        </w:rPr>
      </w:pPr>
      <w:r w:rsidRPr="008A3CED">
        <w:rPr>
          <w:lang w:val="it-IT"/>
        </w:rPr>
        <w:t>“Komiteti i Ministrave, sipas kushteve të</w:t>
      </w:r>
      <w:r w:rsidR="002E4B93">
        <w:rPr>
          <w:lang w:val="it-IT"/>
        </w:rPr>
        <w:t xml:space="preserve"> nenit </w:t>
      </w:r>
      <w:r w:rsidRPr="008A3CED">
        <w:rPr>
          <w:lang w:val="it-IT"/>
        </w:rPr>
        <w:t>15.b të Statutit të Këshillit të Europës</w:t>
      </w:r>
      <w:r w:rsidR="00C96E8D">
        <w:rPr>
          <w:lang w:val="it-IT"/>
        </w:rPr>
        <w:t>;</w:t>
      </w:r>
      <w:r w:rsidRPr="008A3CED">
        <w:rPr>
          <w:lang w:val="it-IT"/>
        </w:rPr>
        <w:t xml:space="preserve"> </w:t>
      </w:r>
    </w:p>
    <w:p w:rsidR="008A3CED" w:rsidRPr="008A3CED" w:rsidRDefault="008A3CED" w:rsidP="008A3CED">
      <w:pPr>
        <w:pStyle w:val="Paragrafi0"/>
        <w:rPr>
          <w:lang w:val="it-IT"/>
        </w:rPr>
      </w:pPr>
      <w:r w:rsidRPr="008A3CED">
        <w:rPr>
          <w:lang w:val="it-IT"/>
        </w:rPr>
        <w:t>Duke pasur parasysh se qëllimi i Këshillit të Europës është që të sjellë një bashkim më të ngushtë ndërmjet anëtarëve të saj;</w:t>
      </w:r>
    </w:p>
    <w:p w:rsidR="008A3CED" w:rsidRPr="008A3CED" w:rsidRDefault="008A3CED" w:rsidP="008A3CED">
      <w:pPr>
        <w:pStyle w:val="Paragrafi0"/>
        <w:rPr>
          <w:lang w:val="it-IT"/>
        </w:rPr>
      </w:pPr>
      <w:r w:rsidRPr="008A3CED">
        <w:rPr>
          <w:lang w:val="it-IT"/>
        </w:rPr>
        <w:t xml:space="preserve">Duke pasur parasysh Konventën për mbrojtjen e të Drejtave të Njeriut dhe Lirive Themelore (e njohur më tej </w:t>
      </w:r>
      <w:r w:rsidR="00C96E8D">
        <w:rPr>
          <w:lang w:val="it-IT"/>
        </w:rPr>
        <w:t>Konventa</w:t>
      </w:r>
      <w:r w:rsidRPr="008A3CED">
        <w:rPr>
          <w:lang w:val="it-IT"/>
        </w:rPr>
        <w:t>);</w:t>
      </w:r>
    </w:p>
    <w:p w:rsidR="008A3CED" w:rsidRPr="008A3CED" w:rsidRDefault="008A3CED" w:rsidP="008A3CED">
      <w:pPr>
        <w:pStyle w:val="Paragrafi0"/>
        <w:rPr>
          <w:lang w:val="it-IT"/>
        </w:rPr>
      </w:pPr>
      <w:r w:rsidRPr="008A3CED">
        <w:rPr>
          <w:lang w:val="it-IT"/>
        </w:rPr>
        <w:t>Duke vënë në dukje se në bazë të</w:t>
      </w:r>
      <w:r w:rsidR="002E4B93">
        <w:rPr>
          <w:lang w:val="it-IT"/>
        </w:rPr>
        <w:t xml:space="preserve"> nenit </w:t>
      </w:r>
      <w:r w:rsidRPr="008A3CED">
        <w:rPr>
          <w:lang w:val="it-IT"/>
        </w:rPr>
        <w:t>46 të Konventës për të Drejtat e</w:t>
      </w:r>
      <w:r w:rsidR="00C96E8D">
        <w:rPr>
          <w:lang w:val="it-IT"/>
        </w:rPr>
        <w:t xml:space="preserve"> Njeriut dhe Liritë Themelore (</w:t>
      </w:r>
      <w:r w:rsidRPr="008A3CED">
        <w:rPr>
          <w:lang w:val="it-IT"/>
        </w:rPr>
        <w:t>Konventa) Palët Kontraktuese kanë pranuar detyrimin që t’i përmbahen vendimit përfundimtar të Gjykatës Europiane të të Drejtave të Njeriut dhe Lirive Themelore në çdo çështje në të cilën ata janë palë dhe që Komiteti i Ministrave mbikëqyr zbatimin e tij;</w:t>
      </w:r>
    </w:p>
    <w:p w:rsidR="008A3CED" w:rsidRPr="008A3CED" w:rsidRDefault="008A3CED" w:rsidP="008A3CED">
      <w:pPr>
        <w:pStyle w:val="Paragrafi0"/>
        <w:rPr>
          <w:lang w:val="it-IT"/>
        </w:rPr>
      </w:pPr>
      <w:r w:rsidRPr="008A3CED">
        <w:rPr>
          <w:lang w:val="it-IT"/>
        </w:rPr>
        <w:t>Duke sjellë në mendje se në rrethana të caktuara detyrimi i lartpërmendur mund të sjellë miratimin e masave, të ndryshme nga dëmshpërblimi i drejtë dhënë nga Gjykata në përputhje me</w:t>
      </w:r>
      <w:r w:rsidR="00FC065E">
        <w:rPr>
          <w:lang w:val="it-IT"/>
        </w:rPr>
        <w:t xml:space="preserve"> nenin </w:t>
      </w:r>
      <w:r w:rsidRPr="008A3CED">
        <w:rPr>
          <w:lang w:val="it-IT"/>
        </w:rPr>
        <w:t>41 të Konventës dhe/ose masa të përgjithshme, të cilat sigurojnë që pala e dëmtuar është vënë sa është e mundur në të njëjtën situatë që ishte para shkeljes së Konventës (</w:t>
      </w:r>
      <w:r w:rsidRPr="00C96E8D">
        <w:rPr>
          <w:i/>
          <w:lang w:val="it-IT"/>
        </w:rPr>
        <w:t>restitutio in integrum</w:t>
      </w:r>
      <w:r w:rsidRPr="008A3CED">
        <w:rPr>
          <w:lang w:val="it-IT"/>
        </w:rPr>
        <w:t>);</w:t>
      </w:r>
    </w:p>
    <w:p w:rsidR="008A3CED" w:rsidRPr="008A3CED" w:rsidRDefault="008A3CED" w:rsidP="008A3CED">
      <w:pPr>
        <w:pStyle w:val="Paragrafi0"/>
        <w:rPr>
          <w:lang w:val="it-IT"/>
        </w:rPr>
      </w:pPr>
      <w:r w:rsidRPr="008A3CED">
        <w:rPr>
          <w:lang w:val="it-IT"/>
        </w:rPr>
        <w:t xml:space="preserve">Duke vënë në dukje se i takon autoriteteve kompetente të Shtetit të paditur që të vendosë se çfarë masash janë më të përshtatshme për të arritur </w:t>
      </w:r>
      <w:r w:rsidRPr="00C96E8D">
        <w:rPr>
          <w:i/>
          <w:lang w:val="it-IT"/>
        </w:rPr>
        <w:t>restitutio in integrum</w:t>
      </w:r>
      <w:r w:rsidRPr="008A3CED">
        <w:rPr>
          <w:lang w:val="it-IT"/>
        </w:rPr>
        <w:t>, duke marrë parasysh mjetet në dispozicion sipas sistemit ligjor kombëtar;</w:t>
      </w:r>
    </w:p>
    <w:p w:rsidR="00AB2049" w:rsidRDefault="00AB2049" w:rsidP="008A3CED">
      <w:pPr>
        <w:pStyle w:val="Paragrafi0"/>
        <w:rPr>
          <w:lang w:val="it-IT"/>
        </w:rPr>
      </w:pPr>
    </w:p>
    <w:p w:rsidR="00AB2049" w:rsidRDefault="00AB2049" w:rsidP="008A3CED">
      <w:pPr>
        <w:pStyle w:val="Paragrafi0"/>
        <w:rPr>
          <w:lang w:val="it-IT"/>
        </w:rPr>
      </w:pPr>
    </w:p>
    <w:p w:rsidR="00AB2049" w:rsidRDefault="00AB2049" w:rsidP="008A3CED">
      <w:pPr>
        <w:pStyle w:val="Paragrafi0"/>
        <w:rPr>
          <w:lang w:val="it-IT"/>
        </w:rPr>
      </w:pPr>
    </w:p>
    <w:p w:rsidR="008A3CED" w:rsidRPr="008A3CED" w:rsidRDefault="008A3CED" w:rsidP="008A3CED">
      <w:pPr>
        <w:pStyle w:val="Paragrafi0"/>
        <w:rPr>
          <w:lang w:val="it-IT"/>
        </w:rPr>
      </w:pPr>
      <w:r w:rsidRPr="008A3CED">
        <w:rPr>
          <w:lang w:val="it-IT"/>
        </w:rPr>
        <w:t xml:space="preserve">Duke sjellë në mendje, megjithatë, që praktika e Komitetit të Ministrave në mbikëqyrjen e ekzekutimit të vendimeve të Gjykatës tregon që në rrethana të veçanta rishqyrtimi i çështjes apo rihapja e procedurave ka provuar të jetë më efikas, nëse jo, i vetmi mjet për arritjen e </w:t>
      </w:r>
      <w:r w:rsidRPr="00EE578A">
        <w:rPr>
          <w:i/>
          <w:lang w:val="it-IT"/>
        </w:rPr>
        <w:t>restitutio in integrum</w:t>
      </w:r>
      <w:r w:rsidRPr="008A3CED">
        <w:rPr>
          <w:lang w:val="it-IT"/>
        </w:rPr>
        <w:t>;</w:t>
      </w:r>
    </w:p>
    <w:p w:rsidR="008A3CED" w:rsidRPr="008A3CED" w:rsidRDefault="008A3CED" w:rsidP="008A3CED">
      <w:pPr>
        <w:pStyle w:val="Paragrafi0"/>
        <w:rPr>
          <w:lang w:val="it-IT"/>
        </w:rPr>
      </w:pPr>
      <w:r w:rsidRPr="008A3CED">
        <w:rPr>
          <w:lang w:val="it-IT"/>
        </w:rPr>
        <w:t xml:space="preserve">I.    Fton, Palët Kontraktuese që në dritën e këtyre konsideratave të sigurojnë ekzistencën në nivel kombëtar të mundësive të mjaftueshme për të arritur, sa më shumë të jetë e mundur, </w:t>
      </w:r>
      <w:r w:rsidRPr="00B67162">
        <w:rPr>
          <w:i/>
          <w:lang w:val="it-IT"/>
        </w:rPr>
        <w:t>restitutio in integrum</w:t>
      </w:r>
      <w:r w:rsidRPr="008A3CED">
        <w:rPr>
          <w:lang w:val="it-IT"/>
        </w:rPr>
        <w:t>;</w:t>
      </w:r>
    </w:p>
    <w:p w:rsidR="008A3CED" w:rsidRPr="008A3CED" w:rsidRDefault="008A3CED" w:rsidP="008A3CED">
      <w:pPr>
        <w:pStyle w:val="Paragrafi0"/>
        <w:rPr>
          <w:lang w:val="it-IT"/>
        </w:rPr>
      </w:pPr>
      <w:r w:rsidRPr="008A3CED">
        <w:rPr>
          <w:lang w:val="it-IT"/>
        </w:rPr>
        <w:t>II.   Nxit Palët Kontraktuese, në veçanti, që të shqyrtojnë sistemet e tyre kombëtare ligjore me qëllim që të sigurojnë ekzistencën e mundësive të mjaftueshme për rishqyrtimin e çështjes, duke përfshirë rihapjen e procedimeve, në rastet ku Gjykata ka konstatuar shkelje të Konventës, veçanërisht ku:</w:t>
      </w:r>
    </w:p>
    <w:p w:rsidR="008A3CED" w:rsidRPr="008A3CED" w:rsidRDefault="008A3CED" w:rsidP="008A3CED">
      <w:pPr>
        <w:pStyle w:val="Paragrafi0"/>
        <w:rPr>
          <w:lang w:val="it-IT"/>
        </w:rPr>
      </w:pPr>
      <w:r w:rsidRPr="008A3CED">
        <w:rPr>
          <w:lang w:val="it-IT"/>
        </w:rPr>
        <w:t>i) pala e dëmtuar vazhdon të vuajë pasoja shumë të rënda negative si pasojë e rezultatit të vendimit vendas për çështjen, të cilat nuk rregullohen në mënyrë të mjaftueshme nga shpërblimi í drejtë dhe</w:t>
      </w:r>
      <w:r w:rsidR="00B67162">
        <w:rPr>
          <w:lang w:val="it-IT"/>
        </w:rPr>
        <w:t xml:space="preserve"> nuk mund të korrigjohen përveç</w:t>
      </w:r>
      <w:r w:rsidRPr="008A3CED">
        <w:rPr>
          <w:lang w:val="it-IT"/>
        </w:rPr>
        <w:t>se me rishqyrtim apo rihapje</w:t>
      </w:r>
      <w:r w:rsidR="00B67162">
        <w:rPr>
          <w:lang w:val="it-IT"/>
        </w:rPr>
        <w:t>;</w:t>
      </w:r>
      <w:r w:rsidRPr="008A3CED">
        <w:rPr>
          <w:lang w:val="it-IT"/>
        </w:rPr>
        <w:t xml:space="preserve"> dhe </w:t>
      </w:r>
    </w:p>
    <w:p w:rsidR="008A3CED" w:rsidRPr="008A3CED" w:rsidRDefault="008A3CED" w:rsidP="008A3CED">
      <w:pPr>
        <w:pStyle w:val="Paragrafi0"/>
        <w:rPr>
          <w:lang w:val="it-IT"/>
        </w:rPr>
      </w:pPr>
      <w:r w:rsidRPr="008A3CED">
        <w:rPr>
          <w:lang w:val="it-IT"/>
        </w:rPr>
        <w:t>ii) vendimi i Gjykatës të çon në përfundimin se</w:t>
      </w:r>
    </w:p>
    <w:p w:rsidR="008A3CED" w:rsidRPr="008A3CED" w:rsidRDefault="008A3CED" w:rsidP="008A3CED">
      <w:pPr>
        <w:pStyle w:val="Paragrafi0"/>
        <w:rPr>
          <w:lang w:val="it-IT"/>
        </w:rPr>
      </w:pPr>
      <w:r w:rsidRPr="008A3CED">
        <w:rPr>
          <w:lang w:val="it-IT"/>
        </w:rPr>
        <w:t xml:space="preserve">a) vendimi vendas i kundërshtuar është në themel në </w:t>
      </w:r>
      <w:r w:rsidR="00B67162">
        <w:rPr>
          <w:lang w:val="it-IT"/>
        </w:rPr>
        <w:t>kundërshtim me Konventën;</w:t>
      </w:r>
      <w:r w:rsidRPr="008A3CED">
        <w:rPr>
          <w:lang w:val="it-IT"/>
        </w:rPr>
        <w:t xml:space="preserve"> ose </w:t>
      </w:r>
    </w:p>
    <w:p w:rsidR="008A3CED" w:rsidRPr="008A3CED" w:rsidRDefault="008A3CED" w:rsidP="008A3CED">
      <w:pPr>
        <w:pStyle w:val="Paragrafi0"/>
        <w:rPr>
          <w:lang w:val="it-IT"/>
        </w:rPr>
      </w:pPr>
      <w:r w:rsidRPr="008A3CED">
        <w:rPr>
          <w:lang w:val="it-IT"/>
        </w:rPr>
        <w:t>b) shkelja e konstatuar bazohet në gabime procedurale ose mangësi të një rëndësie të tillë saqë hidhet dyshim serioz mbi rezultatin e procedimeve vendase të ankimuara.”</w:t>
      </w:r>
      <w:r w:rsidR="00C07936">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34</w:t>
      </w:r>
      <w:r w:rsidRPr="00D45111">
        <w:fldChar w:fldCharType="end"/>
      </w:r>
      <w:r w:rsidRPr="008A3CED">
        <w:rPr>
          <w:lang w:val="it-IT"/>
        </w:rPr>
        <w:t>.  Memorandumi shpjegues mbi Rekomandimin R (2000) 2 në lidhje me këtë çështje parashikon, se:</w:t>
      </w:r>
    </w:p>
    <w:p w:rsidR="008A3CED" w:rsidRPr="008A3CED" w:rsidRDefault="008A3CED" w:rsidP="008A3CED">
      <w:pPr>
        <w:pStyle w:val="Paragrafi0"/>
        <w:rPr>
          <w:lang w:val="it-IT"/>
        </w:rPr>
      </w:pPr>
      <w:r w:rsidRPr="008A3CED">
        <w:rPr>
          <w:lang w:val="it-IT"/>
        </w:rPr>
        <w:t xml:space="preserve">“...Paragrafi 1 përcakton parimin bazë sipas rekomandimit që të gjitha viktimave të shkeljeve të Konventës duhet t’u njihet e drejta, sa të jetë e mundur, për një </w:t>
      </w:r>
      <w:r w:rsidRPr="00257240">
        <w:rPr>
          <w:i/>
          <w:lang w:val="it-IT"/>
        </w:rPr>
        <w:t>restitutio in integrum</w:t>
      </w:r>
      <w:r w:rsidRPr="008A3CED">
        <w:rPr>
          <w:lang w:val="it-IT"/>
        </w:rPr>
        <w:t xml:space="preserve"> efektiv. Për rrjedhojë, Palët Kontraktuese duhet të shqyrtojnë sistemet e tyre ligjore me qëllim që të sigurojnë ekzistencën e mundësive të duhura.</w:t>
      </w:r>
      <w:r w:rsidR="00257240">
        <w:rPr>
          <w:lang w:val="it-IT"/>
        </w:rPr>
        <w:t>..”.</w:t>
      </w:r>
    </w:p>
    <w:p w:rsidR="008A3CED" w:rsidRPr="008A3CED" w:rsidRDefault="008A3CED" w:rsidP="008A3CED">
      <w:pPr>
        <w:pStyle w:val="Paragrafi0"/>
        <w:rPr>
          <w:lang w:val="it-IT"/>
        </w:rPr>
      </w:pPr>
      <w:r w:rsidRPr="008A3CED">
        <w:rPr>
          <w:lang w:val="it-IT"/>
        </w:rPr>
        <w:t xml:space="preserve">2.  Detyrimet e </w:t>
      </w:r>
      <w:r w:rsidR="00257240" w:rsidRPr="008A3CED">
        <w:rPr>
          <w:lang w:val="it-IT"/>
        </w:rPr>
        <w:t xml:space="preserve">shteteve </w:t>
      </w:r>
      <w:r w:rsidRPr="008A3CED">
        <w:rPr>
          <w:lang w:val="it-IT"/>
        </w:rPr>
        <w:t>sipas të drejtës ndërkombëtare të përgjithshme</w:t>
      </w:r>
    </w:p>
    <w:bookmarkStart w:id="7" w:name="Article35"/>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35</w:t>
      </w:r>
      <w:r w:rsidRPr="00D45111">
        <w:fldChar w:fldCharType="end"/>
      </w:r>
      <w:bookmarkEnd w:id="7"/>
      <w:r w:rsidRPr="008A3CED">
        <w:rPr>
          <w:lang w:val="it-IT"/>
        </w:rPr>
        <w:t xml:space="preserve">.  Neni 35 i </w:t>
      </w:r>
      <w:r w:rsidR="00257240" w:rsidRPr="008A3CED">
        <w:rPr>
          <w:lang w:val="it-IT"/>
        </w:rPr>
        <w:t xml:space="preserve">projekt neneve </w:t>
      </w:r>
      <w:r w:rsidRPr="008A3CED">
        <w:rPr>
          <w:lang w:val="it-IT"/>
        </w:rPr>
        <w:t xml:space="preserve">të Komisionit të së Drejtës Ndërkombëtare mbi Përgjegjësinë e Shteteve për Akte të Paligjshme Ndërkombëtare (miratuar nga Asambleja e Përgjithshme në sesionin e saj të 53-të (2001), dhe paraqitur në </w:t>
      </w:r>
      <w:r w:rsidR="00257240" w:rsidRPr="008A3CED">
        <w:rPr>
          <w:lang w:val="it-IT"/>
        </w:rPr>
        <w:t xml:space="preserve">të dhënat zyrtare </w:t>
      </w:r>
      <w:r w:rsidR="00C07936">
        <w:rPr>
          <w:lang w:val="it-IT"/>
        </w:rPr>
        <w:t>të Asamblesë</w:t>
      </w:r>
      <w:r w:rsidRPr="008A3CED">
        <w:rPr>
          <w:lang w:val="it-IT"/>
        </w:rPr>
        <w:t xml:space="preserve"> së Përgjithshme, Sesioni i 56-të, </w:t>
      </w:r>
      <w:r w:rsidR="00257240" w:rsidRPr="008A3CED">
        <w:rPr>
          <w:lang w:val="it-IT"/>
        </w:rPr>
        <w:t xml:space="preserve">shtojca nr. </w:t>
      </w:r>
      <w:r w:rsidRPr="008A3CED">
        <w:rPr>
          <w:lang w:val="it-IT"/>
        </w:rPr>
        <w:t>10 (A/56/10)) formulohet si më poshtë:</w:t>
      </w:r>
    </w:p>
    <w:p w:rsidR="008A3CED" w:rsidRPr="008A3CED" w:rsidRDefault="008A3CED" w:rsidP="008A3CED">
      <w:pPr>
        <w:pStyle w:val="Paragrafi0"/>
        <w:rPr>
          <w:lang w:val="it-IT"/>
        </w:rPr>
      </w:pPr>
      <w:r w:rsidRPr="008A3CED">
        <w:rPr>
          <w:lang w:val="it-IT"/>
        </w:rPr>
        <w:t>Neni 35: Dëmshpërblimi</w:t>
      </w:r>
    </w:p>
    <w:p w:rsidR="008A3CED" w:rsidRPr="008A3CED" w:rsidRDefault="008A3CED" w:rsidP="008A3CED">
      <w:pPr>
        <w:pStyle w:val="Paragrafi0"/>
        <w:rPr>
          <w:lang w:val="it-IT"/>
        </w:rPr>
      </w:pPr>
      <w:r w:rsidRPr="008A3CED">
        <w:rPr>
          <w:lang w:val="it-IT"/>
        </w:rPr>
        <w:t>“Një shtet përgjegjës për një akt të paligjshëm ndërkombëtar ka detyrim</w:t>
      </w:r>
      <w:r w:rsidR="00257240">
        <w:rPr>
          <w:lang w:val="it-IT"/>
        </w:rPr>
        <w:t>in të dëmshpërblejë, pra, të ri</w:t>
      </w:r>
      <w:r w:rsidRPr="008A3CED">
        <w:rPr>
          <w:lang w:val="it-IT"/>
        </w:rPr>
        <w:t>përcaktojë situatën që ekzistonte përpara kryerjes së aktit të paligjshëm ndërkombëtar, me kusht dhe në masën që dëmshpërblimi:</w:t>
      </w:r>
    </w:p>
    <w:p w:rsidR="008A3CED" w:rsidRPr="008A3CED" w:rsidRDefault="008A3CED" w:rsidP="008A3CED">
      <w:pPr>
        <w:pStyle w:val="Paragrafi0"/>
        <w:rPr>
          <w:lang w:val="it-IT"/>
        </w:rPr>
      </w:pPr>
      <w:r w:rsidRPr="008A3CED">
        <w:rPr>
          <w:lang w:val="it-IT"/>
        </w:rPr>
        <w:t>a)  nuk është materialisht i pamundur;</w:t>
      </w:r>
    </w:p>
    <w:p w:rsidR="008A3CED" w:rsidRPr="008A3CED" w:rsidRDefault="008A3CED" w:rsidP="008A3CED">
      <w:pPr>
        <w:pStyle w:val="Paragrafi0"/>
        <w:rPr>
          <w:lang w:val="it-IT"/>
        </w:rPr>
      </w:pPr>
      <w:r w:rsidRPr="008A3CED">
        <w:rPr>
          <w:lang w:val="it-IT"/>
        </w:rPr>
        <w:t>b)  nuk përfshin një barrë nga e gjithë pjesa e përfituar që rrjedh nga dëmshpërblimi në vend të kompensimit.”</w:t>
      </w:r>
      <w:r w:rsidR="00C07936">
        <w:rPr>
          <w:lang w:val="it-IT"/>
        </w:rPr>
        <w:t>.</w:t>
      </w:r>
    </w:p>
    <w:p w:rsidR="008A3CED" w:rsidRPr="00AB2049" w:rsidRDefault="008A3CED" w:rsidP="008A3CED">
      <w:pPr>
        <w:pStyle w:val="Paragrafi0"/>
        <w:rPr>
          <w:sz w:val="14"/>
          <w:lang w:val="it-IT"/>
        </w:rPr>
      </w:pPr>
    </w:p>
    <w:p w:rsidR="008A3CED" w:rsidRPr="008A3CED" w:rsidRDefault="008A3CED" w:rsidP="008A3CED">
      <w:pPr>
        <w:pStyle w:val="Paragrafi0"/>
        <w:rPr>
          <w:lang w:val="it-IT"/>
        </w:rPr>
      </w:pPr>
      <w:r w:rsidRPr="008A3CED">
        <w:rPr>
          <w:lang w:val="it-IT"/>
        </w:rPr>
        <w:t>E DREJTA</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36</w:t>
      </w:r>
      <w:r w:rsidRPr="00D45111">
        <w:fldChar w:fldCharType="end"/>
      </w:r>
      <w:r w:rsidRPr="008A3CED">
        <w:rPr>
          <w:lang w:val="it-IT"/>
        </w:rPr>
        <w:t>.  Ankuesit u ankuan sipas</w:t>
      </w:r>
      <w:r w:rsidR="002E4B93">
        <w:rPr>
          <w:lang w:val="it-IT"/>
        </w:rPr>
        <w:t xml:space="preserve"> nenit </w:t>
      </w:r>
      <w:r w:rsidRPr="008A3CED">
        <w:rPr>
          <w:lang w:val="it-IT"/>
        </w:rPr>
        <w:t xml:space="preserve">3 të Konventës se i janë nënshtruar keqtrajtimit gjatë marrjes në pyetje nga policia për t’i detyruar ata të pranojnë shkeljet e pretenduara. </w:t>
      </w:r>
    </w:p>
    <w:p w:rsidR="008A3CED" w:rsidRPr="008A3CED" w:rsidRDefault="008A3CED" w:rsidP="008A3CED">
      <w:pPr>
        <w:pStyle w:val="Paragrafi0"/>
        <w:rPr>
          <w:lang w:val="it-IT"/>
        </w:rPr>
      </w:pPr>
      <w:r w:rsidRPr="008A3CED">
        <w:rPr>
          <w:lang w:val="it-IT"/>
        </w:rPr>
        <w:t>Neni 3 i Konventës parashikon:</w:t>
      </w:r>
    </w:p>
    <w:p w:rsidR="008A3CED" w:rsidRPr="008A3CED" w:rsidRDefault="008A3CED" w:rsidP="008A3CED">
      <w:pPr>
        <w:pStyle w:val="Paragrafi0"/>
        <w:rPr>
          <w:lang w:val="it-IT"/>
        </w:rPr>
      </w:pPr>
      <w:r w:rsidRPr="008A3CED">
        <w:rPr>
          <w:lang w:val="it-IT"/>
        </w:rPr>
        <w:t>“Askush nuk duhet t’i nënshtrohet torturës ose trajtimit çnjerëzor ose degradues ose dënimit.”</w:t>
      </w:r>
      <w:r w:rsidR="00257240">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37</w:t>
      </w:r>
      <w:r w:rsidRPr="00D45111">
        <w:fldChar w:fldCharType="end"/>
      </w:r>
      <w:r w:rsidRPr="008A3CED">
        <w:rPr>
          <w:lang w:val="it-IT"/>
        </w:rPr>
        <w:t>.  Gjithashtu, ata u ankuan për padrejtësi të procedimeve gjyqësore kundër tyre sipas</w:t>
      </w:r>
      <w:r w:rsidR="002E4B93">
        <w:rPr>
          <w:lang w:val="it-IT"/>
        </w:rPr>
        <w:t xml:space="preserve"> nenit </w:t>
      </w:r>
      <w:r w:rsidRPr="008A3CED">
        <w:rPr>
          <w:lang w:val="it-IT"/>
        </w:rPr>
        <w:t>6 § 1 të Konventës.</w:t>
      </w:r>
    </w:p>
    <w:p w:rsidR="008A3CED" w:rsidRPr="008A3CED" w:rsidRDefault="008A3CED" w:rsidP="008A3CED">
      <w:pPr>
        <w:pStyle w:val="Paragrafi0"/>
        <w:rPr>
          <w:lang w:val="it-IT"/>
        </w:rPr>
      </w:pPr>
      <w:r w:rsidRPr="008A3CED">
        <w:rPr>
          <w:lang w:val="it-IT"/>
        </w:rPr>
        <w:t>Neni 6 § 1 i Konventës, në lidhje me këtë çështje, vijon:</w:t>
      </w:r>
    </w:p>
    <w:p w:rsidR="008A3CED" w:rsidRPr="008A3CED" w:rsidRDefault="008A3CED" w:rsidP="008A3CED">
      <w:pPr>
        <w:pStyle w:val="Paragrafi0"/>
        <w:rPr>
          <w:lang w:val="it-IT"/>
        </w:rPr>
      </w:pPr>
      <w:r w:rsidRPr="008A3CED">
        <w:rPr>
          <w:lang w:val="it-IT"/>
        </w:rPr>
        <w:t>“</w:t>
      </w:r>
      <w:r w:rsidR="00257240" w:rsidRPr="008A3CED">
        <w:rPr>
          <w:lang w:val="it-IT"/>
        </w:rPr>
        <w:t xml:space="preserve">Në </w:t>
      </w:r>
      <w:r w:rsidRPr="008A3CED">
        <w:rPr>
          <w:lang w:val="it-IT"/>
        </w:rPr>
        <w:t>përcaktimin e ... çdo akuze penale kundrejt tij, çdo person ka të drejtën e një procesi  ... të drejtë ligjor ... nga [një] ... gjykatë ...”</w:t>
      </w:r>
      <w:r w:rsidR="00257240">
        <w:rPr>
          <w:lang w:val="it-IT"/>
        </w:rPr>
        <w:t>.</w:t>
      </w:r>
    </w:p>
    <w:p w:rsid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I. BASHKIMI I ANKIMEVE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38</w:t>
      </w:r>
      <w:r w:rsidRPr="00D45111">
        <w:fldChar w:fldCharType="end"/>
      </w:r>
      <w:r w:rsidRPr="008A3CED">
        <w:rPr>
          <w:lang w:val="it-IT"/>
        </w:rPr>
        <w:t xml:space="preserve">.  Duke pasur parasysh se dy ankimet kanë të bëjnë me të njëjtat fakte, ankesa dhe procedime gjyqësore, Gjykata vendos që ato duhet të bashkohen sipas </w:t>
      </w:r>
      <w:r w:rsidR="00257240" w:rsidRPr="008A3CED">
        <w:rPr>
          <w:lang w:val="it-IT"/>
        </w:rPr>
        <w:t xml:space="preserve">rregullit </w:t>
      </w:r>
      <w:r w:rsidRPr="008A3CED">
        <w:rPr>
          <w:lang w:val="it-IT"/>
        </w:rPr>
        <w:t xml:space="preserve">42 § 1 të </w:t>
      </w:r>
      <w:r w:rsidR="00257240" w:rsidRPr="008A3CED">
        <w:rPr>
          <w:lang w:val="it-IT"/>
        </w:rPr>
        <w:t xml:space="preserve">rregullores </w:t>
      </w:r>
      <w:r w:rsidRPr="008A3CED">
        <w:rPr>
          <w:lang w:val="it-IT"/>
        </w:rPr>
        <w:t>së Gjykatës.</w:t>
      </w:r>
    </w:p>
    <w:p w:rsidR="008A3CED" w:rsidRPr="008A3CED" w:rsidRDefault="008A3CED" w:rsidP="008A3CED">
      <w:pPr>
        <w:pStyle w:val="Paragrafi0"/>
        <w:rPr>
          <w:lang w:val="it-IT"/>
        </w:rPr>
      </w:pPr>
      <w:r w:rsidRPr="008A3CED">
        <w:rPr>
          <w:lang w:val="it-IT"/>
        </w:rPr>
        <w:t>II. PRANUESHMËRIA E ANKESAVE</w:t>
      </w:r>
    </w:p>
    <w:p w:rsidR="008A3CED" w:rsidRPr="008A3CED" w:rsidRDefault="008A3CED" w:rsidP="008A3CED">
      <w:pPr>
        <w:pStyle w:val="Paragrafi0"/>
        <w:rPr>
          <w:lang w:val="it-IT"/>
        </w:rPr>
      </w:pPr>
      <w:r w:rsidRPr="008A3CED">
        <w:rPr>
          <w:lang w:val="it-IT"/>
        </w:rPr>
        <w:t>A.  Ankesa për keqtrajtim të pretenduar nga oficerët e policisë</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39</w:t>
      </w:r>
      <w:r w:rsidRPr="00D45111">
        <w:fldChar w:fldCharType="end"/>
      </w:r>
      <w:r w:rsidRPr="008A3CED">
        <w:rPr>
          <w:lang w:val="it-IT"/>
        </w:rPr>
        <w:t xml:space="preserve">.  Pala Shqiptare parashtroi që ankuesit nuk i kanë raportuar autoriteteve pretendimet e tyre për keqtrajtim gjatë hetimit penal. Ata nuk kanë shprehur këtë ankesë as gjatë apelimeve të tyre në Gjykatën e Apelit dhe Gjykatën e Lartë.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40</w:t>
      </w:r>
      <w:r w:rsidRPr="00D45111">
        <w:fldChar w:fldCharType="end"/>
      </w:r>
      <w:r w:rsidRPr="008A3CED">
        <w:rPr>
          <w:lang w:val="it-IT"/>
        </w:rPr>
        <w:t>.  Ankuesit pohuan që, në rrethanat e çështjes,</w:t>
      </w:r>
      <w:r w:rsidR="00E624A7">
        <w:rPr>
          <w:lang w:val="it-IT"/>
        </w:rPr>
        <w:t xml:space="preserve"> një referencë e thjeshtë e mos</w:t>
      </w:r>
      <w:r w:rsidRPr="008A3CED">
        <w:rPr>
          <w:lang w:val="it-IT"/>
        </w:rPr>
        <w:t>shterimit nuk mund të lirojë Qeverinë Shqiptare nga detyrimi i saj sipas Konventës apo të paraqitet si nj</w:t>
      </w:r>
      <w:r w:rsidR="00270E2F">
        <w:rPr>
          <w:lang w:val="it-IT"/>
        </w:rPr>
        <w:t>ë</w:t>
      </w:r>
      <w:r w:rsidRPr="008A3CED">
        <w:rPr>
          <w:lang w:val="it-IT"/>
        </w:rPr>
        <w:t xml:space="preserve"> argument i besueshëm para kësaj Gjykate.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41</w:t>
      </w:r>
      <w:r w:rsidRPr="00D45111">
        <w:fldChar w:fldCharType="end"/>
      </w:r>
      <w:r w:rsidRPr="008A3CED">
        <w:rPr>
          <w:lang w:val="it-IT"/>
        </w:rPr>
        <w:t>.  Gjykata thekson se rregulli i shterimit të mjeteve ligjore vendase sipas</w:t>
      </w:r>
      <w:r w:rsidR="002E4B93">
        <w:rPr>
          <w:lang w:val="it-IT"/>
        </w:rPr>
        <w:t xml:space="preserve"> nenit </w:t>
      </w:r>
      <w:r w:rsidRPr="008A3CED">
        <w:rPr>
          <w:lang w:val="it-IT"/>
        </w:rPr>
        <w:t xml:space="preserve">35 të Konventës detyron ata që kërkojnë të paraqesin çështjen e tyre kundër </w:t>
      </w:r>
      <w:r w:rsidR="00E624A7" w:rsidRPr="008A3CED">
        <w:rPr>
          <w:lang w:val="it-IT"/>
        </w:rPr>
        <w:t xml:space="preserve">shtetit </w:t>
      </w:r>
      <w:r w:rsidRPr="008A3CED">
        <w:rPr>
          <w:lang w:val="it-IT"/>
        </w:rPr>
        <w:t>para Gjykatës, të përdorin së pari mjetet ligjore të parashikuara nga sistemi ligjor kombëtar (shih Handyside k. Mbretërisë së Bashkuar, 7 </w:t>
      </w:r>
      <w:r w:rsidR="00E624A7" w:rsidRPr="008A3CED">
        <w:rPr>
          <w:lang w:val="it-IT"/>
        </w:rPr>
        <w:t xml:space="preserve">dhjetor 1976, § 48, seria </w:t>
      </w:r>
      <w:r w:rsidRPr="008A3CED">
        <w:rPr>
          <w:lang w:val="it-IT"/>
        </w:rPr>
        <w:t>A nr. 24). Ankesat duhej t’i ishin bërë organeve vendase të duhura, të paktën në thelb dhe në përputhje me kushtet formale dhe afatet e përcaktuara në të drejtën vendase dhe, më tej, mund të përdorej çdo mjet procedural që mund të pengonte shkeljen e Konventës (shih Cardot k. Francës, 19</w:t>
      </w:r>
      <w:r w:rsidR="00661D56">
        <w:rPr>
          <w:lang w:val="it-IT"/>
        </w:rPr>
        <w:t xml:space="preserve"> mars </w:t>
      </w:r>
      <w:r w:rsidR="00270E2F">
        <w:rPr>
          <w:lang w:val="it-IT"/>
        </w:rPr>
        <w:t>1991, § 34, s</w:t>
      </w:r>
      <w:r w:rsidRPr="008A3CED">
        <w:rPr>
          <w:lang w:val="it-IT"/>
        </w:rPr>
        <w:t>eria A nr. 200).</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42</w:t>
      </w:r>
      <w:r w:rsidRPr="00D45111">
        <w:fldChar w:fldCharType="end"/>
      </w:r>
      <w:r w:rsidRPr="008A3CED">
        <w:rPr>
          <w:lang w:val="it-IT"/>
        </w:rPr>
        <w:t xml:space="preserve">.  Gjykata konstaton se më 24 </w:t>
      </w:r>
      <w:r w:rsidR="00E624A7" w:rsidRPr="008A3CED">
        <w:rPr>
          <w:lang w:val="it-IT"/>
        </w:rPr>
        <w:t xml:space="preserve">maj </w:t>
      </w:r>
      <w:r w:rsidRPr="008A3CED">
        <w:rPr>
          <w:lang w:val="it-IT"/>
        </w:rPr>
        <w:t xml:space="preserve">2002 </w:t>
      </w:r>
      <w:r w:rsidR="00270E2F" w:rsidRPr="008A3CED">
        <w:rPr>
          <w:lang w:val="it-IT"/>
        </w:rPr>
        <w:t xml:space="preserve">gjykata e rrethit </w:t>
      </w:r>
      <w:r w:rsidRPr="008A3CED">
        <w:rPr>
          <w:lang w:val="it-IT"/>
        </w:rPr>
        <w:t xml:space="preserve">rrëzoi kërkesën e ankuesve për keqtrajtim të pretenduar duke argumentuar se ishte e ndaluar në atë periudhë. Nga dosja e çështjes nënkuptohet që ankuesit nuk apeluan kundër këtij vendimi. Gjithashtu ata nuk e ngritën këtë ankesë, të paktën në thelb, në apelimet e tyre pranë </w:t>
      </w:r>
      <w:r w:rsidR="00E624A7" w:rsidRPr="008A3CED">
        <w:rPr>
          <w:lang w:val="it-IT"/>
        </w:rPr>
        <w:t xml:space="preserve">gjykatës së apelit </w:t>
      </w:r>
      <w:r w:rsidRPr="008A3CED">
        <w:rPr>
          <w:lang w:val="it-IT"/>
        </w:rPr>
        <w:t>dhe Gjykatës së Lartë. Gjykata arrin në përfundimin që ankuesit nuk shteruan mjetet ligjore vendase të ofruara nga sistemi ligjor vendas. Si rrjedhim, ajo rrëzon ankesën e ankuesve në përputhje me</w:t>
      </w:r>
      <w:r w:rsidR="00FC065E">
        <w:rPr>
          <w:lang w:val="it-IT"/>
        </w:rPr>
        <w:t xml:space="preserve"> nenin </w:t>
      </w:r>
      <w:r w:rsidRPr="008A3CED">
        <w:rPr>
          <w:lang w:val="it-IT"/>
        </w:rPr>
        <w:t>35 §§ 1 dhe 4 të Konventës.</w:t>
      </w:r>
    </w:p>
    <w:p w:rsidR="008A3CED" w:rsidRPr="008A3CED" w:rsidRDefault="00E624A7" w:rsidP="008A3CED">
      <w:pPr>
        <w:pStyle w:val="Paragrafi0"/>
        <w:rPr>
          <w:lang w:val="it-IT"/>
        </w:rPr>
      </w:pPr>
      <w:r>
        <w:rPr>
          <w:lang w:val="it-IT"/>
        </w:rPr>
        <w:t xml:space="preserve">B. </w:t>
      </w:r>
      <w:r w:rsidR="008A3CED" w:rsidRPr="008A3CED">
        <w:rPr>
          <w:lang w:val="it-IT"/>
        </w:rPr>
        <w:t>Ankesa për padrejtësinë e procedimeve gjyqësore</w:t>
      </w:r>
    </w:p>
    <w:p w:rsidR="008A3CED" w:rsidRPr="008A3CED" w:rsidRDefault="00E624A7" w:rsidP="008A3CED">
      <w:pPr>
        <w:pStyle w:val="Paragrafi0"/>
        <w:rPr>
          <w:lang w:val="it-IT"/>
        </w:rPr>
      </w:pPr>
      <w:r>
        <w:rPr>
          <w:lang w:val="it-IT"/>
        </w:rPr>
        <w:t xml:space="preserve">1. </w:t>
      </w:r>
      <w:r w:rsidR="006C3D93">
        <w:rPr>
          <w:lang w:val="it-IT"/>
        </w:rPr>
        <w:t>Mos</w:t>
      </w:r>
      <w:r w:rsidR="008A3CED" w:rsidRPr="008A3CED">
        <w:rPr>
          <w:lang w:val="it-IT"/>
        </w:rPr>
        <w:t>shterimi i mjeteve ligjore vendase</w:t>
      </w:r>
    </w:p>
    <w:p w:rsidR="008A3CED" w:rsidRPr="008A3CED" w:rsidRDefault="008A3CED" w:rsidP="008A3CED">
      <w:pPr>
        <w:pStyle w:val="Paragrafi0"/>
        <w:rPr>
          <w:lang w:val="it-IT"/>
        </w:rPr>
      </w:pPr>
      <w:r w:rsidRPr="008A3CED">
        <w:rPr>
          <w:lang w:val="it-IT"/>
        </w:rPr>
        <w:t>a. Për sa i përket mosparaqitjes nga ankuesi i dytë të një apeli kushtetues</w:t>
      </w:r>
      <w:r w:rsidR="00E624A7">
        <w:rPr>
          <w:lang w:val="it-IT"/>
        </w:rPr>
        <w:t>.</w:t>
      </w:r>
      <w:r w:rsidRPr="008A3CED">
        <w:rPr>
          <w:lang w:val="it-IT"/>
        </w:rPr>
        <w:t xml:space="preser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43</w:t>
      </w:r>
      <w:r w:rsidRPr="00D45111">
        <w:fldChar w:fldCharType="end"/>
      </w:r>
      <w:r w:rsidRPr="008A3CED">
        <w:rPr>
          <w:lang w:val="it-IT"/>
        </w:rPr>
        <w:t xml:space="preserve">.  Qeveria parashtroi që ankuesi i dytë nuk ka apeluar pranë Gjykatës Kushtetuese në lidhje me ankesën e tij për padrejtësi të procedimeve gjyqësore. Ajo i kërkoi Gjykatës të deklarojë ankesën e tij të papranueshme për mosshterim të mjeteve ligjore vendase.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44</w:t>
      </w:r>
      <w:r w:rsidRPr="00D45111">
        <w:fldChar w:fldCharType="end"/>
      </w:r>
      <w:r w:rsidRPr="008A3CED">
        <w:rPr>
          <w:lang w:val="it-IT"/>
        </w:rPr>
        <w:t xml:space="preserve">.  Ankuesi i dytë parashtroi që nuk kishte mundësi të arsyeshme për sukses pranë Gjykatës Kushtetuese duke pasur parasysh faktin që apeli i ankuesit të parë ishte rrëzuar.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45</w:t>
      </w:r>
      <w:r w:rsidRPr="00D45111">
        <w:fldChar w:fldCharType="end"/>
      </w:r>
      <w:r w:rsidRPr="008A3CED">
        <w:rPr>
          <w:lang w:val="it-IT"/>
        </w:rPr>
        <w:t>.  Gjykata konstaton që sipas</w:t>
      </w:r>
      <w:r w:rsidR="002E4B93">
        <w:rPr>
          <w:lang w:val="it-IT"/>
        </w:rPr>
        <w:t xml:space="preserve"> nenit </w:t>
      </w:r>
      <w:r w:rsidRPr="008A3CED">
        <w:rPr>
          <w:lang w:val="it-IT"/>
        </w:rPr>
        <w:t>35 një ankues duhet të bëjë rekurs normal për mjete ligjore</w:t>
      </w:r>
      <w:r w:rsidR="00E624A7">
        <w:rPr>
          <w:lang w:val="it-IT"/>
        </w:rPr>
        <w:t>,</w:t>
      </w:r>
      <w:r w:rsidRPr="008A3CED">
        <w:rPr>
          <w:lang w:val="it-IT"/>
        </w:rPr>
        <w:t xml:space="preserve"> të cilat janë të vlefshme dhe të mjaftueshme për të siguruar rishqyrtimin në lidhje me shkeljet e pretenduara. Ekzistenca e mjeteve ligjore në fja</w:t>
      </w:r>
      <w:r w:rsidR="00E624A7">
        <w:rPr>
          <w:lang w:val="it-IT"/>
        </w:rPr>
        <w:t>lë duhet të jetë mjaft e sigurt,</w:t>
      </w:r>
      <w:r w:rsidRPr="008A3CED">
        <w:rPr>
          <w:lang w:val="it-IT"/>
        </w:rPr>
        <w:t xml:space="preserve"> jo vetëm në teori por edhe në praktikë, mungesa e të cilave sjell edhe mungesën e aksesit dhe efektivitetit të domosdoshëm (shih Aksoy k. Turqisë, 18 </w:t>
      </w:r>
      <w:r w:rsidR="00270E2F" w:rsidRPr="008A3CED">
        <w:rPr>
          <w:lang w:val="it-IT"/>
        </w:rPr>
        <w:t xml:space="preserve">dhjetor </w:t>
      </w:r>
      <w:r w:rsidRPr="008A3CED">
        <w:rPr>
          <w:lang w:val="it-IT"/>
        </w:rPr>
        <w:t xml:space="preserve">1996, § 51, </w:t>
      </w:r>
      <w:r w:rsidR="00E624A7" w:rsidRPr="008A3CED">
        <w:rPr>
          <w:lang w:val="it-IT"/>
        </w:rPr>
        <w:t xml:space="preserve">raporte të gjykimeve </w:t>
      </w:r>
      <w:r w:rsidRPr="008A3CED">
        <w:rPr>
          <w:lang w:val="it-IT"/>
        </w:rPr>
        <w:t xml:space="preserve">dhe </w:t>
      </w:r>
      <w:r w:rsidR="00E624A7" w:rsidRPr="008A3CED">
        <w:rPr>
          <w:lang w:val="it-IT"/>
        </w:rPr>
        <w:t>vendimeve1996</w:t>
      </w:r>
      <w:r w:rsidRPr="008A3CED">
        <w:rPr>
          <w:lang w:val="it-IT"/>
        </w:rPr>
        <w:t xml:space="preserve">-VI). Një ankues nuk mund të konsiderohet se nuk ka shteruar mjetet ligjore vendase nëse ai ose ajo mund të tregojë, duke paraqitur praktikën ligjore vendase përkatëse ose çdo dëshmi tjetër përkatëse, se një mjet ligjor i vlefshëm të cilin ai ose ajo nuk e ka përdorur, ishte i detyruar të dështojë (shih Kleyn dhe </w:t>
      </w:r>
      <w:r w:rsidR="00270E2F" w:rsidRPr="008A3CED">
        <w:rPr>
          <w:lang w:val="it-IT"/>
        </w:rPr>
        <w:t xml:space="preserve">të </w:t>
      </w:r>
      <w:r w:rsidR="00270E2F">
        <w:rPr>
          <w:lang w:val="it-IT"/>
        </w:rPr>
        <w:t>tjerë k. Hol</w:t>
      </w:r>
      <w:r w:rsidRPr="008A3CED">
        <w:rPr>
          <w:lang w:val="it-IT"/>
        </w:rPr>
        <w:t>andës [GC], nr. 39343/98, 39651/98, 43147/98 dhe 46664/99, § 156, GJEDNJ 2003</w:t>
      </w:r>
      <w:r w:rsidRPr="008A3CED">
        <w:rPr>
          <w:lang w:val="it-IT"/>
        </w:rPr>
        <w:noBreakHyphen/>
        <w:t>VI).</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46</w:t>
      </w:r>
      <w:r w:rsidRPr="00D45111">
        <w:fldChar w:fldCharType="end"/>
      </w:r>
      <w:r w:rsidRPr="008A3CED">
        <w:rPr>
          <w:lang w:val="it-IT"/>
        </w:rPr>
        <w:t xml:space="preserve">.  Gjykata vëren që ankuesi i parë depozitoi një ankesë pranë Gjykatës Kushtetuese. Ai u bazua në të njëjtat argumente apelimi që të dy ankuesit kishin depozituar pranë </w:t>
      </w:r>
      <w:r w:rsidR="00E624A7" w:rsidRPr="008A3CED">
        <w:rPr>
          <w:lang w:val="it-IT"/>
        </w:rPr>
        <w:t xml:space="preserve">gjykatës së apelit </w:t>
      </w:r>
      <w:r w:rsidRPr="008A3CED">
        <w:rPr>
          <w:lang w:val="it-IT"/>
        </w:rPr>
        <w:t xml:space="preserve">dhe Gjykatës së Lartë. Ankesa e ankuesit të parë u deklarua e papranueshme nga Gjykata Kushtetuese (shih paragrafët </w:t>
      </w:r>
      <w:r w:rsidRPr="00D45111">
        <w:fldChar w:fldCharType="begin"/>
      </w:r>
      <w:r w:rsidRPr="008A3CED">
        <w:rPr>
          <w:lang w:val="it-IT"/>
        </w:rPr>
        <w:instrText xml:space="preserve"> REF constitutionalcomplaint \h </w:instrText>
      </w:r>
      <w:r w:rsidRPr="008A3CED">
        <w:rPr>
          <w:lang w:val="it-IT"/>
        </w:rPr>
        <w:instrText xml:space="preserve"> \* MERGEFORMAT </w:instrText>
      </w:r>
      <w:r w:rsidRPr="00D45111">
        <w:fldChar w:fldCharType="separate"/>
      </w:r>
      <w:r w:rsidR="00664519">
        <w:rPr>
          <w:lang w:val="it-IT"/>
        </w:rPr>
        <w:t>25</w:t>
      </w:r>
      <w:r w:rsidRPr="00D45111">
        <w:fldChar w:fldCharType="end"/>
      </w:r>
      <w:r w:rsidRPr="008A3CED">
        <w:rPr>
          <w:lang w:val="it-IT"/>
        </w:rPr>
        <w:t>–</w:t>
      </w:r>
      <w:r w:rsidRPr="00D45111">
        <w:fldChar w:fldCharType="begin"/>
      </w:r>
      <w:r w:rsidRPr="008A3CED">
        <w:rPr>
          <w:lang w:val="it-IT"/>
        </w:rPr>
        <w:instrText xml:space="preserve"> REF constitutionalcourtdec \h </w:instrText>
      </w:r>
      <w:r w:rsidRPr="008A3CED">
        <w:rPr>
          <w:lang w:val="it-IT"/>
        </w:rPr>
        <w:instrText xml:space="preserve"> \* MERGEFORMAT </w:instrText>
      </w:r>
      <w:r w:rsidRPr="00D45111">
        <w:fldChar w:fldCharType="separate"/>
      </w:r>
      <w:r w:rsidR="00664519">
        <w:rPr>
          <w:lang w:val="it-IT"/>
        </w:rPr>
        <w:t>26</w:t>
      </w:r>
      <w:r w:rsidRPr="00D45111">
        <w:fldChar w:fldCharType="end"/>
      </w:r>
      <w:r w:rsidRPr="008A3CED">
        <w:rPr>
          <w:lang w:val="it-IT"/>
        </w:rPr>
        <w:t xml:space="preserve"> më lart).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47</w:t>
      </w:r>
      <w:r w:rsidRPr="00D45111">
        <w:fldChar w:fldCharType="end"/>
      </w:r>
      <w:r w:rsidRPr="008A3CED">
        <w:rPr>
          <w:lang w:val="it-IT"/>
        </w:rPr>
        <w:t>.  Duke pasur parasysh përfundimin e apelimit të ankuesit të parë në Gjykatën Kushtetuese, Gjykata konsideron se çdo apel i depozituar nga ankuesi i dytë në Gjykatën Kushtetuese, i cili do të bazohej në të njëjtat argumente apelimi si ato të ngritura nga ankuesi i parë, do të kishin pak ose asnjë perspektivë të arsyeshme për sukses. Si rrjedhim, ankesa e ankuesit të dytë nuk mund të refuzohet për mosdepozitim të saj në Gjykatën Kushtetuese në kuptim të</w:t>
      </w:r>
      <w:r w:rsidR="002E4B93">
        <w:rPr>
          <w:lang w:val="it-IT"/>
        </w:rPr>
        <w:t xml:space="preserve"> nenit </w:t>
      </w:r>
      <w:r w:rsidRPr="008A3CED">
        <w:rPr>
          <w:lang w:val="it-IT"/>
        </w:rPr>
        <w:t>35 § 1 të Konventës.</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48</w:t>
      </w:r>
      <w:r w:rsidRPr="00D45111">
        <w:fldChar w:fldCharType="end"/>
      </w:r>
      <w:r w:rsidRPr="008A3CED">
        <w:rPr>
          <w:lang w:val="it-IT"/>
        </w:rPr>
        <w:t>.  Për rrjedhojë Gjykata rrëzon kundërshtimin e Qeverisë.</w:t>
      </w:r>
    </w:p>
    <w:p w:rsidR="008A3CED" w:rsidRPr="008A3CED" w:rsidRDefault="008A3CED" w:rsidP="008A3CED">
      <w:pPr>
        <w:pStyle w:val="Paragrafi0"/>
        <w:rPr>
          <w:lang w:val="it-IT"/>
        </w:rPr>
      </w:pPr>
      <w:r w:rsidRPr="008A3CED">
        <w:rPr>
          <w:lang w:val="it-IT"/>
        </w:rPr>
        <w:t>b</w:t>
      </w:r>
      <w:r>
        <w:rPr>
          <w:lang w:val="it-IT"/>
        </w:rPr>
        <w:t>)</w:t>
      </w:r>
      <w:r w:rsidRPr="008A3CED">
        <w:rPr>
          <w:lang w:val="it-IT"/>
        </w:rPr>
        <w:t xml:space="preserve"> Për sa i përket mundësisë që ankuesit të kërkojnë rishqyrtim të vendimit të tyre përfundimtar</w:t>
      </w:r>
      <w:r w:rsidR="00ED6D69">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49</w:t>
      </w:r>
      <w:r w:rsidRPr="00D45111">
        <w:fldChar w:fldCharType="end"/>
      </w:r>
      <w:r w:rsidRPr="008A3CED">
        <w:rPr>
          <w:lang w:val="it-IT"/>
        </w:rPr>
        <w:t>.  Në komentet e tyre të mëtejshme për vërejtjet e ankuesve, Qeveria paraqiti një shkresë të GPO të datës 16</w:t>
      </w:r>
      <w:r w:rsidR="00661D56">
        <w:rPr>
          <w:lang w:val="it-IT"/>
        </w:rPr>
        <w:t xml:space="preserve"> prill </w:t>
      </w:r>
      <w:r w:rsidRPr="008A3CED">
        <w:rPr>
          <w:lang w:val="it-IT"/>
        </w:rPr>
        <w:t>2008 duke deklaruar që “pas verifikimeve të dosjes hetimore penale të [ankuesve], janë konstatuar parregullsi procedurale në kryerjen e disa veprimeve hetimore.” Qeveria pretendonte që ankuesit duhej të kërkonin rishqyrtim të vendimit të tyre përfundimtar në përputhje me</w:t>
      </w:r>
      <w:r w:rsidR="00FC065E">
        <w:rPr>
          <w:lang w:val="it-IT"/>
        </w:rPr>
        <w:t xml:space="preserve"> nenin </w:t>
      </w:r>
      <w:r w:rsidRPr="008A3CED">
        <w:rPr>
          <w:lang w:val="it-IT"/>
        </w:rPr>
        <w:t xml:space="preserve">450 të KPP, sipas shkresës së prokurorit.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50</w:t>
      </w:r>
      <w:r w:rsidRPr="00D45111">
        <w:fldChar w:fldCharType="end"/>
      </w:r>
      <w:r w:rsidRPr="008A3CED">
        <w:rPr>
          <w:lang w:val="it-IT"/>
        </w:rPr>
        <w:t>.  Gjykata thekson se një ankesë për rigjykim ose mjet ligjor të jashtëzakonshëm të ngjashëm, si rregull, nuk mund të merret në konsideratë me qëllim zbatimin e</w:t>
      </w:r>
      <w:r w:rsidR="002E4B93">
        <w:rPr>
          <w:lang w:val="it-IT"/>
        </w:rPr>
        <w:t xml:space="preserve"> nenit </w:t>
      </w:r>
      <w:r w:rsidRPr="008A3CED">
        <w:rPr>
          <w:lang w:val="it-IT"/>
        </w:rPr>
        <w:t xml:space="preserve">35 § 1 të Konventës (shih gjithashtu, Williams k. Mbretërisë së Bashkuar (dec.), nr. 32567/06, 17 </w:t>
      </w:r>
      <w:r w:rsidR="00ED6D69" w:rsidRPr="008A3CED">
        <w:rPr>
          <w:lang w:val="it-IT"/>
        </w:rPr>
        <w:t xml:space="preserve">shkurt </w:t>
      </w:r>
      <w:r w:rsidRPr="008A3CED">
        <w:rPr>
          <w:lang w:val="it-IT"/>
        </w:rPr>
        <w:t>2009).</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51</w:t>
      </w:r>
      <w:r w:rsidRPr="00D45111">
        <w:fldChar w:fldCharType="end"/>
      </w:r>
      <w:r w:rsidRPr="008A3CED">
        <w:rPr>
          <w:lang w:val="it-IT"/>
        </w:rPr>
        <w:t>.  Gjykata vëren se shqyrtimi i vendimit përfundimtar të gjykatës sipas</w:t>
      </w:r>
      <w:r w:rsidR="002E4B93">
        <w:rPr>
          <w:lang w:val="it-IT"/>
        </w:rPr>
        <w:t xml:space="preserve"> nenit </w:t>
      </w:r>
      <w:r w:rsidRPr="008A3CED">
        <w:rPr>
          <w:lang w:val="it-IT"/>
        </w:rPr>
        <w:t xml:space="preserve">450 të KPP përbën një mjet ligjor të jashtëzakonshëm (shih paragrafin </w:t>
      </w:r>
      <w:r w:rsidRPr="00D45111">
        <w:fldChar w:fldCharType="begin"/>
      </w:r>
      <w:r w:rsidRPr="008A3CED">
        <w:rPr>
          <w:lang w:val="it-IT"/>
        </w:rPr>
        <w:instrText xml:space="preserve"> REF SupremeCourtdec \h </w:instrText>
      </w:r>
      <w:r w:rsidRPr="008A3CED">
        <w:rPr>
          <w:lang w:val="it-IT"/>
        </w:rPr>
        <w:instrText xml:space="preserve"> \* MERGEFORMAT </w:instrText>
      </w:r>
      <w:r w:rsidRPr="00D45111">
        <w:fldChar w:fldCharType="separate"/>
      </w:r>
      <w:r w:rsidR="00664519">
        <w:rPr>
          <w:lang w:val="it-IT"/>
        </w:rPr>
        <w:t>32</w:t>
      </w:r>
      <w:r w:rsidRPr="00D45111">
        <w:fldChar w:fldCharType="end"/>
      </w:r>
      <w:r w:rsidRPr="008A3CED">
        <w:rPr>
          <w:lang w:val="it-IT"/>
        </w:rPr>
        <w:t xml:space="preserve"> më lart). Në këto rrethana, Gjykata konsideron që ankuesve nuk u është kërkuar të shterojnë këtë mjet ligjor.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52</w:t>
      </w:r>
      <w:r w:rsidRPr="00D45111">
        <w:fldChar w:fldCharType="end"/>
      </w:r>
      <w:r w:rsidRPr="008A3CED">
        <w:rPr>
          <w:lang w:val="it-IT"/>
        </w:rPr>
        <w:t>.  Nëse parashtrimi i Qeverisë do të interpretohej me efektin se ankuesit nuk kishin statusin e “viktimës”, Gjykata konstaton</w:t>
      </w:r>
      <w:r w:rsidR="00ED6D69">
        <w:rPr>
          <w:lang w:val="it-IT"/>
        </w:rPr>
        <w:t xml:space="preserve"> se një vendim ose masë në favo</w:t>
      </w:r>
      <w:r w:rsidRPr="008A3CED">
        <w:rPr>
          <w:lang w:val="it-IT"/>
        </w:rPr>
        <w:t xml:space="preserve">r të një ankuesi, në parim, nuk është e mjaftueshme për të privuar atë nga statusi i tij si një “viktimë” në qoftë se autoritetet shqiptare nuk e kanë njohur, shprehimisht ose në thelb, dhe pastaj kanë ofruar rishqyrtim për shkelje të Konventës (shih, për shembull, Eckle k. Gjermanisë, vendimi i datës 15 </w:t>
      </w:r>
      <w:r w:rsidR="005E1610" w:rsidRPr="008A3CED">
        <w:rPr>
          <w:lang w:val="it-IT"/>
        </w:rPr>
        <w:t xml:space="preserve">korrik </w:t>
      </w:r>
      <w:r w:rsidRPr="008A3CED">
        <w:rPr>
          <w:lang w:val="it-IT"/>
        </w:rPr>
        <w:t xml:space="preserve">1982, </w:t>
      </w:r>
      <w:r w:rsidR="005E1610" w:rsidRPr="008A3CED">
        <w:rPr>
          <w:lang w:val="it-IT"/>
        </w:rPr>
        <w:t xml:space="preserve">seria </w:t>
      </w:r>
      <w:r w:rsidRPr="008A3CED">
        <w:rPr>
          <w:lang w:val="it-IT"/>
        </w:rPr>
        <w:t>A nr. 51, p. 32, §§ 69 e në vazhdim; dhe Dalban k. Rumanisë [GC], nr. 28114/95, § 44, GJEDNJ 1999-VI). Në çështjen në fjalë, Qeveria nuk parashtroi asnjë deklaratë për të njohur ndonjë shkelje të Konventës. Po kështu shkresa e autoriteteve e datës 16</w:t>
      </w:r>
      <w:r w:rsidR="00661D56">
        <w:rPr>
          <w:lang w:val="it-IT"/>
        </w:rPr>
        <w:t xml:space="preserve"> prill </w:t>
      </w:r>
      <w:r w:rsidRPr="008A3CED">
        <w:rPr>
          <w:lang w:val="it-IT"/>
        </w:rPr>
        <w:t xml:space="preserve">2008, për shkaqet e përmendura në paragrafët e mësipërm, nuk mund të caktojë rishqyrtimin e duhur dhe të kërkuar.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53</w:t>
      </w:r>
      <w:r w:rsidRPr="00D45111">
        <w:fldChar w:fldCharType="end"/>
      </w:r>
      <w:r w:rsidRPr="008A3CED">
        <w:rPr>
          <w:lang w:val="it-IT"/>
        </w:rPr>
        <w:t>.  Si rrjedhim, Gjykata rrëzon kundërshtimin e Qeverisë.</w:t>
      </w:r>
    </w:p>
    <w:p w:rsidR="008A3CED" w:rsidRPr="008A3CED" w:rsidRDefault="008A3CED" w:rsidP="008A3CED">
      <w:pPr>
        <w:pStyle w:val="Paragrafi0"/>
        <w:rPr>
          <w:lang w:val="it-IT"/>
        </w:rPr>
      </w:pPr>
      <w:r>
        <w:rPr>
          <w:lang w:val="it-IT"/>
        </w:rPr>
        <w:t>c)</w:t>
      </w:r>
      <w:r w:rsidRPr="008A3CED">
        <w:rPr>
          <w:lang w:val="it-IT"/>
        </w:rPr>
        <w:t xml:space="preserve"> Përfundimi</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54</w:t>
      </w:r>
      <w:r w:rsidRPr="00D45111">
        <w:fldChar w:fldCharType="end"/>
      </w:r>
      <w:r w:rsidRPr="008A3CED">
        <w:rPr>
          <w:lang w:val="it-IT"/>
        </w:rPr>
        <w:t>.  Gjykata konsideron se ankesat e ankuesve sipas</w:t>
      </w:r>
      <w:r w:rsidR="002E4B93">
        <w:rPr>
          <w:lang w:val="it-IT"/>
        </w:rPr>
        <w:t xml:space="preserve"> nenit </w:t>
      </w:r>
      <w:r w:rsidRPr="008A3CED">
        <w:rPr>
          <w:lang w:val="it-IT"/>
        </w:rPr>
        <w:t>6 të Konventës ngrejnë çështjet e faktit dhe të drejtës të cilat janë mjaft serioze që përcaktimi i tyre të varet në shqyrtimin e themelit. Nuk janë përcaktuar argumente të tjera për t’i deklaruar ato të papranueshme. Si rrjedhim Gjykata i deklaron ato të pranueshme. Në përputhje me vendimin e saj për të zbatuar</w:t>
      </w:r>
      <w:r w:rsidR="00FC065E">
        <w:rPr>
          <w:lang w:val="it-IT"/>
        </w:rPr>
        <w:t xml:space="preserve"> nenin </w:t>
      </w:r>
      <w:r w:rsidRPr="008A3CED">
        <w:rPr>
          <w:lang w:val="it-IT"/>
        </w:rPr>
        <w:t xml:space="preserve">29 § 3 të Konventës (shih paragrafin </w:t>
      </w:r>
      <w:r w:rsidRPr="00D45111">
        <w:fldChar w:fldCharType="begin"/>
      </w:r>
      <w:r w:rsidRPr="008A3CED">
        <w:rPr>
          <w:lang w:val="it-IT"/>
        </w:rPr>
        <w:instrText xml:space="preserve"> REF Article29oftheConvention \h </w:instrText>
      </w:r>
      <w:r w:rsidRPr="008A3CED">
        <w:rPr>
          <w:lang w:val="it-IT"/>
        </w:rPr>
        <w:instrText xml:space="preserve"> \* MERGEFORMAT </w:instrText>
      </w:r>
      <w:r w:rsidRPr="00D45111">
        <w:fldChar w:fldCharType="separate"/>
      </w:r>
      <w:r w:rsidR="00664519">
        <w:rPr>
          <w:lang w:val="it-IT"/>
        </w:rPr>
        <w:t>4</w:t>
      </w:r>
      <w:r w:rsidRPr="00D45111">
        <w:fldChar w:fldCharType="end"/>
      </w:r>
      <w:r w:rsidRPr="008A3CED">
        <w:rPr>
          <w:lang w:val="it-IT"/>
        </w:rPr>
        <w:t xml:space="preserve"> më lart), Gjykata do të shqyrtojë menjëherë themelin e këtyre ankesave. </w:t>
      </w:r>
    </w:p>
    <w:p w:rsid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III.  SHKELJA E PRETENDUAR E</w:t>
      </w:r>
      <w:r w:rsidR="002E4B93">
        <w:rPr>
          <w:lang w:val="it-IT"/>
        </w:rPr>
        <w:t xml:space="preserve"> </w:t>
      </w:r>
      <w:r w:rsidR="004C61C6">
        <w:rPr>
          <w:lang w:val="it-IT"/>
        </w:rPr>
        <w:t xml:space="preserve">NENIT </w:t>
      </w:r>
      <w:r w:rsidRPr="008A3CED">
        <w:rPr>
          <w:lang w:val="it-IT"/>
        </w:rPr>
        <w:t>6 § 1 TË KONVENTËS</w:t>
      </w:r>
    </w:p>
    <w:p w:rsidR="008A3CED" w:rsidRPr="008A3CED" w:rsidRDefault="008A3CED" w:rsidP="008A3CED">
      <w:pPr>
        <w:pStyle w:val="Paragrafi0"/>
        <w:rPr>
          <w:lang w:val="it-IT"/>
        </w:rPr>
      </w:pPr>
      <w:r w:rsidRPr="008A3CED">
        <w:rPr>
          <w:lang w:val="it-IT"/>
        </w:rPr>
        <w:t>A.  Parashtrimet e palëve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55</w:t>
      </w:r>
      <w:r w:rsidRPr="00D45111">
        <w:fldChar w:fldCharType="end"/>
      </w:r>
      <w:r w:rsidRPr="008A3CED">
        <w:rPr>
          <w:lang w:val="it-IT"/>
        </w:rPr>
        <w:t>.  Ankuesit përsëritën pozicionin e tyre që procedurat e ndjekura nga gjykatat vendase përbënin një mohim të së drejtës së tyre për gjykim të drejtë. Ata deklaruan se refuzimi nga ana e gjykatave për të paraqitur prova, mbi bazën e të</w:t>
      </w:r>
      <w:r w:rsidR="00ED6D69">
        <w:rPr>
          <w:lang w:val="it-IT"/>
        </w:rPr>
        <w:t xml:space="preserve"> cilave ata ishin dënuar (kapuça</w:t>
      </w:r>
      <w:r w:rsidRPr="008A3CED">
        <w:rPr>
          <w:lang w:val="it-IT"/>
        </w:rPr>
        <w:t>), përbënte shkelje të dispozitave vendase. Gjithashtu ata kundërshtuan rregullsinë e procedurës së identifikimit që është përdorur nga autoritetet vendase.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56</w:t>
      </w:r>
      <w:r w:rsidRPr="00D45111">
        <w:fldChar w:fldCharType="end"/>
      </w:r>
      <w:r w:rsidRPr="008A3CED">
        <w:rPr>
          <w:lang w:val="it-IT"/>
        </w:rPr>
        <w:t xml:space="preserve">.  Qeveria parashtroi që procedura e identifikimit është kryer në përputhje me procedurat e përcaktuara në ligj dhe që gjykatat vendase kanë vlerësuar saktë të gjitha provat. </w:t>
      </w:r>
    </w:p>
    <w:p w:rsidR="008A3CED" w:rsidRPr="008A3CED" w:rsidRDefault="00ED6D69" w:rsidP="008A3CED">
      <w:pPr>
        <w:pStyle w:val="Paragrafi0"/>
        <w:rPr>
          <w:lang w:val="it-IT"/>
        </w:rPr>
      </w:pPr>
      <w:r>
        <w:rPr>
          <w:lang w:val="it-IT"/>
        </w:rPr>
        <w:t xml:space="preserve">B. </w:t>
      </w:r>
      <w:r w:rsidR="008A3CED" w:rsidRPr="008A3CED">
        <w:rPr>
          <w:lang w:val="it-IT"/>
        </w:rPr>
        <w:t>Vlerësimi i Gjykatës</w:t>
      </w:r>
    </w:p>
    <w:p w:rsidR="008A3CED" w:rsidRPr="008A3CED" w:rsidRDefault="008A3CED" w:rsidP="008A3CED">
      <w:pPr>
        <w:pStyle w:val="Paragrafi0"/>
        <w:rPr>
          <w:lang w:val="it-IT"/>
        </w:rPr>
      </w:pPr>
      <w:r w:rsidRPr="008A3CED">
        <w:rPr>
          <w:lang w:val="it-IT"/>
        </w:rPr>
        <w:t>1. Parimet e përgjithshme të aplikueshme në këtë çështje</w:t>
      </w:r>
    </w:p>
    <w:bookmarkStart w:id="8" w:name="admissibilityofevidence"/>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57</w:t>
      </w:r>
      <w:r w:rsidRPr="00D45111">
        <w:fldChar w:fldCharType="end"/>
      </w:r>
      <w:bookmarkEnd w:id="8"/>
      <w:r w:rsidRPr="008A3CED">
        <w:rPr>
          <w:lang w:val="it-IT"/>
        </w:rPr>
        <w:t>.  Si rregull i përgjithshëm i takon gjykatave vendase të vlerësojnë provat para tyre</w:t>
      </w:r>
      <w:r w:rsidR="00ED6D69">
        <w:rPr>
          <w:lang w:val="it-IT"/>
        </w:rPr>
        <w:t>,</w:t>
      </w:r>
      <w:r w:rsidRPr="008A3CED">
        <w:rPr>
          <w:lang w:val="it-IT"/>
        </w:rPr>
        <w:t xml:space="preserve"> si dhe lidhjen e provave që i akuzuari kërkon të paraqesë. Megjithatë, Gjykata duhet të përcaktojë nëse procedimet gjyqësore të konsideruara si një e tërë, duke përfshirë edhe mënyrën në të cilën janë marrë provat, kanë qenë të drejta sipas</w:t>
      </w:r>
      <w:r w:rsidR="002E4B93">
        <w:rPr>
          <w:lang w:val="it-IT"/>
        </w:rPr>
        <w:t xml:space="preserve"> nenit </w:t>
      </w:r>
      <w:r w:rsidRPr="008A3CED">
        <w:rPr>
          <w:lang w:val="it-IT"/>
        </w:rPr>
        <w:t>6 § 1 të Konventës (shih Balliu k. Shqi</w:t>
      </w:r>
      <w:r w:rsidR="00ED6D69">
        <w:rPr>
          <w:lang w:val="it-IT"/>
        </w:rPr>
        <w:t>përisë, nr. 74727/01, § 42, 16 q</w:t>
      </w:r>
      <w:r w:rsidRPr="008A3CED">
        <w:rPr>
          <w:lang w:val="it-IT"/>
        </w:rPr>
        <w:t>ershor 2005).</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58</w:t>
      </w:r>
      <w:r w:rsidRPr="00D45111">
        <w:fldChar w:fldCharType="end"/>
      </w:r>
      <w:r w:rsidRPr="008A3CED">
        <w:rPr>
          <w:lang w:val="it-IT"/>
        </w:rPr>
        <w:t>.  Një aspekt themelor</w:t>
      </w:r>
      <w:r w:rsidR="00ED6D69">
        <w:rPr>
          <w:lang w:val="it-IT"/>
        </w:rPr>
        <w:t>e</w:t>
      </w:r>
      <w:r w:rsidRPr="008A3CED">
        <w:rPr>
          <w:lang w:val="it-IT"/>
        </w:rPr>
        <w:t xml:space="preserve"> të së drejtës për gjykim të drejtë është që procedimet gjyqësore penale, duke përfshirë elementë të procedimeve të tilla që lidhen me procedurën, duhet të jenë kundërshtuese dhe që duhet të ketë barazi të krahëve ndërmjet prokurorisë dhe mbrojtjes (shih Jasper k. Mbretërisë së Bashkuar [GC], nr. 27052/95, § 51, 16 </w:t>
      </w:r>
      <w:r w:rsidR="005E1610" w:rsidRPr="008A3CED">
        <w:rPr>
          <w:lang w:val="it-IT"/>
        </w:rPr>
        <w:t xml:space="preserve">shkurt </w:t>
      </w:r>
      <w:r w:rsidRPr="008A3CED">
        <w:rPr>
          <w:lang w:val="it-IT"/>
        </w:rPr>
        <w:t>2000).</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59</w:t>
      </w:r>
      <w:r w:rsidRPr="00D45111">
        <w:fldChar w:fldCharType="end"/>
      </w:r>
      <w:r w:rsidRPr="008A3CED">
        <w:rPr>
          <w:lang w:val="it-IT"/>
        </w:rPr>
        <w:t xml:space="preserve">.  E drejta për gjykim kundërshtues nënkupton në parim mundësinë që palët në gjykimin penal të kenë njohuri dhe të komentojnë të gjitha provat e paraqitura ose vëzhgimet e depozituara për të influencuar në vendimin e gjykatave (shih Vermeulen k. Belgjikës, 20 </w:t>
      </w:r>
      <w:r w:rsidR="005E1610" w:rsidRPr="008A3CED">
        <w:rPr>
          <w:lang w:val="it-IT"/>
        </w:rPr>
        <w:t xml:space="preserve">shkurt </w:t>
      </w:r>
      <w:r w:rsidRPr="008A3CED">
        <w:rPr>
          <w:lang w:val="it-IT"/>
        </w:rPr>
        <w:t xml:space="preserve">1996, § 33, </w:t>
      </w:r>
      <w:r w:rsidR="005E1610" w:rsidRPr="008A3CED">
        <w:rPr>
          <w:lang w:val="it-IT"/>
        </w:rPr>
        <w:t xml:space="preserve">raportet e gjykimeve dhe vendimeve </w:t>
      </w:r>
      <w:r w:rsidRPr="008A3CED">
        <w:rPr>
          <w:lang w:val="it-IT"/>
        </w:rPr>
        <w:t>1996</w:t>
      </w:r>
      <w:r w:rsidRPr="008A3CED">
        <w:rPr>
          <w:lang w:val="it-IT"/>
        </w:rPr>
        <w:noBreakHyphen/>
        <w:t>I).</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60</w:t>
      </w:r>
      <w:r w:rsidRPr="00D45111">
        <w:fldChar w:fldCharType="end"/>
      </w:r>
      <w:r w:rsidRPr="008A3CED">
        <w:rPr>
          <w:lang w:val="it-IT"/>
        </w:rPr>
        <w:t>.  Parimi i barazisë së krahëve kërkon</w:t>
      </w:r>
      <w:bookmarkStart w:id="9" w:name="HIT11"/>
      <w:bookmarkStart w:id="10" w:name="HIT12"/>
      <w:bookmarkEnd w:id="9"/>
      <w:bookmarkEnd w:id="10"/>
      <w:r w:rsidRPr="008A3CED">
        <w:rPr>
          <w:lang w:val="it-IT"/>
        </w:rPr>
        <w:t xml:space="preserve"> “një balancë të drejtë ndërmjet palëve”, ku secilës palë duhet t’i jepet mundësia e arsyeshme për të paraqitur çështjen e saj në kushte që nuk e vendosin atë në disavantazh të konsiderueshëm </w:t>
      </w:r>
      <w:r w:rsidRPr="00752856">
        <w:rPr>
          <w:i/>
          <w:lang w:val="it-IT"/>
        </w:rPr>
        <w:t>vis-à-vis</w:t>
      </w:r>
      <w:r w:rsidRPr="008A3CED">
        <w:rPr>
          <w:lang w:val="it-IT"/>
        </w:rPr>
        <w:t xml:space="preserve"> kundërshtarit të saj (shih Batsanina k. Rusisë, nr. 3932/02, § 22, 26 </w:t>
      </w:r>
      <w:r w:rsidR="00752856">
        <w:rPr>
          <w:lang w:val="it-IT"/>
        </w:rPr>
        <w:t>m</w:t>
      </w:r>
      <w:r w:rsidRPr="008A3CED">
        <w:rPr>
          <w:lang w:val="it-IT"/>
        </w:rPr>
        <w:t>aj 2009).</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61</w:t>
      </w:r>
      <w:r w:rsidRPr="00D45111">
        <w:fldChar w:fldCharType="end"/>
      </w:r>
      <w:r w:rsidRPr="008A3CED">
        <w:rPr>
          <w:lang w:val="it-IT"/>
        </w:rPr>
        <w:t>.  Përveç sa përmendur në</w:t>
      </w:r>
      <w:r w:rsidR="00FC065E">
        <w:rPr>
          <w:lang w:val="it-IT"/>
        </w:rPr>
        <w:t xml:space="preserve"> nenin </w:t>
      </w:r>
      <w:r w:rsidRPr="008A3CED">
        <w:rPr>
          <w:lang w:val="it-IT"/>
        </w:rPr>
        <w:t>6 § 2 të Konventës, e drejta e personit në një çështje penale për t’u konsideruar i pafajshëm dhe për t’i kërkuar prokurorisë se i takon asaj të provojë pretendimet kundër tij ose saj, formon pjesë të nocionit të përgjithshëm për një seancë gjyqësore të drejtë sipas</w:t>
      </w:r>
      <w:r w:rsidR="002E4B93">
        <w:rPr>
          <w:lang w:val="it-IT"/>
        </w:rPr>
        <w:t xml:space="preserve"> nenit </w:t>
      </w:r>
      <w:r w:rsidRPr="008A3CED">
        <w:rPr>
          <w:lang w:val="it-IT"/>
        </w:rPr>
        <w:t>6 § 1 (shih Phillips k. Mbretërisë së Bashkuar, nr. 41087/98, § 40, GJEDNJ 2001</w:t>
      </w:r>
      <w:r w:rsidRPr="008A3CED">
        <w:rPr>
          <w:lang w:val="it-IT"/>
        </w:rPr>
        <w:noBreakHyphen/>
        <w:t>VII).</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62</w:t>
      </w:r>
      <w:r w:rsidRPr="00D45111">
        <w:fldChar w:fldCharType="end"/>
      </w:r>
      <w:r w:rsidRPr="008A3CED">
        <w:rPr>
          <w:lang w:val="it-IT"/>
        </w:rPr>
        <w:t>.  Edhe nëse qëllimi kryesor i</w:t>
      </w:r>
      <w:r w:rsidR="002E4B93">
        <w:rPr>
          <w:lang w:val="it-IT"/>
        </w:rPr>
        <w:t xml:space="preserve"> nenit </w:t>
      </w:r>
      <w:r w:rsidRPr="008A3CED">
        <w:rPr>
          <w:lang w:val="it-IT"/>
        </w:rPr>
        <w:t xml:space="preserve">6, në lidhje me procedimet gjyqësore penale, është të sigurojë një gjykim të drejtë nga një “gjykatë” kompetente për të përcaktuar “çdo akuzë penale”, kjo nuk do të thotë që </w:t>
      </w:r>
      <w:r w:rsidR="00752856">
        <w:rPr>
          <w:lang w:val="it-IT"/>
        </w:rPr>
        <w:t>n</w:t>
      </w:r>
      <w:r w:rsidRPr="008A3CED">
        <w:rPr>
          <w:lang w:val="it-IT"/>
        </w:rPr>
        <w:t>eni nuk zbatohet në procedimet para-gjyqësore (</w:t>
      </w:r>
      <w:r w:rsidR="008D4A7E">
        <w:rPr>
          <w:lang w:val="it-IT"/>
        </w:rPr>
        <w:t>shih Imbrioscia k. Zvicrës, 24 n</w:t>
      </w:r>
      <w:r w:rsidRPr="008A3CED">
        <w:rPr>
          <w:lang w:val="it-IT"/>
        </w:rPr>
        <w:t xml:space="preserve">ëntor 1993, § 36, Seria A nr. 275). Me qëllim që e drejta për një gjykim të drejtë të qëndrojë sa duhet “praktike dhe efektive” </w:t>
      </w:r>
      <w:r w:rsidR="00752856">
        <w:rPr>
          <w:lang w:val="it-IT"/>
        </w:rPr>
        <w:t>n</w:t>
      </w:r>
      <w:r w:rsidRPr="008A3CED">
        <w:rPr>
          <w:lang w:val="it-IT"/>
        </w:rPr>
        <w:t xml:space="preserve">eni 6 § 1 kërkon që, si rregull, avokatit t’i jepet akses që në hetimin e parë të të dyshuarit nga policia, përveç nëse është e demonstruar nën dritën e rrethanave të veçanta të çdo çështjeje që ka arsye bindëse për të kufizuar këtë të drejtë (shih </w:t>
      </w:r>
      <w:bookmarkStart w:id="11" w:name="File3"/>
      <w:r w:rsidRPr="008A3CED">
        <w:rPr>
          <w:lang w:val="it-IT"/>
        </w:rPr>
        <w:t>Salduz</w:t>
      </w:r>
      <w:bookmarkEnd w:id="11"/>
      <w:r w:rsidRPr="008A3CED">
        <w:rPr>
          <w:lang w:val="it-IT"/>
        </w:rPr>
        <w:t xml:space="preserve"> k. Turqisë [GC], nr. 36391/02, §§ 50 dhe 55, 27 </w:t>
      </w:r>
      <w:r w:rsidR="00752856" w:rsidRPr="008A3CED">
        <w:rPr>
          <w:lang w:val="it-IT"/>
        </w:rPr>
        <w:t xml:space="preserve">nëntor </w:t>
      </w:r>
      <w:r w:rsidRPr="008A3CED">
        <w:rPr>
          <w:lang w:val="it-IT"/>
        </w:rPr>
        <w:t>2008).</w:t>
      </w:r>
    </w:p>
    <w:p w:rsidR="008A3CED" w:rsidRPr="008A3CED" w:rsidRDefault="008A3CED" w:rsidP="008A3CED">
      <w:pPr>
        <w:pStyle w:val="Paragrafi0"/>
        <w:rPr>
          <w:lang w:val="it-IT"/>
        </w:rPr>
      </w:pPr>
      <w:r w:rsidRPr="008A3CED">
        <w:rPr>
          <w:lang w:val="it-IT"/>
        </w:rPr>
        <w:t>2. Zbatimi i parimeve të mësipërme në çështjen aktuale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63</w:t>
      </w:r>
      <w:r w:rsidRPr="00D45111">
        <w:fldChar w:fldCharType="end"/>
      </w:r>
      <w:r w:rsidRPr="008A3CED">
        <w:rPr>
          <w:lang w:val="it-IT"/>
        </w:rPr>
        <w:t>.  Në çështjen aktuale, ankuesit u ankuan se mënyra në të cilën është bërë rreshtimi i identifikimit ishte e padrejtë. Më tej ata pretenduan që gjykatat vendase nuk kanë pranuar asnjëherë kërkesat e tyre për të paraqitur për s</w:t>
      </w:r>
      <w:r w:rsidR="00752856">
        <w:rPr>
          <w:lang w:val="it-IT"/>
        </w:rPr>
        <w:t>hqyrtim provat materiale (kapuça</w:t>
      </w:r>
      <w:r w:rsidRPr="008A3CED">
        <w:rPr>
          <w:lang w:val="it-IT"/>
        </w:rPr>
        <w:t xml:space="preserve">t) në seancat gjyqësore publike në çështjet e tyre. Gjykata do të shqyrtojë sipas radhës dy arsyet e kërkesës para saj.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64</w:t>
      </w:r>
      <w:r w:rsidRPr="00D45111">
        <w:fldChar w:fldCharType="end"/>
      </w:r>
      <w:r w:rsidRPr="008A3CED">
        <w:rPr>
          <w:lang w:val="it-IT"/>
        </w:rPr>
        <w:t xml:space="preserve">.  Gjykata konstaton se ankuesit u shpallën fajtorë kryesisht në bazë të parashtrimeve të dëshmitarëve okularë të marra gjatë paradës së identifikimit. Ajo vëren se dëshmia e dëshmitarëve okularë që rezultoi nga identifikimi ishte prova kryesore që mbështeste çështjen e prokurorit kundër ankuesve.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65</w:t>
      </w:r>
      <w:r w:rsidRPr="00D45111">
        <w:fldChar w:fldCharType="end"/>
      </w:r>
      <w:r w:rsidRPr="008A3CED">
        <w:rPr>
          <w:lang w:val="it-IT"/>
        </w:rPr>
        <w:t>.  KPP i Shqipërisë rregullon qartë organizimin e paradës së identifikimit. Gjykata do të shqyrtojë nëse mënyra në të cilën është kryer parada e identifikimit në çështjen e ankuesve është në përputhje me kushtet e drejtësisë së</w:t>
      </w:r>
      <w:r w:rsidR="002E4B93">
        <w:rPr>
          <w:lang w:val="it-IT"/>
        </w:rPr>
        <w:t xml:space="preserve"> nenit </w:t>
      </w:r>
      <w:r w:rsidRPr="008A3CED">
        <w:rPr>
          <w:lang w:val="it-IT"/>
        </w:rPr>
        <w:t>6.</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66</w:t>
      </w:r>
      <w:r w:rsidRPr="00D45111">
        <w:fldChar w:fldCharType="end"/>
      </w:r>
      <w:r w:rsidRPr="008A3CED">
        <w:rPr>
          <w:lang w:val="it-IT"/>
        </w:rPr>
        <w:t>.  Në fillim, ankuesve dhe B.L. iu kërkuan të qëndronin në r</w:t>
      </w:r>
      <w:r w:rsidR="00752856">
        <w:rPr>
          <w:lang w:val="it-IT"/>
        </w:rPr>
        <w:t>resht duke mbajtur veshur kapuça</w:t>
      </w:r>
      <w:r w:rsidRPr="008A3CED">
        <w:rPr>
          <w:lang w:val="it-IT"/>
        </w:rPr>
        <w:t xml:space="preserve"> të bardhë dhe blu, të ngjashëm në ngjyrë me ato të veshur nga autorët e krimit. Dy personat</w:t>
      </w:r>
      <w:r w:rsidR="00752856">
        <w:rPr>
          <w:lang w:val="it-IT"/>
        </w:rPr>
        <w:t xml:space="preserve"> e tjerë në rresht mbanin kapuça</w:t>
      </w:r>
      <w:r w:rsidRPr="008A3CED">
        <w:rPr>
          <w:lang w:val="it-IT"/>
        </w:rPr>
        <w:t xml:space="preserve"> të zinj, në kontrast të qartë me kapuç</w:t>
      </w:r>
      <w:r w:rsidR="00752856">
        <w:rPr>
          <w:lang w:val="it-IT"/>
        </w:rPr>
        <w:t>a</w:t>
      </w:r>
      <w:r w:rsidRPr="008A3CED">
        <w:rPr>
          <w:lang w:val="it-IT"/>
        </w:rPr>
        <w:t>t bardh</w:t>
      </w:r>
      <w:r w:rsidR="00752856">
        <w:rPr>
          <w:lang w:val="it-IT"/>
        </w:rPr>
        <w:t>ë</w:t>
      </w:r>
      <w:r w:rsidRPr="008A3CED">
        <w:rPr>
          <w:lang w:val="it-IT"/>
        </w:rPr>
        <w:t xml:space="preserve"> e blu të veshur nga ankuesit dhe B.L. të cilët akuzoheshin për kryerjen e krimit. Ndryshimi i pozicionit të personave në rresht nuk rezultoi në ndonjë rezultat të ndryshëm për ankuesit, meqenëse atyre vazhdimisht u kërkohej të vishnin të njëjtën ngjyrë kapuçi (bardh</w:t>
      </w:r>
      <w:r w:rsidR="00752856">
        <w:rPr>
          <w:lang w:val="it-IT"/>
        </w:rPr>
        <w:t>ë</w:t>
      </w:r>
      <w:r w:rsidRPr="008A3CED">
        <w:rPr>
          <w:lang w:val="it-IT"/>
        </w:rPr>
        <w:t xml:space="preserve"> dhe blu) (shih paragrafin </w:t>
      </w:r>
      <w:r w:rsidRPr="00D45111">
        <w:fldChar w:fldCharType="begin"/>
      </w:r>
      <w:r w:rsidRPr="008A3CED">
        <w:rPr>
          <w:lang w:val="it-IT"/>
        </w:rPr>
        <w:instrText xml:space="preserve"> REF identificationofpersons \h </w:instrText>
      </w:r>
      <w:r w:rsidRPr="008A3CED">
        <w:rPr>
          <w:lang w:val="it-IT"/>
        </w:rPr>
        <w:instrText xml:space="preserve"> \* MERGEFORMAT </w:instrText>
      </w:r>
      <w:r w:rsidRPr="00D45111">
        <w:fldChar w:fldCharType="separate"/>
      </w:r>
      <w:r w:rsidR="00664519">
        <w:rPr>
          <w:lang w:val="it-IT"/>
        </w:rPr>
        <w:t>13</w:t>
      </w:r>
      <w:r w:rsidRPr="00D45111">
        <w:fldChar w:fldCharType="end"/>
      </w:r>
      <w:r w:rsidRPr="008A3CED">
        <w:rPr>
          <w:lang w:val="it-IT"/>
        </w:rPr>
        <w:t xml:space="preserve"> më lart). Gjykata konstaton se parada e</w:t>
      </w:r>
      <w:r w:rsidR="008D4A7E">
        <w:rPr>
          <w:lang w:val="it-IT"/>
        </w:rPr>
        <w:t xml:space="preserve"> identifikimit ishte e barasvler</w:t>
      </w:r>
      <w:r w:rsidRPr="008A3CED">
        <w:rPr>
          <w:lang w:val="it-IT"/>
        </w:rPr>
        <w:t xml:space="preserve">shme me një ftesë të hapur për dëshmitarë për të vënë gishtin e fajit mbi të dy ankuesit dhe B.L. si autorë të krimit.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67</w:t>
      </w:r>
      <w:r w:rsidRPr="00D45111">
        <w:fldChar w:fldCharType="end"/>
      </w:r>
      <w:r w:rsidRPr="008A3CED">
        <w:rPr>
          <w:lang w:val="it-IT"/>
        </w:rPr>
        <w:t xml:space="preserve">.  Për më tepër, parada e identifikimit u mbajt në mungesë të avokatëve të ankuesve. Nga dosja e çështjes nuk kuptohet që ankuesit kanë hequr dorë me vullnetin e tyre të lirë, shprehimisht ose heshturazi, nga e drejta për asistencë ligjore në momentin e paradës së identifikimit (shih, në kontrast, Kwiatkowska k. Italisë (dec.), nr. 52868/99, 30 </w:t>
      </w:r>
      <w:r w:rsidR="00752856" w:rsidRPr="008A3CED">
        <w:rPr>
          <w:lang w:val="it-IT"/>
        </w:rPr>
        <w:t xml:space="preserve">nëntor </w:t>
      </w:r>
      <w:r w:rsidRPr="008A3CED">
        <w:rPr>
          <w:lang w:val="it-IT"/>
        </w:rPr>
        <w:t>2000).</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68</w:t>
      </w:r>
      <w:r w:rsidRPr="00D45111">
        <w:fldChar w:fldCharType="end"/>
      </w:r>
      <w:r w:rsidRPr="008A3CED">
        <w:rPr>
          <w:lang w:val="it-IT"/>
        </w:rPr>
        <w:t xml:space="preserve">.  Gjykata vëren në këtë lidhje se megjithëse </w:t>
      </w:r>
      <w:r w:rsidR="00752856" w:rsidRPr="008A3CED">
        <w:rPr>
          <w:lang w:val="it-IT"/>
        </w:rPr>
        <w:t>gjykata e rrethit</w:t>
      </w:r>
      <w:r w:rsidRPr="008A3CED">
        <w:rPr>
          <w:lang w:val="it-IT"/>
        </w:rPr>
        <w:t xml:space="preserve"> pranoi që ka pasur parregullsi në fazën e hetimit, në dënimin e ankuesve ajo u bazua në identifikimin pozitiv të ankuesve bërë nga dëshmitarët okularë në paradën e identifikimit. Megjithatë, as ndihma e siguruar më tej nga avokati, as natyra kundërshtuese e procedimeve gjyqësore të rezultuara nuk mund të kuronin defektet që kishin ndodhur gjatë hetimit penal (shih Salduz, cituar më lart, § 58).</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69</w:t>
      </w:r>
      <w:r w:rsidRPr="00D45111">
        <w:fldChar w:fldCharType="end"/>
      </w:r>
      <w:r w:rsidRPr="008A3CED">
        <w:rPr>
          <w:lang w:val="it-IT"/>
        </w:rPr>
        <w:t>.  Nuk kishte mbikëqyrje të pavarur të drejtësisë së procedurës ose mundësisë për të protestuar kundër parregullsive të qarta. Gjykata konstaton se mosrespektimi i dukshëm i të drejtave të mbrojtjes në këtë fazë, gjithmonë do të paragjykonte drejtësinë e gjykimeve penale të mëvonshme.</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70</w:t>
      </w:r>
      <w:r w:rsidRPr="00D45111">
        <w:fldChar w:fldCharType="end"/>
      </w:r>
      <w:r w:rsidRPr="008A3CED">
        <w:rPr>
          <w:lang w:val="it-IT"/>
        </w:rPr>
        <w:t>.  Përfundimisht, Gjykata vëren që asaj nuk i është shpjeguar se përse janë refuzuar kërkesat e ankuesve për të paraqitur në gjyq kapuç</w:t>
      </w:r>
      <w:r w:rsidR="005E490B">
        <w:rPr>
          <w:lang w:val="it-IT"/>
        </w:rPr>
        <w:t>a</w:t>
      </w:r>
      <w:r w:rsidRPr="008A3CED">
        <w:rPr>
          <w:lang w:val="it-IT"/>
        </w:rPr>
        <w:t>t e përdorur gjatë paradës së identifikimit. Ndërsa është e vërtetë se e drejta për zbulimin e provave përkatëse nuk është absolute. Gjykata duhet të shqyrtojë procedurën e vendimmarrjes për të siguruar që, sa është e mundur, procedura t’i përmbahej kushteve për të siguruar procedime kundërshtuese, barazi të palëve</w:t>
      </w:r>
      <w:r w:rsidR="005E490B">
        <w:rPr>
          <w:lang w:val="it-IT"/>
        </w:rPr>
        <w:t>,</w:t>
      </w:r>
      <w:r w:rsidRPr="008A3CED">
        <w:rPr>
          <w:lang w:val="it-IT"/>
        </w:rPr>
        <w:t xml:space="preserve"> si dhe mbrojtje të mjaftueshme për të mbrojtur interesin e të akuzuarit (shih Jasper, cituar më lart, §§ 52-53).</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71</w:t>
      </w:r>
      <w:r w:rsidRPr="00D45111">
        <w:fldChar w:fldCharType="end"/>
      </w:r>
      <w:r w:rsidRPr="008A3CED">
        <w:rPr>
          <w:lang w:val="it-IT"/>
        </w:rPr>
        <w:t>.  Gjykata konsideron se në rrethanat e çështjes së ankuesve, drejtësia kërkonte që ata t</w:t>
      </w:r>
      <w:r w:rsidR="005E490B">
        <w:rPr>
          <w:lang w:val="it-IT"/>
        </w:rPr>
        <w:t>ë mund të argumentonin se kapuça</w:t>
      </w:r>
      <w:r w:rsidRPr="008A3CED">
        <w:rPr>
          <w:lang w:val="it-IT"/>
        </w:rPr>
        <w:t xml:space="preserve">t që u ishin kërkuar atyre të vishnin në paradën e identifikimit, të cilët përbënin provën vendimtare për dënimin e ankuesve, ishin krejtësisht të ndryshëm nga ato të veshur nga grabitësit. Megjithatë, në gjyq atyre iu mohua mundësia të rivendosnin parregullsitë që kishin ndodhur në paradën e identifikimit. Në këtë drejtim, Qeveria nuk iu referua ndonjë arsyeje të interesit publik për të fshehur prova të tilla, dhe arsye të tilla nuk janë të dukshme nga procedimet gjyqësore vendase.    </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72</w:t>
      </w:r>
      <w:r w:rsidRPr="00D45111">
        <w:fldChar w:fldCharType="end"/>
      </w:r>
      <w:r w:rsidRPr="008A3CED">
        <w:rPr>
          <w:lang w:val="it-IT"/>
        </w:rPr>
        <w:t>.  Në përfundim, duke pasur parasysh konstatimet e mësipërme, Gjykata arrin në përfundimin që procedimet gjyqësore në fjalë nuk përmbushnin kushtet e një gjykimi të drejtë. Për rrjedhojë, ka pasur shkelje të</w:t>
      </w:r>
      <w:r w:rsidR="002E4B93">
        <w:rPr>
          <w:lang w:val="it-IT"/>
        </w:rPr>
        <w:t xml:space="preserve"> nenit </w:t>
      </w:r>
      <w:r w:rsidRPr="008A3CED">
        <w:rPr>
          <w:lang w:val="it-IT"/>
        </w:rPr>
        <w:t>6 § 1 në çështjen aktuale.</w:t>
      </w:r>
    </w:p>
    <w:p w:rsidR="008A3CED" w:rsidRDefault="008A3CED" w:rsidP="008A3CED">
      <w:pPr>
        <w:pStyle w:val="Paragrafi0"/>
        <w:rPr>
          <w:lang w:val="it-IT"/>
        </w:rPr>
      </w:pPr>
    </w:p>
    <w:p w:rsidR="008A3CED" w:rsidRPr="008A3CED" w:rsidRDefault="008A3CED" w:rsidP="008A3CED">
      <w:pPr>
        <w:pStyle w:val="Paragrafi0"/>
        <w:rPr>
          <w:lang w:val="it-IT"/>
        </w:rPr>
      </w:pPr>
      <w:r w:rsidRPr="008A3CED">
        <w:rPr>
          <w:lang w:val="it-IT"/>
        </w:rPr>
        <w:t>IV.  ZBATIMET E NENEVE 46 DHE 41 TË KONVENTËS</w:t>
      </w:r>
    </w:p>
    <w:p w:rsidR="008A3CED" w:rsidRPr="008A3CED" w:rsidRDefault="008A3CED" w:rsidP="008A3CED">
      <w:pPr>
        <w:pStyle w:val="Paragrafi0"/>
        <w:rPr>
          <w:lang w:val="it-IT"/>
        </w:rPr>
      </w:pPr>
      <w:r w:rsidRPr="008A3CED">
        <w:rPr>
          <w:lang w:val="it-IT"/>
        </w:rPr>
        <w:t>A. Neni 46 i Konventës</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73</w:t>
      </w:r>
      <w:r w:rsidRPr="00D45111">
        <w:fldChar w:fldCharType="end"/>
      </w:r>
      <w:r w:rsidRPr="008A3CED">
        <w:rPr>
          <w:lang w:val="it-IT"/>
        </w:rPr>
        <w:t>.  Neni 46 parashikon se:</w:t>
      </w:r>
    </w:p>
    <w:p w:rsidR="008A3CED" w:rsidRPr="008A3CED" w:rsidRDefault="008A3CED" w:rsidP="008A3CED">
      <w:pPr>
        <w:pStyle w:val="Paragrafi0"/>
        <w:rPr>
          <w:lang w:val="it-IT"/>
        </w:rPr>
      </w:pPr>
      <w:r w:rsidRPr="008A3CED">
        <w:rPr>
          <w:lang w:val="it-IT"/>
        </w:rPr>
        <w:t xml:space="preserve">“1.  Palët e Larta Kontraktuese marrin përsipër që t’i përmbahen vendimit përfundimtar të Gjykatës në çdo rast ku ata janë palë. </w:t>
      </w:r>
    </w:p>
    <w:p w:rsidR="008A3CED" w:rsidRPr="008A3CED" w:rsidRDefault="008A3CED" w:rsidP="008A3CED">
      <w:pPr>
        <w:pStyle w:val="Paragrafi0"/>
        <w:rPr>
          <w:lang w:val="it-IT"/>
        </w:rPr>
      </w:pPr>
      <w:r w:rsidRPr="008A3CED">
        <w:rPr>
          <w:lang w:val="it-IT"/>
        </w:rPr>
        <w:t>2.  Vendimi përfundimtar i Gjykatës do t’i njoftohet Komitetit të Ministrave, i cili do të mbikëqyrë ekzekutimin e tij.”</w:t>
      </w:r>
      <w:r w:rsidR="005E490B">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74</w:t>
      </w:r>
      <w:r w:rsidRPr="00D45111">
        <w:fldChar w:fldCharType="end"/>
      </w:r>
      <w:r w:rsidRPr="008A3CED">
        <w:rPr>
          <w:lang w:val="it-IT"/>
        </w:rPr>
        <w:t>.  Në çështjen në fjalë, Gjykata konstatoi se ishte shkelur rëndë nga autoritetet vendase e drejta e ankuesve për një gjykim të drejtë. Gjykata vëren se kur një ankues është dënuar në shkelje të të drejtave të tij të garantuara në</w:t>
      </w:r>
      <w:r w:rsidR="00FC065E">
        <w:rPr>
          <w:lang w:val="it-IT"/>
        </w:rPr>
        <w:t xml:space="preserve"> nenin </w:t>
      </w:r>
      <w:r w:rsidRPr="008A3CED">
        <w:rPr>
          <w:lang w:val="it-IT"/>
        </w:rPr>
        <w:t xml:space="preserve">6 të Konventës, ai duhet, sa të jetë e mundur, të vendoset në pozicionin në të cilin ai do të kishte qenë nëse kushtet e asaj dispozite nuk do të shkeleshin, dhe që në parim, forma më e duhur e rishqyrtimit, do të gjykohej </w:t>
      </w:r>
      <w:r w:rsidRPr="005E490B">
        <w:rPr>
          <w:i/>
          <w:lang w:val="it-IT"/>
        </w:rPr>
        <w:t>de novo</w:t>
      </w:r>
      <w:r w:rsidRPr="008A3CED">
        <w:rPr>
          <w:lang w:val="it-IT"/>
        </w:rPr>
        <w:t xml:space="preserve"> apo rihapja e procedimeve, nëse kërkohej (shih Caka k. Shqipërisë, nr. 44023/02, § 122, 8 Dhjetor 2009; Salduz, cituar më lart, § 72; Xheraj k. Shqipërisë, nr. 37959/02, § 82, 29 Korrik 2008; Öcalan k. Turqisë [GC], nr. 46221/99, § 210 me gjobë, GJEDNJ 2005-IV).</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75</w:t>
      </w:r>
      <w:r w:rsidRPr="00D45111">
        <w:fldChar w:fldCharType="end"/>
      </w:r>
      <w:r w:rsidRPr="008A3CED">
        <w:rPr>
          <w:lang w:val="it-IT"/>
        </w:rPr>
        <w:t xml:space="preserve">.  Gjykata konsideron se, në çështjen në fjalë, një rigjykim ose rihapje e çështjes, nëse kërkohet nga ankuesi, në parim përfaqëson mënyrën e duhur të rregullimit të shkeljes. Kjo është në përputhje me udhëzimet e Komitetit të </w:t>
      </w:r>
      <w:r w:rsidR="005E490B">
        <w:rPr>
          <w:lang w:val="it-IT"/>
        </w:rPr>
        <w:t>Ministrave, që në Rekomandimin n</w:t>
      </w:r>
      <w:r w:rsidRPr="008A3CED">
        <w:rPr>
          <w:lang w:val="it-IT"/>
        </w:rPr>
        <w:t xml:space="preserve">r. R (2000) 2 i kërkonte Shteteve anëtare të Konventës futjen e mekanizmave për rishqyrtimin e çështjes dhe rihapjen e procedimeve gjyqësore në nivelin e brendshëm, duke zbuluar që masa të tilla përfaqësonin “mjetin më efikas, nëse jo të vetmin për arritjen e dëmshpërblimit </w:t>
      </w:r>
      <w:r w:rsidRPr="005E490B">
        <w:rPr>
          <w:i/>
          <w:lang w:val="it-IT"/>
        </w:rPr>
        <w:t>in integrum</w:t>
      </w:r>
      <w:r w:rsidRPr="008A3CED">
        <w:rPr>
          <w:lang w:val="it-IT"/>
        </w:rPr>
        <w:t xml:space="preserve">” (shih paragrafin </w:t>
      </w:r>
      <w:r w:rsidRPr="00D45111">
        <w:fldChar w:fldCharType="begin"/>
      </w:r>
      <w:r w:rsidRPr="008A3CED">
        <w:rPr>
          <w:lang w:val="it-IT"/>
        </w:rPr>
        <w:instrText xml:space="preserve"> REF recommendation2000 \h </w:instrText>
      </w:r>
      <w:r w:rsidRPr="008A3CED">
        <w:rPr>
          <w:lang w:val="it-IT"/>
        </w:rPr>
        <w:instrText xml:space="preserve"> \* MERGEFORMAT </w:instrText>
      </w:r>
      <w:r w:rsidRPr="00D45111">
        <w:fldChar w:fldCharType="separate"/>
      </w:r>
      <w:r w:rsidR="00664519">
        <w:rPr>
          <w:lang w:val="it-IT"/>
        </w:rPr>
        <w:t>33</w:t>
      </w:r>
      <w:r w:rsidRPr="00D45111">
        <w:fldChar w:fldCharType="end"/>
      </w:r>
      <w:r w:rsidRPr="008A3CED">
        <w:rPr>
          <w:lang w:val="it-IT"/>
        </w:rPr>
        <w:t xml:space="preserve"> më lart). Gjithashtu kjo reflekton parimet e </w:t>
      </w:r>
      <w:r w:rsidR="005E490B">
        <w:rPr>
          <w:lang w:val="it-IT"/>
        </w:rPr>
        <w:t>s</w:t>
      </w:r>
      <w:r w:rsidRPr="008A3CED">
        <w:rPr>
          <w:lang w:val="it-IT"/>
        </w:rPr>
        <w:t xml:space="preserve">ë drejtës ndërkombëtare ku një </w:t>
      </w:r>
      <w:r w:rsidR="005E490B">
        <w:rPr>
          <w:lang w:val="it-IT"/>
        </w:rPr>
        <w:t>s</w:t>
      </w:r>
      <w:r w:rsidRPr="008A3CED">
        <w:rPr>
          <w:lang w:val="it-IT"/>
        </w:rPr>
        <w:t>htet përgjegjës për një akt të paligjshëm është i detyruar të bëjë dëmshpërblimin, që konsiston në rivendosjen e situatës që ekzistonte para se të kryhej akti i paligjshëm (</w:t>
      </w:r>
      <w:r w:rsidR="005E490B">
        <w:rPr>
          <w:lang w:val="it-IT"/>
        </w:rPr>
        <w:t>neni 35 i projekt</w:t>
      </w:r>
      <w:r w:rsidR="005E490B" w:rsidRPr="008A3CED">
        <w:rPr>
          <w:lang w:val="it-IT"/>
        </w:rPr>
        <w:t xml:space="preserve">neneve </w:t>
      </w:r>
      <w:r w:rsidRPr="008A3CED">
        <w:rPr>
          <w:lang w:val="it-IT"/>
        </w:rPr>
        <w:t xml:space="preserve">të Komisionit të së Drejtës Ndërkombëtare mbi Përgjegjësitë e Shteteve për Aktet e Paligjshme Ndërkombëtare – shih paragrafin </w:t>
      </w:r>
      <w:r w:rsidRPr="00D45111">
        <w:fldChar w:fldCharType="begin"/>
      </w:r>
      <w:r w:rsidRPr="008A3CED">
        <w:rPr>
          <w:lang w:val="it-IT"/>
        </w:rPr>
        <w:instrText xml:space="preserve"> REF Article35 \h </w:instrText>
      </w:r>
      <w:r w:rsidRPr="008A3CED">
        <w:rPr>
          <w:lang w:val="it-IT"/>
        </w:rPr>
        <w:instrText xml:space="preserve"> \* MERGEFORMAT </w:instrText>
      </w:r>
      <w:r w:rsidRPr="00D45111">
        <w:fldChar w:fldCharType="separate"/>
      </w:r>
      <w:r w:rsidR="00664519">
        <w:rPr>
          <w:lang w:val="it-IT"/>
        </w:rPr>
        <w:t>35</w:t>
      </w:r>
      <w:r w:rsidRPr="00D45111">
        <w:fldChar w:fldCharType="end"/>
      </w:r>
      <w:r w:rsidRPr="008A3CED">
        <w:rPr>
          <w:lang w:val="it-IT"/>
        </w:rPr>
        <w:t xml:space="preserve"> më lart, dhe, mutatis mutandis, Verein gegen Tierfabriken Schëeiz (VgT) k. Zvicrës (nr. 2) [GC], nr. 32772/02, §§ 85-86, GJEDNJ 2009</w:t>
      </w:r>
      <w:r w:rsidRPr="008A3CED">
        <w:rPr>
          <w:lang w:val="it-IT"/>
        </w:rPr>
        <w:noBreakHyphen/>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76</w:t>
      </w:r>
      <w:r w:rsidRPr="00D45111">
        <w:fldChar w:fldCharType="end"/>
      </w:r>
      <w:r w:rsidRPr="008A3CED">
        <w:rPr>
          <w:lang w:val="it-IT"/>
        </w:rPr>
        <w:t xml:space="preserve">.  Gjykata vëren se sistemi ligjor penal i </w:t>
      </w:r>
      <w:r w:rsidR="005E490B" w:rsidRPr="008A3CED">
        <w:rPr>
          <w:lang w:val="it-IT"/>
        </w:rPr>
        <w:t xml:space="preserve">shtetit </w:t>
      </w:r>
      <w:r w:rsidRPr="008A3CED">
        <w:rPr>
          <w:lang w:val="it-IT"/>
        </w:rPr>
        <w:t>të paditur nuk parashikon mundësinë e rishqyrtimit të çështjeve, duke përfshirë rihapjen e procedimeve të brendshme, në rast se kjo Gjykatë</w:t>
      </w:r>
      <w:r w:rsidR="005E490B">
        <w:rPr>
          <w:lang w:val="it-IT"/>
        </w:rPr>
        <w:t xml:space="preserve"> konstaton shkelje të rëndë të s</w:t>
      </w:r>
      <w:r w:rsidRPr="008A3CED">
        <w:rPr>
          <w:lang w:val="it-IT"/>
        </w:rPr>
        <w:t>ë drejtës së ankuesit për gjykim të drejtë. Nuk është detyrë e Gjykatës të tregojë se si mund të sigurohet një mundësi e tillë dhe çfarë forme duhet të marrë ajo. Shteti i paditur mbetet i lirë, nën monitorimin e Komitetit të Ministrave, për të zgjedhur mjetet me të cilat do të kryejë detyrimin e tij për të vendosur ankuesin, sa është e mundur, në pozicionin që ai do të kishte qenë nëse kërkesat e Konventës nuk do të ishin shkelu</w:t>
      </w:r>
      <w:r w:rsidR="001D7A61">
        <w:rPr>
          <w:lang w:val="it-IT"/>
        </w:rPr>
        <w:t>r (shih Piersack k. Belgjikës (n</w:t>
      </w:r>
      <w:r w:rsidRPr="008A3CED">
        <w:rPr>
          <w:lang w:val="it-IT"/>
        </w:rPr>
        <w:t>eni 50), 26 </w:t>
      </w:r>
      <w:r w:rsidR="001D7A61" w:rsidRPr="008A3CED">
        <w:rPr>
          <w:lang w:val="it-IT"/>
        </w:rPr>
        <w:t xml:space="preserve">tetor </w:t>
      </w:r>
      <w:r w:rsidRPr="008A3CED">
        <w:rPr>
          <w:lang w:val="it-IT"/>
        </w:rPr>
        <w:t xml:space="preserve">1984, § 12, </w:t>
      </w:r>
      <w:r w:rsidR="001D7A61" w:rsidRPr="008A3CED">
        <w:rPr>
          <w:lang w:val="it-IT"/>
        </w:rPr>
        <w:t xml:space="preserve">seria </w:t>
      </w:r>
      <w:r w:rsidRPr="008A3CED">
        <w:rPr>
          <w:lang w:val="it-IT"/>
        </w:rPr>
        <w:t>A nr. 85), me kusht që mjete të tilla të jenë në përputhje me përfundimet e përcaktuara në vendimin e Gjykatës</w:t>
      </w:r>
      <w:r w:rsidR="001D7A61">
        <w:rPr>
          <w:lang w:val="it-IT"/>
        </w:rPr>
        <w:t>,</w:t>
      </w:r>
      <w:r w:rsidRPr="008A3CED">
        <w:rPr>
          <w:lang w:val="it-IT"/>
        </w:rPr>
        <w:t xml:space="preserve"> si dhe me të drejtat e mbrojtjes (shih Lyons dhe </w:t>
      </w:r>
      <w:r w:rsidR="001D7A61">
        <w:rPr>
          <w:lang w:val="it-IT"/>
        </w:rPr>
        <w:t>t</w:t>
      </w:r>
      <w:r w:rsidRPr="008A3CED">
        <w:rPr>
          <w:lang w:val="it-IT"/>
        </w:rPr>
        <w:t>ë tjerë k. Mbretërisë së Bashkuar (dec.), nr. 15227/03, GJEDNJ 2003-IX).</w:t>
      </w:r>
    </w:p>
    <w:p w:rsidR="008A3CED" w:rsidRPr="00D45111" w:rsidRDefault="008A3CED" w:rsidP="008A3CED">
      <w:pPr>
        <w:pStyle w:val="Paragrafi0"/>
      </w:pPr>
      <w:r w:rsidRPr="00D45111">
        <w:fldChar w:fldCharType="begin"/>
      </w:r>
      <w:r w:rsidRPr="008A3CED">
        <w:rPr>
          <w:lang w:val="it-IT"/>
        </w:rPr>
        <w:instrText xml:space="preserve"> SEQ level0 \*arabic </w:instrText>
      </w:r>
      <w:r w:rsidRPr="00D45111">
        <w:fldChar w:fldCharType="separate"/>
      </w:r>
      <w:r w:rsidR="00664519">
        <w:rPr>
          <w:noProof/>
          <w:lang w:val="it-IT"/>
        </w:rPr>
        <w:t>77</w:t>
      </w:r>
      <w:r w:rsidRPr="00D45111">
        <w:fldChar w:fldCharType="end"/>
      </w:r>
      <w:r w:rsidRPr="008A3CED">
        <w:rPr>
          <w:lang w:val="it-IT"/>
        </w:rPr>
        <w:t xml:space="preserve">.  Megjithatë, Gjykata konsideron që është detyrë e </w:t>
      </w:r>
      <w:r w:rsidR="003E1929" w:rsidRPr="008A3CED">
        <w:rPr>
          <w:lang w:val="it-IT"/>
        </w:rPr>
        <w:t xml:space="preserve">shtetit </w:t>
      </w:r>
      <w:r w:rsidRPr="008A3CED">
        <w:rPr>
          <w:lang w:val="it-IT"/>
        </w:rPr>
        <w:t xml:space="preserve">të paditur që në sistemin e tij ligjor të brendshëm të heqë pengesat që mund të pengojnë rregullimin e mjaftueshëm të situatës së ankuesit (shih, ndërmjet autoriteteve të tjera, Karanović k. Bosnjës dhe Herzegovinës, nr. 39462/03, § 28, 20 </w:t>
      </w:r>
      <w:r w:rsidR="00AB2049" w:rsidRPr="008A3CED">
        <w:rPr>
          <w:lang w:val="it-IT"/>
        </w:rPr>
        <w:t xml:space="preserve">nëntor </w:t>
      </w:r>
      <w:r w:rsidRPr="008A3CED">
        <w:rPr>
          <w:lang w:val="it-IT"/>
        </w:rPr>
        <w:t>2007) ose të propozojë një mjet të ri ligjor</w:t>
      </w:r>
      <w:r w:rsidR="00AB2049">
        <w:rPr>
          <w:lang w:val="it-IT"/>
        </w:rPr>
        <w:t>,</w:t>
      </w:r>
      <w:r w:rsidRPr="008A3CED">
        <w:rPr>
          <w:lang w:val="it-IT"/>
        </w:rPr>
        <w:t xml:space="preserve"> i cili do t’i mundësonte ankuesit të rregullote situatën. Për më tepër, </w:t>
      </w:r>
      <w:r w:rsidR="003E1929" w:rsidRPr="008A3CED">
        <w:rPr>
          <w:lang w:val="it-IT"/>
        </w:rPr>
        <w:t xml:space="preserve">shtetet kontraktuese </w:t>
      </w:r>
      <w:r w:rsidRPr="008A3CED">
        <w:rPr>
          <w:lang w:val="it-IT"/>
        </w:rPr>
        <w:t>janë të detyruar</w:t>
      </w:r>
      <w:r w:rsidR="00AB2049">
        <w:rPr>
          <w:lang w:val="it-IT"/>
        </w:rPr>
        <w:t>a</w:t>
      </w:r>
      <w:r w:rsidRPr="008A3CED">
        <w:rPr>
          <w:lang w:val="it-IT"/>
        </w:rPr>
        <w:t xml:space="preserve"> të organizojnë sistemet e tyre gjyqësore në mënyrë të tillë që gjykatat e tyre të plotësojnë kërkesat e Konventës. Gjithashtu ky parim zbatohet për rihapjen e procedimeve gjyqësore dhe rishqyrtimin e çështjeve të ankuesve. </w:t>
      </w:r>
      <w:r w:rsidRPr="00D45111">
        <w:t>(shih, mutatis mutandis, Verein gegen Tierfabriken Schëeiz (VgT) (nr. 2), cituar më lart, § 97.)</w:t>
      </w:r>
    </w:p>
    <w:p w:rsidR="008A3CED" w:rsidRPr="008A3CED" w:rsidRDefault="008A3CED" w:rsidP="008A3CED">
      <w:pPr>
        <w:pStyle w:val="Paragrafi0"/>
        <w:rPr>
          <w:lang w:val="it-IT"/>
        </w:rPr>
      </w:pPr>
      <w:r w:rsidRPr="008A3CED">
        <w:rPr>
          <w:lang w:val="it-IT"/>
        </w:rPr>
        <w:t>B. Neni 41 i Konventës</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78</w:t>
      </w:r>
      <w:r w:rsidRPr="00D45111">
        <w:fldChar w:fldCharType="end"/>
      </w:r>
      <w:r w:rsidRPr="008A3CED">
        <w:rPr>
          <w:lang w:val="it-IT"/>
        </w:rPr>
        <w:t>.  Neni 41 i Konventës parashikon se:</w:t>
      </w:r>
    </w:p>
    <w:p w:rsidR="008A3CED" w:rsidRPr="008A3CED" w:rsidRDefault="008A3CED" w:rsidP="008A3CED">
      <w:pPr>
        <w:pStyle w:val="Paragrafi0"/>
        <w:rPr>
          <w:lang w:val="it-IT"/>
        </w:rPr>
      </w:pPr>
      <w:r w:rsidRPr="008A3CED">
        <w:rPr>
          <w:lang w:val="it-IT"/>
        </w:rPr>
        <w:t xml:space="preserve">“Nëse Gjykata konstaton se ka pasur shkelje të Konventës dhe të </w:t>
      </w:r>
      <w:r w:rsidR="003E1929" w:rsidRPr="008A3CED">
        <w:rPr>
          <w:lang w:val="it-IT"/>
        </w:rPr>
        <w:t xml:space="preserve">protokolleve </w:t>
      </w:r>
      <w:r w:rsidRPr="008A3CED">
        <w:rPr>
          <w:lang w:val="it-IT"/>
        </w:rPr>
        <w:t>të saj, dhe nëse legjislacioni i brendshëm i Palëve të Larta Kontraktuese lejon vetëm riparim të pjesshëm, Gjykata, nëse është e nevojshme, akordon dëmshpërblim të drejtë për palën e dëmtuar.”</w:t>
      </w:r>
      <w:r w:rsidR="003E1929">
        <w:rPr>
          <w:lang w:val="it-IT"/>
        </w:rPr>
        <w:t>.</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79</w:t>
      </w:r>
      <w:r w:rsidRPr="00D45111">
        <w:fldChar w:fldCharType="end"/>
      </w:r>
      <w:r w:rsidRPr="008A3CED">
        <w:rPr>
          <w:lang w:val="it-IT"/>
        </w:rPr>
        <w:t>.  Ankuesit kë</w:t>
      </w:r>
      <w:r w:rsidR="003E1929">
        <w:rPr>
          <w:lang w:val="it-IT"/>
        </w:rPr>
        <w:t xml:space="preserve">rkuan secili një pagesë prej 12 </w:t>
      </w:r>
      <w:r w:rsidRPr="008A3CED">
        <w:rPr>
          <w:lang w:val="it-IT"/>
        </w:rPr>
        <w:t xml:space="preserve">000 eurosh në lidhje me dëmin pasuror që ata pretendonin. Kjo shumë është llogaritur duke u bazuar në fitimet e humbura në përputhje me pagën minimale në </w:t>
      </w:r>
      <w:r w:rsidR="003E1929">
        <w:rPr>
          <w:lang w:val="it-IT"/>
        </w:rPr>
        <w:t xml:space="preserve">Shqipëri. Ata kërkuan secili 20 </w:t>
      </w:r>
      <w:r w:rsidRPr="008A3CED">
        <w:rPr>
          <w:lang w:val="it-IT"/>
        </w:rPr>
        <w:t>000</w:t>
      </w:r>
      <w:r w:rsidR="003E1929">
        <w:rPr>
          <w:lang w:val="it-IT"/>
        </w:rPr>
        <w:t xml:space="preserve"> euro në lidhje me dëmin jo</w:t>
      </w:r>
      <w:r w:rsidRPr="008A3CED">
        <w:rPr>
          <w:lang w:val="it-IT"/>
        </w:rPr>
        <w:t>pasuror.</w:t>
      </w:r>
    </w:p>
    <w:p w:rsidR="008A3CED" w:rsidRPr="008A3CED" w:rsidRDefault="008A3CED" w:rsidP="008A3CED">
      <w:pPr>
        <w:pStyle w:val="Paragrafi0"/>
        <w:rPr>
          <w:lang w:val="it-IT"/>
        </w:rPr>
      </w:pPr>
      <w:r w:rsidRPr="00D45111">
        <w:fldChar w:fldCharType="begin"/>
      </w:r>
      <w:r w:rsidRPr="008A3CED">
        <w:rPr>
          <w:lang w:val="it-IT"/>
        </w:rPr>
        <w:instrText xml:space="preserve"> SEQ level0 \*arabic </w:instrText>
      </w:r>
      <w:r w:rsidRPr="00D45111">
        <w:fldChar w:fldCharType="separate"/>
      </w:r>
      <w:r w:rsidR="00664519">
        <w:rPr>
          <w:noProof/>
          <w:lang w:val="it-IT"/>
        </w:rPr>
        <w:t>80</w:t>
      </w:r>
      <w:r w:rsidRPr="00D45111">
        <w:fldChar w:fldCharType="end"/>
      </w:r>
      <w:r w:rsidRPr="008A3CED">
        <w:rPr>
          <w:lang w:val="it-IT"/>
        </w:rPr>
        <w:t xml:space="preserve">.  Qeveria i kërkoi Gjykatës të rrëzojë pretendimin e ankuesve për shpërblim të drejtë. </w:t>
      </w:r>
    </w:p>
    <w:p w:rsidR="008A3CED" w:rsidRPr="007E1B8F" w:rsidRDefault="008A3CED" w:rsidP="008A3CED">
      <w:pPr>
        <w:pStyle w:val="Paragrafi0"/>
        <w:rPr>
          <w:lang w:val="it-IT"/>
        </w:rPr>
      </w:pPr>
      <w:r w:rsidRPr="007E1B8F">
        <w:rPr>
          <w:lang w:val="it-IT"/>
        </w:rPr>
        <w:t>A.  Dëmi</w:t>
      </w:r>
    </w:p>
    <w:p w:rsidR="008A3CED" w:rsidRPr="007E1B8F" w:rsidRDefault="008A3CED" w:rsidP="008A3CED">
      <w:pPr>
        <w:pStyle w:val="Paragrafi0"/>
        <w:rPr>
          <w:lang w:val="it-IT"/>
        </w:rPr>
      </w:pPr>
      <w:r w:rsidRPr="00D45111">
        <w:fldChar w:fldCharType="begin"/>
      </w:r>
      <w:r w:rsidRPr="007E1B8F">
        <w:rPr>
          <w:lang w:val="it-IT"/>
        </w:rPr>
        <w:instrText xml:space="preserve"> SEQ level0 \*arabic </w:instrText>
      </w:r>
      <w:r w:rsidRPr="00D45111">
        <w:fldChar w:fldCharType="separate"/>
      </w:r>
      <w:r w:rsidR="00664519">
        <w:rPr>
          <w:noProof/>
          <w:lang w:val="it-IT"/>
        </w:rPr>
        <w:t>81</w:t>
      </w:r>
      <w:r w:rsidRPr="00D45111">
        <w:fldChar w:fldCharType="end"/>
      </w:r>
      <w:r w:rsidRPr="007E1B8F">
        <w:rPr>
          <w:lang w:val="it-IT"/>
        </w:rPr>
        <w:t>.  Përsa i përket dëmit pasuror të pretenduar se është shkaktuar, Gjykata ritheksoi se duhet të ketë një lidhje shkakësore të dukshme ndërmjet dëmit të pretenduar nga ankuesi dhe shkeljes së Konventës (shih, ndërmjet të tjerash, Dybeku k. Shqipërisë, nr. 41153/06, § 65, 18 </w:t>
      </w:r>
      <w:r w:rsidR="003E1929" w:rsidRPr="007E1B8F">
        <w:rPr>
          <w:lang w:val="it-IT"/>
        </w:rPr>
        <w:t xml:space="preserve">dhjetor </w:t>
      </w:r>
      <w:r w:rsidRPr="007E1B8F">
        <w:rPr>
          <w:lang w:val="it-IT"/>
        </w:rPr>
        <w:t>2007).</w:t>
      </w:r>
    </w:p>
    <w:p w:rsidR="008A3CED" w:rsidRPr="007E1B8F" w:rsidRDefault="008A3CED" w:rsidP="008A3CED">
      <w:pPr>
        <w:pStyle w:val="Paragrafi0"/>
        <w:rPr>
          <w:lang w:val="it-IT"/>
        </w:rPr>
      </w:pPr>
      <w:r w:rsidRPr="00D45111">
        <w:fldChar w:fldCharType="begin"/>
      </w:r>
      <w:r w:rsidRPr="007E1B8F">
        <w:rPr>
          <w:lang w:val="it-IT"/>
        </w:rPr>
        <w:instrText xml:space="preserve"> SEQ level0 \*arabic </w:instrText>
      </w:r>
      <w:r w:rsidRPr="00D45111">
        <w:fldChar w:fldCharType="separate"/>
      </w:r>
      <w:r w:rsidR="00664519">
        <w:rPr>
          <w:noProof/>
          <w:lang w:val="it-IT"/>
        </w:rPr>
        <w:t>82</w:t>
      </w:r>
      <w:r w:rsidRPr="00D45111">
        <w:fldChar w:fldCharType="end"/>
      </w:r>
      <w:r w:rsidRPr="007E1B8F">
        <w:rPr>
          <w:lang w:val="it-IT"/>
        </w:rPr>
        <w:t>.  Gjykata, duke pasur parasysh konstatimet e saj në lidhje me ankimet e ankuesit sipas</w:t>
      </w:r>
      <w:r w:rsidR="002E4B93">
        <w:rPr>
          <w:lang w:val="it-IT"/>
        </w:rPr>
        <w:t xml:space="preserve"> nenit </w:t>
      </w:r>
      <w:r w:rsidRPr="007E1B8F">
        <w:rPr>
          <w:lang w:val="it-IT"/>
        </w:rPr>
        <w:t>6 § 1, vlerëson se nuk ka lidhje shkakësore ndërmjet dëmit të pretenduar dhe shkeljes së konstatuar. Gjykata nuk mund të spekulojë me faktin se cili mund të ishte rezultati i procedimit penal kundër ankuesit nëse shkelja e Konventës nuk do të kishte ndodhur (shih Polufakin dhe Chernyshev k. Rusisë, nr. 30997/02, § 216, 25</w:t>
      </w:r>
      <w:r w:rsidR="00661D56">
        <w:rPr>
          <w:lang w:val="it-IT"/>
        </w:rPr>
        <w:t xml:space="preserve"> shtator </w:t>
      </w:r>
      <w:r w:rsidRPr="007E1B8F">
        <w:rPr>
          <w:lang w:val="it-IT"/>
        </w:rPr>
        <w:t xml:space="preserve">2008). Prandaj, Gjykata e sheh të papërshtatshme për t’i dhënë ankuesit kompensim për dëmin pasuror të pretenduar.  </w:t>
      </w:r>
    </w:p>
    <w:p w:rsidR="008A3CED" w:rsidRPr="007E1B8F" w:rsidRDefault="008A3CED" w:rsidP="008A3CED">
      <w:pPr>
        <w:pStyle w:val="Paragrafi0"/>
        <w:rPr>
          <w:lang w:val="it-IT"/>
        </w:rPr>
      </w:pPr>
      <w:r w:rsidRPr="00D45111">
        <w:fldChar w:fldCharType="begin"/>
      </w:r>
      <w:r w:rsidRPr="007E1B8F">
        <w:rPr>
          <w:lang w:val="it-IT"/>
        </w:rPr>
        <w:instrText xml:space="preserve"> SEQ level0 \*arabic </w:instrText>
      </w:r>
      <w:r w:rsidRPr="00D45111">
        <w:fldChar w:fldCharType="separate"/>
      </w:r>
      <w:r w:rsidR="00664519">
        <w:rPr>
          <w:noProof/>
          <w:lang w:val="it-IT"/>
        </w:rPr>
        <w:t>83</w:t>
      </w:r>
      <w:r w:rsidRPr="00D45111">
        <w:fldChar w:fldCharType="end"/>
      </w:r>
      <w:r w:rsidR="00AB2049">
        <w:rPr>
          <w:lang w:val="it-IT"/>
        </w:rPr>
        <w:t>.  Përsa i përket dëmit jo</w:t>
      </w:r>
      <w:r w:rsidRPr="007E1B8F">
        <w:rPr>
          <w:lang w:val="it-IT"/>
        </w:rPr>
        <w:t>pasuror, duke vendosur mbi baza të arsyeshme, Gj</w:t>
      </w:r>
      <w:r w:rsidR="00AB2049">
        <w:rPr>
          <w:lang w:val="it-IT"/>
        </w:rPr>
        <w:t xml:space="preserve">ykata i cakton secilit ankues 4 </w:t>
      </w:r>
      <w:r w:rsidRPr="007E1B8F">
        <w:rPr>
          <w:lang w:val="it-IT"/>
        </w:rPr>
        <w:t>800 euro, plus ndonjë taksë që mund të jetë në ngarkim të këtyre shumave.</w:t>
      </w:r>
    </w:p>
    <w:p w:rsidR="008A3CED" w:rsidRPr="007E1B8F" w:rsidRDefault="008A3CED" w:rsidP="008A3CED">
      <w:pPr>
        <w:pStyle w:val="Paragrafi0"/>
        <w:rPr>
          <w:lang w:val="it-IT"/>
        </w:rPr>
      </w:pPr>
      <w:r w:rsidRPr="007E1B8F">
        <w:rPr>
          <w:lang w:val="it-IT"/>
        </w:rPr>
        <w:t>B.  Kosto dhe shpenzime</w:t>
      </w:r>
    </w:p>
    <w:p w:rsidR="008A3CED" w:rsidRPr="00437449" w:rsidRDefault="008A3CED" w:rsidP="008A3CED">
      <w:pPr>
        <w:pStyle w:val="Paragrafi0"/>
      </w:pPr>
      <w:r w:rsidRPr="00D45111">
        <w:fldChar w:fldCharType="begin"/>
      </w:r>
      <w:r w:rsidRPr="00437449">
        <w:instrText xml:space="preserve"> SEQ level0 \*arabic </w:instrText>
      </w:r>
      <w:r w:rsidRPr="00D45111">
        <w:fldChar w:fldCharType="separate"/>
      </w:r>
      <w:r w:rsidR="00664519">
        <w:rPr>
          <w:noProof/>
        </w:rPr>
        <w:t>84</w:t>
      </w:r>
      <w:r w:rsidRPr="00D45111">
        <w:fldChar w:fldCharType="end"/>
      </w:r>
      <w:r w:rsidRPr="00437449">
        <w:t xml:space="preserve">.  Ankuesit nuk parashtruan pretendim për kostot dhe shpenzimet. Si rrjedhim, Gjykata vlerëson se nuk ka arsye për t’i caktuar atyre ndonjë shumë për këtë qëllim.  </w:t>
      </w:r>
    </w:p>
    <w:p w:rsidR="008A3CED" w:rsidRPr="00437449" w:rsidRDefault="008A3CED" w:rsidP="008A3CED">
      <w:pPr>
        <w:pStyle w:val="Paragrafi0"/>
      </w:pPr>
      <w:r w:rsidRPr="00437449">
        <w:t>C.  Interesi i munguar</w:t>
      </w:r>
    </w:p>
    <w:p w:rsidR="008A3CED" w:rsidRPr="00437449" w:rsidRDefault="008A3CED" w:rsidP="008A3CED">
      <w:pPr>
        <w:pStyle w:val="Paragrafi0"/>
      </w:pPr>
      <w:r w:rsidRPr="00D45111">
        <w:fldChar w:fldCharType="begin"/>
      </w:r>
      <w:r w:rsidRPr="00437449">
        <w:instrText xml:space="preserve"> SEQ level0 \*arabic </w:instrText>
      </w:r>
      <w:r w:rsidRPr="00D45111">
        <w:fldChar w:fldCharType="separate"/>
      </w:r>
      <w:r w:rsidR="00664519">
        <w:rPr>
          <w:noProof/>
        </w:rPr>
        <w:t>85</w:t>
      </w:r>
      <w:r w:rsidRPr="00D45111">
        <w:fldChar w:fldCharType="end"/>
      </w:r>
      <w:r w:rsidRPr="00437449">
        <w:t>.  Gjykata e mendon të arsyeshme se interesi i mu</w:t>
      </w:r>
      <w:r w:rsidR="00AB2049" w:rsidRPr="00437449">
        <w:t>n</w:t>
      </w:r>
      <w:r w:rsidRPr="00437449">
        <w:t>guar duhet të bazohet në kursin marxhinal të huasë së Bankës Qendrore Europiane, mbi të cilën duhet të shtohen 3 për</w:t>
      </w:r>
      <w:r w:rsidR="003E1929" w:rsidRPr="00437449">
        <w:t xml:space="preserve"> </w:t>
      </w:r>
      <w:r w:rsidRPr="00437449">
        <w:t xml:space="preserve">qind. </w:t>
      </w:r>
    </w:p>
    <w:p w:rsidR="008A3CED" w:rsidRPr="00437449" w:rsidRDefault="008A3CED" w:rsidP="008A3CED">
      <w:pPr>
        <w:pStyle w:val="Paragrafi0"/>
      </w:pPr>
    </w:p>
    <w:p w:rsidR="008A3CED" w:rsidRPr="00437449" w:rsidRDefault="008A3CED" w:rsidP="008A3CED">
      <w:pPr>
        <w:pStyle w:val="VENDOSI0"/>
        <w:rPr>
          <w:lang w:val="en-US"/>
        </w:rPr>
      </w:pPr>
      <w:r w:rsidRPr="00437449">
        <w:rPr>
          <w:lang w:val="en-US"/>
        </w:rPr>
        <w:t>PËR KËTO ARSYE, GJYKATA, NJËZËRI:</w:t>
      </w:r>
    </w:p>
    <w:p w:rsidR="008A3CED" w:rsidRPr="00437449" w:rsidRDefault="008A3CED" w:rsidP="008A3CED">
      <w:pPr>
        <w:pStyle w:val="Paragrafi0"/>
        <w:rPr>
          <w:sz w:val="12"/>
        </w:rPr>
      </w:pPr>
    </w:p>
    <w:p w:rsidR="008A3CED" w:rsidRPr="00437449" w:rsidRDefault="008A3CED" w:rsidP="008A3CED">
      <w:pPr>
        <w:pStyle w:val="Paragrafi0"/>
      </w:pPr>
      <w:r w:rsidRPr="00437449">
        <w:t>1.  Vendos të bashkojë ankimet;</w:t>
      </w:r>
    </w:p>
    <w:p w:rsidR="008A3CED" w:rsidRPr="00437449" w:rsidRDefault="008A3CED" w:rsidP="008A3CED">
      <w:pPr>
        <w:pStyle w:val="Paragrafi0"/>
      </w:pPr>
      <w:r w:rsidRPr="00437449">
        <w:t>2.  Deklaron  ankimin e ankuesve sipas</w:t>
      </w:r>
      <w:r w:rsidR="002E4B93" w:rsidRPr="00437449">
        <w:t xml:space="preserve"> nenit </w:t>
      </w:r>
      <w:r w:rsidRPr="00437449">
        <w:t>3 të Konventës të papranueshëm dhe pjesën tjetër të ankimit të pranueshëm;</w:t>
      </w:r>
    </w:p>
    <w:p w:rsidR="008A3CED" w:rsidRPr="00437449" w:rsidRDefault="008A3CED" w:rsidP="008A3CED">
      <w:pPr>
        <w:pStyle w:val="Paragrafi0"/>
      </w:pPr>
      <w:r w:rsidRPr="00437449">
        <w:t>3.  Vendos se ka pasur shkelje të</w:t>
      </w:r>
      <w:r w:rsidR="002E4B93" w:rsidRPr="00437449">
        <w:t xml:space="preserve"> nenit </w:t>
      </w:r>
      <w:r w:rsidRPr="00437449">
        <w:t>6 § 1 të Konventës;</w:t>
      </w:r>
    </w:p>
    <w:p w:rsidR="008A3CED" w:rsidRPr="00437449" w:rsidRDefault="008A3CED" w:rsidP="008A3CED">
      <w:pPr>
        <w:pStyle w:val="Paragrafi0"/>
      </w:pPr>
      <w:r w:rsidRPr="00437449">
        <w:t>4.  Vendos</w:t>
      </w:r>
    </w:p>
    <w:p w:rsidR="008A3CED" w:rsidRPr="00437449" w:rsidRDefault="008A3CED" w:rsidP="008A3CED">
      <w:pPr>
        <w:pStyle w:val="Paragrafi0"/>
      </w:pPr>
      <w:r w:rsidRPr="00437449">
        <w:t xml:space="preserve">a)  që </w:t>
      </w:r>
      <w:r w:rsidR="00AB2049" w:rsidRPr="00437449">
        <w:t>s</w:t>
      </w:r>
      <w:r w:rsidRPr="00437449">
        <w:t>hteti i paditur duhet të paguajë secilin ankues, brenda tre muajve nga data kur vendimi bëhet përfundimtar në përputhje me</w:t>
      </w:r>
      <w:r w:rsidR="00FC065E" w:rsidRPr="00437449">
        <w:t xml:space="preserve"> nenin </w:t>
      </w:r>
      <w:r w:rsidR="003E1929" w:rsidRPr="00437449">
        <w:t xml:space="preserve">44 § 2 të Konventës, 4 </w:t>
      </w:r>
      <w:r w:rsidRPr="00437449">
        <w:t>800 euro (katër mijë e tetëq</w:t>
      </w:r>
      <w:r w:rsidR="003E1929" w:rsidRPr="00437449">
        <w:t>ind euro) në lidhje me dëmin jo</w:t>
      </w:r>
      <w:r w:rsidRPr="00437449">
        <w:t xml:space="preserve">pasuror, të konvertuar në monedhën e </w:t>
      </w:r>
      <w:r w:rsidR="003E1929" w:rsidRPr="00437449">
        <w:t xml:space="preserve">shtetit </w:t>
      </w:r>
      <w:r w:rsidRPr="00437449">
        <w:t>të paditur, me normë të aplikueshme në datën e pagimit, plus çdo tatim që mund të vendoset;</w:t>
      </w:r>
    </w:p>
    <w:p w:rsidR="008A3CED" w:rsidRPr="00437449" w:rsidRDefault="008A3CED" w:rsidP="008A3CED">
      <w:pPr>
        <w:pStyle w:val="Paragrafi0"/>
      </w:pPr>
      <w:r w:rsidRPr="00437449">
        <w:t>b)  që prej skadimit të periudhës prej tre muajsh të përmendur më lart deri në pagim, mbi shumën e mësipërme paguhet interes i thjeshtë i barabartë me kursin marxhinal të huasë së Bankës Qendrore Europiane gjatë periudhës së mospagimit, plus tre për</w:t>
      </w:r>
      <w:r w:rsidR="002C7016" w:rsidRPr="00437449">
        <w:t xml:space="preserve"> </w:t>
      </w:r>
      <w:r w:rsidRPr="00437449">
        <w:t>qind;</w:t>
      </w:r>
    </w:p>
    <w:p w:rsidR="008A3CED" w:rsidRPr="00AB0CD5" w:rsidRDefault="008A3CED" w:rsidP="008A3CED">
      <w:pPr>
        <w:pStyle w:val="Paragrafi0"/>
        <w:rPr>
          <w:lang w:val="it-IT"/>
        </w:rPr>
      </w:pPr>
      <w:r w:rsidRPr="00AB0CD5">
        <w:rPr>
          <w:lang w:val="it-IT"/>
        </w:rPr>
        <w:t>5.  Rrëzon pjesën tjetër të pretendimit të a</w:t>
      </w:r>
      <w:r w:rsidR="00AB2049">
        <w:rPr>
          <w:lang w:val="it-IT"/>
        </w:rPr>
        <w:t>nkuesit për shpërblim të drejtë.</w:t>
      </w:r>
    </w:p>
    <w:p w:rsidR="008A3CED" w:rsidRDefault="008A3CED" w:rsidP="008A3CED">
      <w:pPr>
        <w:pStyle w:val="Paragrafi0"/>
        <w:rPr>
          <w:lang w:val="it-IT"/>
        </w:rPr>
      </w:pPr>
      <w:r w:rsidRPr="00AB2049">
        <w:rPr>
          <w:lang w:val="it-IT"/>
        </w:rPr>
        <w:t xml:space="preserve">Bërë në </w:t>
      </w:r>
      <w:r w:rsidR="002C7016" w:rsidRPr="00AB2049">
        <w:rPr>
          <w:lang w:val="it-IT"/>
        </w:rPr>
        <w:t>anglisht</w:t>
      </w:r>
      <w:r w:rsidRPr="00AB2049">
        <w:rPr>
          <w:lang w:val="it-IT"/>
        </w:rPr>
        <w:t>, dhe njoftuar me shkrim më 20</w:t>
      </w:r>
      <w:r w:rsidR="00661D56" w:rsidRPr="00AB2049">
        <w:rPr>
          <w:lang w:val="it-IT"/>
        </w:rPr>
        <w:t xml:space="preserve"> prill </w:t>
      </w:r>
      <w:r w:rsidRPr="00AB2049">
        <w:rPr>
          <w:lang w:val="it-IT"/>
        </w:rPr>
        <w:t>2010, në përputhje me</w:t>
      </w:r>
      <w:r w:rsidR="00AB2049" w:rsidRPr="00AB2049">
        <w:rPr>
          <w:lang w:val="it-IT"/>
        </w:rPr>
        <w:t xml:space="preserve"> nenet</w:t>
      </w:r>
      <w:r w:rsidR="00FC065E" w:rsidRPr="00AB2049">
        <w:rPr>
          <w:lang w:val="it-IT"/>
        </w:rPr>
        <w:t xml:space="preserve"> </w:t>
      </w:r>
      <w:r w:rsidRPr="00AB2049">
        <w:rPr>
          <w:lang w:val="it-IT"/>
        </w:rPr>
        <w:t xml:space="preserve">77 §§ 2 dhe 3 të </w:t>
      </w:r>
      <w:r w:rsidR="002C7016" w:rsidRPr="00AB2049">
        <w:rPr>
          <w:lang w:val="it-IT"/>
        </w:rPr>
        <w:t xml:space="preserve">rregullores </w:t>
      </w:r>
      <w:r w:rsidRPr="00AB2049">
        <w:rPr>
          <w:lang w:val="it-IT"/>
        </w:rPr>
        <w:t>së Gjykatës.</w:t>
      </w:r>
    </w:p>
    <w:p w:rsidR="00BC485C" w:rsidRDefault="00BC485C" w:rsidP="008A3CED">
      <w:pPr>
        <w:pStyle w:val="Paragrafi0"/>
        <w:rPr>
          <w:lang w:val="it-IT"/>
        </w:rPr>
      </w:pPr>
    </w:p>
    <w:tbl>
      <w:tblPr>
        <w:tblW w:w="0" w:type="auto"/>
        <w:tblLook w:val="01E0" w:firstRow="1" w:lastRow="1" w:firstColumn="1" w:lastColumn="1" w:noHBand="0" w:noVBand="0"/>
      </w:tblPr>
      <w:tblGrid>
        <w:gridCol w:w="4643"/>
        <w:gridCol w:w="4643"/>
      </w:tblGrid>
      <w:tr w:rsidR="00BC485C" w:rsidRPr="00EE64D0" w:rsidTr="00EE64D0">
        <w:tc>
          <w:tcPr>
            <w:tcW w:w="4643" w:type="dxa"/>
          </w:tcPr>
          <w:p w:rsidR="0002017C" w:rsidRPr="00EE64D0" w:rsidRDefault="00BC485C" w:rsidP="00EE64D0">
            <w:pPr>
              <w:pStyle w:val="Paragrafi0"/>
              <w:suppressAutoHyphens/>
              <w:ind w:firstLine="0"/>
              <w:rPr>
                <w:lang w:val="it-IT"/>
              </w:rPr>
            </w:pPr>
            <w:r w:rsidRPr="00EE64D0">
              <w:rPr>
                <w:lang w:val="it-IT"/>
              </w:rPr>
              <w:t xml:space="preserve">Fatoş Aracı </w:t>
            </w:r>
          </w:p>
          <w:p w:rsidR="00BC485C" w:rsidRPr="00EE64D0" w:rsidRDefault="0002017C" w:rsidP="00EE64D0">
            <w:pPr>
              <w:pStyle w:val="Paragrafi0"/>
              <w:suppressAutoHyphens/>
              <w:ind w:firstLine="0"/>
              <w:rPr>
                <w:lang w:val="it-IT"/>
              </w:rPr>
            </w:pPr>
            <w:r w:rsidRPr="00EE64D0">
              <w:rPr>
                <w:lang w:val="it-IT"/>
              </w:rPr>
              <w:t>Zëvendësregjistrues</w:t>
            </w:r>
          </w:p>
        </w:tc>
        <w:tc>
          <w:tcPr>
            <w:tcW w:w="4643" w:type="dxa"/>
          </w:tcPr>
          <w:p w:rsidR="00BC485C" w:rsidRPr="00EE64D0" w:rsidRDefault="00BC485C" w:rsidP="00EE64D0">
            <w:pPr>
              <w:pStyle w:val="Paragrafi0"/>
              <w:suppressAutoHyphens/>
              <w:ind w:firstLine="0"/>
              <w:jc w:val="right"/>
              <w:rPr>
                <w:lang w:val="it-IT"/>
              </w:rPr>
            </w:pPr>
            <w:r w:rsidRPr="00EE64D0">
              <w:rPr>
                <w:lang w:val="it-IT"/>
              </w:rPr>
              <w:t xml:space="preserve">Nicolas Bratza </w:t>
            </w:r>
          </w:p>
          <w:p w:rsidR="00BC485C" w:rsidRPr="00EE64D0" w:rsidRDefault="0002017C" w:rsidP="00EE64D0">
            <w:pPr>
              <w:pStyle w:val="Paragrafi0"/>
              <w:suppressAutoHyphens/>
              <w:ind w:firstLine="0"/>
              <w:jc w:val="right"/>
              <w:rPr>
                <w:lang w:val="it-IT"/>
              </w:rPr>
            </w:pPr>
            <w:r w:rsidRPr="00EE64D0">
              <w:rPr>
                <w:lang w:val="it-IT"/>
              </w:rPr>
              <w:t>Kryetar</w:t>
            </w:r>
          </w:p>
        </w:tc>
      </w:tr>
    </w:tbl>
    <w:p w:rsidR="00BC485C" w:rsidRDefault="00BC485C" w:rsidP="008A3CED">
      <w:pPr>
        <w:pStyle w:val="Paragrafi0"/>
        <w:rPr>
          <w:lang w:val="it-IT"/>
        </w:rPr>
      </w:pPr>
    </w:p>
    <w:p w:rsidR="00BC485C" w:rsidRPr="00AB2049" w:rsidRDefault="00BC485C" w:rsidP="008A3CED">
      <w:pPr>
        <w:pStyle w:val="Paragrafi0"/>
        <w:rPr>
          <w:lang w:val="it-IT"/>
        </w:rPr>
      </w:pPr>
    </w:p>
    <w:p w:rsidR="002C7016" w:rsidRPr="00AB2049" w:rsidRDefault="008A3CED" w:rsidP="008A3CED">
      <w:pPr>
        <w:pStyle w:val="Paragrafi0"/>
        <w:rPr>
          <w:lang w:val="it-IT"/>
        </w:rPr>
      </w:pPr>
      <w:r w:rsidRPr="00AB2049">
        <w:rPr>
          <w:lang w:val="it-IT"/>
        </w:rPr>
        <w:tab/>
      </w:r>
      <w:r w:rsidR="00AB2049">
        <w:rPr>
          <w:lang w:val="it-IT"/>
        </w:rPr>
        <w:tab/>
      </w:r>
    </w:p>
    <w:p w:rsidR="008A3CED" w:rsidRPr="00AB2049" w:rsidRDefault="00BC485C" w:rsidP="008A3CED">
      <w:pPr>
        <w:pStyle w:val="Paragrafi0"/>
        <w:rPr>
          <w:lang w:val="it-IT"/>
        </w:rPr>
      </w:pPr>
      <w:r>
        <w:rPr>
          <w:lang w:val="it-IT"/>
        </w:rPr>
        <w:tab/>
      </w:r>
      <w:r>
        <w:rPr>
          <w:lang w:val="it-IT"/>
        </w:rPr>
        <w:tab/>
      </w:r>
      <w:r w:rsidR="002C7016" w:rsidRPr="00AB2049">
        <w:rPr>
          <w:lang w:val="it-IT"/>
        </w:rPr>
        <w:tab/>
      </w:r>
      <w:r w:rsidR="008A3CED" w:rsidRPr="00AB2049">
        <w:rPr>
          <w:lang w:val="it-IT"/>
        </w:rPr>
        <w:tab/>
      </w:r>
      <w:r w:rsidR="00AB2049">
        <w:rPr>
          <w:lang w:val="it-IT"/>
        </w:rPr>
        <w:tab/>
      </w:r>
      <w:r w:rsidR="00AB2049">
        <w:rPr>
          <w:lang w:val="it-IT"/>
        </w:rPr>
        <w:tab/>
      </w:r>
      <w:r w:rsidR="00AB2049">
        <w:rPr>
          <w:lang w:val="it-IT"/>
        </w:rPr>
        <w:tab/>
      </w:r>
      <w:r w:rsidR="00AB2049">
        <w:rPr>
          <w:lang w:val="it-IT"/>
        </w:rPr>
        <w:tab/>
      </w:r>
      <w:r w:rsidR="00AB2049">
        <w:rPr>
          <w:lang w:val="it-IT"/>
        </w:rPr>
        <w:tab/>
      </w:r>
    </w:p>
    <w:p w:rsidR="008A3CED" w:rsidRPr="00AB2049" w:rsidRDefault="008A3CED" w:rsidP="008A3CED">
      <w:pPr>
        <w:pStyle w:val="Paragrafi0"/>
        <w:rPr>
          <w:lang w:val="it-IT"/>
        </w:rPr>
      </w:pPr>
    </w:p>
    <w:p w:rsidR="008A3CED" w:rsidRPr="00AB2049" w:rsidRDefault="008A3CED" w:rsidP="008A3CED">
      <w:pPr>
        <w:pStyle w:val="Paragrafi0"/>
        <w:rPr>
          <w:lang w:val="it-IT"/>
        </w:rPr>
      </w:pPr>
    </w:p>
    <w:p w:rsidR="008A3CED" w:rsidRPr="00AB2049" w:rsidRDefault="008A3CED" w:rsidP="008A3CED">
      <w:pPr>
        <w:pStyle w:val="Paragrafi0"/>
        <w:rPr>
          <w:lang w:val="it-IT"/>
        </w:rPr>
      </w:pPr>
      <w:r w:rsidRPr="00AB2049">
        <w:rPr>
          <w:lang w:val="it-IT"/>
        </w:rPr>
        <w:tab/>
      </w:r>
    </w:p>
    <w:p w:rsidR="00016606" w:rsidRPr="00AB2049" w:rsidRDefault="00016606" w:rsidP="008A3CED">
      <w:pPr>
        <w:pStyle w:val="Paragrafi0"/>
        <w:rPr>
          <w:lang w:val="it-IT"/>
        </w:rPr>
      </w:pPr>
    </w:p>
    <w:sectPr w:rsidR="00016606" w:rsidRPr="00AB2049" w:rsidSect="003306DA">
      <w:headerReference w:type="even" r:id="rId8"/>
      <w:headerReference w:type="default" r:id="rId9"/>
      <w:footerReference w:type="even" r:id="rId10"/>
      <w:footerReference w:type="default" r:id="rId11"/>
      <w:footnotePr>
        <w:numRestart w:val="eachPage"/>
      </w:footnotePr>
      <w:pgSz w:w="11906" w:h="16838" w:code="9"/>
      <w:pgMar w:top="1418" w:right="1418" w:bottom="1418" w:left="1418" w:header="1304" w:footer="1134" w:gutter="0"/>
      <w:pgNumType w:start="3"/>
      <w:cols w:space="720"/>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4D0" w:rsidRDefault="00EE64D0">
      <w:r>
        <w:separator/>
      </w:r>
    </w:p>
  </w:endnote>
  <w:endnote w:type="continuationSeparator" w:id="0">
    <w:p w:rsidR="00EE64D0" w:rsidRDefault="00EE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9" w:rsidRDefault="00664519" w:rsidP="009B05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4519" w:rsidRPr="008A3CED" w:rsidRDefault="00664519" w:rsidP="007E1B8F">
    <w:pPr>
      <w:pStyle w:val="Footer"/>
      <w:pBdr>
        <w:top w:val="single" w:sz="4" w:space="1" w:color="auto"/>
      </w:pBdr>
      <w:ind w:right="360" w:firstLine="360"/>
      <w:jc w:val="center"/>
      <w:rPr>
        <w:b/>
        <w:i/>
        <w:color w:val="000080"/>
        <w:sz w:val="22"/>
        <w:lang w:val="it-IT"/>
      </w:rPr>
    </w:pPr>
    <w:r w:rsidRPr="008A3CED">
      <w:rPr>
        <w:b/>
        <w:i/>
        <w:color w:val="000080"/>
        <w:sz w:val="22"/>
        <w:lang w:val="it-IT"/>
      </w:rPr>
      <w:t>Shërbimi i Përkthimit Zyrtar, Ministria e Drejtësisë, Republika e Shqipërisë</w:t>
    </w:r>
  </w:p>
  <w:p w:rsidR="00664519" w:rsidRPr="004059A1" w:rsidRDefault="00664519" w:rsidP="008A3CED">
    <w:pPr>
      <w:pStyle w:val="Footer"/>
      <w:jc w:val="center"/>
      <w:rPr>
        <w:b/>
        <w:i/>
        <w:color w:val="000080"/>
        <w:sz w:val="22"/>
        <w:lang w:val="fr-FR"/>
      </w:rPr>
    </w:pPr>
    <w:r w:rsidRPr="004059A1">
      <w:rPr>
        <w:b/>
        <w:i/>
        <w:color w:val="000080"/>
        <w:sz w:val="22"/>
        <w:lang w:val="fr-FR"/>
      </w:rPr>
      <w:t>Service des Traductions Officielles du Ministére de la Justice de la République d’Albanie</w:t>
    </w:r>
  </w:p>
  <w:p w:rsidR="00664519" w:rsidRDefault="00664519" w:rsidP="008A3CED">
    <w:pPr>
      <w:pStyle w:val="Footer"/>
      <w:jc w:val="cen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p w:rsidR="00664519" w:rsidRDefault="006645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9" w:rsidRPr="00191430" w:rsidRDefault="00664519" w:rsidP="009B05CB">
    <w:pPr>
      <w:pStyle w:val="Footer"/>
      <w:framePr w:wrap="around" w:vAnchor="text" w:hAnchor="margin" w:xAlign="outside" w:y="1"/>
      <w:rPr>
        <w:rStyle w:val="PageNumber"/>
        <w:rFonts w:ascii="CG Times" w:hAnsi="CG Times"/>
        <w:sz w:val="22"/>
        <w:szCs w:val="22"/>
      </w:rPr>
    </w:pPr>
    <w:r w:rsidRPr="00191430">
      <w:rPr>
        <w:rStyle w:val="PageNumber"/>
        <w:rFonts w:ascii="CG Times" w:hAnsi="CG Times"/>
        <w:sz w:val="22"/>
        <w:szCs w:val="22"/>
      </w:rPr>
      <w:fldChar w:fldCharType="begin"/>
    </w:r>
    <w:r w:rsidRPr="00191430">
      <w:rPr>
        <w:rStyle w:val="PageNumber"/>
        <w:rFonts w:ascii="CG Times" w:hAnsi="CG Times"/>
        <w:sz w:val="22"/>
        <w:szCs w:val="22"/>
      </w:rPr>
      <w:instrText xml:space="preserve">PAGE  </w:instrText>
    </w:r>
    <w:r w:rsidRPr="00191430">
      <w:rPr>
        <w:rStyle w:val="PageNumber"/>
        <w:rFonts w:ascii="CG Times" w:hAnsi="CG Times"/>
        <w:sz w:val="22"/>
        <w:szCs w:val="22"/>
      </w:rPr>
      <w:fldChar w:fldCharType="separate"/>
    </w:r>
    <w:r w:rsidR="009270D7">
      <w:rPr>
        <w:rStyle w:val="PageNumber"/>
        <w:rFonts w:ascii="CG Times" w:hAnsi="CG Times"/>
        <w:noProof/>
        <w:sz w:val="22"/>
        <w:szCs w:val="22"/>
      </w:rPr>
      <w:t>3</w:t>
    </w:r>
    <w:r w:rsidRPr="00191430">
      <w:rPr>
        <w:rStyle w:val="PageNumber"/>
        <w:rFonts w:ascii="CG Times" w:hAnsi="CG Times"/>
        <w:sz w:val="22"/>
        <w:szCs w:val="22"/>
      </w:rPr>
      <w:fldChar w:fldCharType="end"/>
    </w:r>
  </w:p>
  <w:p w:rsidR="00664519" w:rsidRDefault="00664519" w:rsidP="007E1B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4D0" w:rsidRDefault="00EE64D0">
      <w:r>
        <w:separator/>
      </w:r>
    </w:p>
  </w:footnote>
  <w:footnote w:type="continuationSeparator" w:id="0">
    <w:p w:rsidR="00EE64D0" w:rsidRDefault="00EE6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9" w:rsidRDefault="00664519" w:rsidP="008A3CED">
    <w:pPr>
      <w:pStyle w:val="Header"/>
      <w:pBdr>
        <w:bottom w:val="single" w:sz="4" w:space="1" w:color="auto"/>
      </w:pBdr>
      <w:rPr>
        <w:b/>
        <w:color w:val="000080"/>
      </w:rPr>
    </w:pPr>
    <w:r>
      <w:rPr>
        <w:b/>
        <w:color w:val="000080"/>
      </w:rPr>
      <w:t>PERKTHIM ZYRTAR                       TRADUCTION OFFICIELLE</w:t>
    </w:r>
    <w:r>
      <w:rPr>
        <w:b/>
        <w:color w:val="000080"/>
      </w:rPr>
      <w:tab/>
      <w:t xml:space="preserve">                OFFICIAL TRANSLATION</w:t>
    </w:r>
  </w:p>
  <w:p w:rsidR="00664519" w:rsidRDefault="00664519">
    <w:pPr>
      <w:pStyle w:val="JuHeader"/>
      <w:rPr>
        <w:rStyle w:val="PageNumber"/>
      </w:rPr>
    </w:pPr>
  </w:p>
  <w:p w:rsidR="00664519" w:rsidRDefault="00664519">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t xml:space="preserve">LASKA AND LIKA v. </w:t>
    </w:r>
    <w:smartTag w:uri="urn:schemas-microsoft-com:office:smarttags" w:element="place">
      <w:smartTag w:uri="urn:schemas-microsoft-com:office:smarttags" w:element="country-region">
        <w:r>
          <w:t>ALBANIA</w:t>
        </w:r>
      </w:smartTag>
    </w:smartTag>
    <w:r>
      <w:t xml:space="preserve"> JUDGMENT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9" w:rsidRDefault="00664519" w:rsidP="008A3CED">
    <w:pPr>
      <w:pStyle w:val="JuPara"/>
      <w:jc w:val="cent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1E642270"/>
    <w:multiLevelType w:val="hybridMultilevel"/>
    <w:tmpl w:val="84D8F2D6"/>
    <w:lvl w:ilvl="0" w:tplc="782EDF20">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3">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4">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55A84676"/>
    <w:multiLevelType w:val="hybridMultilevel"/>
    <w:tmpl w:val="E27A1E0E"/>
    <w:lvl w:ilvl="0" w:tplc="8FA661C2">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5">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1">
    <w:nsid w:val="737A662F"/>
    <w:multiLevelType w:val="hybridMultilevel"/>
    <w:tmpl w:val="7C786348"/>
    <w:lvl w:ilvl="0" w:tplc="D1065EF6">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3">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17"/>
  </w:num>
  <w:num w:numId="3">
    <w:abstractNumId w:val="32"/>
  </w:num>
  <w:num w:numId="4">
    <w:abstractNumId w:val="9"/>
  </w:num>
  <w:num w:numId="5">
    <w:abstractNumId w:val="5"/>
  </w:num>
  <w:num w:numId="6">
    <w:abstractNumId w:val="5"/>
  </w:num>
  <w:num w:numId="7">
    <w:abstractNumId w:val="30"/>
  </w:num>
  <w:num w:numId="8">
    <w:abstractNumId w:val="17"/>
  </w:num>
  <w:num w:numId="9">
    <w:abstractNumId w:val="32"/>
  </w:num>
  <w:num w:numId="10">
    <w:abstractNumId w:val="17"/>
  </w:num>
  <w:num w:numId="11">
    <w:abstractNumId w:val="32"/>
  </w:num>
  <w:num w:numId="12">
    <w:abstractNumId w:val="17"/>
  </w:num>
  <w:num w:numId="13">
    <w:abstractNumId w:val="32"/>
  </w:num>
  <w:num w:numId="14">
    <w:abstractNumId w:val="17"/>
  </w:num>
  <w:num w:numId="15">
    <w:abstractNumId w:val="32"/>
  </w:num>
  <w:num w:numId="16">
    <w:abstractNumId w:val="11"/>
  </w:num>
  <w:num w:numId="17">
    <w:abstractNumId w:val="29"/>
  </w:num>
  <w:num w:numId="18">
    <w:abstractNumId w:val="15"/>
  </w:num>
  <w:num w:numId="19">
    <w:abstractNumId w:val="27"/>
  </w:num>
  <w:num w:numId="20">
    <w:abstractNumId w:val="38"/>
  </w:num>
  <w:num w:numId="21">
    <w:abstractNumId w:val="6"/>
  </w:num>
  <w:num w:numId="22">
    <w:abstractNumId w:val="35"/>
  </w:num>
  <w:num w:numId="23">
    <w:abstractNumId w:val="4"/>
  </w:num>
  <w:num w:numId="24">
    <w:abstractNumId w:val="2"/>
  </w:num>
  <w:num w:numId="25">
    <w:abstractNumId w:val="1"/>
  </w:num>
  <w:num w:numId="26">
    <w:abstractNumId w:val="0"/>
  </w:num>
  <w:num w:numId="27">
    <w:abstractNumId w:val="3"/>
  </w:num>
  <w:num w:numId="28">
    <w:abstractNumId w:val="13"/>
  </w:num>
  <w:num w:numId="29">
    <w:abstractNumId w:val="25"/>
  </w:num>
  <w:num w:numId="30">
    <w:abstractNumId w:val="33"/>
  </w:num>
  <w:num w:numId="31">
    <w:abstractNumId w:val="16"/>
  </w:num>
  <w:num w:numId="32">
    <w:abstractNumId w:val="26"/>
  </w:num>
  <w:num w:numId="33">
    <w:abstractNumId w:val="36"/>
  </w:num>
  <w:num w:numId="34">
    <w:abstractNumId w:val="34"/>
  </w:num>
  <w:num w:numId="35">
    <w:abstractNumId w:val="14"/>
  </w:num>
  <w:num w:numId="36">
    <w:abstractNumId w:val="28"/>
  </w:num>
  <w:num w:numId="37">
    <w:abstractNumId w:val="20"/>
  </w:num>
  <w:num w:numId="38">
    <w:abstractNumId w:val="22"/>
  </w:num>
  <w:num w:numId="39">
    <w:abstractNumId w:val="7"/>
  </w:num>
  <w:num w:numId="40">
    <w:abstractNumId w:val="10"/>
  </w:num>
  <w:num w:numId="41">
    <w:abstractNumId w:val="37"/>
  </w:num>
  <w:num w:numId="42">
    <w:abstractNumId w:val="19"/>
  </w:num>
  <w:num w:numId="43">
    <w:abstractNumId w:val="23"/>
  </w:num>
  <w:num w:numId="44">
    <w:abstractNumId w:val="21"/>
  </w:num>
  <w:num w:numId="45">
    <w:abstractNumId w:val="18"/>
  </w:num>
  <w:num w:numId="46">
    <w:abstractNumId w:val="8"/>
  </w:num>
  <w:num w:numId="47">
    <w:abstractNumId w:val="12"/>
  </w:num>
  <w:num w:numId="48">
    <w:abstractNumId w:val="3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ED"/>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017C"/>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06A"/>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18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430"/>
    <w:rsid w:val="00191D90"/>
    <w:rsid w:val="00191FDA"/>
    <w:rsid w:val="00192FBF"/>
    <w:rsid w:val="00193A22"/>
    <w:rsid w:val="00194A4D"/>
    <w:rsid w:val="001952F8"/>
    <w:rsid w:val="001955AE"/>
    <w:rsid w:val="0019562E"/>
    <w:rsid w:val="0019602A"/>
    <w:rsid w:val="00196692"/>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8A2"/>
    <w:rsid w:val="001C6BC4"/>
    <w:rsid w:val="001C6FD6"/>
    <w:rsid w:val="001C7D53"/>
    <w:rsid w:val="001D150D"/>
    <w:rsid w:val="001D184A"/>
    <w:rsid w:val="001D1D7E"/>
    <w:rsid w:val="001D38F0"/>
    <w:rsid w:val="001D4DCD"/>
    <w:rsid w:val="001D4F16"/>
    <w:rsid w:val="001D52B7"/>
    <w:rsid w:val="001D66C3"/>
    <w:rsid w:val="001D6951"/>
    <w:rsid w:val="001D69B9"/>
    <w:rsid w:val="001D7A61"/>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24F1"/>
    <w:rsid w:val="00203073"/>
    <w:rsid w:val="00204565"/>
    <w:rsid w:val="002047F1"/>
    <w:rsid w:val="00204FA7"/>
    <w:rsid w:val="00206485"/>
    <w:rsid w:val="002066B5"/>
    <w:rsid w:val="00210A82"/>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1DB5"/>
    <w:rsid w:val="0025284A"/>
    <w:rsid w:val="0025295F"/>
    <w:rsid w:val="00252D7E"/>
    <w:rsid w:val="002538A1"/>
    <w:rsid w:val="0025495E"/>
    <w:rsid w:val="00254EEC"/>
    <w:rsid w:val="0025540D"/>
    <w:rsid w:val="00255FC1"/>
    <w:rsid w:val="00257240"/>
    <w:rsid w:val="00257AE3"/>
    <w:rsid w:val="0026012B"/>
    <w:rsid w:val="00260625"/>
    <w:rsid w:val="002608DE"/>
    <w:rsid w:val="002612BA"/>
    <w:rsid w:val="00262F22"/>
    <w:rsid w:val="002631F7"/>
    <w:rsid w:val="00265820"/>
    <w:rsid w:val="002667AD"/>
    <w:rsid w:val="00266926"/>
    <w:rsid w:val="00266A90"/>
    <w:rsid w:val="0027003E"/>
    <w:rsid w:val="00270E2F"/>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65"/>
    <w:rsid w:val="002854B6"/>
    <w:rsid w:val="002865B1"/>
    <w:rsid w:val="002866F7"/>
    <w:rsid w:val="00287798"/>
    <w:rsid w:val="002879C9"/>
    <w:rsid w:val="00290D06"/>
    <w:rsid w:val="002917CD"/>
    <w:rsid w:val="00291A10"/>
    <w:rsid w:val="00291E65"/>
    <w:rsid w:val="002923C0"/>
    <w:rsid w:val="00292DE9"/>
    <w:rsid w:val="0029358C"/>
    <w:rsid w:val="00293647"/>
    <w:rsid w:val="00293C5C"/>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016"/>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B93"/>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212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06DA"/>
    <w:rsid w:val="003324CE"/>
    <w:rsid w:val="00332C88"/>
    <w:rsid w:val="003331E8"/>
    <w:rsid w:val="00333375"/>
    <w:rsid w:val="003346EA"/>
    <w:rsid w:val="00334B34"/>
    <w:rsid w:val="00334F2A"/>
    <w:rsid w:val="00336085"/>
    <w:rsid w:val="00336356"/>
    <w:rsid w:val="0033667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176"/>
    <w:rsid w:val="003D7699"/>
    <w:rsid w:val="003E0702"/>
    <w:rsid w:val="003E0AA3"/>
    <w:rsid w:val="003E1929"/>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449"/>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0920"/>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1C6"/>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610"/>
    <w:rsid w:val="005E1F42"/>
    <w:rsid w:val="005E3F56"/>
    <w:rsid w:val="005E4476"/>
    <w:rsid w:val="005E480A"/>
    <w:rsid w:val="005E490B"/>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56"/>
    <w:rsid w:val="00661DA0"/>
    <w:rsid w:val="0066252C"/>
    <w:rsid w:val="00662BD6"/>
    <w:rsid w:val="00663E8F"/>
    <w:rsid w:val="00664478"/>
    <w:rsid w:val="00664519"/>
    <w:rsid w:val="0066468B"/>
    <w:rsid w:val="006647E4"/>
    <w:rsid w:val="00665960"/>
    <w:rsid w:val="00665FF4"/>
    <w:rsid w:val="00666A89"/>
    <w:rsid w:val="00666BAE"/>
    <w:rsid w:val="00670447"/>
    <w:rsid w:val="00670AFA"/>
    <w:rsid w:val="00670E90"/>
    <w:rsid w:val="00671577"/>
    <w:rsid w:val="00671792"/>
    <w:rsid w:val="00671993"/>
    <w:rsid w:val="00671C0A"/>
    <w:rsid w:val="0067201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10C"/>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3D93"/>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2856"/>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B8F"/>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6D34"/>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177C2"/>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3CED"/>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1898"/>
    <w:rsid w:val="008C2007"/>
    <w:rsid w:val="008C323C"/>
    <w:rsid w:val="008C331E"/>
    <w:rsid w:val="008C347F"/>
    <w:rsid w:val="008C49D2"/>
    <w:rsid w:val="008C5988"/>
    <w:rsid w:val="008C5ACD"/>
    <w:rsid w:val="008C6066"/>
    <w:rsid w:val="008C6425"/>
    <w:rsid w:val="008C78B2"/>
    <w:rsid w:val="008D09B9"/>
    <w:rsid w:val="008D0F1A"/>
    <w:rsid w:val="008D1970"/>
    <w:rsid w:val="008D203F"/>
    <w:rsid w:val="008D242F"/>
    <w:rsid w:val="008D28F9"/>
    <w:rsid w:val="008D3DF5"/>
    <w:rsid w:val="008D4813"/>
    <w:rsid w:val="008D4A7E"/>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87F"/>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2ED0"/>
    <w:rsid w:val="00923E21"/>
    <w:rsid w:val="00923E34"/>
    <w:rsid w:val="009249A1"/>
    <w:rsid w:val="009250E2"/>
    <w:rsid w:val="009253A5"/>
    <w:rsid w:val="00925C9B"/>
    <w:rsid w:val="00925CB4"/>
    <w:rsid w:val="0092684B"/>
    <w:rsid w:val="00926FDA"/>
    <w:rsid w:val="009270D7"/>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03B"/>
    <w:rsid w:val="0098718E"/>
    <w:rsid w:val="00987289"/>
    <w:rsid w:val="009900DD"/>
    <w:rsid w:val="00990A5D"/>
    <w:rsid w:val="00990D9C"/>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5CB"/>
    <w:rsid w:val="009B07E3"/>
    <w:rsid w:val="009B1CD9"/>
    <w:rsid w:val="009B1F77"/>
    <w:rsid w:val="009B3645"/>
    <w:rsid w:val="009B566F"/>
    <w:rsid w:val="009B5DE8"/>
    <w:rsid w:val="009B64FE"/>
    <w:rsid w:val="009B6821"/>
    <w:rsid w:val="009B7194"/>
    <w:rsid w:val="009B731C"/>
    <w:rsid w:val="009B7B52"/>
    <w:rsid w:val="009C0EF4"/>
    <w:rsid w:val="009C1B6D"/>
    <w:rsid w:val="009C1C7A"/>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E7D07"/>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862"/>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0CD5"/>
    <w:rsid w:val="00AB15A2"/>
    <w:rsid w:val="00AB1D2A"/>
    <w:rsid w:val="00AB2049"/>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0A9"/>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959"/>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162"/>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85C"/>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936"/>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8CB"/>
    <w:rsid w:val="00C93FA3"/>
    <w:rsid w:val="00C940DD"/>
    <w:rsid w:val="00C947C4"/>
    <w:rsid w:val="00C95E3B"/>
    <w:rsid w:val="00C96E8D"/>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2DFD"/>
    <w:rsid w:val="00D0346B"/>
    <w:rsid w:val="00D03A6F"/>
    <w:rsid w:val="00D03DA1"/>
    <w:rsid w:val="00D03F6E"/>
    <w:rsid w:val="00D04506"/>
    <w:rsid w:val="00D046F8"/>
    <w:rsid w:val="00D04F80"/>
    <w:rsid w:val="00D04FA4"/>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6692F"/>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1F48"/>
    <w:rsid w:val="00E624A7"/>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6D69"/>
    <w:rsid w:val="00ED71C8"/>
    <w:rsid w:val="00ED791B"/>
    <w:rsid w:val="00EE0C04"/>
    <w:rsid w:val="00EE0D44"/>
    <w:rsid w:val="00EE1A54"/>
    <w:rsid w:val="00EE26E8"/>
    <w:rsid w:val="00EE3772"/>
    <w:rsid w:val="00EE39DB"/>
    <w:rsid w:val="00EE4BA9"/>
    <w:rsid w:val="00EE5096"/>
    <w:rsid w:val="00EE578A"/>
    <w:rsid w:val="00EE64D0"/>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6DBA"/>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65E"/>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3CED"/>
    <w:pPr>
      <w:suppressAutoHyphens/>
    </w:pPr>
    <w:rPr>
      <w:sz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A3CED"/>
    <w:pPr>
      <w:keepNext/>
      <w:spacing w:before="240" w:after="120"/>
      <w:ind w:left="284" w:hanging="284"/>
      <w:outlineLvl w:val="1"/>
    </w:pPr>
    <w:rPr>
      <w:b/>
    </w:rPr>
  </w:style>
  <w:style w:type="paragraph" w:styleId="Heading3">
    <w:name w:val="heading 3"/>
    <w:basedOn w:val="Normal"/>
    <w:next w:val="Normal"/>
    <w:qFormat/>
    <w:rsid w:val="008A3CED"/>
    <w:pPr>
      <w:keepNext/>
      <w:spacing w:before="120" w:after="60"/>
      <w:ind w:left="1418" w:hanging="851"/>
      <w:outlineLvl w:val="2"/>
    </w:pPr>
    <w:rPr>
      <w:i/>
    </w:rPr>
  </w:style>
  <w:style w:type="paragraph" w:styleId="Heading4">
    <w:name w:val="heading 4"/>
    <w:basedOn w:val="Normal"/>
    <w:next w:val="Normal"/>
    <w:qFormat/>
    <w:rsid w:val="008A3CED"/>
    <w:pPr>
      <w:widowControl w:val="0"/>
      <w:outlineLvl w:val="3"/>
    </w:pPr>
    <w:rPr>
      <w:rFonts w:ascii="Courier" w:hAnsi="Courier"/>
      <w:snapToGrid w:val="0"/>
      <w:lang w:val="en-US" w:eastAsia="en-US"/>
    </w:rPr>
  </w:style>
  <w:style w:type="paragraph" w:styleId="Heading5">
    <w:name w:val="heading 5"/>
    <w:basedOn w:val="Normal"/>
    <w:next w:val="Normal"/>
    <w:qFormat/>
    <w:rsid w:val="008A3CED"/>
    <w:pPr>
      <w:widowControl w:val="0"/>
      <w:outlineLvl w:val="4"/>
    </w:pPr>
    <w:rPr>
      <w:rFonts w:ascii="Courier" w:hAnsi="Courier"/>
      <w:snapToGrid w:val="0"/>
      <w:lang w:val="en-US" w:eastAsia="en-US"/>
    </w:rPr>
  </w:style>
  <w:style w:type="paragraph" w:styleId="Heading6">
    <w:name w:val="heading 6"/>
    <w:basedOn w:val="Normal"/>
    <w:next w:val="Normal"/>
    <w:qFormat/>
    <w:rsid w:val="008A3CED"/>
    <w:pPr>
      <w:widowControl w:val="0"/>
      <w:outlineLvl w:val="5"/>
    </w:pPr>
    <w:rPr>
      <w:rFonts w:ascii="Courier" w:hAnsi="Courier"/>
      <w:snapToGrid w:val="0"/>
      <w:lang w:val="en-US" w:eastAsia="en-US"/>
    </w:rPr>
  </w:style>
  <w:style w:type="paragraph" w:styleId="Heading7">
    <w:name w:val="heading 7"/>
    <w:basedOn w:val="Normal"/>
    <w:next w:val="Normal"/>
    <w:qFormat/>
    <w:rsid w:val="008A3CED"/>
    <w:pPr>
      <w:widowControl w:val="0"/>
      <w:outlineLvl w:val="6"/>
    </w:pPr>
    <w:rPr>
      <w:rFonts w:ascii="Courier" w:hAnsi="Courier"/>
      <w:snapToGrid w:val="0"/>
      <w:lang w:val="en-US" w:eastAsia="en-US"/>
    </w:rPr>
  </w:style>
  <w:style w:type="paragraph" w:styleId="Heading8">
    <w:name w:val="heading 8"/>
    <w:basedOn w:val="Normal"/>
    <w:next w:val="Normal"/>
    <w:qFormat/>
    <w:rsid w:val="008A3CED"/>
    <w:pPr>
      <w:widowControl w:val="0"/>
      <w:outlineLvl w:val="7"/>
    </w:pPr>
    <w:rPr>
      <w:rFonts w:ascii="Courier" w:hAnsi="Courier"/>
      <w:snapToGrid w:val="0"/>
      <w:lang w:val="en-US" w:eastAsia="en-US"/>
    </w:rPr>
  </w:style>
  <w:style w:type="paragraph" w:styleId="Heading9">
    <w:name w:val="heading 9"/>
    <w:basedOn w:val="Normal"/>
    <w:next w:val="Normal"/>
    <w:qFormat/>
    <w:rsid w:val="008A3CED"/>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lang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lang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lang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eastAsia="en-GB"/>
    </w:rPr>
  </w:style>
  <w:style w:type="paragraph" w:customStyle="1" w:styleId="autoritetiemer0">
    <w:name w:val="autoritetiemer"/>
    <w:basedOn w:val="Normal"/>
    <w:rsid w:val="00392BE0"/>
    <w:pPr>
      <w:spacing w:before="100" w:beforeAutospacing="1" w:after="100" w:afterAutospacing="1"/>
    </w:pPr>
    <w:rPr>
      <w:rFonts w:eastAsia="MS Mincho"/>
      <w:lang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pacing w:before="120" w:after="0"/>
      <w:jc w:val="both"/>
    </w:pPr>
    <w:rPr>
      <w:rFonts w:eastAsia="MS Mincho"/>
      <w:snapToGrid w:val="0"/>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JuPara">
    <w:name w:val="Ju_Para"/>
    <w:aliases w:val="Left,First line:  0 cm"/>
    <w:basedOn w:val="Normal"/>
    <w:link w:val="JuParaCar"/>
    <w:rsid w:val="008A3CED"/>
    <w:pPr>
      <w:ind w:firstLine="284"/>
      <w:jc w:val="both"/>
    </w:pPr>
  </w:style>
  <w:style w:type="character" w:customStyle="1" w:styleId="JuParaCar">
    <w:name w:val="Ju_Para Car"/>
    <w:basedOn w:val="DefaultParagraphFont"/>
    <w:link w:val="JuPara"/>
    <w:rsid w:val="008A3CED"/>
    <w:rPr>
      <w:sz w:val="24"/>
      <w:lang w:val="en-GB" w:eastAsia="fr-FR" w:bidi="ar-SA"/>
    </w:rPr>
  </w:style>
  <w:style w:type="paragraph" w:customStyle="1" w:styleId="JuHIRoman">
    <w:name w:val="Ju_H_I_Roman"/>
    <w:basedOn w:val="JuHHead"/>
    <w:next w:val="JuPara"/>
    <w:link w:val="JuHIRomanChar"/>
    <w:rsid w:val="008A3CED"/>
    <w:pPr>
      <w:tabs>
        <w:tab w:val="left" w:pos="357"/>
      </w:tabs>
      <w:spacing w:before="360"/>
      <w:ind w:left="357" w:hanging="357"/>
    </w:pPr>
    <w:rPr>
      <w:sz w:val="24"/>
    </w:rPr>
  </w:style>
  <w:style w:type="paragraph" w:customStyle="1" w:styleId="JuHHead">
    <w:name w:val="Ju_H_Head"/>
    <w:basedOn w:val="Normal"/>
    <w:next w:val="JuPara"/>
    <w:rsid w:val="008A3CED"/>
    <w:pPr>
      <w:keepNext/>
      <w:keepLines/>
      <w:spacing w:before="720" w:after="240"/>
      <w:jc w:val="both"/>
    </w:pPr>
    <w:rPr>
      <w:sz w:val="28"/>
    </w:rPr>
  </w:style>
  <w:style w:type="character" w:customStyle="1" w:styleId="JuHIRomanChar">
    <w:name w:val="Ju_H_I_Roman Char"/>
    <w:basedOn w:val="DefaultParagraphFont"/>
    <w:link w:val="JuHIRoman"/>
    <w:rsid w:val="008A3CED"/>
    <w:rPr>
      <w:sz w:val="24"/>
      <w:lang w:val="en-GB" w:eastAsia="fr-FR" w:bidi="ar-SA"/>
    </w:rPr>
  </w:style>
  <w:style w:type="paragraph" w:styleId="Footer">
    <w:name w:val="footer"/>
    <w:basedOn w:val="Normal"/>
    <w:link w:val="FooterChar"/>
    <w:rsid w:val="008A3CED"/>
    <w:pPr>
      <w:tabs>
        <w:tab w:val="center" w:pos="3686"/>
        <w:tab w:val="right" w:pos="7371"/>
      </w:tabs>
    </w:pPr>
    <w:rPr>
      <w:sz w:val="18"/>
    </w:rPr>
  </w:style>
  <w:style w:type="character" w:customStyle="1" w:styleId="FooterChar">
    <w:name w:val="Footer Char"/>
    <w:basedOn w:val="DefaultParagraphFont"/>
    <w:link w:val="Footer"/>
    <w:rsid w:val="008A3CED"/>
    <w:rPr>
      <w:sz w:val="18"/>
      <w:lang w:val="en-GB" w:eastAsia="fr-FR" w:bidi="ar-SA"/>
    </w:rPr>
  </w:style>
  <w:style w:type="paragraph" w:customStyle="1" w:styleId="JuJudges">
    <w:name w:val="Ju_Judges"/>
    <w:basedOn w:val="Normal"/>
    <w:link w:val="JuJudgesChar"/>
    <w:rsid w:val="008A3CED"/>
    <w:pPr>
      <w:tabs>
        <w:tab w:val="left" w:pos="567"/>
        <w:tab w:val="left" w:pos="1134"/>
      </w:tabs>
    </w:pPr>
  </w:style>
  <w:style w:type="character" w:customStyle="1" w:styleId="JuJudgesChar">
    <w:name w:val="Ju_Judges Char"/>
    <w:basedOn w:val="DefaultParagraphFont"/>
    <w:link w:val="JuJudges"/>
    <w:rsid w:val="008A3CED"/>
    <w:rPr>
      <w:sz w:val="24"/>
      <w:lang w:val="en-GB" w:eastAsia="fr-FR" w:bidi="ar-SA"/>
    </w:rPr>
  </w:style>
  <w:style w:type="character" w:customStyle="1" w:styleId="JuNames">
    <w:name w:val="Ju_Names"/>
    <w:basedOn w:val="DefaultParagraphFont"/>
    <w:rsid w:val="008A3CED"/>
    <w:rPr>
      <w:smallCaps/>
    </w:rPr>
  </w:style>
  <w:style w:type="paragraph" w:customStyle="1" w:styleId="JuHA">
    <w:name w:val="Ju_H_A"/>
    <w:basedOn w:val="JuHIRoman"/>
    <w:next w:val="JuPara"/>
    <w:rsid w:val="008A3CED"/>
    <w:pPr>
      <w:tabs>
        <w:tab w:val="clear" w:pos="357"/>
        <w:tab w:val="left" w:pos="584"/>
      </w:tabs>
      <w:ind w:left="584" w:hanging="352"/>
    </w:pPr>
    <w:rPr>
      <w:b/>
    </w:rPr>
  </w:style>
  <w:style w:type="paragraph" w:customStyle="1" w:styleId="JuQuot">
    <w:name w:val="Ju_Quot"/>
    <w:basedOn w:val="JuPara"/>
    <w:rsid w:val="008A3CED"/>
    <w:pPr>
      <w:spacing w:before="120" w:after="120"/>
      <w:ind w:left="425" w:firstLine="142"/>
    </w:pPr>
    <w:rPr>
      <w:sz w:val="20"/>
    </w:rPr>
  </w:style>
  <w:style w:type="paragraph" w:customStyle="1" w:styleId="JuSigned">
    <w:name w:val="Ju_Signed"/>
    <w:basedOn w:val="Normal"/>
    <w:next w:val="JuParaLast"/>
    <w:link w:val="JuSignedChar"/>
    <w:rsid w:val="008A3CED"/>
    <w:pPr>
      <w:tabs>
        <w:tab w:val="center" w:pos="851"/>
        <w:tab w:val="center" w:pos="6407"/>
      </w:tabs>
      <w:spacing w:before="720"/>
    </w:pPr>
  </w:style>
  <w:style w:type="paragraph" w:customStyle="1" w:styleId="JuParaLast">
    <w:name w:val="Ju_Para_Last"/>
    <w:basedOn w:val="JuPara"/>
    <w:next w:val="JuPara"/>
    <w:rsid w:val="008A3CED"/>
    <w:pPr>
      <w:keepNext/>
      <w:keepLines/>
      <w:spacing w:before="240"/>
    </w:pPr>
  </w:style>
  <w:style w:type="character" w:customStyle="1" w:styleId="JuSignedChar">
    <w:name w:val="Ju_Signed Char"/>
    <w:basedOn w:val="DefaultParagraphFont"/>
    <w:link w:val="JuSigned"/>
    <w:rsid w:val="008A3CED"/>
    <w:rPr>
      <w:sz w:val="24"/>
      <w:lang w:val="en-GB" w:eastAsia="fr-FR" w:bidi="ar-SA"/>
    </w:rPr>
  </w:style>
  <w:style w:type="paragraph" w:customStyle="1" w:styleId="JuCase">
    <w:name w:val="Ju_Case"/>
    <w:basedOn w:val="JuPara"/>
    <w:next w:val="JuPara"/>
    <w:rsid w:val="008A3CED"/>
    <w:rPr>
      <w:b/>
    </w:rPr>
  </w:style>
  <w:style w:type="paragraph" w:customStyle="1" w:styleId="JuList">
    <w:name w:val="Ju_List"/>
    <w:basedOn w:val="JuPara"/>
    <w:rsid w:val="008A3CED"/>
    <w:pPr>
      <w:ind w:left="340" w:hanging="340"/>
    </w:pPr>
  </w:style>
  <w:style w:type="paragraph" w:customStyle="1" w:styleId="JuHArticle">
    <w:name w:val="Ju_H_Article"/>
    <w:basedOn w:val="JuHa0"/>
    <w:next w:val="JuQuot"/>
    <w:rsid w:val="008A3CED"/>
    <w:pPr>
      <w:ind w:left="0" w:firstLine="0"/>
      <w:jc w:val="center"/>
    </w:pPr>
  </w:style>
  <w:style w:type="paragraph" w:customStyle="1" w:styleId="JuHa0">
    <w:name w:val="Ju_H_a"/>
    <w:basedOn w:val="JuH1"/>
    <w:next w:val="JuPara"/>
    <w:rsid w:val="008A3CED"/>
    <w:pPr>
      <w:tabs>
        <w:tab w:val="clear" w:pos="731"/>
        <w:tab w:val="left" w:pos="975"/>
      </w:tabs>
      <w:ind w:left="975" w:hanging="340"/>
    </w:pPr>
    <w:rPr>
      <w:b/>
      <w:i w:val="0"/>
      <w:sz w:val="20"/>
    </w:rPr>
  </w:style>
  <w:style w:type="paragraph" w:customStyle="1" w:styleId="JuH1">
    <w:name w:val="Ju_H_1."/>
    <w:basedOn w:val="JuHA"/>
    <w:next w:val="JuPara"/>
    <w:rsid w:val="008A3CED"/>
    <w:pPr>
      <w:tabs>
        <w:tab w:val="clear" w:pos="584"/>
        <w:tab w:val="left" w:pos="731"/>
      </w:tabs>
      <w:spacing w:before="240" w:after="120"/>
      <w:ind w:left="732" w:hanging="301"/>
    </w:pPr>
    <w:rPr>
      <w:b w:val="0"/>
      <w:i/>
    </w:rPr>
  </w:style>
  <w:style w:type="paragraph" w:styleId="CommentText">
    <w:name w:val="annotation text"/>
    <w:basedOn w:val="Normal"/>
    <w:semiHidden/>
    <w:rsid w:val="008A3CED"/>
    <w:rPr>
      <w:sz w:val="20"/>
    </w:rPr>
  </w:style>
  <w:style w:type="paragraph" w:customStyle="1" w:styleId="JuCourt">
    <w:name w:val="Ju_Court"/>
    <w:basedOn w:val="JuJudges"/>
    <w:rsid w:val="008A3CED"/>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8A3CED"/>
    <w:pPr>
      <w:tabs>
        <w:tab w:val="clear" w:pos="975"/>
        <w:tab w:val="left" w:pos="1191"/>
      </w:tabs>
      <w:ind w:left="1190" w:hanging="357"/>
    </w:pPr>
    <w:rPr>
      <w:b w:val="0"/>
      <w:i/>
    </w:rPr>
  </w:style>
  <w:style w:type="paragraph" w:styleId="Header">
    <w:name w:val="header"/>
    <w:basedOn w:val="Normal"/>
    <w:link w:val="HeaderChar"/>
    <w:rsid w:val="008A3CED"/>
    <w:pPr>
      <w:tabs>
        <w:tab w:val="center" w:pos="3686"/>
        <w:tab w:val="right" w:pos="7371"/>
      </w:tabs>
    </w:pPr>
    <w:rPr>
      <w:sz w:val="18"/>
    </w:rPr>
  </w:style>
  <w:style w:type="character" w:customStyle="1" w:styleId="HeaderChar">
    <w:name w:val="Header Char"/>
    <w:basedOn w:val="DefaultParagraphFont"/>
    <w:link w:val="Header"/>
    <w:rsid w:val="008A3CED"/>
    <w:rPr>
      <w:sz w:val="18"/>
      <w:lang w:val="en-GB" w:eastAsia="fr-FR" w:bidi="ar-SA"/>
    </w:rPr>
  </w:style>
  <w:style w:type="character" w:styleId="PageNumber">
    <w:name w:val="page number"/>
    <w:basedOn w:val="DefaultParagraphFont"/>
    <w:rsid w:val="008A3CED"/>
    <w:rPr>
      <w:sz w:val="18"/>
    </w:rPr>
  </w:style>
  <w:style w:type="paragraph" w:customStyle="1" w:styleId="JuH">
    <w:name w:val="Ju_H_–"/>
    <w:basedOn w:val="JuHalpha"/>
    <w:next w:val="JuPara"/>
    <w:rsid w:val="008A3CED"/>
    <w:pPr>
      <w:tabs>
        <w:tab w:val="clear" w:pos="1372"/>
      </w:tabs>
      <w:ind w:left="1236" w:firstLine="0"/>
    </w:pPr>
    <w:rPr>
      <w:i/>
    </w:rPr>
  </w:style>
  <w:style w:type="paragraph" w:customStyle="1" w:styleId="JuHalpha">
    <w:name w:val="Ju_H_alpha"/>
    <w:basedOn w:val="JuHi"/>
    <w:next w:val="JuPara"/>
    <w:rsid w:val="008A3CED"/>
    <w:pPr>
      <w:tabs>
        <w:tab w:val="clear" w:pos="1191"/>
        <w:tab w:val="left" w:pos="1372"/>
      </w:tabs>
      <w:ind w:left="1373" w:hanging="335"/>
    </w:pPr>
    <w:rPr>
      <w:i w:val="0"/>
    </w:rPr>
  </w:style>
  <w:style w:type="paragraph" w:customStyle="1" w:styleId="JuLista">
    <w:name w:val="Ju_List_a"/>
    <w:basedOn w:val="JuList"/>
    <w:rsid w:val="008A3CED"/>
    <w:pPr>
      <w:ind w:left="346" w:firstLine="0"/>
    </w:pPr>
  </w:style>
  <w:style w:type="paragraph" w:customStyle="1" w:styleId="JuListi">
    <w:name w:val="Ju_List_i"/>
    <w:basedOn w:val="JuLista"/>
    <w:rsid w:val="008A3CED"/>
    <w:pPr>
      <w:ind w:left="794"/>
    </w:pPr>
  </w:style>
  <w:style w:type="paragraph" w:customStyle="1" w:styleId="OpiHHead">
    <w:name w:val="Opi_H_Head"/>
    <w:basedOn w:val="JuHHead"/>
    <w:next w:val="OpiPara"/>
    <w:rsid w:val="008A3CED"/>
    <w:pPr>
      <w:spacing w:before="0"/>
      <w:jc w:val="center"/>
    </w:pPr>
  </w:style>
  <w:style w:type="paragraph" w:customStyle="1" w:styleId="OpiPara">
    <w:name w:val="Opi_Para"/>
    <w:basedOn w:val="JuPara"/>
    <w:rsid w:val="008A3CED"/>
  </w:style>
  <w:style w:type="paragraph" w:customStyle="1" w:styleId="OpiTranslation">
    <w:name w:val="Opi_Translation"/>
    <w:basedOn w:val="OpiHHead"/>
    <w:next w:val="OpiPara"/>
    <w:rsid w:val="008A3CED"/>
    <w:rPr>
      <w:i/>
      <w:sz w:val="24"/>
    </w:rPr>
  </w:style>
  <w:style w:type="paragraph" w:customStyle="1" w:styleId="JuInitialled">
    <w:name w:val="Ju_Initialled"/>
    <w:basedOn w:val="JuSigned"/>
    <w:rsid w:val="008A3CED"/>
    <w:pPr>
      <w:tabs>
        <w:tab w:val="clear" w:pos="851"/>
      </w:tabs>
      <w:jc w:val="right"/>
    </w:pPr>
  </w:style>
  <w:style w:type="paragraph" w:customStyle="1" w:styleId="JuHeader">
    <w:name w:val="Ju_Header"/>
    <w:basedOn w:val="Header"/>
    <w:rsid w:val="008A3CED"/>
  </w:style>
  <w:style w:type="paragraph" w:customStyle="1" w:styleId="DecHTitle">
    <w:name w:val="Dec_H_Title"/>
    <w:basedOn w:val="Normal"/>
    <w:rsid w:val="008A3CED"/>
    <w:pPr>
      <w:spacing w:after="240"/>
      <w:jc w:val="center"/>
    </w:pPr>
    <w:rPr>
      <w:sz w:val="28"/>
    </w:rPr>
  </w:style>
  <w:style w:type="paragraph" w:customStyle="1" w:styleId="DecHCase">
    <w:name w:val="Dec_H_Case"/>
    <w:basedOn w:val="DecHTitle"/>
    <w:next w:val="JuPara"/>
    <w:rsid w:val="008A3CED"/>
    <w:rPr>
      <w:sz w:val="24"/>
    </w:rPr>
  </w:style>
  <w:style w:type="paragraph" w:customStyle="1" w:styleId="DecList">
    <w:name w:val="Dec_List"/>
    <w:basedOn w:val="Normal"/>
    <w:rsid w:val="008A3CED"/>
    <w:pPr>
      <w:spacing w:before="240"/>
      <w:ind w:left="284"/>
      <w:jc w:val="both"/>
    </w:pPr>
  </w:style>
  <w:style w:type="paragraph" w:customStyle="1" w:styleId="JuParaSub">
    <w:name w:val="Ju_Para_Sub"/>
    <w:basedOn w:val="JuPara"/>
    <w:rsid w:val="008A3CED"/>
    <w:pPr>
      <w:ind w:left="284"/>
    </w:pPr>
    <w:rPr>
      <w:szCs w:val="24"/>
    </w:rPr>
  </w:style>
  <w:style w:type="paragraph" w:customStyle="1" w:styleId="JuQuotSub">
    <w:name w:val="Ju_Quot_Sub"/>
    <w:basedOn w:val="JuQuot"/>
    <w:rsid w:val="008A3CED"/>
    <w:pPr>
      <w:ind w:left="567"/>
    </w:pPr>
  </w:style>
  <w:style w:type="paragraph" w:customStyle="1" w:styleId="PJuPara">
    <w:name w:val="P_Ju_Para"/>
    <w:basedOn w:val="Normal"/>
    <w:rsid w:val="008A3CED"/>
    <w:pPr>
      <w:ind w:firstLine="284"/>
      <w:jc w:val="both"/>
    </w:pPr>
  </w:style>
  <w:style w:type="paragraph" w:customStyle="1" w:styleId="PJuQuot">
    <w:name w:val="P_Ju_Quot"/>
    <w:basedOn w:val="Normal"/>
    <w:rsid w:val="008A3CED"/>
    <w:pPr>
      <w:spacing w:before="120" w:after="120"/>
      <w:ind w:left="403" w:firstLine="176"/>
      <w:jc w:val="both"/>
    </w:pPr>
    <w:rPr>
      <w:sz w:val="20"/>
    </w:rPr>
  </w:style>
  <w:style w:type="paragraph" w:customStyle="1" w:styleId="OpiHA">
    <w:name w:val="Opi_H_A"/>
    <w:basedOn w:val="JuHIRoman"/>
    <w:next w:val="OpiPara"/>
    <w:rsid w:val="008A3CED"/>
    <w:pPr>
      <w:tabs>
        <w:tab w:val="clear" w:pos="357"/>
      </w:tabs>
    </w:pPr>
    <w:rPr>
      <w:b/>
    </w:rPr>
  </w:style>
  <w:style w:type="paragraph" w:customStyle="1" w:styleId="OpiH1">
    <w:name w:val="Opi_H_1."/>
    <w:basedOn w:val="OpiHA"/>
    <w:next w:val="OpiPara"/>
    <w:rsid w:val="008A3CED"/>
    <w:pPr>
      <w:spacing w:before="240" w:after="120"/>
      <w:ind w:left="635"/>
    </w:pPr>
    <w:rPr>
      <w:b w:val="0"/>
      <w:i/>
    </w:rPr>
  </w:style>
  <w:style w:type="paragraph" w:customStyle="1" w:styleId="OpiHa0">
    <w:name w:val="Opi_H_a"/>
    <w:basedOn w:val="OpiH1"/>
    <w:next w:val="OpiPara"/>
    <w:rsid w:val="008A3CED"/>
    <w:pPr>
      <w:ind w:left="834"/>
    </w:pPr>
    <w:rPr>
      <w:b/>
      <w:i w:val="0"/>
      <w:sz w:val="20"/>
    </w:rPr>
  </w:style>
  <w:style w:type="paragraph" w:customStyle="1" w:styleId="OpiHi">
    <w:name w:val="Opi_H_i"/>
    <w:basedOn w:val="OpiHa0"/>
    <w:next w:val="OpiPara"/>
    <w:rsid w:val="008A3CED"/>
    <w:pPr>
      <w:ind w:left="1038"/>
    </w:pPr>
    <w:rPr>
      <w:b w:val="0"/>
      <w:i/>
    </w:rPr>
  </w:style>
  <w:style w:type="paragraph" w:customStyle="1" w:styleId="PListArticleSubject">
    <w:name w:val="P_List_ArticleSubject"/>
    <w:basedOn w:val="Normal"/>
    <w:rsid w:val="008A3CED"/>
    <w:pPr>
      <w:tabs>
        <w:tab w:val="left" w:pos="2977"/>
      </w:tabs>
      <w:ind w:left="2977" w:hanging="2977"/>
    </w:pPr>
  </w:style>
  <w:style w:type="paragraph" w:customStyle="1" w:styleId="OpiQuot">
    <w:name w:val="Opi_Quot"/>
    <w:basedOn w:val="JuQuot"/>
    <w:rsid w:val="008A3CED"/>
  </w:style>
  <w:style w:type="paragraph" w:customStyle="1" w:styleId="SuCoverTitle1">
    <w:name w:val="Su_Cover_Title1"/>
    <w:basedOn w:val="Normal"/>
    <w:next w:val="SuCoverTitle2"/>
    <w:rsid w:val="008A3CED"/>
    <w:pPr>
      <w:spacing w:before="2500"/>
      <w:jc w:val="center"/>
    </w:pPr>
    <w:rPr>
      <w:sz w:val="22"/>
    </w:rPr>
  </w:style>
  <w:style w:type="paragraph" w:customStyle="1" w:styleId="SuCoverTitle2">
    <w:name w:val="Su_Cover_Title2"/>
    <w:basedOn w:val="SuCoverTitle1"/>
    <w:next w:val="Normal"/>
    <w:rsid w:val="008A3CED"/>
    <w:pPr>
      <w:spacing w:before="240"/>
    </w:pPr>
    <w:rPr>
      <w:sz w:val="18"/>
    </w:rPr>
  </w:style>
  <w:style w:type="paragraph" w:customStyle="1" w:styleId="SuPara">
    <w:name w:val="Su_Para"/>
    <w:basedOn w:val="SuKeywords"/>
    <w:rsid w:val="008A3CED"/>
    <w:pPr>
      <w:spacing w:before="0" w:after="0"/>
    </w:pPr>
    <w:rPr>
      <w:i w:val="0"/>
    </w:rPr>
  </w:style>
  <w:style w:type="paragraph" w:customStyle="1" w:styleId="SuKeywords">
    <w:name w:val="Su_Keywords"/>
    <w:basedOn w:val="SuHHead"/>
    <w:rsid w:val="008A3CED"/>
    <w:pPr>
      <w:spacing w:before="120"/>
    </w:pPr>
    <w:rPr>
      <w:b w:val="0"/>
      <w:i/>
    </w:rPr>
  </w:style>
  <w:style w:type="paragraph" w:customStyle="1" w:styleId="SuHHead">
    <w:name w:val="Su_H_Head"/>
    <w:basedOn w:val="SuSubject"/>
    <w:rsid w:val="008A3CED"/>
    <w:pPr>
      <w:spacing w:after="120"/>
    </w:pPr>
  </w:style>
  <w:style w:type="paragraph" w:customStyle="1" w:styleId="SuSubject">
    <w:name w:val="Su_Subject"/>
    <w:basedOn w:val="SuSummary"/>
    <w:rsid w:val="008A3CED"/>
    <w:pPr>
      <w:spacing w:before="360"/>
      <w:jc w:val="both"/>
    </w:pPr>
    <w:rPr>
      <w:b/>
      <w:sz w:val="22"/>
    </w:rPr>
  </w:style>
  <w:style w:type="paragraph" w:customStyle="1" w:styleId="SuSummary">
    <w:name w:val="Su_Summary"/>
    <w:basedOn w:val="Normal"/>
    <w:next w:val="SuSubject"/>
    <w:rsid w:val="008A3CED"/>
    <w:pPr>
      <w:spacing w:after="240"/>
      <w:jc w:val="center"/>
    </w:pPr>
  </w:style>
  <w:style w:type="paragraph" w:customStyle="1" w:styleId="PListCaseNo">
    <w:name w:val="P_List_CaseNo"/>
    <w:basedOn w:val="Normal"/>
    <w:rsid w:val="008A3CED"/>
    <w:pPr>
      <w:tabs>
        <w:tab w:val="left" w:pos="1276"/>
      </w:tabs>
      <w:spacing w:line="288" w:lineRule="auto"/>
      <w:ind w:left="1276" w:hanging="1276"/>
    </w:pPr>
  </w:style>
  <w:style w:type="paragraph" w:customStyle="1" w:styleId="PListCases">
    <w:name w:val="P_List_Cases"/>
    <w:basedOn w:val="Normal"/>
    <w:rsid w:val="008A3CED"/>
    <w:pPr>
      <w:spacing w:line="288" w:lineRule="auto"/>
    </w:pPr>
  </w:style>
  <w:style w:type="paragraph" w:customStyle="1" w:styleId="PTextIntro">
    <w:name w:val="P_Text_Intro"/>
    <w:basedOn w:val="Normal"/>
    <w:rsid w:val="008A3CED"/>
    <w:pPr>
      <w:jc w:val="both"/>
    </w:pPr>
    <w:rPr>
      <w:i/>
      <w:sz w:val="20"/>
    </w:rPr>
  </w:style>
  <w:style w:type="paragraph" w:customStyle="1" w:styleId="PTitleCover">
    <w:name w:val="P_Title_Cover"/>
    <w:basedOn w:val="Normal"/>
    <w:rsid w:val="008A3CED"/>
    <w:pPr>
      <w:spacing w:before="2500"/>
      <w:jc w:val="center"/>
    </w:pPr>
    <w:rPr>
      <w:b/>
      <w:smallCaps/>
      <w:sz w:val="30"/>
    </w:rPr>
  </w:style>
  <w:style w:type="paragraph" w:customStyle="1" w:styleId="PTitle1Alpha">
    <w:name w:val="P_Title1_Alpha"/>
    <w:basedOn w:val="Normal"/>
    <w:next w:val="Normal"/>
    <w:rsid w:val="008A3CED"/>
    <w:pPr>
      <w:spacing w:after="120"/>
      <w:jc w:val="center"/>
    </w:pPr>
    <w:rPr>
      <w:b/>
      <w:smallCaps/>
      <w:sz w:val="30"/>
    </w:rPr>
  </w:style>
  <w:style w:type="paragraph" w:customStyle="1" w:styleId="PTitle1IndexArticle">
    <w:name w:val="P_Title1_IndexArticle"/>
    <w:basedOn w:val="Normal"/>
    <w:rsid w:val="008A3CED"/>
    <w:pPr>
      <w:spacing w:after="120"/>
      <w:jc w:val="center"/>
    </w:pPr>
    <w:rPr>
      <w:b/>
      <w:smallCaps/>
      <w:sz w:val="30"/>
    </w:rPr>
  </w:style>
  <w:style w:type="paragraph" w:customStyle="1" w:styleId="PTitle1IndexKey">
    <w:name w:val="P_Title1_IndexKey"/>
    <w:basedOn w:val="Normal"/>
    <w:rsid w:val="008A3CED"/>
    <w:pPr>
      <w:spacing w:after="600"/>
      <w:jc w:val="center"/>
    </w:pPr>
    <w:rPr>
      <w:b/>
      <w:smallCaps/>
      <w:sz w:val="30"/>
    </w:rPr>
  </w:style>
  <w:style w:type="paragraph" w:customStyle="1" w:styleId="PTitle1Num">
    <w:name w:val="P_Title1_Num"/>
    <w:basedOn w:val="Normal"/>
    <w:next w:val="PListCaseNo"/>
    <w:rsid w:val="008A3CED"/>
    <w:pPr>
      <w:spacing w:after="720"/>
      <w:jc w:val="center"/>
    </w:pPr>
    <w:rPr>
      <w:b/>
      <w:smallCaps/>
      <w:sz w:val="30"/>
    </w:rPr>
  </w:style>
  <w:style w:type="paragraph" w:customStyle="1" w:styleId="PTitle2Country">
    <w:name w:val="P_Title2_Country"/>
    <w:basedOn w:val="Normal"/>
    <w:next w:val="PListCases"/>
    <w:rsid w:val="008A3CED"/>
    <w:pPr>
      <w:keepNext/>
      <w:keepLines/>
      <w:spacing w:before="600" w:after="360"/>
    </w:pPr>
    <w:rPr>
      <w:b/>
    </w:rPr>
  </w:style>
  <w:style w:type="paragraph" w:customStyle="1" w:styleId="PTitle2Letters">
    <w:name w:val="P_Title2_Letters"/>
    <w:basedOn w:val="Normal"/>
    <w:next w:val="PListCases"/>
    <w:rsid w:val="008A3CED"/>
    <w:pPr>
      <w:keepNext/>
      <w:keepLines/>
      <w:spacing w:before="600" w:after="360"/>
    </w:pPr>
    <w:rPr>
      <w:b/>
      <w:sz w:val="28"/>
    </w:rPr>
  </w:style>
  <w:style w:type="paragraph" w:customStyle="1" w:styleId="PTitle2Part">
    <w:name w:val="P_Title2_Part"/>
    <w:basedOn w:val="Normal"/>
    <w:rsid w:val="008A3CED"/>
    <w:pPr>
      <w:keepNext/>
      <w:keepLines/>
      <w:spacing w:before="600" w:after="240"/>
      <w:jc w:val="center"/>
    </w:pPr>
    <w:rPr>
      <w:b/>
      <w:caps/>
    </w:rPr>
  </w:style>
  <w:style w:type="paragraph" w:customStyle="1" w:styleId="PTitle3Article">
    <w:name w:val="P_Title3_Article"/>
    <w:basedOn w:val="Normal"/>
    <w:rsid w:val="008A3CED"/>
    <w:pPr>
      <w:keepNext/>
      <w:keepLines/>
      <w:spacing w:before="360" w:after="120"/>
      <w:jc w:val="center"/>
    </w:pPr>
    <w:rPr>
      <w:b/>
      <w:smallCaps/>
      <w:sz w:val="22"/>
    </w:rPr>
  </w:style>
  <w:style w:type="paragraph" w:customStyle="1" w:styleId="PTitle4ArticleSub">
    <w:name w:val="P_Title4_Article_Sub"/>
    <w:basedOn w:val="PTitle3Article"/>
    <w:rsid w:val="008A3CED"/>
    <w:pPr>
      <w:spacing w:before="240"/>
    </w:pPr>
    <w:rPr>
      <w:smallCaps w:val="0"/>
      <w:sz w:val="20"/>
    </w:rPr>
  </w:style>
  <w:style w:type="paragraph" w:customStyle="1" w:styleId="PTitle5Subject">
    <w:name w:val="P_Title5_Subject"/>
    <w:basedOn w:val="Normal"/>
    <w:rsid w:val="008A3CED"/>
    <w:pPr>
      <w:keepNext/>
      <w:keepLines/>
      <w:spacing w:before="240" w:after="120"/>
      <w:jc w:val="both"/>
    </w:pPr>
    <w:rPr>
      <w:b/>
      <w:i/>
    </w:rPr>
  </w:style>
  <w:style w:type="paragraph" w:customStyle="1" w:styleId="PTitle6SubjectSub">
    <w:name w:val="P_Title6_Subject_Sub"/>
    <w:basedOn w:val="Normal"/>
    <w:rsid w:val="008A3CED"/>
    <w:pPr>
      <w:keepNext/>
      <w:keepLines/>
      <w:spacing w:before="240" w:after="120"/>
      <w:ind w:left="284"/>
      <w:jc w:val="both"/>
    </w:pPr>
    <w:rPr>
      <w:b/>
      <w:sz w:val="20"/>
    </w:rPr>
  </w:style>
  <w:style w:type="paragraph" w:customStyle="1" w:styleId="PTitle7CaseName">
    <w:name w:val="P_Title7_CaseName"/>
    <w:basedOn w:val="Normal"/>
    <w:rsid w:val="008A3CED"/>
    <w:pPr>
      <w:keepLines/>
      <w:spacing w:after="240"/>
      <w:jc w:val="right"/>
    </w:pPr>
    <w:rPr>
      <w:sz w:val="22"/>
    </w:rPr>
  </w:style>
  <w:style w:type="paragraph" w:customStyle="1" w:styleId="OpiParaSub">
    <w:name w:val="Opi_Para_Sub"/>
    <w:basedOn w:val="JuParaSub"/>
    <w:rsid w:val="008A3CED"/>
  </w:style>
  <w:style w:type="paragraph" w:customStyle="1" w:styleId="OpiQuotSub">
    <w:name w:val="Opi_Quot_Sub"/>
    <w:basedOn w:val="JuQuotSub"/>
    <w:rsid w:val="008A3CED"/>
  </w:style>
  <w:style w:type="paragraph" w:customStyle="1" w:styleId="NormalJustified">
    <w:name w:val="Normal_Justified"/>
    <w:basedOn w:val="Normal"/>
    <w:rsid w:val="008A3CED"/>
    <w:pPr>
      <w:jc w:val="both"/>
    </w:pPr>
  </w:style>
  <w:style w:type="character" w:styleId="Hyperlink">
    <w:name w:val="Hyperlink"/>
    <w:basedOn w:val="DefaultParagraphFont"/>
    <w:rsid w:val="008A3CED"/>
    <w:rPr>
      <w:color w:val="0000FF"/>
      <w:u w:val="single"/>
    </w:rPr>
  </w:style>
  <w:style w:type="character" w:customStyle="1" w:styleId="ju-005fpara-002cleft-002cfirst-0020line-003a-0020-00200-0020cm--char">
    <w:name w:val="ju-005fpara-002cleft-002cfirst-0020line-003a-0020-00200-0020cm--char"/>
    <w:basedOn w:val="DefaultParagraphFont"/>
    <w:rsid w:val="008A3CED"/>
  </w:style>
  <w:style w:type="paragraph" w:styleId="HTMLPreformatted">
    <w:name w:val="HTML Preformatted"/>
    <w:basedOn w:val="Normal"/>
    <w:rsid w:val="008A3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eastAsia="en-GB"/>
    </w:rPr>
  </w:style>
  <w:style w:type="character" w:customStyle="1" w:styleId="normal--char">
    <w:name w:val="normal--char"/>
    <w:basedOn w:val="DefaultParagraphFont"/>
    <w:rsid w:val="008A3CED"/>
  </w:style>
  <w:style w:type="character" w:customStyle="1" w:styleId="ju-005fpara--char">
    <w:name w:val="ju-005fpara--char"/>
    <w:basedOn w:val="DefaultParagraphFont"/>
    <w:rsid w:val="008A3CED"/>
  </w:style>
  <w:style w:type="character" w:customStyle="1" w:styleId="ju----005fpara--------char----char--char">
    <w:name w:val="ju----005fpara--------char----char--char"/>
    <w:basedOn w:val="DefaultParagraphFont"/>
    <w:rsid w:val="008A3CED"/>
  </w:style>
  <w:style w:type="character" w:customStyle="1" w:styleId="ju--005fpara----char--char">
    <w:name w:val="ju--005fpara----char--char"/>
    <w:basedOn w:val="DefaultParagraphFont"/>
    <w:rsid w:val="008A3CED"/>
  </w:style>
  <w:style w:type="character" w:customStyle="1" w:styleId="ju--005fpara--0020char--0020char----char--char">
    <w:name w:val="ju--005fpara--0020char--0020char----char--char"/>
    <w:basedOn w:val="DefaultParagraphFont"/>
    <w:rsid w:val="008A3CED"/>
  </w:style>
  <w:style w:type="paragraph" w:customStyle="1" w:styleId="jupara0">
    <w:name w:val="jupara"/>
    <w:basedOn w:val="Normal"/>
    <w:rsid w:val="008A3CED"/>
    <w:pPr>
      <w:suppressAutoHyphens w:val="0"/>
      <w:spacing w:before="100" w:beforeAutospacing="1" w:after="100" w:afterAutospacing="1"/>
    </w:pPr>
    <w:rPr>
      <w:szCs w:val="24"/>
      <w:lang w:eastAsia="en-GB"/>
    </w:rPr>
  </w:style>
  <w:style w:type="paragraph" w:customStyle="1" w:styleId="ju-005fh-005fa">
    <w:name w:val="ju-005fh-005fa"/>
    <w:basedOn w:val="Normal"/>
    <w:rsid w:val="008A3CED"/>
    <w:pPr>
      <w:suppressAutoHyphens w:val="0"/>
      <w:spacing w:before="100" w:beforeAutospacing="1" w:after="100" w:afterAutospacing="1"/>
    </w:pPr>
    <w:rPr>
      <w:szCs w:val="24"/>
      <w:lang w:eastAsia="en-GB"/>
    </w:rPr>
  </w:style>
  <w:style w:type="paragraph" w:styleId="NormalWeb">
    <w:name w:val="Normal (Web)"/>
    <w:basedOn w:val="Normal"/>
    <w:rsid w:val="008A3CED"/>
    <w:pPr>
      <w:suppressAutoHyphens w:val="0"/>
      <w:spacing w:before="100" w:beforeAutospacing="1" w:after="100" w:afterAutospacing="1"/>
    </w:pPr>
    <w:rPr>
      <w:rFonts w:ascii="Verdana" w:hAnsi="Verdana"/>
      <w:color w:val="000000"/>
      <w:sz w:val="29"/>
      <w:szCs w:val="29"/>
      <w:lang w:eastAsia="en-GB"/>
    </w:rPr>
  </w:style>
  <w:style w:type="paragraph" w:customStyle="1" w:styleId="ju-005fpara-002cleft-002cfirst-0020line-003a-0020-00200-0020cm">
    <w:name w:val="ju-005fpara-002cleft-002cfirst-0020line-003a-0020-00200-0020cm"/>
    <w:basedOn w:val="Normal"/>
    <w:rsid w:val="008A3CED"/>
    <w:pPr>
      <w:suppressAutoHyphens w:val="0"/>
      <w:spacing w:before="100" w:beforeAutospacing="1" w:after="100" w:afterAutospacing="1"/>
    </w:pPr>
    <w:rPr>
      <w:szCs w:val="24"/>
      <w:lang w:eastAsia="en-GB"/>
    </w:rPr>
  </w:style>
  <w:style w:type="paragraph" w:customStyle="1" w:styleId="ju-005fpara">
    <w:name w:val="ju-005fpara"/>
    <w:basedOn w:val="Normal"/>
    <w:rsid w:val="008A3CED"/>
    <w:pPr>
      <w:suppressAutoHyphens w:val="0"/>
      <w:spacing w:before="100" w:beforeAutospacing="1" w:after="100" w:afterAutospacing="1"/>
    </w:pPr>
    <w:rPr>
      <w:szCs w:val="24"/>
      <w:lang w:eastAsia="en-GB"/>
    </w:rPr>
  </w:style>
  <w:style w:type="character" w:styleId="Strong">
    <w:name w:val="Strong"/>
    <w:basedOn w:val="DefaultParagraphFont"/>
    <w:qFormat/>
    <w:rsid w:val="008A3CED"/>
    <w:rPr>
      <w:b/>
      <w:bCs/>
    </w:rPr>
  </w:style>
  <w:style w:type="character" w:customStyle="1" w:styleId="JuParaChar">
    <w:name w:val="Ju_Para Char"/>
    <w:basedOn w:val="DefaultParagraphFont"/>
    <w:rsid w:val="008A3CED"/>
    <w:rPr>
      <w:sz w:val="24"/>
      <w:lang w:val="en-GB" w:eastAsia="fr-FR" w:bidi="ar-SA"/>
    </w:rPr>
  </w:style>
  <w:style w:type="paragraph" w:styleId="BalloonText">
    <w:name w:val="Balloon Text"/>
    <w:basedOn w:val="Normal"/>
    <w:semiHidden/>
    <w:rsid w:val="007E1B8F"/>
    <w:rPr>
      <w:rFonts w:ascii="Tahoma" w:hAnsi="Tahoma" w:cs="Tahoma"/>
      <w:sz w:val="16"/>
      <w:szCs w:val="16"/>
    </w:rPr>
  </w:style>
  <w:style w:type="table" w:styleId="TableGrid">
    <w:name w:val="Table Grid"/>
    <w:basedOn w:val="TableNormal"/>
    <w:rsid w:val="00BC485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3CED"/>
    <w:pPr>
      <w:suppressAutoHyphens/>
    </w:pPr>
    <w:rPr>
      <w:sz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A3CED"/>
    <w:pPr>
      <w:keepNext/>
      <w:spacing w:before="240" w:after="120"/>
      <w:ind w:left="284" w:hanging="284"/>
      <w:outlineLvl w:val="1"/>
    </w:pPr>
    <w:rPr>
      <w:b/>
    </w:rPr>
  </w:style>
  <w:style w:type="paragraph" w:styleId="Heading3">
    <w:name w:val="heading 3"/>
    <w:basedOn w:val="Normal"/>
    <w:next w:val="Normal"/>
    <w:qFormat/>
    <w:rsid w:val="008A3CED"/>
    <w:pPr>
      <w:keepNext/>
      <w:spacing w:before="120" w:after="60"/>
      <w:ind w:left="1418" w:hanging="851"/>
      <w:outlineLvl w:val="2"/>
    </w:pPr>
    <w:rPr>
      <w:i/>
    </w:rPr>
  </w:style>
  <w:style w:type="paragraph" w:styleId="Heading4">
    <w:name w:val="heading 4"/>
    <w:basedOn w:val="Normal"/>
    <w:next w:val="Normal"/>
    <w:qFormat/>
    <w:rsid w:val="008A3CED"/>
    <w:pPr>
      <w:widowControl w:val="0"/>
      <w:outlineLvl w:val="3"/>
    </w:pPr>
    <w:rPr>
      <w:rFonts w:ascii="Courier" w:hAnsi="Courier"/>
      <w:snapToGrid w:val="0"/>
      <w:lang w:val="en-US" w:eastAsia="en-US"/>
    </w:rPr>
  </w:style>
  <w:style w:type="paragraph" w:styleId="Heading5">
    <w:name w:val="heading 5"/>
    <w:basedOn w:val="Normal"/>
    <w:next w:val="Normal"/>
    <w:qFormat/>
    <w:rsid w:val="008A3CED"/>
    <w:pPr>
      <w:widowControl w:val="0"/>
      <w:outlineLvl w:val="4"/>
    </w:pPr>
    <w:rPr>
      <w:rFonts w:ascii="Courier" w:hAnsi="Courier"/>
      <w:snapToGrid w:val="0"/>
      <w:lang w:val="en-US" w:eastAsia="en-US"/>
    </w:rPr>
  </w:style>
  <w:style w:type="paragraph" w:styleId="Heading6">
    <w:name w:val="heading 6"/>
    <w:basedOn w:val="Normal"/>
    <w:next w:val="Normal"/>
    <w:qFormat/>
    <w:rsid w:val="008A3CED"/>
    <w:pPr>
      <w:widowControl w:val="0"/>
      <w:outlineLvl w:val="5"/>
    </w:pPr>
    <w:rPr>
      <w:rFonts w:ascii="Courier" w:hAnsi="Courier"/>
      <w:snapToGrid w:val="0"/>
      <w:lang w:val="en-US" w:eastAsia="en-US"/>
    </w:rPr>
  </w:style>
  <w:style w:type="paragraph" w:styleId="Heading7">
    <w:name w:val="heading 7"/>
    <w:basedOn w:val="Normal"/>
    <w:next w:val="Normal"/>
    <w:qFormat/>
    <w:rsid w:val="008A3CED"/>
    <w:pPr>
      <w:widowControl w:val="0"/>
      <w:outlineLvl w:val="6"/>
    </w:pPr>
    <w:rPr>
      <w:rFonts w:ascii="Courier" w:hAnsi="Courier"/>
      <w:snapToGrid w:val="0"/>
      <w:lang w:val="en-US" w:eastAsia="en-US"/>
    </w:rPr>
  </w:style>
  <w:style w:type="paragraph" w:styleId="Heading8">
    <w:name w:val="heading 8"/>
    <w:basedOn w:val="Normal"/>
    <w:next w:val="Normal"/>
    <w:qFormat/>
    <w:rsid w:val="008A3CED"/>
    <w:pPr>
      <w:widowControl w:val="0"/>
      <w:outlineLvl w:val="7"/>
    </w:pPr>
    <w:rPr>
      <w:rFonts w:ascii="Courier" w:hAnsi="Courier"/>
      <w:snapToGrid w:val="0"/>
      <w:lang w:val="en-US" w:eastAsia="en-US"/>
    </w:rPr>
  </w:style>
  <w:style w:type="paragraph" w:styleId="Heading9">
    <w:name w:val="heading 9"/>
    <w:basedOn w:val="Normal"/>
    <w:next w:val="Normal"/>
    <w:qFormat/>
    <w:rsid w:val="008A3CED"/>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lang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lang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lang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eastAsia="en-GB"/>
    </w:rPr>
  </w:style>
  <w:style w:type="paragraph" w:customStyle="1" w:styleId="autoritetiemer0">
    <w:name w:val="autoritetiemer"/>
    <w:basedOn w:val="Normal"/>
    <w:rsid w:val="00392BE0"/>
    <w:pPr>
      <w:spacing w:before="100" w:beforeAutospacing="1" w:after="100" w:afterAutospacing="1"/>
    </w:pPr>
    <w:rPr>
      <w:rFonts w:eastAsia="MS Mincho"/>
      <w:lang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pacing w:before="120" w:after="0"/>
      <w:jc w:val="both"/>
    </w:pPr>
    <w:rPr>
      <w:rFonts w:eastAsia="MS Mincho"/>
      <w:snapToGrid w:val="0"/>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JuPara">
    <w:name w:val="Ju_Para"/>
    <w:aliases w:val="Left,First line:  0 cm"/>
    <w:basedOn w:val="Normal"/>
    <w:link w:val="JuParaCar"/>
    <w:rsid w:val="008A3CED"/>
    <w:pPr>
      <w:ind w:firstLine="284"/>
      <w:jc w:val="both"/>
    </w:pPr>
  </w:style>
  <w:style w:type="character" w:customStyle="1" w:styleId="JuParaCar">
    <w:name w:val="Ju_Para Car"/>
    <w:basedOn w:val="DefaultParagraphFont"/>
    <w:link w:val="JuPara"/>
    <w:rsid w:val="008A3CED"/>
    <w:rPr>
      <w:sz w:val="24"/>
      <w:lang w:val="en-GB" w:eastAsia="fr-FR" w:bidi="ar-SA"/>
    </w:rPr>
  </w:style>
  <w:style w:type="paragraph" w:customStyle="1" w:styleId="JuHIRoman">
    <w:name w:val="Ju_H_I_Roman"/>
    <w:basedOn w:val="JuHHead"/>
    <w:next w:val="JuPara"/>
    <w:link w:val="JuHIRomanChar"/>
    <w:rsid w:val="008A3CED"/>
    <w:pPr>
      <w:tabs>
        <w:tab w:val="left" w:pos="357"/>
      </w:tabs>
      <w:spacing w:before="360"/>
      <w:ind w:left="357" w:hanging="357"/>
    </w:pPr>
    <w:rPr>
      <w:sz w:val="24"/>
    </w:rPr>
  </w:style>
  <w:style w:type="paragraph" w:customStyle="1" w:styleId="JuHHead">
    <w:name w:val="Ju_H_Head"/>
    <w:basedOn w:val="Normal"/>
    <w:next w:val="JuPara"/>
    <w:rsid w:val="008A3CED"/>
    <w:pPr>
      <w:keepNext/>
      <w:keepLines/>
      <w:spacing w:before="720" w:after="240"/>
      <w:jc w:val="both"/>
    </w:pPr>
    <w:rPr>
      <w:sz w:val="28"/>
    </w:rPr>
  </w:style>
  <w:style w:type="character" w:customStyle="1" w:styleId="JuHIRomanChar">
    <w:name w:val="Ju_H_I_Roman Char"/>
    <w:basedOn w:val="DefaultParagraphFont"/>
    <w:link w:val="JuHIRoman"/>
    <w:rsid w:val="008A3CED"/>
    <w:rPr>
      <w:sz w:val="24"/>
      <w:lang w:val="en-GB" w:eastAsia="fr-FR" w:bidi="ar-SA"/>
    </w:rPr>
  </w:style>
  <w:style w:type="paragraph" w:styleId="Footer">
    <w:name w:val="footer"/>
    <w:basedOn w:val="Normal"/>
    <w:link w:val="FooterChar"/>
    <w:rsid w:val="008A3CED"/>
    <w:pPr>
      <w:tabs>
        <w:tab w:val="center" w:pos="3686"/>
        <w:tab w:val="right" w:pos="7371"/>
      </w:tabs>
    </w:pPr>
    <w:rPr>
      <w:sz w:val="18"/>
    </w:rPr>
  </w:style>
  <w:style w:type="character" w:customStyle="1" w:styleId="FooterChar">
    <w:name w:val="Footer Char"/>
    <w:basedOn w:val="DefaultParagraphFont"/>
    <w:link w:val="Footer"/>
    <w:rsid w:val="008A3CED"/>
    <w:rPr>
      <w:sz w:val="18"/>
      <w:lang w:val="en-GB" w:eastAsia="fr-FR" w:bidi="ar-SA"/>
    </w:rPr>
  </w:style>
  <w:style w:type="paragraph" w:customStyle="1" w:styleId="JuJudges">
    <w:name w:val="Ju_Judges"/>
    <w:basedOn w:val="Normal"/>
    <w:link w:val="JuJudgesChar"/>
    <w:rsid w:val="008A3CED"/>
    <w:pPr>
      <w:tabs>
        <w:tab w:val="left" w:pos="567"/>
        <w:tab w:val="left" w:pos="1134"/>
      </w:tabs>
    </w:pPr>
  </w:style>
  <w:style w:type="character" w:customStyle="1" w:styleId="JuJudgesChar">
    <w:name w:val="Ju_Judges Char"/>
    <w:basedOn w:val="DefaultParagraphFont"/>
    <w:link w:val="JuJudges"/>
    <w:rsid w:val="008A3CED"/>
    <w:rPr>
      <w:sz w:val="24"/>
      <w:lang w:val="en-GB" w:eastAsia="fr-FR" w:bidi="ar-SA"/>
    </w:rPr>
  </w:style>
  <w:style w:type="character" w:customStyle="1" w:styleId="JuNames">
    <w:name w:val="Ju_Names"/>
    <w:basedOn w:val="DefaultParagraphFont"/>
    <w:rsid w:val="008A3CED"/>
    <w:rPr>
      <w:smallCaps/>
    </w:rPr>
  </w:style>
  <w:style w:type="paragraph" w:customStyle="1" w:styleId="JuHA">
    <w:name w:val="Ju_H_A"/>
    <w:basedOn w:val="JuHIRoman"/>
    <w:next w:val="JuPara"/>
    <w:rsid w:val="008A3CED"/>
    <w:pPr>
      <w:tabs>
        <w:tab w:val="clear" w:pos="357"/>
        <w:tab w:val="left" w:pos="584"/>
      </w:tabs>
      <w:ind w:left="584" w:hanging="352"/>
    </w:pPr>
    <w:rPr>
      <w:b/>
    </w:rPr>
  </w:style>
  <w:style w:type="paragraph" w:customStyle="1" w:styleId="JuQuot">
    <w:name w:val="Ju_Quot"/>
    <w:basedOn w:val="JuPara"/>
    <w:rsid w:val="008A3CED"/>
    <w:pPr>
      <w:spacing w:before="120" w:after="120"/>
      <w:ind w:left="425" w:firstLine="142"/>
    </w:pPr>
    <w:rPr>
      <w:sz w:val="20"/>
    </w:rPr>
  </w:style>
  <w:style w:type="paragraph" w:customStyle="1" w:styleId="JuSigned">
    <w:name w:val="Ju_Signed"/>
    <w:basedOn w:val="Normal"/>
    <w:next w:val="JuParaLast"/>
    <w:link w:val="JuSignedChar"/>
    <w:rsid w:val="008A3CED"/>
    <w:pPr>
      <w:tabs>
        <w:tab w:val="center" w:pos="851"/>
        <w:tab w:val="center" w:pos="6407"/>
      </w:tabs>
      <w:spacing w:before="720"/>
    </w:pPr>
  </w:style>
  <w:style w:type="paragraph" w:customStyle="1" w:styleId="JuParaLast">
    <w:name w:val="Ju_Para_Last"/>
    <w:basedOn w:val="JuPara"/>
    <w:next w:val="JuPara"/>
    <w:rsid w:val="008A3CED"/>
    <w:pPr>
      <w:keepNext/>
      <w:keepLines/>
      <w:spacing w:before="240"/>
    </w:pPr>
  </w:style>
  <w:style w:type="character" w:customStyle="1" w:styleId="JuSignedChar">
    <w:name w:val="Ju_Signed Char"/>
    <w:basedOn w:val="DefaultParagraphFont"/>
    <w:link w:val="JuSigned"/>
    <w:rsid w:val="008A3CED"/>
    <w:rPr>
      <w:sz w:val="24"/>
      <w:lang w:val="en-GB" w:eastAsia="fr-FR" w:bidi="ar-SA"/>
    </w:rPr>
  </w:style>
  <w:style w:type="paragraph" w:customStyle="1" w:styleId="JuCase">
    <w:name w:val="Ju_Case"/>
    <w:basedOn w:val="JuPara"/>
    <w:next w:val="JuPara"/>
    <w:rsid w:val="008A3CED"/>
    <w:rPr>
      <w:b/>
    </w:rPr>
  </w:style>
  <w:style w:type="paragraph" w:customStyle="1" w:styleId="JuList">
    <w:name w:val="Ju_List"/>
    <w:basedOn w:val="JuPara"/>
    <w:rsid w:val="008A3CED"/>
    <w:pPr>
      <w:ind w:left="340" w:hanging="340"/>
    </w:pPr>
  </w:style>
  <w:style w:type="paragraph" w:customStyle="1" w:styleId="JuHArticle">
    <w:name w:val="Ju_H_Article"/>
    <w:basedOn w:val="JuHa0"/>
    <w:next w:val="JuQuot"/>
    <w:rsid w:val="008A3CED"/>
    <w:pPr>
      <w:ind w:left="0" w:firstLine="0"/>
      <w:jc w:val="center"/>
    </w:pPr>
  </w:style>
  <w:style w:type="paragraph" w:customStyle="1" w:styleId="JuHa0">
    <w:name w:val="Ju_H_a"/>
    <w:basedOn w:val="JuH1"/>
    <w:next w:val="JuPara"/>
    <w:rsid w:val="008A3CED"/>
    <w:pPr>
      <w:tabs>
        <w:tab w:val="clear" w:pos="731"/>
        <w:tab w:val="left" w:pos="975"/>
      </w:tabs>
      <w:ind w:left="975" w:hanging="340"/>
    </w:pPr>
    <w:rPr>
      <w:b/>
      <w:i w:val="0"/>
      <w:sz w:val="20"/>
    </w:rPr>
  </w:style>
  <w:style w:type="paragraph" w:customStyle="1" w:styleId="JuH1">
    <w:name w:val="Ju_H_1."/>
    <w:basedOn w:val="JuHA"/>
    <w:next w:val="JuPara"/>
    <w:rsid w:val="008A3CED"/>
    <w:pPr>
      <w:tabs>
        <w:tab w:val="clear" w:pos="584"/>
        <w:tab w:val="left" w:pos="731"/>
      </w:tabs>
      <w:spacing w:before="240" w:after="120"/>
      <w:ind w:left="732" w:hanging="301"/>
    </w:pPr>
    <w:rPr>
      <w:b w:val="0"/>
      <w:i/>
    </w:rPr>
  </w:style>
  <w:style w:type="paragraph" w:styleId="CommentText">
    <w:name w:val="annotation text"/>
    <w:basedOn w:val="Normal"/>
    <w:semiHidden/>
    <w:rsid w:val="008A3CED"/>
    <w:rPr>
      <w:sz w:val="20"/>
    </w:rPr>
  </w:style>
  <w:style w:type="paragraph" w:customStyle="1" w:styleId="JuCourt">
    <w:name w:val="Ju_Court"/>
    <w:basedOn w:val="JuJudges"/>
    <w:rsid w:val="008A3CED"/>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8A3CED"/>
    <w:pPr>
      <w:tabs>
        <w:tab w:val="clear" w:pos="975"/>
        <w:tab w:val="left" w:pos="1191"/>
      </w:tabs>
      <w:ind w:left="1190" w:hanging="357"/>
    </w:pPr>
    <w:rPr>
      <w:b w:val="0"/>
      <w:i/>
    </w:rPr>
  </w:style>
  <w:style w:type="paragraph" w:styleId="Header">
    <w:name w:val="header"/>
    <w:basedOn w:val="Normal"/>
    <w:link w:val="HeaderChar"/>
    <w:rsid w:val="008A3CED"/>
    <w:pPr>
      <w:tabs>
        <w:tab w:val="center" w:pos="3686"/>
        <w:tab w:val="right" w:pos="7371"/>
      </w:tabs>
    </w:pPr>
    <w:rPr>
      <w:sz w:val="18"/>
    </w:rPr>
  </w:style>
  <w:style w:type="character" w:customStyle="1" w:styleId="HeaderChar">
    <w:name w:val="Header Char"/>
    <w:basedOn w:val="DefaultParagraphFont"/>
    <w:link w:val="Header"/>
    <w:rsid w:val="008A3CED"/>
    <w:rPr>
      <w:sz w:val="18"/>
      <w:lang w:val="en-GB" w:eastAsia="fr-FR" w:bidi="ar-SA"/>
    </w:rPr>
  </w:style>
  <w:style w:type="character" w:styleId="PageNumber">
    <w:name w:val="page number"/>
    <w:basedOn w:val="DefaultParagraphFont"/>
    <w:rsid w:val="008A3CED"/>
    <w:rPr>
      <w:sz w:val="18"/>
    </w:rPr>
  </w:style>
  <w:style w:type="paragraph" w:customStyle="1" w:styleId="JuH">
    <w:name w:val="Ju_H_–"/>
    <w:basedOn w:val="JuHalpha"/>
    <w:next w:val="JuPara"/>
    <w:rsid w:val="008A3CED"/>
    <w:pPr>
      <w:tabs>
        <w:tab w:val="clear" w:pos="1372"/>
      </w:tabs>
      <w:ind w:left="1236" w:firstLine="0"/>
    </w:pPr>
    <w:rPr>
      <w:i/>
    </w:rPr>
  </w:style>
  <w:style w:type="paragraph" w:customStyle="1" w:styleId="JuHalpha">
    <w:name w:val="Ju_H_alpha"/>
    <w:basedOn w:val="JuHi"/>
    <w:next w:val="JuPara"/>
    <w:rsid w:val="008A3CED"/>
    <w:pPr>
      <w:tabs>
        <w:tab w:val="clear" w:pos="1191"/>
        <w:tab w:val="left" w:pos="1372"/>
      </w:tabs>
      <w:ind w:left="1373" w:hanging="335"/>
    </w:pPr>
    <w:rPr>
      <w:i w:val="0"/>
    </w:rPr>
  </w:style>
  <w:style w:type="paragraph" w:customStyle="1" w:styleId="JuLista">
    <w:name w:val="Ju_List_a"/>
    <w:basedOn w:val="JuList"/>
    <w:rsid w:val="008A3CED"/>
    <w:pPr>
      <w:ind w:left="346" w:firstLine="0"/>
    </w:pPr>
  </w:style>
  <w:style w:type="paragraph" w:customStyle="1" w:styleId="JuListi">
    <w:name w:val="Ju_List_i"/>
    <w:basedOn w:val="JuLista"/>
    <w:rsid w:val="008A3CED"/>
    <w:pPr>
      <w:ind w:left="794"/>
    </w:pPr>
  </w:style>
  <w:style w:type="paragraph" w:customStyle="1" w:styleId="OpiHHead">
    <w:name w:val="Opi_H_Head"/>
    <w:basedOn w:val="JuHHead"/>
    <w:next w:val="OpiPara"/>
    <w:rsid w:val="008A3CED"/>
    <w:pPr>
      <w:spacing w:before="0"/>
      <w:jc w:val="center"/>
    </w:pPr>
  </w:style>
  <w:style w:type="paragraph" w:customStyle="1" w:styleId="OpiPara">
    <w:name w:val="Opi_Para"/>
    <w:basedOn w:val="JuPara"/>
    <w:rsid w:val="008A3CED"/>
  </w:style>
  <w:style w:type="paragraph" w:customStyle="1" w:styleId="OpiTranslation">
    <w:name w:val="Opi_Translation"/>
    <w:basedOn w:val="OpiHHead"/>
    <w:next w:val="OpiPara"/>
    <w:rsid w:val="008A3CED"/>
    <w:rPr>
      <w:i/>
      <w:sz w:val="24"/>
    </w:rPr>
  </w:style>
  <w:style w:type="paragraph" w:customStyle="1" w:styleId="JuInitialled">
    <w:name w:val="Ju_Initialled"/>
    <w:basedOn w:val="JuSigned"/>
    <w:rsid w:val="008A3CED"/>
    <w:pPr>
      <w:tabs>
        <w:tab w:val="clear" w:pos="851"/>
      </w:tabs>
      <w:jc w:val="right"/>
    </w:pPr>
  </w:style>
  <w:style w:type="paragraph" w:customStyle="1" w:styleId="JuHeader">
    <w:name w:val="Ju_Header"/>
    <w:basedOn w:val="Header"/>
    <w:rsid w:val="008A3CED"/>
  </w:style>
  <w:style w:type="paragraph" w:customStyle="1" w:styleId="DecHTitle">
    <w:name w:val="Dec_H_Title"/>
    <w:basedOn w:val="Normal"/>
    <w:rsid w:val="008A3CED"/>
    <w:pPr>
      <w:spacing w:after="240"/>
      <w:jc w:val="center"/>
    </w:pPr>
    <w:rPr>
      <w:sz w:val="28"/>
    </w:rPr>
  </w:style>
  <w:style w:type="paragraph" w:customStyle="1" w:styleId="DecHCase">
    <w:name w:val="Dec_H_Case"/>
    <w:basedOn w:val="DecHTitle"/>
    <w:next w:val="JuPara"/>
    <w:rsid w:val="008A3CED"/>
    <w:rPr>
      <w:sz w:val="24"/>
    </w:rPr>
  </w:style>
  <w:style w:type="paragraph" w:customStyle="1" w:styleId="DecList">
    <w:name w:val="Dec_List"/>
    <w:basedOn w:val="Normal"/>
    <w:rsid w:val="008A3CED"/>
    <w:pPr>
      <w:spacing w:before="240"/>
      <w:ind w:left="284"/>
      <w:jc w:val="both"/>
    </w:pPr>
  </w:style>
  <w:style w:type="paragraph" w:customStyle="1" w:styleId="JuParaSub">
    <w:name w:val="Ju_Para_Sub"/>
    <w:basedOn w:val="JuPara"/>
    <w:rsid w:val="008A3CED"/>
    <w:pPr>
      <w:ind w:left="284"/>
    </w:pPr>
    <w:rPr>
      <w:szCs w:val="24"/>
    </w:rPr>
  </w:style>
  <w:style w:type="paragraph" w:customStyle="1" w:styleId="JuQuotSub">
    <w:name w:val="Ju_Quot_Sub"/>
    <w:basedOn w:val="JuQuot"/>
    <w:rsid w:val="008A3CED"/>
    <w:pPr>
      <w:ind w:left="567"/>
    </w:pPr>
  </w:style>
  <w:style w:type="paragraph" w:customStyle="1" w:styleId="PJuPara">
    <w:name w:val="P_Ju_Para"/>
    <w:basedOn w:val="Normal"/>
    <w:rsid w:val="008A3CED"/>
    <w:pPr>
      <w:ind w:firstLine="284"/>
      <w:jc w:val="both"/>
    </w:pPr>
  </w:style>
  <w:style w:type="paragraph" w:customStyle="1" w:styleId="PJuQuot">
    <w:name w:val="P_Ju_Quot"/>
    <w:basedOn w:val="Normal"/>
    <w:rsid w:val="008A3CED"/>
    <w:pPr>
      <w:spacing w:before="120" w:after="120"/>
      <w:ind w:left="403" w:firstLine="176"/>
      <w:jc w:val="both"/>
    </w:pPr>
    <w:rPr>
      <w:sz w:val="20"/>
    </w:rPr>
  </w:style>
  <w:style w:type="paragraph" w:customStyle="1" w:styleId="OpiHA">
    <w:name w:val="Opi_H_A"/>
    <w:basedOn w:val="JuHIRoman"/>
    <w:next w:val="OpiPara"/>
    <w:rsid w:val="008A3CED"/>
    <w:pPr>
      <w:tabs>
        <w:tab w:val="clear" w:pos="357"/>
      </w:tabs>
    </w:pPr>
    <w:rPr>
      <w:b/>
    </w:rPr>
  </w:style>
  <w:style w:type="paragraph" w:customStyle="1" w:styleId="OpiH1">
    <w:name w:val="Opi_H_1."/>
    <w:basedOn w:val="OpiHA"/>
    <w:next w:val="OpiPara"/>
    <w:rsid w:val="008A3CED"/>
    <w:pPr>
      <w:spacing w:before="240" w:after="120"/>
      <w:ind w:left="635"/>
    </w:pPr>
    <w:rPr>
      <w:b w:val="0"/>
      <w:i/>
    </w:rPr>
  </w:style>
  <w:style w:type="paragraph" w:customStyle="1" w:styleId="OpiHa0">
    <w:name w:val="Opi_H_a"/>
    <w:basedOn w:val="OpiH1"/>
    <w:next w:val="OpiPara"/>
    <w:rsid w:val="008A3CED"/>
    <w:pPr>
      <w:ind w:left="834"/>
    </w:pPr>
    <w:rPr>
      <w:b/>
      <w:i w:val="0"/>
      <w:sz w:val="20"/>
    </w:rPr>
  </w:style>
  <w:style w:type="paragraph" w:customStyle="1" w:styleId="OpiHi">
    <w:name w:val="Opi_H_i"/>
    <w:basedOn w:val="OpiHa0"/>
    <w:next w:val="OpiPara"/>
    <w:rsid w:val="008A3CED"/>
    <w:pPr>
      <w:ind w:left="1038"/>
    </w:pPr>
    <w:rPr>
      <w:b w:val="0"/>
      <w:i/>
    </w:rPr>
  </w:style>
  <w:style w:type="paragraph" w:customStyle="1" w:styleId="PListArticleSubject">
    <w:name w:val="P_List_ArticleSubject"/>
    <w:basedOn w:val="Normal"/>
    <w:rsid w:val="008A3CED"/>
    <w:pPr>
      <w:tabs>
        <w:tab w:val="left" w:pos="2977"/>
      </w:tabs>
      <w:ind w:left="2977" w:hanging="2977"/>
    </w:pPr>
  </w:style>
  <w:style w:type="paragraph" w:customStyle="1" w:styleId="OpiQuot">
    <w:name w:val="Opi_Quot"/>
    <w:basedOn w:val="JuQuot"/>
    <w:rsid w:val="008A3CED"/>
  </w:style>
  <w:style w:type="paragraph" w:customStyle="1" w:styleId="SuCoverTitle1">
    <w:name w:val="Su_Cover_Title1"/>
    <w:basedOn w:val="Normal"/>
    <w:next w:val="SuCoverTitle2"/>
    <w:rsid w:val="008A3CED"/>
    <w:pPr>
      <w:spacing w:before="2500"/>
      <w:jc w:val="center"/>
    </w:pPr>
    <w:rPr>
      <w:sz w:val="22"/>
    </w:rPr>
  </w:style>
  <w:style w:type="paragraph" w:customStyle="1" w:styleId="SuCoverTitle2">
    <w:name w:val="Su_Cover_Title2"/>
    <w:basedOn w:val="SuCoverTitle1"/>
    <w:next w:val="Normal"/>
    <w:rsid w:val="008A3CED"/>
    <w:pPr>
      <w:spacing w:before="240"/>
    </w:pPr>
    <w:rPr>
      <w:sz w:val="18"/>
    </w:rPr>
  </w:style>
  <w:style w:type="paragraph" w:customStyle="1" w:styleId="SuPara">
    <w:name w:val="Su_Para"/>
    <w:basedOn w:val="SuKeywords"/>
    <w:rsid w:val="008A3CED"/>
    <w:pPr>
      <w:spacing w:before="0" w:after="0"/>
    </w:pPr>
    <w:rPr>
      <w:i w:val="0"/>
    </w:rPr>
  </w:style>
  <w:style w:type="paragraph" w:customStyle="1" w:styleId="SuKeywords">
    <w:name w:val="Su_Keywords"/>
    <w:basedOn w:val="SuHHead"/>
    <w:rsid w:val="008A3CED"/>
    <w:pPr>
      <w:spacing w:before="120"/>
    </w:pPr>
    <w:rPr>
      <w:b w:val="0"/>
      <w:i/>
    </w:rPr>
  </w:style>
  <w:style w:type="paragraph" w:customStyle="1" w:styleId="SuHHead">
    <w:name w:val="Su_H_Head"/>
    <w:basedOn w:val="SuSubject"/>
    <w:rsid w:val="008A3CED"/>
    <w:pPr>
      <w:spacing w:after="120"/>
    </w:pPr>
  </w:style>
  <w:style w:type="paragraph" w:customStyle="1" w:styleId="SuSubject">
    <w:name w:val="Su_Subject"/>
    <w:basedOn w:val="SuSummary"/>
    <w:rsid w:val="008A3CED"/>
    <w:pPr>
      <w:spacing w:before="360"/>
      <w:jc w:val="both"/>
    </w:pPr>
    <w:rPr>
      <w:b/>
      <w:sz w:val="22"/>
    </w:rPr>
  </w:style>
  <w:style w:type="paragraph" w:customStyle="1" w:styleId="SuSummary">
    <w:name w:val="Su_Summary"/>
    <w:basedOn w:val="Normal"/>
    <w:next w:val="SuSubject"/>
    <w:rsid w:val="008A3CED"/>
    <w:pPr>
      <w:spacing w:after="240"/>
      <w:jc w:val="center"/>
    </w:pPr>
  </w:style>
  <w:style w:type="paragraph" w:customStyle="1" w:styleId="PListCaseNo">
    <w:name w:val="P_List_CaseNo"/>
    <w:basedOn w:val="Normal"/>
    <w:rsid w:val="008A3CED"/>
    <w:pPr>
      <w:tabs>
        <w:tab w:val="left" w:pos="1276"/>
      </w:tabs>
      <w:spacing w:line="288" w:lineRule="auto"/>
      <w:ind w:left="1276" w:hanging="1276"/>
    </w:pPr>
  </w:style>
  <w:style w:type="paragraph" w:customStyle="1" w:styleId="PListCases">
    <w:name w:val="P_List_Cases"/>
    <w:basedOn w:val="Normal"/>
    <w:rsid w:val="008A3CED"/>
    <w:pPr>
      <w:spacing w:line="288" w:lineRule="auto"/>
    </w:pPr>
  </w:style>
  <w:style w:type="paragraph" w:customStyle="1" w:styleId="PTextIntro">
    <w:name w:val="P_Text_Intro"/>
    <w:basedOn w:val="Normal"/>
    <w:rsid w:val="008A3CED"/>
    <w:pPr>
      <w:jc w:val="both"/>
    </w:pPr>
    <w:rPr>
      <w:i/>
      <w:sz w:val="20"/>
    </w:rPr>
  </w:style>
  <w:style w:type="paragraph" w:customStyle="1" w:styleId="PTitleCover">
    <w:name w:val="P_Title_Cover"/>
    <w:basedOn w:val="Normal"/>
    <w:rsid w:val="008A3CED"/>
    <w:pPr>
      <w:spacing w:before="2500"/>
      <w:jc w:val="center"/>
    </w:pPr>
    <w:rPr>
      <w:b/>
      <w:smallCaps/>
      <w:sz w:val="30"/>
    </w:rPr>
  </w:style>
  <w:style w:type="paragraph" w:customStyle="1" w:styleId="PTitle1Alpha">
    <w:name w:val="P_Title1_Alpha"/>
    <w:basedOn w:val="Normal"/>
    <w:next w:val="Normal"/>
    <w:rsid w:val="008A3CED"/>
    <w:pPr>
      <w:spacing w:after="120"/>
      <w:jc w:val="center"/>
    </w:pPr>
    <w:rPr>
      <w:b/>
      <w:smallCaps/>
      <w:sz w:val="30"/>
    </w:rPr>
  </w:style>
  <w:style w:type="paragraph" w:customStyle="1" w:styleId="PTitle1IndexArticle">
    <w:name w:val="P_Title1_IndexArticle"/>
    <w:basedOn w:val="Normal"/>
    <w:rsid w:val="008A3CED"/>
    <w:pPr>
      <w:spacing w:after="120"/>
      <w:jc w:val="center"/>
    </w:pPr>
    <w:rPr>
      <w:b/>
      <w:smallCaps/>
      <w:sz w:val="30"/>
    </w:rPr>
  </w:style>
  <w:style w:type="paragraph" w:customStyle="1" w:styleId="PTitle1IndexKey">
    <w:name w:val="P_Title1_IndexKey"/>
    <w:basedOn w:val="Normal"/>
    <w:rsid w:val="008A3CED"/>
    <w:pPr>
      <w:spacing w:after="600"/>
      <w:jc w:val="center"/>
    </w:pPr>
    <w:rPr>
      <w:b/>
      <w:smallCaps/>
      <w:sz w:val="30"/>
    </w:rPr>
  </w:style>
  <w:style w:type="paragraph" w:customStyle="1" w:styleId="PTitle1Num">
    <w:name w:val="P_Title1_Num"/>
    <w:basedOn w:val="Normal"/>
    <w:next w:val="PListCaseNo"/>
    <w:rsid w:val="008A3CED"/>
    <w:pPr>
      <w:spacing w:after="720"/>
      <w:jc w:val="center"/>
    </w:pPr>
    <w:rPr>
      <w:b/>
      <w:smallCaps/>
      <w:sz w:val="30"/>
    </w:rPr>
  </w:style>
  <w:style w:type="paragraph" w:customStyle="1" w:styleId="PTitle2Country">
    <w:name w:val="P_Title2_Country"/>
    <w:basedOn w:val="Normal"/>
    <w:next w:val="PListCases"/>
    <w:rsid w:val="008A3CED"/>
    <w:pPr>
      <w:keepNext/>
      <w:keepLines/>
      <w:spacing w:before="600" w:after="360"/>
    </w:pPr>
    <w:rPr>
      <w:b/>
    </w:rPr>
  </w:style>
  <w:style w:type="paragraph" w:customStyle="1" w:styleId="PTitle2Letters">
    <w:name w:val="P_Title2_Letters"/>
    <w:basedOn w:val="Normal"/>
    <w:next w:val="PListCases"/>
    <w:rsid w:val="008A3CED"/>
    <w:pPr>
      <w:keepNext/>
      <w:keepLines/>
      <w:spacing w:before="600" w:after="360"/>
    </w:pPr>
    <w:rPr>
      <w:b/>
      <w:sz w:val="28"/>
    </w:rPr>
  </w:style>
  <w:style w:type="paragraph" w:customStyle="1" w:styleId="PTitle2Part">
    <w:name w:val="P_Title2_Part"/>
    <w:basedOn w:val="Normal"/>
    <w:rsid w:val="008A3CED"/>
    <w:pPr>
      <w:keepNext/>
      <w:keepLines/>
      <w:spacing w:before="600" w:after="240"/>
      <w:jc w:val="center"/>
    </w:pPr>
    <w:rPr>
      <w:b/>
      <w:caps/>
    </w:rPr>
  </w:style>
  <w:style w:type="paragraph" w:customStyle="1" w:styleId="PTitle3Article">
    <w:name w:val="P_Title3_Article"/>
    <w:basedOn w:val="Normal"/>
    <w:rsid w:val="008A3CED"/>
    <w:pPr>
      <w:keepNext/>
      <w:keepLines/>
      <w:spacing w:before="360" w:after="120"/>
      <w:jc w:val="center"/>
    </w:pPr>
    <w:rPr>
      <w:b/>
      <w:smallCaps/>
      <w:sz w:val="22"/>
    </w:rPr>
  </w:style>
  <w:style w:type="paragraph" w:customStyle="1" w:styleId="PTitle4ArticleSub">
    <w:name w:val="P_Title4_Article_Sub"/>
    <w:basedOn w:val="PTitle3Article"/>
    <w:rsid w:val="008A3CED"/>
    <w:pPr>
      <w:spacing w:before="240"/>
    </w:pPr>
    <w:rPr>
      <w:smallCaps w:val="0"/>
      <w:sz w:val="20"/>
    </w:rPr>
  </w:style>
  <w:style w:type="paragraph" w:customStyle="1" w:styleId="PTitle5Subject">
    <w:name w:val="P_Title5_Subject"/>
    <w:basedOn w:val="Normal"/>
    <w:rsid w:val="008A3CED"/>
    <w:pPr>
      <w:keepNext/>
      <w:keepLines/>
      <w:spacing w:before="240" w:after="120"/>
      <w:jc w:val="both"/>
    </w:pPr>
    <w:rPr>
      <w:b/>
      <w:i/>
    </w:rPr>
  </w:style>
  <w:style w:type="paragraph" w:customStyle="1" w:styleId="PTitle6SubjectSub">
    <w:name w:val="P_Title6_Subject_Sub"/>
    <w:basedOn w:val="Normal"/>
    <w:rsid w:val="008A3CED"/>
    <w:pPr>
      <w:keepNext/>
      <w:keepLines/>
      <w:spacing w:before="240" w:after="120"/>
      <w:ind w:left="284"/>
      <w:jc w:val="both"/>
    </w:pPr>
    <w:rPr>
      <w:b/>
      <w:sz w:val="20"/>
    </w:rPr>
  </w:style>
  <w:style w:type="paragraph" w:customStyle="1" w:styleId="PTitle7CaseName">
    <w:name w:val="P_Title7_CaseName"/>
    <w:basedOn w:val="Normal"/>
    <w:rsid w:val="008A3CED"/>
    <w:pPr>
      <w:keepLines/>
      <w:spacing w:after="240"/>
      <w:jc w:val="right"/>
    </w:pPr>
    <w:rPr>
      <w:sz w:val="22"/>
    </w:rPr>
  </w:style>
  <w:style w:type="paragraph" w:customStyle="1" w:styleId="OpiParaSub">
    <w:name w:val="Opi_Para_Sub"/>
    <w:basedOn w:val="JuParaSub"/>
    <w:rsid w:val="008A3CED"/>
  </w:style>
  <w:style w:type="paragraph" w:customStyle="1" w:styleId="OpiQuotSub">
    <w:name w:val="Opi_Quot_Sub"/>
    <w:basedOn w:val="JuQuotSub"/>
    <w:rsid w:val="008A3CED"/>
  </w:style>
  <w:style w:type="paragraph" w:customStyle="1" w:styleId="NormalJustified">
    <w:name w:val="Normal_Justified"/>
    <w:basedOn w:val="Normal"/>
    <w:rsid w:val="008A3CED"/>
    <w:pPr>
      <w:jc w:val="both"/>
    </w:pPr>
  </w:style>
  <w:style w:type="character" w:styleId="Hyperlink">
    <w:name w:val="Hyperlink"/>
    <w:basedOn w:val="DefaultParagraphFont"/>
    <w:rsid w:val="008A3CED"/>
    <w:rPr>
      <w:color w:val="0000FF"/>
      <w:u w:val="single"/>
    </w:rPr>
  </w:style>
  <w:style w:type="character" w:customStyle="1" w:styleId="ju-005fpara-002cleft-002cfirst-0020line-003a-0020-00200-0020cm--char">
    <w:name w:val="ju-005fpara-002cleft-002cfirst-0020line-003a-0020-00200-0020cm--char"/>
    <w:basedOn w:val="DefaultParagraphFont"/>
    <w:rsid w:val="008A3CED"/>
  </w:style>
  <w:style w:type="paragraph" w:styleId="HTMLPreformatted">
    <w:name w:val="HTML Preformatted"/>
    <w:basedOn w:val="Normal"/>
    <w:rsid w:val="008A3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eastAsia="en-GB"/>
    </w:rPr>
  </w:style>
  <w:style w:type="character" w:customStyle="1" w:styleId="normal--char">
    <w:name w:val="normal--char"/>
    <w:basedOn w:val="DefaultParagraphFont"/>
    <w:rsid w:val="008A3CED"/>
  </w:style>
  <w:style w:type="character" w:customStyle="1" w:styleId="ju-005fpara--char">
    <w:name w:val="ju-005fpara--char"/>
    <w:basedOn w:val="DefaultParagraphFont"/>
    <w:rsid w:val="008A3CED"/>
  </w:style>
  <w:style w:type="character" w:customStyle="1" w:styleId="ju----005fpara--------char----char--char">
    <w:name w:val="ju----005fpara--------char----char--char"/>
    <w:basedOn w:val="DefaultParagraphFont"/>
    <w:rsid w:val="008A3CED"/>
  </w:style>
  <w:style w:type="character" w:customStyle="1" w:styleId="ju--005fpara----char--char">
    <w:name w:val="ju--005fpara----char--char"/>
    <w:basedOn w:val="DefaultParagraphFont"/>
    <w:rsid w:val="008A3CED"/>
  </w:style>
  <w:style w:type="character" w:customStyle="1" w:styleId="ju--005fpara--0020char--0020char----char--char">
    <w:name w:val="ju--005fpara--0020char--0020char----char--char"/>
    <w:basedOn w:val="DefaultParagraphFont"/>
    <w:rsid w:val="008A3CED"/>
  </w:style>
  <w:style w:type="paragraph" w:customStyle="1" w:styleId="jupara0">
    <w:name w:val="jupara"/>
    <w:basedOn w:val="Normal"/>
    <w:rsid w:val="008A3CED"/>
    <w:pPr>
      <w:suppressAutoHyphens w:val="0"/>
      <w:spacing w:before="100" w:beforeAutospacing="1" w:after="100" w:afterAutospacing="1"/>
    </w:pPr>
    <w:rPr>
      <w:szCs w:val="24"/>
      <w:lang w:eastAsia="en-GB"/>
    </w:rPr>
  </w:style>
  <w:style w:type="paragraph" w:customStyle="1" w:styleId="ju-005fh-005fa">
    <w:name w:val="ju-005fh-005fa"/>
    <w:basedOn w:val="Normal"/>
    <w:rsid w:val="008A3CED"/>
    <w:pPr>
      <w:suppressAutoHyphens w:val="0"/>
      <w:spacing w:before="100" w:beforeAutospacing="1" w:after="100" w:afterAutospacing="1"/>
    </w:pPr>
    <w:rPr>
      <w:szCs w:val="24"/>
      <w:lang w:eastAsia="en-GB"/>
    </w:rPr>
  </w:style>
  <w:style w:type="paragraph" w:styleId="NormalWeb">
    <w:name w:val="Normal (Web)"/>
    <w:basedOn w:val="Normal"/>
    <w:rsid w:val="008A3CED"/>
    <w:pPr>
      <w:suppressAutoHyphens w:val="0"/>
      <w:spacing w:before="100" w:beforeAutospacing="1" w:after="100" w:afterAutospacing="1"/>
    </w:pPr>
    <w:rPr>
      <w:rFonts w:ascii="Verdana" w:hAnsi="Verdana"/>
      <w:color w:val="000000"/>
      <w:sz w:val="29"/>
      <w:szCs w:val="29"/>
      <w:lang w:eastAsia="en-GB"/>
    </w:rPr>
  </w:style>
  <w:style w:type="paragraph" w:customStyle="1" w:styleId="ju-005fpara-002cleft-002cfirst-0020line-003a-0020-00200-0020cm">
    <w:name w:val="ju-005fpara-002cleft-002cfirst-0020line-003a-0020-00200-0020cm"/>
    <w:basedOn w:val="Normal"/>
    <w:rsid w:val="008A3CED"/>
    <w:pPr>
      <w:suppressAutoHyphens w:val="0"/>
      <w:spacing w:before="100" w:beforeAutospacing="1" w:after="100" w:afterAutospacing="1"/>
    </w:pPr>
    <w:rPr>
      <w:szCs w:val="24"/>
      <w:lang w:eastAsia="en-GB"/>
    </w:rPr>
  </w:style>
  <w:style w:type="paragraph" w:customStyle="1" w:styleId="ju-005fpara">
    <w:name w:val="ju-005fpara"/>
    <w:basedOn w:val="Normal"/>
    <w:rsid w:val="008A3CED"/>
    <w:pPr>
      <w:suppressAutoHyphens w:val="0"/>
      <w:spacing w:before="100" w:beforeAutospacing="1" w:after="100" w:afterAutospacing="1"/>
    </w:pPr>
    <w:rPr>
      <w:szCs w:val="24"/>
      <w:lang w:eastAsia="en-GB"/>
    </w:rPr>
  </w:style>
  <w:style w:type="character" w:styleId="Strong">
    <w:name w:val="Strong"/>
    <w:basedOn w:val="DefaultParagraphFont"/>
    <w:qFormat/>
    <w:rsid w:val="008A3CED"/>
    <w:rPr>
      <w:b/>
      <w:bCs/>
    </w:rPr>
  </w:style>
  <w:style w:type="character" w:customStyle="1" w:styleId="JuParaChar">
    <w:name w:val="Ju_Para Char"/>
    <w:basedOn w:val="DefaultParagraphFont"/>
    <w:rsid w:val="008A3CED"/>
    <w:rPr>
      <w:sz w:val="24"/>
      <w:lang w:val="en-GB" w:eastAsia="fr-FR" w:bidi="ar-SA"/>
    </w:rPr>
  </w:style>
  <w:style w:type="paragraph" w:styleId="BalloonText">
    <w:name w:val="Balloon Text"/>
    <w:basedOn w:val="Normal"/>
    <w:semiHidden/>
    <w:rsid w:val="007E1B8F"/>
    <w:rPr>
      <w:rFonts w:ascii="Tahoma" w:hAnsi="Tahoma" w:cs="Tahoma"/>
      <w:sz w:val="16"/>
      <w:szCs w:val="16"/>
    </w:rPr>
  </w:style>
  <w:style w:type="table" w:styleId="TableGrid">
    <w:name w:val="Table Grid"/>
    <w:basedOn w:val="TableNormal"/>
    <w:rsid w:val="00BC485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6838</Words>
  <Characters>38978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SEKSIONI I KATERT</vt:lpstr>
    </vt:vector>
  </TitlesOfParts>
  <Company/>
  <LinksUpToDate>false</LinksUpToDate>
  <CharactersWithSpaces>45725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KATERT</dc:title>
  <dc:subject/>
  <dc:creator>n.fagu</dc:creator>
  <cp:keywords/>
  <dc:description/>
  <cp:lastModifiedBy>Jonida Resulaj</cp:lastModifiedBy>
  <cp:revision>2</cp:revision>
  <cp:lastPrinted>2010-05-20T09:00:00Z</cp:lastPrinted>
  <dcterms:created xsi:type="dcterms:W3CDTF">2019-05-22T10:10:00Z</dcterms:created>
  <dcterms:modified xsi:type="dcterms:W3CDTF">2019-05-22T10:10:00Z</dcterms:modified>
</cp:coreProperties>
</file>