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CA2" w:rsidRPr="0070154F" w:rsidRDefault="00E76CA2" w:rsidP="008059D5">
      <w:pPr>
        <w:pStyle w:val="Akti"/>
        <w:rPr>
          <w:lang w:val="it-IT"/>
        </w:rPr>
      </w:pPr>
      <w:bookmarkStart w:id="0" w:name="_GoBack"/>
      <w:bookmarkEnd w:id="0"/>
      <w:r w:rsidRPr="0070154F">
        <w:rPr>
          <w:lang w:val="it-IT"/>
        </w:rPr>
        <w:t>VENDIM</w:t>
      </w:r>
    </w:p>
    <w:p w:rsidR="00E76CA2" w:rsidRPr="0070154F" w:rsidRDefault="00E76CA2" w:rsidP="008059D5">
      <w:pPr>
        <w:pStyle w:val="Titulli0"/>
        <w:rPr>
          <w:lang w:val="it-IT"/>
        </w:rPr>
      </w:pPr>
      <w:r w:rsidRPr="0070154F">
        <w:rPr>
          <w:lang w:val="it-IT"/>
        </w:rPr>
        <w:t xml:space="preserve">MBI PRANUESHMËRINË </w:t>
      </w:r>
    </w:p>
    <w:p w:rsidR="00E76CA2" w:rsidRPr="0070154F" w:rsidRDefault="005E6D7A" w:rsidP="008059D5">
      <w:pPr>
        <w:pStyle w:val="Paragrafi0"/>
        <w:ind w:firstLine="0"/>
        <w:jc w:val="center"/>
        <w:rPr>
          <w:lang w:val="it-IT"/>
        </w:rPr>
      </w:pPr>
      <w:r>
        <w:rPr>
          <w:lang w:val="it-IT"/>
        </w:rPr>
        <w:t>(seksioni i katë</w:t>
      </w:r>
      <w:r w:rsidR="00F74708">
        <w:rPr>
          <w:lang w:val="it-IT"/>
        </w:rPr>
        <w:t>rt)</w:t>
      </w:r>
    </w:p>
    <w:p w:rsidR="00E76CA2" w:rsidRPr="0070154F" w:rsidRDefault="00E76CA2" w:rsidP="008059D5">
      <w:pPr>
        <w:pStyle w:val="Paragrafi0"/>
        <w:ind w:firstLine="0"/>
        <w:jc w:val="center"/>
      </w:pPr>
      <w:r w:rsidRPr="0070154F">
        <w:t>Ankimet nr. 11546/05, 33285/05 dhe 33288/05</w:t>
      </w:r>
    </w:p>
    <w:p w:rsidR="00E76CA2" w:rsidRPr="0070154F" w:rsidRDefault="005E6D7A" w:rsidP="008059D5">
      <w:pPr>
        <w:pStyle w:val="Paragrafi0"/>
        <w:ind w:firstLine="0"/>
        <w:jc w:val="center"/>
      </w:pPr>
      <w:r>
        <w:t>Nga z</w:t>
      </w:r>
      <w:r w:rsidR="00E76CA2" w:rsidRPr="0070154F">
        <w:t xml:space="preserve">. Vezir </w:t>
      </w:r>
      <w:r w:rsidR="003D2AED" w:rsidRPr="0070154F">
        <w:t>Plepi</w:t>
      </w:r>
      <w:r w:rsidR="00E76CA2" w:rsidRPr="0070154F">
        <w:t xml:space="preserve">, </w:t>
      </w:r>
      <w:r w:rsidR="00382000" w:rsidRPr="0070154F">
        <w:t>znj</w:t>
      </w:r>
      <w:r w:rsidR="00E76CA2" w:rsidRPr="0070154F">
        <w:t xml:space="preserve">. Fersilet Plepi dhe </w:t>
      </w:r>
      <w:r w:rsidR="00382000" w:rsidRPr="0070154F">
        <w:t>znj</w:t>
      </w:r>
      <w:r w:rsidR="00E76CA2" w:rsidRPr="0070154F">
        <w:t>. Miaftoni Zeka</w:t>
      </w:r>
    </w:p>
    <w:p w:rsidR="00E76CA2" w:rsidRPr="0070154F" w:rsidRDefault="00E76CA2" w:rsidP="008059D5">
      <w:pPr>
        <w:pStyle w:val="Paragrafi0"/>
        <w:ind w:firstLine="0"/>
        <w:jc w:val="center"/>
      </w:pPr>
      <w:r w:rsidRPr="0070154F">
        <w:t>kundër Shqipërisë dhe Greqisë</w:t>
      </w:r>
    </w:p>
    <w:p w:rsidR="00E76CA2" w:rsidRPr="0070154F" w:rsidRDefault="00E76CA2" w:rsidP="00E76CA2">
      <w:pPr>
        <w:pStyle w:val="Paragrafi0"/>
      </w:pPr>
    </w:p>
    <w:p w:rsidR="00E76CA2" w:rsidRPr="0070154F" w:rsidRDefault="00E76CA2" w:rsidP="00E76CA2">
      <w:pPr>
        <w:pStyle w:val="Paragrafi0"/>
      </w:pPr>
      <w:r w:rsidRPr="0070154F">
        <w:t>Gjykata Europiane e të Drejtave të Njeriut (</w:t>
      </w:r>
      <w:r w:rsidR="00AD3F7A" w:rsidRPr="0070154F">
        <w:t xml:space="preserve">seksioni </w:t>
      </w:r>
      <w:r w:rsidRPr="0070154F">
        <w:t xml:space="preserve">i </w:t>
      </w:r>
      <w:r w:rsidR="00AD3F7A" w:rsidRPr="0070154F">
        <w:t>katërt</w:t>
      </w:r>
      <w:r w:rsidRPr="0070154F">
        <w:t xml:space="preserve">), duke gjykuar si </w:t>
      </w:r>
      <w:r w:rsidR="00F74708" w:rsidRPr="0070154F">
        <w:t xml:space="preserve">dhomë </w:t>
      </w:r>
      <w:r w:rsidRPr="0070154F">
        <w:t>e  përbërë nga:</w:t>
      </w:r>
    </w:p>
    <w:p w:rsidR="00E76CA2" w:rsidRDefault="00E76CA2" w:rsidP="00E76CA2">
      <w:pPr>
        <w:pStyle w:val="Paragrafi0"/>
      </w:pPr>
      <w:r w:rsidRPr="0070154F">
        <w:t>Nicolas Bratza, Kryetar,</w:t>
      </w:r>
    </w:p>
    <w:p w:rsidR="00E76CA2" w:rsidRPr="0028295D" w:rsidRDefault="00E76CA2" w:rsidP="00E76CA2">
      <w:pPr>
        <w:pStyle w:val="Paragrafi0"/>
        <w:rPr>
          <w:lang w:val="it-IT"/>
        </w:rPr>
      </w:pPr>
      <w:r w:rsidRPr="0028295D">
        <w:rPr>
          <w:lang w:val="it-IT"/>
        </w:rPr>
        <w:t>Christos Rozakis,</w:t>
      </w:r>
    </w:p>
    <w:p w:rsidR="00E76CA2" w:rsidRPr="0028295D" w:rsidRDefault="00E76CA2" w:rsidP="00E76CA2">
      <w:pPr>
        <w:pStyle w:val="Paragrafi0"/>
        <w:rPr>
          <w:lang w:val="it-IT"/>
        </w:rPr>
      </w:pPr>
      <w:r w:rsidRPr="0028295D">
        <w:rPr>
          <w:lang w:val="it-IT"/>
        </w:rPr>
        <w:t>Giovanni Bonello,</w:t>
      </w:r>
    </w:p>
    <w:p w:rsidR="00E76CA2" w:rsidRPr="0028295D" w:rsidRDefault="00E76CA2" w:rsidP="00E76CA2">
      <w:pPr>
        <w:pStyle w:val="Paragrafi0"/>
        <w:rPr>
          <w:lang w:val="it-IT"/>
        </w:rPr>
      </w:pPr>
      <w:r w:rsidRPr="0028295D">
        <w:rPr>
          <w:lang w:val="it-IT"/>
        </w:rPr>
        <w:t>Ljiljana Mijović,</w:t>
      </w:r>
    </w:p>
    <w:p w:rsidR="00E76CA2" w:rsidRPr="003B79F2" w:rsidRDefault="00E76CA2" w:rsidP="00E76CA2">
      <w:pPr>
        <w:pStyle w:val="Paragrafi0"/>
        <w:rPr>
          <w:lang w:val="it-IT"/>
        </w:rPr>
      </w:pPr>
      <w:r w:rsidRPr="003B79F2">
        <w:rPr>
          <w:lang w:val="it-IT"/>
        </w:rPr>
        <w:t>Päivi Hirvelä,</w:t>
      </w:r>
    </w:p>
    <w:p w:rsidR="00E76CA2" w:rsidRPr="003B79F2" w:rsidRDefault="00E76CA2" w:rsidP="00E76CA2">
      <w:pPr>
        <w:pStyle w:val="Paragrafi0"/>
        <w:rPr>
          <w:lang w:val="it-IT"/>
        </w:rPr>
      </w:pPr>
      <w:r w:rsidRPr="003B79F2">
        <w:rPr>
          <w:lang w:val="it-IT"/>
        </w:rPr>
        <w:t>Ledi Bianku,</w:t>
      </w:r>
    </w:p>
    <w:p w:rsidR="00E76CA2" w:rsidRPr="003B79F2" w:rsidRDefault="00E76CA2" w:rsidP="00E76CA2">
      <w:pPr>
        <w:pStyle w:val="Paragrafi0"/>
        <w:rPr>
          <w:lang w:val="it-IT"/>
        </w:rPr>
      </w:pPr>
      <w:r w:rsidRPr="003B79F2">
        <w:rPr>
          <w:lang w:val="it-IT"/>
        </w:rPr>
        <w:t>Nebojša Vučinić, gjykatës,</w:t>
      </w:r>
    </w:p>
    <w:p w:rsidR="00E76CA2" w:rsidRPr="00371080" w:rsidRDefault="00E76CA2" w:rsidP="00E76CA2">
      <w:pPr>
        <w:pStyle w:val="Paragrafi0"/>
        <w:rPr>
          <w:lang w:val="it-IT"/>
        </w:rPr>
      </w:pPr>
      <w:r w:rsidRPr="00371080">
        <w:rPr>
          <w:lang w:val="it-IT"/>
        </w:rPr>
        <w:t xml:space="preserve">dhe Fatoş Aracı, </w:t>
      </w:r>
      <w:r w:rsidR="00F74708">
        <w:rPr>
          <w:lang w:val="it-IT"/>
        </w:rPr>
        <w:t>zëvendës</w:t>
      </w:r>
      <w:r w:rsidR="00AD3F7A" w:rsidRPr="00371080">
        <w:rPr>
          <w:lang w:val="it-IT"/>
        </w:rPr>
        <w:t xml:space="preserve">regjistrues </w:t>
      </w:r>
      <w:r w:rsidRPr="00371080">
        <w:rPr>
          <w:lang w:val="it-IT"/>
        </w:rPr>
        <w:t xml:space="preserve">i </w:t>
      </w:r>
      <w:r w:rsidR="00F74708" w:rsidRPr="00371080">
        <w:rPr>
          <w:lang w:val="it-IT"/>
        </w:rPr>
        <w:t>seksionit</w:t>
      </w:r>
      <w:r w:rsidRPr="00371080">
        <w:rPr>
          <w:lang w:val="it-IT"/>
        </w:rPr>
        <w:t>,</w:t>
      </w:r>
    </w:p>
    <w:p w:rsidR="00E76CA2" w:rsidRPr="00371080" w:rsidRDefault="00E76CA2" w:rsidP="00E76CA2">
      <w:pPr>
        <w:pStyle w:val="Paragrafi0"/>
        <w:rPr>
          <w:lang w:val="it-IT"/>
        </w:rPr>
      </w:pPr>
      <w:r w:rsidRPr="00371080">
        <w:rPr>
          <w:lang w:val="it-IT"/>
        </w:rPr>
        <w:t xml:space="preserve">Duke marrë parasysh ankimet e mësipërme të depozituara më 13 dhe 17 </w:t>
      </w:r>
      <w:r w:rsidR="00371080" w:rsidRPr="00371080">
        <w:rPr>
          <w:lang w:val="it-IT"/>
        </w:rPr>
        <w:t xml:space="preserve">mars </w:t>
      </w:r>
      <w:r w:rsidRPr="00371080">
        <w:rPr>
          <w:lang w:val="it-IT"/>
        </w:rPr>
        <w:t>2005,</w:t>
      </w:r>
    </w:p>
    <w:p w:rsidR="00E76CA2" w:rsidRPr="00371080" w:rsidRDefault="00E76CA2" w:rsidP="00E76CA2">
      <w:pPr>
        <w:pStyle w:val="Paragrafi0"/>
        <w:rPr>
          <w:lang w:val="it-IT"/>
        </w:rPr>
      </w:pPr>
      <w:r w:rsidRPr="00371080">
        <w:rPr>
          <w:lang w:val="it-IT"/>
        </w:rPr>
        <w:t xml:space="preserve">Duke marrë parasysh vendimin për të bashkuar ankimet e datës 20 </w:t>
      </w:r>
      <w:r w:rsidR="00371080" w:rsidRPr="00371080">
        <w:rPr>
          <w:lang w:val="it-IT"/>
        </w:rPr>
        <w:t xml:space="preserve">nëntor </w:t>
      </w:r>
      <w:r w:rsidRPr="00371080">
        <w:rPr>
          <w:lang w:val="it-IT"/>
        </w:rPr>
        <w:t>2007,</w:t>
      </w:r>
    </w:p>
    <w:p w:rsidR="00E76CA2" w:rsidRPr="0070154F" w:rsidRDefault="00E76CA2" w:rsidP="00E76CA2">
      <w:pPr>
        <w:pStyle w:val="Paragrafi0"/>
      </w:pPr>
      <w:r w:rsidRPr="0070154F">
        <w:t xml:space="preserve">Duke marrë parasysh vëzhgimet e paraqitura nga </w:t>
      </w:r>
      <w:r w:rsidR="00371080" w:rsidRPr="0070154F">
        <w:t xml:space="preserve">qeveritë </w:t>
      </w:r>
      <w:r w:rsidRPr="0070154F">
        <w:t xml:space="preserve">e paditura dhe vëzhgimet në përgjigje të tyre të paraqitura nga ankuesit, </w:t>
      </w:r>
    </w:p>
    <w:p w:rsidR="00E76CA2" w:rsidRPr="00E76CA2" w:rsidRDefault="00E76CA2" w:rsidP="00E76CA2">
      <w:pPr>
        <w:pStyle w:val="Paragrafi0"/>
        <w:rPr>
          <w:lang w:val="it-IT"/>
        </w:rPr>
      </w:pPr>
      <w:r w:rsidRPr="00E76CA2">
        <w:rPr>
          <w:lang w:val="it-IT"/>
        </w:rPr>
        <w:t>Pas shqyrtimit, vendos si më poshtë:</w:t>
      </w:r>
    </w:p>
    <w:p w:rsidR="00E76CA2" w:rsidRPr="00E76CA2" w:rsidRDefault="00E76CA2" w:rsidP="00E76CA2">
      <w:pPr>
        <w:pStyle w:val="Paragrafi0"/>
        <w:rPr>
          <w:lang w:val="it-IT"/>
        </w:rPr>
      </w:pPr>
    </w:p>
    <w:p w:rsidR="00E76CA2" w:rsidRPr="0070154F" w:rsidRDefault="00E76CA2" w:rsidP="00E76CA2">
      <w:pPr>
        <w:pStyle w:val="Paragrafi0"/>
      </w:pPr>
      <w:r w:rsidRPr="0070154F">
        <w:t>FAKTET</w:t>
      </w:r>
    </w:p>
    <w:p w:rsidR="00E76CA2" w:rsidRPr="0070154F" w:rsidRDefault="00E76CA2" w:rsidP="00E76CA2">
      <w:pPr>
        <w:pStyle w:val="Paragrafi0"/>
      </w:pPr>
      <w:r w:rsidRPr="0070154F">
        <w:t xml:space="preserve">Ankuesit, </w:t>
      </w:r>
      <w:r w:rsidR="00F74708" w:rsidRPr="0070154F">
        <w:t>z</w:t>
      </w:r>
      <w:r w:rsidRPr="0070154F">
        <w:t xml:space="preserve">. Vezir Plepi, </w:t>
      </w:r>
      <w:r w:rsidR="00F74708" w:rsidRPr="0070154F">
        <w:t>znj</w:t>
      </w:r>
      <w:r w:rsidRPr="0070154F">
        <w:t xml:space="preserve">. Fersilet Plepi dhe </w:t>
      </w:r>
      <w:r w:rsidR="00F74708" w:rsidRPr="0070154F">
        <w:t>znj</w:t>
      </w:r>
      <w:r w:rsidRPr="0070154F">
        <w:t xml:space="preserve">. Miaftoni Zeka janë shtetas </w:t>
      </w:r>
      <w:r w:rsidR="00371080" w:rsidRPr="0070154F">
        <w:t>shqiptarë</w:t>
      </w:r>
      <w:r w:rsidRPr="0070154F">
        <w:t xml:space="preserve">, lindur respektivisht në 1957, 1962 dhe 1969 dhe aktualisht janë duke vuajtur dënimin me burgim në Greqi. Ankuesi i parë dhe i dytë janë të martuar dhe ankuesja e tretë është motra e ankueses së dytë. Fëmijët e çiftit jetojnë në Shqipëri qëkur ankuesit janë arrestuar në Greqi. Ankuesit janë përfaqësuar në Gjykatë nga </w:t>
      </w:r>
      <w:r w:rsidR="00F74708" w:rsidRPr="0070154F">
        <w:t>znj</w:t>
      </w:r>
      <w:r w:rsidRPr="0070154F">
        <w:t>. A. Stavri, avokate që ushtron profesionin në Athinë.</w:t>
      </w:r>
    </w:p>
    <w:p w:rsidR="00E76CA2" w:rsidRPr="0070154F" w:rsidRDefault="00E76CA2" w:rsidP="00E76CA2">
      <w:pPr>
        <w:pStyle w:val="Paragrafi0"/>
      </w:pPr>
      <w:r w:rsidRPr="0070154F">
        <w:t xml:space="preserve">Pala Shqiptare është përfaqësuar nga </w:t>
      </w:r>
      <w:r w:rsidR="00371080" w:rsidRPr="0070154F">
        <w:t xml:space="preserve">agjentja </w:t>
      </w:r>
      <w:r w:rsidR="00F74708">
        <w:t>e</w:t>
      </w:r>
      <w:r w:rsidRPr="0070154F">
        <w:t xml:space="preserve"> saj e atëhershme, Znj. S.Meneri. Pala Greke është përfaqësuar nga </w:t>
      </w:r>
      <w:r w:rsidR="00371080" w:rsidRPr="0070154F">
        <w:t xml:space="preserve">agjenti </w:t>
      </w:r>
      <w:r w:rsidRPr="0070154F">
        <w:t xml:space="preserve">i saj i atëhershëm, </w:t>
      </w:r>
      <w:r w:rsidR="00F74708" w:rsidRPr="0070154F">
        <w:t>z</w:t>
      </w:r>
      <w:r w:rsidRPr="0070154F">
        <w:t>. Bakalis, Kryetar i Këshillit Ligjor të Shtetit</w:t>
      </w:r>
      <w:r w:rsidR="00371080">
        <w:t>.</w:t>
      </w:r>
    </w:p>
    <w:p w:rsidR="00E76CA2" w:rsidRPr="0070154F" w:rsidRDefault="00173FD1" w:rsidP="00E76CA2">
      <w:pPr>
        <w:pStyle w:val="Paragrafi0"/>
      </w:pPr>
      <w:r>
        <w:t xml:space="preserve">A. </w:t>
      </w:r>
      <w:r w:rsidR="00E76CA2" w:rsidRPr="0070154F">
        <w:t>Rrethanat e çështjes</w:t>
      </w:r>
    </w:p>
    <w:p w:rsidR="00E76CA2" w:rsidRPr="0070154F" w:rsidRDefault="00E76CA2" w:rsidP="00E76CA2">
      <w:pPr>
        <w:pStyle w:val="Paragrafi0"/>
      </w:pPr>
      <w:r w:rsidRPr="0070154F">
        <w:t>Faktet e çështjes, të parashtruara nga palët, m</w:t>
      </w:r>
      <w:r w:rsidR="00F74708">
        <w:t>und të përmblidhen si më poshtë:</w:t>
      </w:r>
      <w:r w:rsidRPr="0070154F">
        <w:t xml:space="preserve"> </w:t>
      </w:r>
    </w:p>
    <w:p w:rsidR="00E76CA2" w:rsidRPr="0070154F" w:rsidRDefault="00E76CA2" w:rsidP="00E76CA2">
      <w:pPr>
        <w:pStyle w:val="Paragrafi0"/>
      </w:pPr>
      <w:r w:rsidRPr="0070154F">
        <w:t xml:space="preserve">Në një datë të pacaktuar në vitin 1998 ankuesit janë arrestuar në Greqi. </w:t>
      </w:r>
    </w:p>
    <w:p w:rsidR="00E76CA2" w:rsidRPr="0070154F" w:rsidRDefault="00E76CA2" w:rsidP="00E76CA2">
      <w:pPr>
        <w:pStyle w:val="Paragrafi0"/>
      </w:pPr>
      <w:r w:rsidRPr="0070154F">
        <w:t xml:space="preserve">Më 8 </w:t>
      </w:r>
      <w:r w:rsidR="00C4577B" w:rsidRPr="0070154F">
        <w:t xml:space="preserve">shtator </w:t>
      </w:r>
      <w:r w:rsidRPr="0070154F">
        <w:t xml:space="preserve">1998 ankuesit janë akuzuar nga autoritetet </w:t>
      </w:r>
      <w:r w:rsidR="00F74708" w:rsidRPr="0070154F">
        <w:t xml:space="preserve">greke </w:t>
      </w:r>
      <w:r w:rsidRPr="0070154F">
        <w:t xml:space="preserve">për hyrje të paligjshme në territorin </w:t>
      </w:r>
      <w:r w:rsidR="00C4577B" w:rsidRPr="0070154F">
        <w:t>grek</w:t>
      </w:r>
      <w:r w:rsidRPr="0070154F">
        <w:t xml:space="preserve">, krijim dhe pjesëmarrje në një organizatë kriminale dhe trafikim të drogës.  </w:t>
      </w:r>
    </w:p>
    <w:p w:rsidR="00E76CA2" w:rsidRPr="0070154F" w:rsidRDefault="00E76CA2" w:rsidP="00E76CA2">
      <w:pPr>
        <w:pStyle w:val="Paragrafi0"/>
      </w:pPr>
      <w:r w:rsidRPr="0070154F">
        <w:t xml:space="preserve">Më 9 </w:t>
      </w:r>
      <w:r w:rsidR="00C4577B" w:rsidRPr="0070154F">
        <w:t xml:space="preserve">dhjetor </w:t>
      </w:r>
      <w:r w:rsidRPr="0070154F">
        <w:t>1999 Gjykata e Apelit Athinë, duke gjykuar si gjykatë e shkallës së parë me një juri të përbërë nga tre gjyqtarë, i shpalli ankuesit fajtorë dhe i dënoi at</w:t>
      </w:r>
      <w:r w:rsidR="00382000">
        <w:t>a</w:t>
      </w:r>
      <w:r w:rsidRPr="0070154F">
        <w:t xml:space="preserve"> me burgim të përjetshëm</w:t>
      </w:r>
      <w:r w:rsidR="00C4577B">
        <w:t>,</w:t>
      </w:r>
      <w:r w:rsidRPr="0070154F">
        <w:t xml:space="preserve"> si dhe me shlyerjen e një gjobe që arrinte shumën 10 milion</w:t>
      </w:r>
      <w:r w:rsidR="00C4577B">
        <w:t>ë</w:t>
      </w:r>
      <w:r w:rsidRPr="0070154F">
        <w:t xml:space="preserve"> dhrahmi.</w:t>
      </w:r>
    </w:p>
    <w:p w:rsidR="00E76CA2" w:rsidRPr="0070154F" w:rsidRDefault="00E76CA2" w:rsidP="00E76CA2">
      <w:pPr>
        <w:pStyle w:val="Paragrafi0"/>
      </w:pPr>
      <w:r w:rsidRPr="0070154F">
        <w:t>Në një datë të pacaktuar në vitin 2000, meqenëse fëmija i tyre i vogël dhe familja jetonin në Shqipëri, ankuesit depozituan një kërkesë pranë Ministrisë së Drejtësisë së Greqisë sipas Marrëveshjes Bilaterale të vitit 1993 ndërmjet Shqipërisë dhe Greqisë për trans</w:t>
      </w:r>
      <w:r w:rsidR="00382000">
        <w:t>ferimin e personave të dënuar (</w:t>
      </w:r>
      <w:r w:rsidR="00C4577B" w:rsidRPr="0070154F">
        <w:t>marrëveshja bilaterale</w:t>
      </w:r>
      <w:r w:rsidRPr="0070154F">
        <w:t xml:space="preserve">), duke kërkuar të vuajnë dënimin e tyre me burgim në një burg </w:t>
      </w:r>
      <w:r w:rsidR="00C4577B" w:rsidRPr="0070154F">
        <w:t>shqiptar</w:t>
      </w:r>
      <w:r w:rsidRPr="0070154F">
        <w:t>. Sipas ankuesve, me qëllim që të përmbushnin kërkesat për transferimin e tyre në Shqipëri, ato hoqën dorë nga e drejta e tyre për të apeluar kundër vendimit që kishte çuar në dënimin e tyre.</w:t>
      </w:r>
    </w:p>
    <w:p w:rsidR="00E76CA2" w:rsidRPr="0070154F" w:rsidRDefault="00E76CA2" w:rsidP="00E76CA2">
      <w:pPr>
        <w:pStyle w:val="Paragrafi0"/>
      </w:pPr>
      <w:r w:rsidRPr="0070154F">
        <w:t xml:space="preserve">Më 7 </w:t>
      </w:r>
      <w:r w:rsidR="00C4577B" w:rsidRPr="0070154F">
        <w:t xml:space="preserve">prill </w:t>
      </w:r>
      <w:r w:rsidRPr="0070154F">
        <w:t xml:space="preserve">dhe 4 </w:t>
      </w:r>
      <w:r w:rsidR="00C4577B" w:rsidRPr="0070154F">
        <w:t xml:space="preserve">maj </w:t>
      </w:r>
      <w:r w:rsidRPr="0070154F">
        <w:t xml:space="preserve">2000 Ministria e Drejtësisë së Greqisë </w:t>
      </w:r>
      <w:r w:rsidR="00F74708">
        <w:t>i</w:t>
      </w:r>
      <w:r w:rsidR="00C4577B">
        <w:t>u</w:t>
      </w:r>
      <w:r w:rsidRPr="0070154F">
        <w:t xml:space="preserve"> kërkoi autoriteteve </w:t>
      </w:r>
      <w:r w:rsidR="00C4577B" w:rsidRPr="0070154F">
        <w:t xml:space="preserve">shqiptare </w:t>
      </w:r>
      <w:r w:rsidRPr="0070154F">
        <w:t>fillimin e procedurave për transferimin e ankuesve në Shqipëri. Teksti standard i kërkesave, në lidhje me çështjen në fjalë, vijon si më poshtë:</w:t>
      </w:r>
    </w:p>
    <w:p w:rsidR="00E76CA2" w:rsidRPr="0070154F" w:rsidRDefault="00E76CA2" w:rsidP="00E76CA2">
      <w:pPr>
        <w:pStyle w:val="Paragrafi0"/>
      </w:pPr>
      <w:r w:rsidRPr="0070154F">
        <w:t>“I. Me anë të këtij dokumenti, ju informojmë se [emri i ankuesit], nënshtetas shqiptar që vuan dënimin në [emri i burgut], ka kërkuar të transferohet në Shqipëri për të vuajtur pjesën e mbetur të dënimit.</w:t>
      </w:r>
    </w:p>
    <w:p w:rsidR="001E550D" w:rsidRDefault="001E550D" w:rsidP="00E76CA2">
      <w:pPr>
        <w:pStyle w:val="Paragrafi0"/>
      </w:pPr>
    </w:p>
    <w:p w:rsidR="00BF2932" w:rsidRDefault="00BF2932" w:rsidP="00E76CA2">
      <w:pPr>
        <w:pStyle w:val="Paragrafi0"/>
      </w:pPr>
    </w:p>
    <w:p w:rsidR="00E76CA2" w:rsidRPr="0070154F" w:rsidRDefault="00E76CA2" w:rsidP="00E76CA2">
      <w:pPr>
        <w:pStyle w:val="Paragrafi0"/>
      </w:pPr>
      <w:r w:rsidRPr="0070154F">
        <w:t>II. Pala Greke nuk ka kundërshtim për transferimin e personit të dënuar.</w:t>
      </w:r>
    </w:p>
    <w:p w:rsidR="00E76CA2" w:rsidRPr="0070154F" w:rsidRDefault="00E76CA2" w:rsidP="00E76CA2">
      <w:pPr>
        <w:pStyle w:val="Paragrafi0"/>
      </w:pPr>
      <w:r w:rsidRPr="0070154F">
        <w:t>III. Për informacionin tuaj janë bas</w:t>
      </w:r>
      <w:r w:rsidR="00C4577B">
        <w:t>hkëngjitur dokumentet e mëposht</w:t>
      </w:r>
      <w:r w:rsidRPr="0070154F">
        <w:t>m</w:t>
      </w:r>
      <w:r w:rsidR="00C4577B">
        <w:t>e</w:t>
      </w:r>
      <w:r w:rsidRPr="0070154F">
        <w:t>:</w:t>
      </w:r>
    </w:p>
    <w:p w:rsidR="00E76CA2" w:rsidRPr="0070154F" w:rsidRDefault="00173FD1" w:rsidP="00E76CA2">
      <w:pPr>
        <w:pStyle w:val="Paragrafi0"/>
      </w:pPr>
      <w:r>
        <w:lastRenderedPageBreak/>
        <w:t>1.</w:t>
      </w:r>
      <w:r w:rsidR="00E76CA2" w:rsidRPr="0070154F">
        <w:t xml:space="preserve"> Formulari i aplikimit i personit të dënuar që kërkon transferimin.</w:t>
      </w:r>
    </w:p>
    <w:p w:rsidR="00E76CA2" w:rsidRPr="0070154F" w:rsidRDefault="00173FD1" w:rsidP="00E76CA2">
      <w:pPr>
        <w:pStyle w:val="Paragrafi0"/>
      </w:pPr>
      <w:r>
        <w:t xml:space="preserve">2. </w:t>
      </w:r>
      <w:r w:rsidR="00E76CA2" w:rsidRPr="0070154F">
        <w:t xml:space="preserve">Kopje të procesverbalit dhe vendimit të Gjykatës së Apelit Athinë të datës 9 </w:t>
      </w:r>
      <w:r w:rsidR="00C4577B" w:rsidRPr="0070154F">
        <w:t xml:space="preserve">dhjetor </w:t>
      </w:r>
      <w:r w:rsidR="00E76CA2" w:rsidRPr="0070154F">
        <w:t>1999.</w:t>
      </w:r>
    </w:p>
    <w:p w:rsidR="00E76CA2" w:rsidRPr="0070154F" w:rsidRDefault="00173FD1" w:rsidP="00E76CA2">
      <w:pPr>
        <w:pStyle w:val="Paragrafi0"/>
      </w:pPr>
      <w:r>
        <w:t xml:space="preserve">3. </w:t>
      </w:r>
      <w:r w:rsidR="00E76CA2" w:rsidRPr="0070154F">
        <w:t>Kopje të dorëheqjes së ankuesve nga e drejta për të apeluar kundër vendimit të përmendur më lart.</w:t>
      </w:r>
    </w:p>
    <w:p w:rsidR="00E76CA2" w:rsidRPr="0070154F" w:rsidRDefault="00E76CA2" w:rsidP="00E76CA2">
      <w:pPr>
        <w:pStyle w:val="Paragrafi0"/>
      </w:pPr>
      <w:r w:rsidRPr="0070154F">
        <w:t>Në një datë të pacaktuar, Mi</w:t>
      </w:r>
      <w:r w:rsidR="00C4577B">
        <w:t>nistria e Drejtësisë së Greqisë</w:t>
      </w:r>
      <w:r w:rsidRPr="0070154F">
        <w:t xml:space="preserve"> i ka kërkuar Ministrisë së Drejtësisë së Shqipërisë, sipas </w:t>
      </w:r>
      <w:r w:rsidR="00C4577B" w:rsidRPr="0070154F">
        <w:t xml:space="preserve">nenit </w:t>
      </w:r>
      <w:r w:rsidRPr="0070154F">
        <w:t xml:space="preserve">6 të Konventës për </w:t>
      </w:r>
      <w:r w:rsidR="00C4577B" w:rsidRPr="0070154F">
        <w:t xml:space="preserve">transferimin </w:t>
      </w:r>
      <w:r w:rsidRPr="0070154F">
        <w:t xml:space="preserve">e </w:t>
      </w:r>
      <w:r w:rsidR="00C4577B" w:rsidRPr="0070154F">
        <w:t xml:space="preserve">personave </w:t>
      </w:r>
      <w:r w:rsidRPr="0070154F">
        <w:t xml:space="preserve">të </w:t>
      </w:r>
      <w:r w:rsidR="00C4577B" w:rsidRPr="0070154F">
        <w:t xml:space="preserve">dënuar </w:t>
      </w:r>
      <w:r w:rsidR="00E52AE5">
        <w:t>(Konventa për t</w:t>
      </w:r>
      <w:r w:rsidR="00C4577B">
        <w:t>ransferim</w:t>
      </w:r>
      <w:r w:rsidRPr="0070154F">
        <w:t>), t’u sigurojë atyre informacion mbi pasojat ligjore të transferimi</w:t>
      </w:r>
      <w:r w:rsidR="00E52AE5">
        <w:t>t të personave të dënuar sipas s</w:t>
      </w:r>
      <w:r w:rsidRPr="0070154F">
        <w:t>ë drejtës penale të këtij vendi.</w:t>
      </w:r>
    </w:p>
    <w:p w:rsidR="00E76CA2" w:rsidRPr="0070154F" w:rsidRDefault="00E52AE5" w:rsidP="00E76CA2">
      <w:pPr>
        <w:pStyle w:val="Paragrafi0"/>
      </w:pPr>
      <w:r>
        <w:t>Sipas procedurës s</w:t>
      </w:r>
      <w:r w:rsidR="00E76CA2" w:rsidRPr="0070154F">
        <w:t xml:space="preserve">ë parashikuar nga Konventa për </w:t>
      </w:r>
      <w:r w:rsidR="00C4577B" w:rsidRPr="0070154F">
        <w:t xml:space="preserve">transferim </w:t>
      </w:r>
      <w:r w:rsidR="00E76CA2" w:rsidRPr="0070154F">
        <w:t xml:space="preserve">dhe </w:t>
      </w:r>
      <w:r w:rsidR="00C4577B" w:rsidRPr="0070154F">
        <w:t>marrëveshja bilaterale</w:t>
      </w:r>
      <w:r w:rsidR="00E76CA2" w:rsidRPr="0070154F">
        <w:t xml:space="preserve">, më 24 </w:t>
      </w:r>
      <w:r w:rsidR="00C4577B" w:rsidRPr="0070154F">
        <w:t xml:space="preserve">tetor </w:t>
      </w:r>
      <w:r w:rsidR="00E76CA2" w:rsidRPr="0070154F">
        <w:t>2000</w:t>
      </w:r>
      <w:r>
        <w:t>,</w:t>
      </w:r>
      <w:r w:rsidR="00E76CA2" w:rsidRPr="0070154F">
        <w:t xml:space="preserve"> Prokuroria e Përgjithshme e Shqipërisë filloi procedurat në Gjykatën e Rrethit Lushnjë për vlefshmërinë dhe zbatimin në Shqipëri të vendimit të dhënë nga Gjykata e Apelit Athinë.</w:t>
      </w:r>
    </w:p>
    <w:p w:rsidR="00E76CA2" w:rsidRPr="00E76CA2" w:rsidRDefault="00E76CA2" w:rsidP="00E76CA2">
      <w:pPr>
        <w:pStyle w:val="Paragrafi0"/>
        <w:rPr>
          <w:lang w:val="it-IT"/>
        </w:rPr>
      </w:pPr>
      <w:r w:rsidRPr="0070154F">
        <w:t xml:space="preserve">Më 15 </w:t>
      </w:r>
      <w:r w:rsidR="00C4577B" w:rsidRPr="0070154F">
        <w:t xml:space="preserve">nëntor </w:t>
      </w:r>
      <w:r w:rsidRPr="0070154F">
        <w:t xml:space="preserve">2000 Gjykata e Rrethit Lushnjë, bazuar në Konventën për </w:t>
      </w:r>
      <w:r w:rsidR="00C4577B" w:rsidRPr="0070154F">
        <w:t xml:space="preserve">transferim </w:t>
      </w:r>
      <w:r w:rsidRPr="0070154F">
        <w:t xml:space="preserve">dhe Marrëveshjen </w:t>
      </w:r>
      <w:r w:rsidR="00BF2932" w:rsidRPr="0070154F">
        <w:t>Bilaterale</w:t>
      </w:r>
      <w:r w:rsidRPr="0070154F">
        <w:t xml:space="preserve">, konsideroi se dënimet e caktuara nga gjykata </w:t>
      </w:r>
      <w:r w:rsidR="00E52AE5" w:rsidRPr="0070154F">
        <w:t xml:space="preserve">greke </w:t>
      </w:r>
      <w:r w:rsidRPr="0070154F">
        <w:t xml:space="preserve">ishin në përputhje me të drejtën penale </w:t>
      </w:r>
      <w:r w:rsidR="00C4577B" w:rsidRPr="0070154F">
        <w:t xml:space="preserve">shqiptare </w:t>
      </w:r>
      <w:r w:rsidRPr="0070154F">
        <w:t>dhe konstatoi se ankuesit duhet të vuajnë dënimet e mëposhtme në Shqipëri: njëzet vjet burgim për ankuesin e parë dhe tetëmbëdhjetë vjet burgim për ankue</w:t>
      </w:r>
      <w:r w:rsidR="00BF2932">
        <w:t>sit e dytë dhe të tretë, sipas n</w:t>
      </w:r>
      <w:r w:rsidRPr="0070154F">
        <w:t xml:space="preserve">eneve 283 dhe 297 të Kodit Penal. </w:t>
      </w:r>
      <w:r w:rsidRPr="00E76CA2">
        <w:rPr>
          <w:lang w:val="it-IT"/>
        </w:rPr>
        <w:t xml:space="preserve">Së fundi, gjykata vendosi që ankuesit duhet të paguajnë shpenzimet e procedurave. Vendimi mori formë të prerë më 27 </w:t>
      </w:r>
      <w:r w:rsidR="00C4577B" w:rsidRPr="00E76CA2">
        <w:rPr>
          <w:lang w:val="it-IT"/>
        </w:rPr>
        <w:t xml:space="preserve">nëntor </w:t>
      </w:r>
      <w:r w:rsidRPr="00E76CA2">
        <w:rPr>
          <w:lang w:val="it-IT"/>
        </w:rPr>
        <w:t>2000.</w:t>
      </w:r>
    </w:p>
    <w:p w:rsidR="00E76CA2" w:rsidRPr="00E76CA2" w:rsidRDefault="00E76CA2" w:rsidP="00E76CA2">
      <w:pPr>
        <w:pStyle w:val="Paragrafi0"/>
        <w:rPr>
          <w:lang w:val="it-IT"/>
        </w:rPr>
      </w:pPr>
      <w:r w:rsidRPr="00E76CA2">
        <w:rPr>
          <w:lang w:val="it-IT"/>
        </w:rPr>
        <w:t xml:space="preserve">Rezulton se më 6 </w:t>
      </w:r>
      <w:r w:rsidR="00E52AE5" w:rsidRPr="00E76CA2">
        <w:rPr>
          <w:lang w:val="it-IT"/>
        </w:rPr>
        <w:t xml:space="preserve">prill </w:t>
      </w:r>
      <w:r w:rsidRPr="00E76CA2">
        <w:rPr>
          <w:lang w:val="it-IT"/>
        </w:rPr>
        <w:t xml:space="preserve">2001 Ministria e Drejtësisë Shqiptare informoi homologen e saj </w:t>
      </w:r>
      <w:r w:rsidR="00C4577B" w:rsidRPr="00E76CA2">
        <w:rPr>
          <w:lang w:val="it-IT"/>
        </w:rPr>
        <w:t xml:space="preserve">greke </w:t>
      </w:r>
      <w:r w:rsidRPr="00E76CA2">
        <w:rPr>
          <w:lang w:val="it-IT"/>
        </w:rPr>
        <w:t xml:space="preserve">se ekzistonin mundësitë e lirimit me kusht për ankuesit pas vuajtjes së gjysmës së dënimit të tyre, me kusht që ato të kishin shfaqur sjellje të mirë në burg. Për pasojë, më 8 </w:t>
      </w:r>
      <w:r w:rsidR="00C4577B" w:rsidRPr="00E76CA2">
        <w:rPr>
          <w:lang w:val="it-IT"/>
        </w:rPr>
        <w:t xml:space="preserve">qershor </w:t>
      </w:r>
      <w:r w:rsidRPr="00E76CA2">
        <w:rPr>
          <w:lang w:val="it-IT"/>
        </w:rPr>
        <w:t xml:space="preserve">2001 Ministria e Drejtësisë Greke informoi ankuesit dhe Ministrinë e Drejtësisë Shqiptare mbi refuzimin e saj për të transferuar ankuesit me argumentin që dënimet e ndryshuara nga gjykata </w:t>
      </w:r>
      <w:r w:rsidR="00E52AE5" w:rsidRPr="00E76CA2">
        <w:rPr>
          <w:lang w:val="it-IT"/>
        </w:rPr>
        <w:t xml:space="preserve">shqiptare </w:t>
      </w:r>
      <w:r w:rsidRPr="00E76CA2">
        <w:rPr>
          <w:lang w:val="it-IT"/>
        </w:rPr>
        <w:t xml:space="preserve">ishin të ulëta në krahasim me ato të caktuara nga gjykata </w:t>
      </w:r>
      <w:r w:rsidR="00C4577B" w:rsidRPr="00E76CA2">
        <w:rPr>
          <w:lang w:val="it-IT"/>
        </w:rPr>
        <w:t xml:space="preserve">greke </w:t>
      </w:r>
      <w:r w:rsidRPr="00E76CA2">
        <w:rPr>
          <w:lang w:val="it-IT"/>
        </w:rPr>
        <w:t xml:space="preserve">dhe në këtë mënyrë të papajtueshme me rëndësinë e veprës së tyre dhe kohën e shkurtër që ato kishin kaluar në burgjet </w:t>
      </w:r>
      <w:r w:rsidR="00C4577B" w:rsidRPr="00E76CA2">
        <w:rPr>
          <w:lang w:val="it-IT"/>
        </w:rPr>
        <w:t>greke</w:t>
      </w:r>
      <w:r w:rsidRPr="00E76CA2">
        <w:rPr>
          <w:lang w:val="it-IT"/>
        </w:rPr>
        <w:t>.</w:t>
      </w:r>
    </w:p>
    <w:p w:rsidR="00E76CA2" w:rsidRPr="00E76CA2" w:rsidRDefault="00E76CA2" w:rsidP="00E76CA2">
      <w:pPr>
        <w:pStyle w:val="Paragrafi0"/>
        <w:rPr>
          <w:lang w:val="it-IT"/>
        </w:rPr>
      </w:pPr>
      <w:r w:rsidRPr="00E76CA2">
        <w:rPr>
          <w:lang w:val="it-IT"/>
        </w:rPr>
        <w:t xml:space="preserve">Në vitin 2003 dhe 2004 ankuesit kërkuan pa sukses që autoritetet </w:t>
      </w:r>
      <w:r w:rsidR="00E52AE5" w:rsidRPr="00E76CA2">
        <w:rPr>
          <w:lang w:val="it-IT"/>
        </w:rPr>
        <w:t xml:space="preserve">greke </w:t>
      </w:r>
      <w:r w:rsidRPr="00E76CA2">
        <w:rPr>
          <w:lang w:val="it-IT"/>
        </w:rPr>
        <w:t>t’i transferonin ato në Shqipëri në përputhje me procedurën e transferimit.</w:t>
      </w:r>
    </w:p>
    <w:p w:rsidR="00E76CA2" w:rsidRPr="00E76CA2" w:rsidRDefault="00E76CA2" w:rsidP="00E76CA2">
      <w:pPr>
        <w:pStyle w:val="Paragrafi0"/>
        <w:rPr>
          <w:lang w:val="it-IT"/>
        </w:rPr>
      </w:pPr>
      <w:r w:rsidRPr="00E76CA2">
        <w:rPr>
          <w:lang w:val="it-IT"/>
        </w:rPr>
        <w:t xml:space="preserve">Rezultonte se më 25 </w:t>
      </w:r>
      <w:r w:rsidR="00E52AE5" w:rsidRPr="00E76CA2">
        <w:rPr>
          <w:lang w:val="it-IT"/>
        </w:rPr>
        <w:t xml:space="preserve">shkurt </w:t>
      </w:r>
      <w:r w:rsidRPr="00E76CA2">
        <w:rPr>
          <w:lang w:val="it-IT"/>
        </w:rPr>
        <w:t>2003 ankuesi i dytë dhe i tretë kërkuan leje për të apeluar jashtë afa</w:t>
      </w:r>
      <w:r w:rsidR="00BF2932">
        <w:rPr>
          <w:lang w:val="it-IT"/>
        </w:rPr>
        <w:t>tit kundër vendimit të datës 9 d</w:t>
      </w:r>
      <w:r w:rsidRPr="00E76CA2">
        <w:rPr>
          <w:lang w:val="it-IT"/>
        </w:rPr>
        <w:t xml:space="preserve">hjetor 2009. Më 8 </w:t>
      </w:r>
      <w:r w:rsidR="00E52AE5" w:rsidRPr="00E76CA2">
        <w:rPr>
          <w:lang w:val="it-IT"/>
        </w:rPr>
        <w:t xml:space="preserve">qershor </w:t>
      </w:r>
      <w:r w:rsidRPr="00E76CA2">
        <w:rPr>
          <w:lang w:val="it-IT"/>
        </w:rPr>
        <w:t>2005 Gjykata e Kasacionit (Areios Pagos) rrëzoi apelet kundër vendimit që kishte çuar në dënimin e tyre duke i konsideruar jashtë afatit.</w:t>
      </w:r>
    </w:p>
    <w:p w:rsidR="00E76CA2" w:rsidRPr="00E76CA2" w:rsidRDefault="00C4577B" w:rsidP="00E76CA2">
      <w:pPr>
        <w:pStyle w:val="Paragrafi0"/>
        <w:rPr>
          <w:lang w:val="it-IT"/>
        </w:rPr>
      </w:pPr>
      <w:r>
        <w:rPr>
          <w:lang w:val="it-IT"/>
        </w:rPr>
        <w:t>Në data</w:t>
      </w:r>
      <w:r w:rsidR="00E76CA2" w:rsidRPr="00E76CA2">
        <w:rPr>
          <w:lang w:val="it-IT"/>
        </w:rPr>
        <w:t xml:space="preserve"> të pacaktuara ankuesit kërkuan që Ministria e Drejtësisë Shqiptare të zbatonte vendimin e Gjykatës së Rrethit Lushnjë e cila kishte konvertuar vendimin e tyre </w:t>
      </w:r>
      <w:r w:rsidRPr="00E76CA2">
        <w:rPr>
          <w:lang w:val="it-IT"/>
        </w:rPr>
        <w:t xml:space="preserve">grek </w:t>
      </w:r>
      <w:r w:rsidR="00E76CA2" w:rsidRPr="00E76CA2">
        <w:rPr>
          <w:lang w:val="it-IT"/>
        </w:rPr>
        <w:t xml:space="preserve">dhe të procedonte me transferimin e tyre në Shqipëri. </w:t>
      </w:r>
    </w:p>
    <w:p w:rsidR="00E76CA2" w:rsidRPr="00E76CA2" w:rsidRDefault="00E76CA2" w:rsidP="00E76CA2">
      <w:pPr>
        <w:pStyle w:val="Paragrafi0"/>
        <w:rPr>
          <w:lang w:val="it-IT"/>
        </w:rPr>
      </w:pPr>
      <w:r w:rsidRPr="00E76CA2">
        <w:rPr>
          <w:lang w:val="it-IT"/>
        </w:rPr>
        <w:t xml:space="preserve">Më 29 </w:t>
      </w:r>
      <w:r w:rsidR="00C4577B" w:rsidRPr="00E76CA2">
        <w:rPr>
          <w:lang w:val="it-IT"/>
        </w:rPr>
        <w:t xml:space="preserve">dhjetor </w:t>
      </w:r>
      <w:r w:rsidRPr="00E76CA2">
        <w:rPr>
          <w:lang w:val="it-IT"/>
        </w:rPr>
        <w:t>2005 Ministria e Drejtësisë Shqiptare informoi familjen e ankuesve, pa dhënë arsyet, se ishte pezulluar procedura për transferimin e tyre në Shqipëri.</w:t>
      </w:r>
    </w:p>
    <w:p w:rsidR="00E76CA2" w:rsidRPr="00E76CA2" w:rsidRDefault="00E76CA2" w:rsidP="00E76CA2">
      <w:pPr>
        <w:pStyle w:val="Paragrafi0"/>
        <w:rPr>
          <w:lang w:val="it-IT"/>
        </w:rPr>
      </w:pPr>
      <w:r w:rsidRPr="00E76CA2">
        <w:rPr>
          <w:lang w:val="it-IT"/>
        </w:rPr>
        <w:t xml:space="preserve">Më 3 </w:t>
      </w:r>
      <w:r w:rsidR="00C4577B" w:rsidRPr="00E76CA2">
        <w:rPr>
          <w:lang w:val="it-IT"/>
        </w:rPr>
        <w:t xml:space="preserve">shkurt </w:t>
      </w:r>
      <w:r w:rsidRPr="00E76CA2">
        <w:rPr>
          <w:lang w:val="it-IT"/>
        </w:rPr>
        <w:t>2006 prokurori pranë Gjykatës së Rrethit Lushnjë informoi familjen e ankuesve mbi refuzimin e Ministrisë së Drejtësisë Greke për të transferuar ankuesit në Shqipëri.</w:t>
      </w:r>
    </w:p>
    <w:p w:rsidR="00E76CA2" w:rsidRPr="00E76CA2" w:rsidRDefault="00E76CA2" w:rsidP="00E76CA2">
      <w:pPr>
        <w:pStyle w:val="Paragrafi0"/>
        <w:rPr>
          <w:lang w:val="it-IT"/>
        </w:rPr>
      </w:pPr>
      <w:r w:rsidRPr="00E76CA2">
        <w:rPr>
          <w:lang w:val="it-IT"/>
        </w:rPr>
        <w:t xml:space="preserve">Rezulton se në vitin 2009 ankuesit kërkuan pa sukses që autoritetet </w:t>
      </w:r>
      <w:r w:rsidR="00C4577B" w:rsidRPr="00E76CA2">
        <w:rPr>
          <w:lang w:val="it-IT"/>
        </w:rPr>
        <w:t xml:space="preserve">greke </w:t>
      </w:r>
      <w:r w:rsidRPr="00E76CA2">
        <w:rPr>
          <w:lang w:val="it-IT"/>
        </w:rPr>
        <w:t>t’i transferonin ato në Shqipëri në përputhje me procedurën e transferimit.</w:t>
      </w:r>
    </w:p>
    <w:p w:rsidR="00E76CA2" w:rsidRPr="00E76CA2" w:rsidRDefault="00E76CA2" w:rsidP="00E76CA2">
      <w:pPr>
        <w:pStyle w:val="Paragrafi0"/>
        <w:rPr>
          <w:lang w:val="it-IT"/>
        </w:rPr>
      </w:pPr>
      <w:r w:rsidRPr="00E76CA2">
        <w:rPr>
          <w:lang w:val="it-IT"/>
        </w:rPr>
        <w:t>B. E drejta e brendshme dhe ndërkombëtare përkatëse</w:t>
      </w:r>
    </w:p>
    <w:p w:rsidR="00E76CA2" w:rsidRPr="00E76CA2" w:rsidRDefault="00173FD1" w:rsidP="00E76CA2">
      <w:pPr>
        <w:pStyle w:val="Paragrafi0"/>
        <w:rPr>
          <w:lang w:val="it-IT"/>
        </w:rPr>
      </w:pPr>
      <w:r>
        <w:rPr>
          <w:lang w:val="it-IT"/>
        </w:rPr>
        <w:t xml:space="preserve">1. </w:t>
      </w:r>
      <w:r w:rsidR="00E76CA2" w:rsidRPr="00E76CA2">
        <w:rPr>
          <w:lang w:val="it-IT"/>
        </w:rPr>
        <w:t>Kushtetuta e Shqipërisë</w:t>
      </w:r>
    </w:p>
    <w:p w:rsidR="00E76CA2" w:rsidRPr="00E76CA2" w:rsidRDefault="00E76CA2" w:rsidP="00E76CA2">
      <w:pPr>
        <w:pStyle w:val="Paragrafi0"/>
        <w:rPr>
          <w:lang w:val="it-IT"/>
        </w:rPr>
      </w:pPr>
      <w:r w:rsidRPr="00E76CA2">
        <w:rPr>
          <w:lang w:val="it-IT"/>
        </w:rPr>
        <w:t>Neni 5 i Kushtetutës parashikon se Republika e Shqipërisë zbaton të drejtën ndërkombëtare që është e detyrueshme për të.</w:t>
      </w:r>
    </w:p>
    <w:p w:rsidR="00E76CA2" w:rsidRPr="00E76CA2" w:rsidRDefault="00173FD1" w:rsidP="00E76CA2">
      <w:pPr>
        <w:pStyle w:val="Paragrafi0"/>
        <w:rPr>
          <w:lang w:val="it-IT"/>
        </w:rPr>
      </w:pPr>
      <w:r>
        <w:rPr>
          <w:lang w:val="it-IT"/>
        </w:rPr>
        <w:t xml:space="preserve">2. </w:t>
      </w:r>
      <w:r w:rsidR="00E76CA2" w:rsidRPr="00E76CA2">
        <w:rPr>
          <w:lang w:val="it-IT"/>
        </w:rPr>
        <w:t>Kodi Penal i Shqipërisë</w:t>
      </w:r>
    </w:p>
    <w:p w:rsidR="00E76CA2" w:rsidRDefault="00E76CA2" w:rsidP="00E76CA2">
      <w:pPr>
        <w:pStyle w:val="Paragrafi0"/>
        <w:rPr>
          <w:lang w:val="it-IT"/>
        </w:rPr>
      </w:pPr>
      <w:r w:rsidRPr="00E76CA2">
        <w:rPr>
          <w:lang w:val="it-IT"/>
        </w:rPr>
        <w:t>Neni 64, në fuqi në kohë materiale, shprehte që një i burgosur mund të lirohej me kusht pasi vuante gjysmën e dënimit, me kusht që sjellja e mirë dhe puna të kishin arritur qëllimin e edukimit të tij.</w:t>
      </w:r>
    </w:p>
    <w:p w:rsidR="001E550D" w:rsidRDefault="001E550D" w:rsidP="00E76CA2">
      <w:pPr>
        <w:pStyle w:val="Paragrafi0"/>
        <w:rPr>
          <w:lang w:val="it-IT"/>
        </w:rPr>
      </w:pPr>
    </w:p>
    <w:p w:rsidR="001E550D" w:rsidRDefault="001E550D" w:rsidP="00E76CA2">
      <w:pPr>
        <w:pStyle w:val="Paragrafi0"/>
        <w:rPr>
          <w:lang w:val="it-IT"/>
        </w:rPr>
      </w:pPr>
    </w:p>
    <w:p w:rsidR="001E550D" w:rsidRPr="00E76CA2" w:rsidRDefault="001E550D" w:rsidP="00E76CA2">
      <w:pPr>
        <w:pStyle w:val="Paragrafi0"/>
        <w:rPr>
          <w:lang w:val="it-IT"/>
        </w:rPr>
      </w:pPr>
    </w:p>
    <w:p w:rsidR="00E76CA2" w:rsidRPr="00E76CA2" w:rsidRDefault="00E76CA2" w:rsidP="00E76CA2">
      <w:pPr>
        <w:pStyle w:val="Paragrafi0"/>
        <w:rPr>
          <w:lang w:val="it-IT"/>
        </w:rPr>
      </w:pPr>
      <w:r w:rsidRPr="00E76CA2">
        <w:rPr>
          <w:lang w:val="it-IT"/>
        </w:rPr>
        <w:t xml:space="preserve">Neni 283, në fuqi në kohë materiale, parashikonte se organizimi dhe fillimi i trafikimit të narkotikëve ishte i dënueshëm me dënimin maksimal prej njëzet vjetësh burgim. </w:t>
      </w:r>
    </w:p>
    <w:p w:rsidR="00E76CA2" w:rsidRPr="00E76CA2" w:rsidRDefault="00E76CA2" w:rsidP="00E76CA2">
      <w:pPr>
        <w:pStyle w:val="Paragrafi0"/>
        <w:rPr>
          <w:lang w:val="it-IT"/>
        </w:rPr>
      </w:pPr>
      <w:r w:rsidRPr="00E76CA2">
        <w:rPr>
          <w:lang w:val="it-IT"/>
        </w:rPr>
        <w:t>Neni 297, në fuqi në kohë materiale, parashikonte se kalimi i paligjshëm i kufirit ishte i dënueshëm me dënimin maksimal prej dy vjetësh burgim.</w:t>
      </w:r>
    </w:p>
    <w:p w:rsidR="00E76CA2" w:rsidRPr="00E76CA2" w:rsidRDefault="00173FD1" w:rsidP="00E76CA2">
      <w:pPr>
        <w:pStyle w:val="Paragrafi0"/>
        <w:rPr>
          <w:lang w:val="it-IT"/>
        </w:rPr>
      </w:pPr>
      <w:r>
        <w:rPr>
          <w:lang w:val="it-IT"/>
        </w:rPr>
        <w:t xml:space="preserve">3. </w:t>
      </w:r>
      <w:r w:rsidR="00175141">
        <w:rPr>
          <w:lang w:val="it-IT"/>
        </w:rPr>
        <w:t>Kodi Penal i Greqisë (GCC</w:t>
      </w:r>
      <w:r w:rsidR="00E76CA2" w:rsidRPr="00E76CA2">
        <w:rPr>
          <w:lang w:val="it-IT"/>
        </w:rPr>
        <w:t xml:space="preserve">)  </w:t>
      </w:r>
    </w:p>
    <w:p w:rsidR="00E76CA2" w:rsidRPr="00E76CA2" w:rsidRDefault="00E76CA2" w:rsidP="00E76CA2">
      <w:pPr>
        <w:pStyle w:val="Paragrafi0"/>
        <w:rPr>
          <w:lang w:val="it-IT"/>
        </w:rPr>
      </w:pPr>
      <w:r w:rsidRPr="00E76CA2">
        <w:rPr>
          <w:lang w:val="it-IT"/>
        </w:rPr>
        <w:t xml:space="preserve">Neni 105 i Kodit Penal Grek parashikon lirimin me kusht për një të burgosur të përjetshëm, </w:t>
      </w:r>
      <w:r w:rsidRPr="00E76CA2">
        <w:rPr>
          <w:lang w:val="it-IT"/>
        </w:rPr>
        <w:lastRenderedPageBreak/>
        <w:t>pasi ka vuajtur të paktën njëzet vjet burgim.</w:t>
      </w:r>
    </w:p>
    <w:p w:rsidR="00E76CA2" w:rsidRPr="00E76CA2" w:rsidRDefault="00173FD1" w:rsidP="00E76CA2">
      <w:pPr>
        <w:pStyle w:val="Paragrafi0"/>
        <w:rPr>
          <w:lang w:val="it-IT"/>
        </w:rPr>
      </w:pPr>
      <w:r>
        <w:rPr>
          <w:lang w:val="it-IT"/>
        </w:rPr>
        <w:t xml:space="preserve">4. </w:t>
      </w:r>
      <w:r w:rsidR="00E76CA2" w:rsidRPr="00E76CA2">
        <w:rPr>
          <w:lang w:val="it-IT"/>
        </w:rPr>
        <w:t xml:space="preserve">Marrëveshja </w:t>
      </w:r>
      <w:r w:rsidR="00175141" w:rsidRPr="00E76CA2">
        <w:rPr>
          <w:lang w:val="it-IT"/>
        </w:rPr>
        <w:t xml:space="preserve">bilaterale </w:t>
      </w:r>
      <w:r w:rsidR="00E76CA2" w:rsidRPr="00E76CA2">
        <w:rPr>
          <w:lang w:val="it-IT"/>
        </w:rPr>
        <w:t xml:space="preserve">e vitit 1993 (Marrëveshje e datës 17 </w:t>
      </w:r>
      <w:r w:rsidR="00175141" w:rsidRPr="00E76CA2">
        <w:rPr>
          <w:lang w:val="it-IT"/>
        </w:rPr>
        <w:t xml:space="preserve">maj </w:t>
      </w:r>
      <w:r w:rsidR="00E76CA2" w:rsidRPr="00E76CA2">
        <w:rPr>
          <w:lang w:val="it-IT"/>
        </w:rPr>
        <w:t>1993 ndërmjet Shqipërisë dhe Greqisë mbi transferimin e personave të dënuar)</w:t>
      </w:r>
    </w:p>
    <w:p w:rsidR="00E76CA2" w:rsidRPr="00E76CA2" w:rsidRDefault="00E76CA2" w:rsidP="00E76CA2">
      <w:pPr>
        <w:pStyle w:val="Paragrafi0"/>
        <w:rPr>
          <w:lang w:val="it-IT"/>
        </w:rPr>
      </w:pPr>
      <w:r w:rsidRPr="00E76CA2">
        <w:rPr>
          <w:lang w:val="it-IT"/>
        </w:rPr>
        <w:t xml:space="preserve">Marrëveshja </w:t>
      </w:r>
      <w:r w:rsidR="00175141" w:rsidRPr="00E76CA2">
        <w:rPr>
          <w:lang w:val="it-IT"/>
        </w:rPr>
        <w:t xml:space="preserve">bilaterale </w:t>
      </w:r>
      <w:r w:rsidRPr="00E76CA2">
        <w:rPr>
          <w:lang w:val="it-IT"/>
        </w:rPr>
        <w:t xml:space="preserve">e vitit 1993 është miratuar në kohën kur Shqipëria nuk ishte </w:t>
      </w:r>
      <w:r w:rsidR="00175141" w:rsidRPr="00E76CA2">
        <w:rPr>
          <w:lang w:val="it-IT"/>
        </w:rPr>
        <w:t xml:space="preserve">palë kontraktuese </w:t>
      </w:r>
      <w:r w:rsidRPr="00E76CA2">
        <w:rPr>
          <w:lang w:val="it-IT"/>
        </w:rPr>
        <w:t xml:space="preserve">e Konventës për </w:t>
      </w:r>
      <w:r w:rsidR="00175141" w:rsidRPr="00E76CA2">
        <w:rPr>
          <w:lang w:val="it-IT"/>
        </w:rPr>
        <w:t xml:space="preserve">transferim </w:t>
      </w:r>
      <w:r w:rsidRPr="00E76CA2">
        <w:rPr>
          <w:lang w:val="it-IT"/>
        </w:rPr>
        <w:t xml:space="preserve">dhe në shumë pjesë pasqyron përmbajtjen e atij instrumenti. Për sa i përket Shqipërisë, ajo hyri në fuqi më 29 </w:t>
      </w:r>
      <w:r w:rsidR="00175141" w:rsidRPr="00E76CA2">
        <w:rPr>
          <w:lang w:val="it-IT"/>
        </w:rPr>
        <w:t xml:space="preserve">tetor </w:t>
      </w:r>
      <w:r w:rsidRPr="00E76CA2">
        <w:rPr>
          <w:lang w:val="it-IT"/>
        </w:rPr>
        <w:t>1993. Preambula e Marrëveshjes vijon</w:t>
      </w:r>
      <w:r w:rsidR="00E52AE5">
        <w:rPr>
          <w:lang w:val="it-IT"/>
        </w:rPr>
        <w:t>:</w:t>
      </w:r>
      <w:r w:rsidRPr="00E76CA2">
        <w:rPr>
          <w:lang w:val="it-IT"/>
        </w:rPr>
        <w:t xml:space="preserve"> “Republika e Shqipërisë dhe Republika Helene, me dëshirën për të zhvilluar më</w:t>
      </w:r>
      <w:r w:rsidR="00E52AE5">
        <w:rPr>
          <w:lang w:val="it-IT"/>
        </w:rPr>
        <w:t xml:space="preserve"> tej bashkëpunimin në fushën e s</w:t>
      </w:r>
      <w:r w:rsidRPr="00E76CA2">
        <w:rPr>
          <w:lang w:val="it-IT"/>
        </w:rPr>
        <w:t xml:space="preserve">ë drejtës penale, kanë rënë dakord për të përfunduar një Marrëveshje për </w:t>
      </w:r>
      <w:r w:rsidR="00175141" w:rsidRPr="00E76CA2">
        <w:rPr>
          <w:lang w:val="it-IT"/>
        </w:rPr>
        <w:t xml:space="preserve">transferimin </w:t>
      </w:r>
      <w:r w:rsidRPr="00E76CA2">
        <w:rPr>
          <w:lang w:val="it-IT"/>
        </w:rPr>
        <w:t xml:space="preserve">e </w:t>
      </w:r>
      <w:r w:rsidR="00175141" w:rsidRPr="00E76CA2">
        <w:rPr>
          <w:lang w:val="it-IT"/>
        </w:rPr>
        <w:t xml:space="preserve">personave </w:t>
      </w:r>
      <w:r w:rsidRPr="00E76CA2">
        <w:rPr>
          <w:lang w:val="it-IT"/>
        </w:rPr>
        <w:t xml:space="preserve">të </w:t>
      </w:r>
      <w:r w:rsidR="00E52AE5" w:rsidRPr="00E76CA2">
        <w:rPr>
          <w:lang w:val="it-IT"/>
        </w:rPr>
        <w:t xml:space="preserve">dënuar </w:t>
      </w:r>
      <w:r w:rsidRPr="00E76CA2">
        <w:rPr>
          <w:lang w:val="it-IT"/>
        </w:rPr>
        <w:t>(...)</w:t>
      </w:r>
    </w:p>
    <w:p w:rsidR="00E76CA2" w:rsidRPr="00E76CA2" w:rsidRDefault="00E76CA2" w:rsidP="00E76CA2">
      <w:pPr>
        <w:pStyle w:val="Paragrafi0"/>
        <w:rPr>
          <w:lang w:val="it-IT"/>
        </w:rPr>
      </w:pPr>
      <w:r w:rsidRPr="00E76CA2">
        <w:rPr>
          <w:lang w:val="it-IT"/>
        </w:rPr>
        <w:t xml:space="preserve">Sipas </w:t>
      </w:r>
      <w:r w:rsidR="007D4893" w:rsidRPr="00E76CA2">
        <w:rPr>
          <w:lang w:val="it-IT"/>
        </w:rPr>
        <w:t xml:space="preserve">nenit </w:t>
      </w:r>
      <w:r w:rsidRPr="00E76CA2">
        <w:rPr>
          <w:lang w:val="it-IT"/>
        </w:rPr>
        <w:t>2</w:t>
      </w:r>
      <w:r w:rsidR="00E52AE5">
        <w:rPr>
          <w:lang w:val="it-IT"/>
        </w:rPr>
        <w:t>,</w:t>
      </w:r>
      <w:r w:rsidRPr="00E76CA2">
        <w:rPr>
          <w:lang w:val="it-IT"/>
        </w:rPr>
        <w:t xml:space="preserve"> “të dyja vendet marrin përsipër të ndihmojnë në mënyrë reciproke me transferimin e personave të dënuar në përputhje me dispozitat e kësaj Marrëveshjeje”. Krejtësisht ndryshe nga Konventa për </w:t>
      </w:r>
      <w:r w:rsidR="007D4893" w:rsidRPr="00E76CA2">
        <w:rPr>
          <w:lang w:val="it-IT"/>
        </w:rPr>
        <w:t>transferim</w:t>
      </w:r>
      <w:r w:rsidRPr="00E76CA2">
        <w:rPr>
          <w:lang w:val="it-IT"/>
        </w:rPr>
        <w:t xml:space="preserve">, </w:t>
      </w:r>
      <w:r w:rsidR="007D4893" w:rsidRPr="00E76CA2">
        <w:rPr>
          <w:lang w:val="it-IT"/>
        </w:rPr>
        <w:t xml:space="preserve">neni </w:t>
      </w:r>
      <w:r w:rsidRPr="00E76CA2">
        <w:rPr>
          <w:lang w:val="it-IT"/>
        </w:rPr>
        <w:t xml:space="preserve">3 i </w:t>
      </w:r>
      <w:r w:rsidR="007D4893" w:rsidRPr="00E76CA2">
        <w:rPr>
          <w:lang w:val="it-IT"/>
        </w:rPr>
        <w:t xml:space="preserve">marrëveshjes bilaterale </w:t>
      </w:r>
      <w:r w:rsidRPr="00E76CA2">
        <w:rPr>
          <w:lang w:val="it-IT"/>
        </w:rPr>
        <w:t xml:space="preserve">1993 parashikon se personi i dënuar gjithashtu mund të kërkojë transferimin e tij, përveç </w:t>
      </w:r>
      <w:r w:rsidR="007D4893" w:rsidRPr="00E76CA2">
        <w:rPr>
          <w:lang w:val="it-IT"/>
        </w:rPr>
        <w:t xml:space="preserve">shtetit dënues </w:t>
      </w:r>
      <w:r w:rsidRPr="00E76CA2">
        <w:rPr>
          <w:lang w:val="it-IT"/>
        </w:rPr>
        <w:t xml:space="preserve">apo </w:t>
      </w:r>
      <w:r w:rsidR="007D4893" w:rsidRPr="00E76CA2">
        <w:rPr>
          <w:lang w:val="it-IT"/>
        </w:rPr>
        <w:t xml:space="preserve">shtetit administrues </w:t>
      </w:r>
      <w:r w:rsidRPr="00E76CA2">
        <w:rPr>
          <w:lang w:val="it-IT"/>
        </w:rPr>
        <w:t>pritës.</w:t>
      </w:r>
    </w:p>
    <w:p w:rsidR="00E76CA2" w:rsidRPr="00E76CA2" w:rsidRDefault="00E76CA2" w:rsidP="00E76CA2">
      <w:pPr>
        <w:pStyle w:val="Paragrafi0"/>
        <w:rPr>
          <w:lang w:val="it-IT"/>
        </w:rPr>
      </w:pPr>
      <w:r w:rsidRPr="00E76CA2">
        <w:rPr>
          <w:lang w:val="it-IT"/>
        </w:rPr>
        <w:t xml:space="preserve">Sipas </w:t>
      </w:r>
      <w:r w:rsidR="00E52AE5">
        <w:rPr>
          <w:lang w:val="it-IT"/>
        </w:rPr>
        <w:t>neneve</w:t>
      </w:r>
      <w:r w:rsidR="007D4893" w:rsidRPr="00E76CA2">
        <w:rPr>
          <w:lang w:val="it-IT"/>
        </w:rPr>
        <w:t xml:space="preserve"> </w:t>
      </w:r>
      <w:r w:rsidRPr="00E76CA2">
        <w:rPr>
          <w:lang w:val="it-IT"/>
        </w:rPr>
        <w:t xml:space="preserve">4 dhe 8, një person i dënuar mund të transferohet nëse plotësohen kushtet e mëposhtme: (a) shkelja penale është e dënueshme nga e drejta penale e </w:t>
      </w:r>
      <w:r w:rsidR="007D4893" w:rsidRPr="00E76CA2">
        <w:rPr>
          <w:lang w:val="it-IT"/>
        </w:rPr>
        <w:t xml:space="preserve">shtetit </w:t>
      </w:r>
      <w:r w:rsidRPr="00E76CA2">
        <w:rPr>
          <w:lang w:val="it-IT"/>
        </w:rPr>
        <w:t>dënues dhe administrues; (b) vendimi dënues është përfundimtar; (c) personi i dënuar është mendërisht i shëndetshëm; (d) personi i dënuar ka akoma të paktën një vit nga dënimi për të vuajtur; dhe (e) personi i dënuar ka dhënë miratimin e tij për transferimin.</w:t>
      </w:r>
    </w:p>
    <w:p w:rsidR="00E76CA2" w:rsidRPr="00E76CA2" w:rsidRDefault="00E76CA2" w:rsidP="00E76CA2">
      <w:pPr>
        <w:pStyle w:val="Paragrafi0"/>
        <w:rPr>
          <w:lang w:val="it-IT"/>
        </w:rPr>
      </w:pPr>
      <w:r w:rsidRPr="00E76CA2">
        <w:rPr>
          <w:lang w:val="it-IT"/>
        </w:rPr>
        <w:t xml:space="preserve">Nenet 6 dhe 7 parashikojnë arsyet për të cilat mund të refuzohet transferimi, për shembull nëse personi i dënuar nuk ka përmbushur detyrimet e tij në lidhje me paratë, tarifat, shpenzimet apo gjoba të tjera për të cilat ai është i detyruar, dhe, nëse dënimi maksimal i caktuar nga </w:t>
      </w:r>
      <w:r w:rsidR="00E52AE5" w:rsidRPr="00E76CA2">
        <w:rPr>
          <w:lang w:val="it-IT"/>
        </w:rPr>
        <w:t xml:space="preserve">shteti </w:t>
      </w:r>
      <w:r w:rsidRPr="00E76CA2">
        <w:rPr>
          <w:lang w:val="it-IT"/>
        </w:rPr>
        <w:t xml:space="preserve">administrues është shumë më </w:t>
      </w:r>
      <w:r w:rsidR="000631C3">
        <w:rPr>
          <w:lang w:val="it-IT"/>
        </w:rPr>
        <w:t>i ulët se dënimi i caktuar nga s</w:t>
      </w:r>
      <w:r w:rsidRPr="00E76CA2">
        <w:rPr>
          <w:lang w:val="it-IT"/>
        </w:rPr>
        <w:t>hteti dënues.</w:t>
      </w:r>
    </w:p>
    <w:p w:rsidR="00E76CA2" w:rsidRPr="00E76CA2" w:rsidRDefault="00173FD1" w:rsidP="00E76CA2">
      <w:pPr>
        <w:pStyle w:val="Paragrafi0"/>
        <w:rPr>
          <w:lang w:val="it-IT"/>
        </w:rPr>
      </w:pPr>
      <w:r>
        <w:rPr>
          <w:lang w:val="it-IT"/>
        </w:rPr>
        <w:t xml:space="preserve">5. </w:t>
      </w:r>
      <w:r w:rsidR="00E76CA2" w:rsidRPr="00E76CA2">
        <w:rPr>
          <w:lang w:val="it-IT"/>
        </w:rPr>
        <w:t xml:space="preserve">Konventa për </w:t>
      </w:r>
      <w:r w:rsidR="00E52AE5" w:rsidRPr="00E76CA2">
        <w:rPr>
          <w:lang w:val="it-IT"/>
        </w:rPr>
        <w:t xml:space="preserve">transferim </w:t>
      </w:r>
      <w:r w:rsidR="00E76CA2" w:rsidRPr="00E76CA2">
        <w:rPr>
          <w:lang w:val="it-IT"/>
        </w:rPr>
        <w:t xml:space="preserve">(Konventa për </w:t>
      </w:r>
      <w:r w:rsidR="007D4893" w:rsidRPr="00E76CA2">
        <w:rPr>
          <w:lang w:val="it-IT"/>
        </w:rPr>
        <w:t xml:space="preserve">transferimin </w:t>
      </w:r>
      <w:r w:rsidR="00E76CA2" w:rsidRPr="00E76CA2">
        <w:rPr>
          <w:lang w:val="it-IT"/>
        </w:rPr>
        <w:t xml:space="preserve">e </w:t>
      </w:r>
      <w:r w:rsidR="007D4893" w:rsidRPr="00E76CA2">
        <w:rPr>
          <w:lang w:val="it-IT"/>
        </w:rPr>
        <w:t xml:space="preserve">personave </w:t>
      </w:r>
      <w:r w:rsidR="00E76CA2" w:rsidRPr="00E76CA2">
        <w:rPr>
          <w:lang w:val="it-IT"/>
        </w:rPr>
        <w:t xml:space="preserve">të </w:t>
      </w:r>
      <w:r w:rsidR="007D4893" w:rsidRPr="00E76CA2">
        <w:rPr>
          <w:lang w:val="it-IT"/>
        </w:rPr>
        <w:t>dënuar</w:t>
      </w:r>
      <w:r w:rsidR="00E52AE5">
        <w:rPr>
          <w:lang w:val="it-IT"/>
        </w:rPr>
        <w:t>, CETS nr.</w:t>
      </w:r>
      <w:r w:rsidR="00E76CA2" w:rsidRPr="00E76CA2">
        <w:rPr>
          <w:lang w:val="it-IT"/>
        </w:rPr>
        <w:t xml:space="preserve">112, dhe </w:t>
      </w:r>
      <w:r w:rsidR="007D4893" w:rsidRPr="00E76CA2">
        <w:rPr>
          <w:lang w:val="it-IT"/>
        </w:rPr>
        <w:t>protokolli shtesë</w:t>
      </w:r>
      <w:r w:rsidR="000631C3">
        <w:rPr>
          <w:lang w:val="it-IT"/>
        </w:rPr>
        <w:t>, CETS nr.</w:t>
      </w:r>
      <w:r w:rsidR="00E76CA2" w:rsidRPr="00E76CA2">
        <w:rPr>
          <w:lang w:val="it-IT"/>
        </w:rPr>
        <w:t xml:space="preserve">167) </w:t>
      </w:r>
    </w:p>
    <w:p w:rsidR="00E76CA2" w:rsidRPr="00E76CA2" w:rsidRDefault="00E76CA2" w:rsidP="00E76CA2">
      <w:pPr>
        <w:pStyle w:val="Paragrafi0"/>
        <w:rPr>
          <w:lang w:val="it-IT"/>
        </w:rPr>
      </w:pPr>
      <w:r w:rsidRPr="00E76CA2">
        <w:rPr>
          <w:lang w:val="it-IT"/>
        </w:rPr>
        <w:t xml:space="preserve">Konventa për </w:t>
      </w:r>
      <w:r w:rsidR="00E52AE5" w:rsidRPr="00E76CA2">
        <w:rPr>
          <w:lang w:val="it-IT"/>
        </w:rPr>
        <w:t xml:space="preserve">transferim </w:t>
      </w:r>
      <w:r w:rsidRPr="00E76CA2">
        <w:rPr>
          <w:lang w:val="it-IT"/>
        </w:rPr>
        <w:t xml:space="preserve">hyri në fuqi në lidhje me Shqipërinë më 1 </w:t>
      </w:r>
      <w:r w:rsidR="007D4893" w:rsidRPr="00E76CA2">
        <w:rPr>
          <w:lang w:val="it-IT"/>
        </w:rPr>
        <w:t xml:space="preserve">gusht </w:t>
      </w:r>
      <w:r w:rsidRPr="00E76CA2">
        <w:rPr>
          <w:lang w:val="it-IT"/>
        </w:rPr>
        <w:t xml:space="preserve">2000 dhe në lidhje me Greqinë më 1 </w:t>
      </w:r>
      <w:r w:rsidR="007D4893" w:rsidRPr="00E76CA2">
        <w:rPr>
          <w:lang w:val="it-IT"/>
        </w:rPr>
        <w:t xml:space="preserve">prill </w:t>
      </w:r>
      <w:r w:rsidRPr="00E76CA2">
        <w:rPr>
          <w:lang w:val="it-IT"/>
        </w:rPr>
        <w:t xml:space="preserve">1988. Protokolli </w:t>
      </w:r>
      <w:r w:rsidR="007D4893" w:rsidRPr="00E76CA2">
        <w:rPr>
          <w:lang w:val="it-IT"/>
        </w:rPr>
        <w:t xml:space="preserve">shtesë </w:t>
      </w:r>
      <w:r w:rsidRPr="00E76CA2">
        <w:rPr>
          <w:lang w:val="it-IT"/>
        </w:rPr>
        <w:t>nuk është nënshkruar dhe ratifikuar deri më sot nga Shqipëria dhe është në fuqi në lid</w:t>
      </w:r>
      <w:r w:rsidR="000631C3">
        <w:rPr>
          <w:lang w:val="it-IT"/>
        </w:rPr>
        <w:t>hje me Greqinë që prej datës 1 j</w:t>
      </w:r>
      <w:r w:rsidRPr="00E76CA2">
        <w:rPr>
          <w:lang w:val="it-IT"/>
        </w:rPr>
        <w:t>anar 2006.</w:t>
      </w:r>
    </w:p>
    <w:p w:rsidR="00E76CA2" w:rsidRPr="00E76CA2" w:rsidRDefault="00E76CA2" w:rsidP="00E76CA2">
      <w:pPr>
        <w:pStyle w:val="Paragrafi0"/>
        <w:rPr>
          <w:lang w:val="it-IT"/>
        </w:rPr>
      </w:pPr>
      <w:r w:rsidRPr="00E76CA2">
        <w:rPr>
          <w:lang w:val="it-IT"/>
        </w:rPr>
        <w:t xml:space="preserve">Preambula e Konventës për </w:t>
      </w:r>
      <w:r w:rsidR="007D4893" w:rsidRPr="00E76CA2">
        <w:rPr>
          <w:lang w:val="it-IT"/>
        </w:rPr>
        <w:t>transferim</w:t>
      </w:r>
      <w:r w:rsidRPr="00E76CA2">
        <w:rPr>
          <w:lang w:val="it-IT"/>
        </w:rPr>
        <w:t>, në pjesët që lidhen me këtë çështje, parashikon si më poshtë:</w:t>
      </w:r>
    </w:p>
    <w:p w:rsidR="00E76CA2" w:rsidRPr="00E76CA2" w:rsidRDefault="00E76CA2" w:rsidP="00E76CA2">
      <w:pPr>
        <w:pStyle w:val="Paragrafi0"/>
        <w:rPr>
          <w:lang w:val="it-IT"/>
        </w:rPr>
      </w:pPr>
      <w:r w:rsidRPr="00E76CA2">
        <w:rPr>
          <w:lang w:val="it-IT"/>
        </w:rPr>
        <w:t xml:space="preserve"> “Me dëshirën për të zhvilluar më tej bashkëpunimin n</w:t>
      </w:r>
      <w:r w:rsidR="00E52AE5">
        <w:rPr>
          <w:lang w:val="it-IT"/>
        </w:rPr>
        <w:t>dërkombëtar në fushën e s</w:t>
      </w:r>
      <w:r w:rsidRPr="00E76CA2">
        <w:rPr>
          <w:lang w:val="it-IT"/>
        </w:rPr>
        <w:t>ë drejtës penale;</w:t>
      </w:r>
    </w:p>
    <w:p w:rsidR="00E76CA2" w:rsidRPr="00E76CA2" w:rsidRDefault="00E76CA2" w:rsidP="00E76CA2">
      <w:pPr>
        <w:pStyle w:val="Paragrafi0"/>
        <w:rPr>
          <w:lang w:val="it-IT"/>
        </w:rPr>
      </w:pPr>
      <w:r w:rsidRPr="00E76CA2">
        <w:rPr>
          <w:lang w:val="it-IT"/>
        </w:rPr>
        <w:t>Duke marrë parasysh që një bashkëpunim i tillë duhet të mbështesë synimin e drejtësisë dhe rehabilitimit shoqëror të personave të dënuar;</w:t>
      </w:r>
    </w:p>
    <w:p w:rsidR="00E76CA2" w:rsidRPr="00E76CA2" w:rsidRDefault="00E76CA2" w:rsidP="00E76CA2">
      <w:pPr>
        <w:pStyle w:val="Paragrafi0"/>
        <w:rPr>
          <w:lang w:val="it-IT"/>
        </w:rPr>
      </w:pPr>
      <w:r w:rsidRPr="00E76CA2">
        <w:rPr>
          <w:lang w:val="it-IT"/>
        </w:rPr>
        <w:t>Duke marrë parasysh që këto objektiva kërkojnë që të huajve të cilët janë të privuar nga liria e tyre si rezultat i kryerjes së një vepre penale</w:t>
      </w:r>
      <w:r w:rsidR="00E52AE5">
        <w:rPr>
          <w:lang w:val="it-IT"/>
        </w:rPr>
        <w:t>,</w:t>
      </w:r>
      <w:r w:rsidRPr="00E76CA2">
        <w:rPr>
          <w:lang w:val="it-IT"/>
        </w:rPr>
        <w:t xml:space="preserve"> duhet t’u jepet mundësia të vuajnë dënimet brenda shoqërisë së tyre; …”</w:t>
      </w:r>
    </w:p>
    <w:p w:rsidR="00E76CA2" w:rsidRPr="00E76CA2" w:rsidRDefault="00E76CA2" w:rsidP="00E76CA2">
      <w:pPr>
        <w:pStyle w:val="Paragrafi0"/>
        <w:rPr>
          <w:lang w:val="it-IT"/>
        </w:rPr>
      </w:pPr>
      <w:r w:rsidRPr="00E76CA2">
        <w:rPr>
          <w:lang w:val="it-IT"/>
        </w:rPr>
        <w:t xml:space="preserve">Dispozitat përkatëse të Konventës për </w:t>
      </w:r>
      <w:r w:rsidR="007D4893" w:rsidRPr="00E76CA2">
        <w:rPr>
          <w:lang w:val="it-IT"/>
        </w:rPr>
        <w:t xml:space="preserve">transferim </w:t>
      </w:r>
      <w:r w:rsidRPr="00E76CA2">
        <w:rPr>
          <w:lang w:val="it-IT"/>
        </w:rPr>
        <w:t xml:space="preserve">parashikojnë si më poshtë:    </w:t>
      </w:r>
    </w:p>
    <w:p w:rsidR="00E76CA2" w:rsidRPr="00E76CA2" w:rsidRDefault="00E76CA2" w:rsidP="00E76CA2">
      <w:pPr>
        <w:pStyle w:val="Paragrafi0"/>
        <w:rPr>
          <w:lang w:val="it-IT"/>
        </w:rPr>
      </w:pPr>
      <w:r w:rsidRPr="00E76CA2">
        <w:rPr>
          <w:lang w:val="it-IT"/>
        </w:rPr>
        <w:t xml:space="preserve">  </w:t>
      </w:r>
    </w:p>
    <w:p w:rsidR="00173FD1" w:rsidRDefault="00E76CA2" w:rsidP="00173FD1">
      <w:pPr>
        <w:pStyle w:val="NeniNr"/>
        <w:rPr>
          <w:lang w:val="it-IT"/>
        </w:rPr>
      </w:pPr>
      <w:r w:rsidRPr="00E76CA2">
        <w:rPr>
          <w:lang w:val="it-IT"/>
        </w:rPr>
        <w:t>Neni 3</w:t>
      </w:r>
    </w:p>
    <w:p w:rsidR="00E76CA2" w:rsidRPr="00E76CA2" w:rsidRDefault="00E76CA2" w:rsidP="00173FD1">
      <w:pPr>
        <w:pStyle w:val="NeniTitull"/>
        <w:rPr>
          <w:lang w:val="it-IT"/>
        </w:rPr>
      </w:pPr>
      <w:r w:rsidRPr="00E76CA2">
        <w:rPr>
          <w:lang w:val="it-IT"/>
        </w:rPr>
        <w:t>Kushtet për transferim</w:t>
      </w:r>
    </w:p>
    <w:p w:rsidR="00E76CA2" w:rsidRPr="00E76CA2" w:rsidRDefault="00E76CA2" w:rsidP="00E76CA2">
      <w:pPr>
        <w:pStyle w:val="Paragrafi0"/>
        <w:rPr>
          <w:lang w:val="it-IT"/>
        </w:rPr>
      </w:pPr>
    </w:p>
    <w:p w:rsidR="00E76CA2" w:rsidRPr="00E76CA2" w:rsidRDefault="00E76CA2" w:rsidP="00E76CA2">
      <w:pPr>
        <w:pStyle w:val="Paragrafi0"/>
        <w:rPr>
          <w:lang w:val="it-IT"/>
        </w:rPr>
      </w:pPr>
      <w:r w:rsidRPr="00E76CA2">
        <w:rPr>
          <w:lang w:val="it-IT"/>
        </w:rPr>
        <w:t>“Një person i dënuar mund të transferohet sipas kësaj Konvente vetëm në kushtet e mëposhtme:</w:t>
      </w:r>
    </w:p>
    <w:p w:rsidR="00E76CA2" w:rsidRPr="0070154F" w:rsidRDefault="00173FD1" w:rsidP="00E76CA2">
      <w:pPr>
        <w:pStyle w:val="Paragrafi0"/>
      </w:pPr>
      <w:r>
        <w:t xml:space="preserve">a) </w:t>
      </w:r>
      <w:r w:rsidR="00E76CA2" w:rsidRPr="0070154F">
        <w:t xml:space="preserve">nëse ky person është shtetas i </w:t>
      </w:r>
      <w:r w:rsidR="00BD1BBE" w:rsidRPr="0070154F">
        <w:t xml:space="preserve">shtetit </w:t>
      </w:r>
      <w:r w:rsidR="00E76CA2" w:rsidRPr="0070154F">
        <w:t>administrues;</w:t>
      </w:r>
    </w:p>
    <w:p w:rsidR="00E76CA2" w:rsidRPr="0070154F" w:rsidRDefault="00173FD1" w:rsidP="00E76CA2">
      <w:pPr>
        <w:pStyle w:val="Paragrafi0"/>
      </w:pPr>
      <w:r>
        <w:t>b)</w:t>
      </w:r>
      <w:r w:rsidR="00E76CA2" w:rsidRPr="0070154F">
        <w:t xml:space="preserve">  nëse vendimi është përfundimtar;</w:t>
      </w:r>
    </w:p>
    <w:p w:rsidR="001E550D" w:rsidRDefault="001E550D" w:rsidP="00E76CA2">
      <w:pPr>
        <w:pStyle w:val="Paragrafi0"/>
      </w:pPr>
    </w:p>
    <w:p w:rsidR="00E76CA2" w:rsidRPr="0070154F" w:rsidRDefault="00173FD1" w:rsidP="00E76CA2">
      <w:pPr>
        <w:pStyle w:val="Paragrafi0"/>
      </w:pPr>
      <w:r>
        <w:t>c)</w:t>
      </w:r>
      <w:r w:rsidR="00E76CA2" w:rsidRPr="0070154F">
        <w:t xml:space="preserve"> nëse, në kohën e marrjes së kërkesës për transferim, personi i dënuar ka akoma të paktën gjashtë muaj të dënimit për të vuajtur ose nëse dënimi është i pacaktuar;</w:t>
      </w:r>
    </w:p>
    <w:p w:rsidR="00E76CA2" w:rsidRPr="0070154F" w:rsidRDefault="00173FD1" w:rsidP="00E76CA2">
      <w:pPr>
        <w:pStyle w:val="Paragrafi0"/>
      </w:pPr>
      <w:r>
        <w:t>d)</w:t>
      </w:r>
      <w:r w:rsidR="00E76CA2" w:rsidRPr="0070154F">
        <w:t xml:space="preserve"> nëse transferimi pranohet nga personi i dënuar ose, duke pasur parasysh moshën e tij apo kushtet e tij fizike dhe mendore njëri nga dy </w:t>
      </w:r>
      <w:r w:rsidR="00BD1BBE" w:rsidRPr="0070154F">
        <w:t xml:space="preserve">shtetet </w:t>
      </w:r>
      <w:r w:rsidR="00E76CA2" w:rsidRPr="0070154F">
        <w:t>e konsideron të nevojshme, nga përfaqësuesi ligjor i personit të dënuar;</w:t>
      </w:r>
    </w:p>
    <w:p w:rsidR="00E76CA2" w:rsidRPr="0070154F" w:rsidRDefault="00173FD1" w:rsidP="00E76CA2">
      <w:pPr>
        <w:pStyle w:val="Paragrafi0"/>
      </w:pPr>
      <w:r>
        <w:t>e)</w:t>
      </w:r>
      <w:r w:rsidR="00E76CA2" w:rsidRPr="0070154F">
        <w:t xml:space="preserve"> nëse aktet ose mosveprimet për arsye të të cilave është caktuar dënimi, përbëjnë një vepër penale sipas ligjit të </w:t>
      </w:r>
      <w:r w:rsidR="00BD1BBE" w:rsidRPr="0070154F">
        <w:t xml:space="preserve">shtetit </w:t>
      </w:r>
      <w:r w:rsidR="00E76CA2" w:rsidRPr="0070154F">
        <w:t>administrues ose do të përbënin një vepër penale nëse do të kryheshin në territorin e tij; dhe</w:t>
      </w:r>
    </w:p>
    <w:p w:rsidR="00E76CA2" w:rsidRPr="0070154F" w:rsidRDefault="00173FD1" w:rsidP="00E76CA2">
      <w:pPr>
        <w:pStyle w:val="Paragrafi0"/>
      </w:pPr>
      <w:r>
        <w:t>f)</w:t>
      </w:r>
      <w:r w:rsidR="00E76CA2" w:rsidRPr="0070154F">
        <w:t xml:space="preserve"> nëse </w:t>
      </w:r>
      <w:r w:rsidR="00BD1BBE" w:rsidRPr="0070154F">
        <w:t xml:space="preserve">shtetet </w:t>
      </w:r>
      <w:r w:rsidR="00E76CA2" w:rsidRPr="0070154F">
        <w:t>dënuese dhe administruese bien dakord për transferimin.”</w:t>
      </w:r>
    </w:p>
    <w:p w:rsidR="00E76CA2" w:rsidRPr="0070154F" w:rsidRDefault="00E76CA2" w:rsidP="00E76CA2">
      <w:pPr>
        <w:pStyle w:val="Paragrafi0"/>
      </w:pPr>
    </w:p>
    <w:p w:rsidR="00173FD1" w:rsidRDefault="00E76CA2" w:rsidP="00173FD1">
      <w:pPr>
        <w:pStyle w:val="NeniNr"/>
      </w:pPr>
      <w:r w:rsidRPr="0070154F">
        <w:t>Neni 6</w:t>
      </w:r>
    </w:p>
    <w:p w:rsidR="00E76CA2" w:rsidRPr="0070154F" w:rsidRDefault="00E76CA2" w:rsidP="00173FD1">
      <w:pPr>
        <w:pStyle w:val="NeniTitull"/>
      </w:pPr>
      <w:r w:rsidRPr="0070154F">
        <w:t xml:space="preserve"> Dokumentet mbështetëse</w:t>
      </w:r>
    </w:p>
    <w:p w:rsidR="00E76CA2" w:rsidRPr="0070154F" w:rsidRDefault="00E76CA2" w:rsidP="00E76CA2">
      <w:pPr>
        <w:pStyle w:val="Paragrafi0"/>
      </w:pPr>
    </w:p>
    <w:p w:rsidR="00E76CA2" w:rsidRPr="0070154F" w:rsidRDefault="00E76CA2" w:rsidP="00E76CA2">
      <w:pPr>
        <w:pStyle w:val="Paragrafi0"/>
      </w:pPr>
      <w:r w:rsidRPr="0070154F">
        <w:t>“...</w:t>
      </w:r>
    </w:p>
    <w:p w:rsidR="00E76CA2" w:rsidRPr="0070154F" w:rsidRDefault="00E76CA2" w:rsidP="00E76CA2">
      <w:pPr>
        <w:pStyle w:val="Paragrafi0"/>
      </w:pPr>
    </w:p>
    <w:p w:rsidR="00E76CA2" w:rsidRPr="0070154F" w:rsidRDefault="00E76CA2" w:rsidP="00E76CA2">
      <w:pPr>
        <w:pStyle w:val="Paragrafi0"/>
      </w:pPr>
      <w:r w:rsidRPr="0070154F">
        <w:t xml:space="preserve">2. Nëse kërkohet një transferim, </w:t>
      </w:r>
      <w:r w:rsidR="00BD1BBE" w:rsidRPr="0070154F">
        <w:t xml:space="preserve">shteti </w:t>
      </w:r>
      <w:r w:rsidRPr="0070154F">
        <w:t xml:space="preserve">dënues i siguron </w:t>
      </w:r>
      <w:r w:rsidR="00BD1BBE" w:rsidRPr="0070154F">
        <w:t xml:space="preserve">shtetit </w:t>
      </w:r>
      <w:r w:rsidRPr="0070154F">
        <w:t>admini</w:t>
      </w:r>
      <w:r w:rsidR="00E52AE5">
        <w:t xml:space="preserve">strues dokumentet e mëposhtme </w:t>
      </w:r>
      <w:r w:rsidRPr="0070154F">
        <w:t xml:space="preserve">nëse secili </w:t>
      </w:r>
      <w:r w:rsidR="00BD1BBE" w:rsidRPr="0070154F">
        <w:t xml:space="preserve">shtet </w:t>
      </w:r>
      <w:r w:rsidRPr="0070154F">
        <w:t>nuk ka deklaruar se nuk është dakord me transferimin:</w:t>
      </w:r>
    </w:p>
    <w:p w:rsidR="00E76CA2" w:rsidRPr="00E52AE5" w:rsidRDefault="00E52AE5" w:rsidP="00E76CA2">
      <w:pPr>
        <w:pStyle w:val="Paragrafi0"/>
        <w:rPr>
          <w:lang w:val="it-IT"/>
        </w:rPr>
      </w:pPr>
      <w:r w:rsidRPr="00E52AE5">
        <w:rPr>
          <w:lang w:val="it-IT"/>
        </w:rPr>
        <w:t>a</w:t>
      </w:r>
      <w:r w:rsidR="00173FD1" w:rsidRPr="00E52AE5">
        <w:rPr>
          <w:lang w:val="it-IT"/>
        </w:rPr>
        <w:t xml:space="preserve">) </w:t>
      </w:r>
      <w:r w:rsidR="00E76CA2" w:rsidRPr="00E52AE5">
        <w:rPr>
          <w:lang w:val="it-IT"/>
        </w:rPr>
        <w:t>një kopje e vërtetuar e vendimit dhe ligjit mbi të cilin bazohet vendimi;</w:t>
      </w:r>
    </w:p>
    <w:p w:rsidR="00E76CA2" w:rsidRPr="00E52AE5" w:rsidRDefault="00E52AE5" w:rsidP="00E76CA2">
      <w:pPr>
        <w:pStyle w:val="Paragrafi0"/>
        <w:rPr>
          <w:lang w:val="it-IT"/>
        </w:rPr>
      </w:pPr>
      <w:r>
        <w:rPr>
          <w:lang w:val="it-IT"/>
        </w:rPr>
        <w:t>b)</w:t>
      </w:r>
      <w:r w:rsidR="00173FD1" w:rsidRPr="00E52AE5">
        <w:rPr>
          <w:lang w:val="it-IT"/>
        </w:rPr>
        <w:t xml:space="preserve"> </w:t>
      </w:r>
      <w:r w:rsidR="00E76CA2" w:rsidRPr="00E52AE5">
        <w:rPr>
          <w:lang w:val="it-IT"/>
        </w:rPr>
        <w:t>një relacion që tregon pjesën e dënimit që është vuajtur, përfshirë informacionin për periudhën e paraburgimit, uljen e dënimit dhe çdo faktor tjetër në lidhje me zbatimin e dënimit;</w:t>
      </w:r>
    </w:p>
    <w:p w:rsidR="00E76CA2" w:rsidRPr="0070154F" w:rsidRDefault="001304CA" w:rsidP="00E76CA2">
      <w:pPr>
        <w:pStyle w:val="Paragrafi0"/>
      </w:pPr>
      <w:r>
        <w:t xml:space="preserve">c) </w:t>
      </w:r>
      <w:r w:rsidR="00E76CA2" w:rsidRPr="0070154F">
        <w:t xml:space="preserve">një deklaratë që përmban miratimin për transferim siç referohet në </w:t>
      </w:r>
      <w:r w:rsidR="00BD1BBE" w:rsidRPr="0070154F">
        <w:t xml:space="preserve">nenin </w:t>
      </w:r>
      <w:r w:rsidR="00E76CA2" w:rsidRPr="0070154F">
        <w:t>3.1.d; dhe</w:t>
      </w:r>
    </w:p>
    <w:p w:rsidR="00E76CA2" w:rsidRPr="0070154F" w:rsidRDefault="001304CA" w:rsidP="00E76CA2">
      <w:pPr>
        <w:pStyle w:val="Paragrafi0"/>
      </w:pPr>
      <w:r>
        <w:t xml:space="preserve">d) </w:t>
      </w:r>
      <w:r w:rsidR="00E76CA2" w:rsidRPr="0070154F">
        <w:t xml:space="preserve">kur është e nevojshme, çdo raport mjekësor dhe social për personin e dënuar, informacion për trajtimin e tij në </w:t>
      </w:r>
      <w:r w:rsidR="00E52AE5" w:rsidRPr="0070154F">
        <w:t xml:space="preserve">shtetin </w:t>
      </w:r>
      <w:r w:rsidR="00E76CA2" w:rsidRPr="0070154F">
        <w:t xml:space="preserve">dënues, dhe çdo rekomandim për trajtimin e tij të mëtejshëm në </w:t>
      </w:r>
      <w:r w:rsidR="000631C3">
        <w:t>s</w:t>
      </w:r>
      <w:r w:rsidR="00E76CA2" w:rsidRPr="0070154F">
        <w:t xml:space="preserve">htetin administrues.” </w:t>
      </w:r>
    </w:p>
    <w:p w:rsidR="001304CA" w:rsidRDefault="001304CA" w:rsidP="00E76CA2">
      <w:pPr>
        <w:pStyle w:val="Paragrafi0"/>
      </w:pPr>
    </w:p>
    <w:p w:rsidR="001304CA" w:rsidRDefault="00E76CA2" w:rsidP="001304CA">
      <w:pPr>
        <w:pStyle w:val="NeniNr"/>
      </w:pPr>
      <w:r w:rsidRPr="0070154F">
        <w:t xml:space="preserve">Neni 9 </w:t>
      </w:r>
    </w:p>
    <w:p w:rsidR="00E76CA2" w:rsidRPr="0070154F" w:rsidRDefault="00E76CA2" w:rsidP="001304CA">
      <w:pPr>
        <w:pStyle w:val="NeniTitull"/>
      </w:pPr>
      <w:r w:rsidRPr="0070154F">
        <w:t xml:space="preserve">Efektet e transferimit për </w:t>
      </w:r>
      <w:r w:rsidR="00BD1BBE" w:rsidRPr="0070154F">
        <w:t xml:space="preserve">shtetin </w:t>
      </w:r>
      <w:r w:rsidRPr="0070154F">
        <w:t>administrues</w:t>
      </w:r>
    </w:p>
    <w:p w:rsidR="001304CA" w:rsidRDefault="001304CA" w:rsidP="00E76CA2">
      <w:pPr>
        <w:pStyle w:val="Paragrafi0"/>
      </w:pPr>
    </w:p>
    <w:p w:rsidR="00E76CA2" w:rsidRPr="0070154F" w:rsidRDefault="00E76CA2" w:rsidP="00E76CA2">
      <w:pPr>
        <w:pStyle w:val="Paragrafi0"/>
      </w:pPr>
      <w:r w:rsidRPr="0070154F">
        <w:t xml:space="preserve">“1. Autoritetet kompetente të </w:t>
      </w:r>
      <w:r w:rsidR="00BD1BBE" w:rsidRPr="0070154F">
        <w:t xml:space="preserve">shtetit </w:t>
      </w:r>
      <w:r w:rsidRPr="0070154F">
        <w:t>administrues duhet:</w:t>
      </w:r>
    </w:p>
    <w:p w:rsidR="00E76CA2" w:rsidRPr="0070154F" w:rsidRDefault="00CC748F" w:rsidP="00E76CA2">
      <w:pPr>
        <w:pStyle w:val="Paragrafi0"/>
      </w:pPr>
      <w:r>
        <w:t xml:space="preserve">a) </w:t>
      </w:r>
      <w:r w:rsidR="00E76CA2" w:rsidRPr="0070154F">
        <w:t xml:space="preserve">të vazhdojnë zbatimin e vendimit menjëherë ose nëpërmjet një urdhri të gjykatës apo administrativ, sipas kushteve të përcaktuara në </w:t>
      </w:r>
      <w:r w:rsidR="00BD1BBE" w:rsidRPr="0070154F">
        <w:t xml:space="preserve">nenin </w:t>
      </w:r>
      <w:r w:rsidR="00E76CA2" w:rsidRPr="0070154F">
        <w:t>10, ose</w:t>
      </w:r>
    </w:p>
    <w:p w:rsidR="00E76CA2" w:rsidRPr="0070154F" w:rsidRDefault="00CC748F" w:rsidP="00E76CA2">
      <w:pPr>
        <w:pStyle w:val="Paragrafi0"/>
      </w:pPr>
      <w:r>
        <w:t xml:space="preserve">b) </w:t>
      </w:r>
      <w:r w:rsidR="00842526">
        <w:t>t</w:t>
      </w:r>
      <w:r w:rsidR="00E76CA2" w:rsidRPr="0070154F">
        <w:t xml:space="preserve">ë konvertojnë dënimin, nëpërmjet një procedure gjyqësore ose administrative, në një vendim të këtij </w:t>
      </w:r>
      <w:r w:rsidR="00BD1BBE" w:rsidRPr="0070154F">
        <w:t>shteti</w:t>
      </w:r>
      <w:r w:rsidR="00E76CA2" w:rsidRPr="0070154F">
        <w:t xml:space="preserve">, pra duke zëvendësuar sanksionin e caktuar në </w:t>
      </w:r>
      <w:r w:rsidR="00BD1BBE" w:rsidRPr="0070154F">
        <w:t xml:space="preserve">shtetin </w:t>
      </w:r>
      <w:r w:rsidR="00E76CA2" w:rsidRPr="0070154F">
        <w:t xml:space="preserve">dënues në sanksion të përcaktuar me ligj në </w:t>
      </w:r>
      <w:r w:rsidR="00BD1BBE" w:rsidRPr="0070154F">
        <w:t xml:space="preserve">shtetin </w:t>
      </w:r>
      <w:r w:rsidR="00E76CA2" w:rsidRPr="0070154F">
        <w:t>administrues për të njëjtën vepër, si</w:t>
      </w:r>
      <w:r w:rsidR="00E52AE5">
        <w:t>pas kushteve të përcaktuara në n</w:t>
      </w:r>
      <w:r w:rsidR="00E76CA2" w:rsidRPr="0070154F">
        <w:t>enin 11.</w:t>
      </w:r>
    </w:p>
    <w:p w:rsidR="00E76CA2" w:rsidRPr="0070154F" w:rsidRDefault="00CC748F" w:rsidP="00E76CA2">
      <w:pPr>
        <w:pStyle w:val="Paragrafi0"/>
      </w:pPr>
      <w:r>
        <w:t xml:space="preserve">2. </w:t>
      </w:r>
      <w:r w:rsidR="00E76CA2" w:rsidRPr="0070154F">
        <w:t xml:space="preserve">Shteti administrues, nëse kërkohet, duhet të informojë </w:t>
      </w:r>
      <w:r w:rsidR="00BD1BBE" w:rsidRPr="0070154F">
        <w:t xml:space="preserve">shtetin </w:t>
      </w:r>
      <w:r w:rsidR="00E76CA2" w:rsidRPr="0070154F">
        <w:t>dënues përpara transferimit të personit të dënuar në lidhje me procedurat që do të ndjekë.</w:t>
      </w:r>
    </w:p>
    <w:p w:rsidR="00E76CA2" w:rsidRPr="0070154F" w:rsidRDefault="00CC748F" w:rsidP="00E76CA2">
      <w:pPr>
        <w:pStyle w:val="Paragrafi0"/>
      </w:pPr>
      <w:r>
        <w:t xml:space="preserve">3. </w:t>
      </w:r>
      <w:r w:rsidR="00E76CA2" w:rsidRPr="0070154F">
        <w:t xml:space="preserve">Zbatimi i dënimit rregullohet sipas ligjit të </w:t>
      </w:r>
      <w:r w:rsidR="00BD1BBE" w:rsidRPr="0070154F">
        <w:t xml:space="preserve">shtetit </w:t>
      </w:r>
      <w:r w:rsidR="00E76CA2" w:rsidRPr="0070154F">
        <w:t xml:space="preserve">administrues dhe vetëm ky </w:t>
      </w:r>
      <w:r w:rsidR="00BD1BBE" w:rsidRPr="0070154F">
        <w:t xml:space="preserve">shtet </w:t>
      </w:r>
      <w:r w:rsidR="00E76CA2" w:rsidRPr="0070154F">
        <w:t>ka kompetencën për të marrë të gjitha vendimet e duhura....”</w:t>
      </w:r>
    </w:p>
    <w:p w:rsidR="000D6682" w:rsidRPr="00BD1BBE" w:rsidRDefault="000D6682" w:rsidP="00E76CA2">
      <w:pPr>
        <w:pStyle w:val="Paragrafi0"/>
      </w:pPr>
    </w:p>
    <w:p w:rsidR="00CC748F" w:rsidRDefault="00E76CA2" w:rsidP="00CC748F">
      <w:pPr>
        <w:pStyle w:val="NeniNr"/>
        <w:rPr>
          <w:lang w:val="it-IT"/>
        </w:rPr>
      </w:pPr>
      <w:r w:rsidRPr="00E76CA2">
        <w:rPr>
          <w:lang w:val="it-IT"/>
        </w:rPr>
        <w:t xml:space="preserve">Neni 11 </w:t>
      </w:r>
    </w:p>
    <w:p w:rsidR="00E76CA2" w:rsidRPr="00E76CA2" w:rsidRDefault="00E76CA2" w:rsidP="00CC748F">
      <w:pPr>
        <w:pStyle w:val="NeniTitull"/>
        <w:rPr>
          <w:lang w:val="it-IT"/>
        </w:rPr>
      </w:pPr>
      <w:r w:rsidRPr="00E76CA2">
        <w:rPr>
          <w:lang w:val="it-IT"/>
        </w:rPr>
        <w:t>Konvertimi i dënimit</w:t>
      </w:r>
    </w:p>
    <w:p w:rsidR="00CC748F" w:rsidRDefault="00CC748F" w:rsidP="00E76CA2">
      <w:pPr>
        <w:pStyle w:val="Paragrafi0"/>
        <w:rPr>
          <w:lang w:val="it-IT"/>
        </w:rPr>
      </w:pPr>
    </w:p>
    <w:p w:rsidR="00E76CA2" w:rsidRPr="00E76CA2" w:rsidRDefault="00E76CA2" w:rsidP="00744F4D">
      <w:pPr>
        <w:pStyle w:val="Paragrafi0"/>
        <w:rPr>
          <w:lang w:val="it-IT"/>
        </w:rPr>
      </w:pPr>
      <w:r w:rsidRPr="00E76CA2">
        <w:rPr>
          <w:lang w:val="it-IT"/>
        </w:rPr>
        <w:t xml:space="preserve">   “1. Në rastin e konvertimit të një dënimi, zbatohen p</w:t>
      </w:r>
      <w:r w:rsidR="00744F4D">
        <w:rPr>
          <w:lang w:val="it-IT"/>
        </w:rPr>
        <w:t xml:space="preserve">rocedurat e parashikuara në </w:t>
      </w:r>
      <w:r w:rsidRPr="00744F4D">
        <w:rPr>
          <w:lang w:val="it-IT"/>
        </w:rPr>
        <w:t xml:space="preserve">ligjin e </w:t>
      </w:r>
      <w:r w:rsidR="000D6682" w:rsidRPr="00744F4D">
        <w:rPr>
          <w:lang w:val="it-IT"/>
        </w:rPr>
        <w:t xml:space="preserve">shtetit </w:t>
      </w:r>
      <w:r w:rsidRPr="00744F4D">
        <w:rPr>
          <w:lang w:val="it-IT"/>
        </w:rPr>
        <w:t xml:space="preserve">administrues. </w:t>
      </w:r>
      <w:r w:rsidRPr="00E76CA2">
        <w:rPr>
          <w:lang w:val="it-IT"/>
        </w:rPr>
        <w:t>Në konvertimin e dënimit, autoriteti kompetent:</w:t>
      </w:r>
    </w:p>
    <w:p w:rsidR="00E76CA2" w:rsidRPr="00E76CA2" w:rsidRDefault="00744F4D" w:rsidP="00E76CA2">
      <w:pPr>
        <w:pStyle w:val="Paragrafi0"/>
        <w:rPr>
          <w:lang w:val="it-IT"/>
        </w:rPr>
      </w:pPr>
      <w:r>
        <w:rPr>
          <w:lang w:val="it-IT"/>
        </w:rPr>
        <w:t>a</w:t>
      </w:r>
      <w:r w:rsidR="00CC748F">
        <w:rPr>
          <w:lang w:val="it-IT"/>
        </w:rPr>
        <w:t xml:space="preserve">) </w:t>
      </w:r>
      <w:r w:rsidR="00E76CA2" w:rsidRPr="00E76CA2">
        <w:rPr>
          <w:lang w:val="it-IT"/>
        </w:rPr>
        <w:t xml:space="preserve">duhet të kufizohet nga konstatimet e fakteve siç paraqiten në mënyrë të qartë ose të nënkuptuar në vendimin e caktuar në </w:t>
      </w:r>
      <w:r w:rsidR="000D6682" w:rsidRPr="00E76CA2">
        <w:rPr>
          <w:lang w:val="it-IT"/>
        </w:rPr>
        <w:t xml:space="preserve">shtetin </w:t>
      </w:r>
      <w:r w:rsidR="00E76CA2" w:rsidRPr="00E76CA2">
        <w:rPr>
          <w:lang w:val="it-IT"/>
        </w:rPr>
        <w:t>dënues;</w:t>
      </w:r>
    </w:p>
    <w:p w:rsidR="00E76CA2" w:rsidRPr="00E76CA2" w:rsidRDefault="00744F4D" w:rsidP="00E76CA2">
      <w:pPr>
        <w:pStyle w:val="Paragrafi0"/>
        <w:rPr>
          <w:lang w:val="it-IT"/>
        </w:rPr>
      </w:pPr>
      <w:r>
        <w:rPr>
          <w:lang w:val="it-IT"/>
        </w:rPr>
        <w:t>b</w:t>
      </w:r>
      <w:r w:rsidR="00CC748F">
        <w:rPr>
          <w:lang w:val="it-IT"/>
        </w:rPr>
        <w:t xml:space="preserve">) </w:t>
      </w:r>
      <w:r w:rsidR="00E76CA2" w:rsidRPr="00E76CA2">
        <w:rPr>
          <w:lang w:val="it-IT"/>
        </w:rPr>
        <w:t>nuk mund të konvertojë një sanksion që përfshin privimin e lirisë me një sanksion në para;</w:t>
      </w:r>
    </w:p>
    <w:p w:rsidR="00E76CA2" w:rsidRPr="00E76CA2" w:rsidRDefault="00744F4D" w:rsidP="00E76CA2">
      <w:pPr>
        <w:pStyle w:val="Paragrafi0"/>
        <w:rPr>
          <w:lang w:val="it-IT"/>
        </w:rPr>
      </w:pPr>
      <w:r>
        <w:rPr>
          <w:lang w:val="it-IT"/>
        </w:rPr>
        <w:t>c</w:t>
      </w:r>
      <w:r w:rsidR="00CC748F">
        <w:rPr>
          <w:lang w:val="it-IT"/>
        </w:rPr>
        <w:t xml:space="preserve">) </w:t>
      </w:r>
      <w:r w:rsidR="00E76CA2" w:rsidRPr="00E76CA2">
        <w:rPr>
          <w:lang w:val="it-IT"/>
        </w:rPr>
        <w:t>duhet të zbresë periudhën e plotë të privimit të lirisë të vuajtur nga personi i dënuar; dhe</w:t>
      </w:r>
    </w:p>
    <w:p w:rsidR="00E76CA2" w:rsidRPr="00E76CA2" w:rsidRDefault="000D6682" w:rsidP="00E76CA2">
      <w:pPr>
        <w:pStyle w:val="Paragrafi0"/>
        <w:rPr>
          <w:lang w:val="it-IT"/>
        </w:rPr>
      </w:pPr>
      <w:r>
        <w:rPr>
          <w:lang w:val="it-IT"/>
        </w:rPr>
        <w:t xml:space="preserve">d) </w:t>
      </w:r>
      <w:r w:rsidR="00E76CA2" w:rsidRPr="00E76CA2">
        <w:rPr>
          <w:lang w:val="it-IT"/>
        </w:rPr>
        <w:t>nuk duhet të rëndojë pozicionin penal të personit të dënuar, si dhe nuk duhet të kufizohet</w:t>
      </w:r>
      <w:r w:rsidR="000631C3">
        <w:rPr>
          <w:lang w:val="it-IT"/>
        </w:rPr>
        <w:t xml:space="preserve"> nga ndonjë minimum që ligji i s</w:t>
      </w:r>
      <w:r w:rsidR="00E76CA2" w:rsidRPr="00E76CA2">
        <w:rPr>
          <w:lang w:val="it-IT"/>
        </w:rPr>
        <w:t>htetit dënues mund të parashikojë për veprën apo veprat e kryera.</w:t>
      </w:r>
    </w:p>
    <w:p w:rsidR="001E550D" w:rsidRDefault="001E550D" w:rsidP="00E76CA2">
      <w:pPr>
        <w:pStyle w:val="Paragrafi0"/>
        <w:rPr>
          <w:lang w:val="it-IT"/>
        </w:rPr>
      </w:pPr>
    </w:p>
    <w:p w:rsidR="00E76CA2" w:rsidRPr="00E76CA2" w:rsidRDefault="00CC748F" w:rsidP="00E76CA2">
      <w:pPr>
        <w:pStyle w:val="Paragrafi0"/>
        <w:rPr>
          <w:lang w:val="it-IT"/>
        </w:rPr>
      </w:pPr>
      <w:r>
        <w:rPr>
          <w:lang w:val="it-IT"/>
        </w:rPr>
        <w:t xml:space="preserve">2. </w:t>
      </w:r>
      <w:r w:rsidR="00E76CA2" w:rsidRPr="00E76CA2">
        <w:rPr>
          <w:lang w:val="it-IT"/>
        </w:rPr>
        <w:t xml:space="preserve">Nëse procedura e konvertimit kryhet pas transferimit të personit të dënuar, </w:t>
      </w:r>
      <w:r w:rsidR="00744F4D" w:rsidRPr="00E76CA2">
        <w:rPr>
          <w:lang w:val="it-IT"/>
        </w:rPr>
        <w:t xml:space="preserve">shteti </w:t>
      </w:r>
      <w:r w:rsidR="00E76CA2" w:rsidRPr="00E76CA2">
        <w:rPr>
          <w:lang w:val="it-IT"/>
        </w:rPr>
        <w:t xml:space="preserve">administrues duhet të mbajë personin në paraburgim ose duhet të sigurojë praninë e tij në </w:t>
      </w:r>
      <w:r w:rsidR="00744F4D" w:rsidRPr="00E76CA2">
        <w:rPr>
          <w:lang w:val="it-IT"/>
        </w:rPr>
        <w:t xml:space="preserve">shtetin </w:t>
      </w:r>
      <w:r w:rsidR="00E76CA2" w:rsidRPr="00E76CA2">
        <w:rPr>
          <w:lang w:val="it-IT"/>
        </w:rPr>
        <w:t xml:space="preserve">administrues në pritje të përfundimit të kësaj procedure. ” </w:t>
      </w:r>
    </w:p>
    <w:p w:rsidR="00CC748F" w:rsidRDefault="00CC748F" w:rsidP="00E76CA2">
      <w:pPr>
        <w:pStyle w:val="Paragrafi0"/>
        <w:rPr>
          <w:lang w:val="it-IT"/>
        </w:rPr>
      </w:pPr>
    </w:p>
    <w:p w:rsidR="00CC748F" w:rsidRDefault="00E76CA2" w:rsidP="00CC748F">
      <w:pPr>
        <w:pStyle w:val="NeniNr"/>
        <w:rPr>
          <w:lang w:val="it-IT"/>
        </w:rPr>
      </w:pPr>
      <w:r w:rsidRPr="00E76CA2">
        <w:rPr>
          <w:lang w:val="it-IT"/>
        </w:rPr>
        <w:t>Neni 22</w:t>
      </w:r>
    </w:p>
    <w:p w:rsidR="00E76CA2" w:rsidRPr="00E76CA2" w:rsidRDefault="00E76CA2" w:rsidP="00CC748F">
      <w:pPr>
        <w:pStyle w:val="NeniTitull"/>
        <w:rPr>
          <w:lang w:val="it-IT"/>
        </w:rPr>
      </w:pPr>
      <w:r w:rsidRPr="00E76CA2">
        <w:rPr>
          <w:lang w:val="it-IT"/>
        </w:rPr>
        <w:t xml:space="preserve">Marrëdhënia me </w:t>
      </w:r>
      <w:r w:rsidR="000D6682" w:rsidRPr="00E76CA2">
        <w:rPr>
          <w:lang w:val="it-IT"/>
        </w:rPr>
        <w:t xml:space="preserve">konventa dhe marrëveshje </w:t>
      </w:r>
      <w:r w:rsidRPr="00E76CA2">
        <w:rPr>
          <w:lang w:val="it-IT"/>
        </w:rPr>
        <w:t>të tjera</w:t>
      </w:r>
    </w:p>
    <w:p w:rsidR="00CC748F" w:rsidRDefault="00CC748F" w:rsidP="00E76CA2">
      <w:pPr>
        <w:pStyle w:val="Paragrafi0"/>
        <w:rPr>
          <w:lang w:val="it-IT"/>
        </w:rPr>
      </w:pPr>
    </w:p>
    <w:p w:rsidR="00E76CA2" w:rsidRPr="00E76CA2" w:rsidRDefault="00E76CA2" w:rsidP="00E76CA2">
      <w:pPr>
        <w:pStyle w:val="Paragrafi0"/>
        <w:rPr>
          <w:lang w:val="it-IT"/>
        </w:rPr>
      </w:pPr>
      <w:r w:rsidRPr="00E76CA2">
        <w:rPr>
          <w:lang w:val="it-IT"/>
        </w:rPr>
        <w:t xml:space="preserve">        “...</w:t>
      </w:r>
    </w:p>
    <w:p w:rsidR="00E76CA2" w:rsidRPr="00E76CA2" w:rsidRDefault="00E76CA2" w:rsidP="00E76CA2">
      <w:pPr>
        <w:pStyle w:val="Paragrafi0"/>
        <w:rPr>
          <w:lang w:val="it-IT"/>
        </w:rPr>
      </w:pPr>
      <w:r w:rsidRPr="00E76CA2">
        <w:rPr>
          <w:lang w:val="it-IT"/>
        </w:rPr>
        <w:t xml:space="preserve">2. Nëse dy apo më shumë </w:t>
      </w:r>
      <w:r w:rsidR="000D6682" w:rsidRPr="00E76CA2">
        <w:rPr>
          <w:lang w:val="it-IT"/>
        </w:rPr>
        <w:t xml:space="preserve">palë </w:t>
      </w:r>
      <w:r w:rsidRPr="00E76CA2">
        <w:rPr>
          <w:lang w:val="it-IT"/>
        </w:rPr>
        <w:t>kanë përfunduar një marrëveshje ose traktat  mbi transferimin e personave të dënuar apo kanë përcaktuar marrëdhëniet e tyre në këtë çështje, ose do t’i përcaktojnë në të ardhmen, për rrjedhojë atyre u njihet e drejta të zbatojnë këtë marrëveshje apo traktat, në vend të Konventës në fjalë.”</w:t>
      </w:r>
    </w:p>
    <w:p w:rsidR="00E76CA2" w:rsidRPr="00E76CA2" w:rsidRDefault="00E76CA2" w:rsidP="00E76CA2">
      <w:pPr>
        <w:pStyle w:val="Paragrafi0"/>
        <w:rPr>
          <w:lang w:val="it-IT"/>
        </w:rPr>
      </w:pPr>
    </w:p>
    <w:p w:rsidR="00CC748F" w:rsidRDefault="00E76CA2" w:rsidP="00CC748F">
      <w:pPr>
        <w:pStyle w:val="NeniNr"/>
        <w:rPr>
          <w:lang w:val="it-IT"/>
        </w:rPr>
      </w:pPr>
      <w:r w:rsidRPr="00E76CA2">
        <w:rPr>
          <w:lang w:val="it-IT"/>
        </w:rPr>
        <w:t>Neni 23</w:t>
      </w:r>
    </w:p>
    <w:p w:rsidR="00E76CA2" w:rsidRPr="00E76CA2" w:rsidRDefault="00E76CA2" w:rsidP="00CC748F">
      <w:pPr>
        <w:pStyle w:val="NeniTitull"/>
        <w:rPr>
          <w:lang w:val="it-IT"/>
        </w:rPr>
      </w:pPr>
      <w:r w:rsidRPr="00E76CA2">
        <w:rPr>
          <w:lang w:val="it-IT"/>
        </w:rPr>
        <w:t xml:space="preserve"> Zgjidhja miqësore</w:t>
      </w:r>
    </w:p>
    <w:p w:rsidR="00CC748F" w:rsidRDefault="00CC748F" w:rsidP="00E76CA2">
      <w:pPr>
        <w:pStyle w:val="Paragrafi0"/>
        <w:rPr>
          <w:lang w:val="it-IT"/>
        </w:rPr>
      </w:pPr>
    </w:p>
    <w:p w:rsidR="00E76CA2" w:rsidRPr="00E76CA2" w:rsidRDefault="004A1509" w:rsidP="00E76CA2">
      <w:pPr>
        <w:pStyle w:val="Paragrafi0"/>
        <w:rPr>
          <w:lang w:val="it-IT"/>
        </w:rPr>
      </w:pPr>
      <w:r>
        <w:rPr>
          <w:lang w:val="it-IT"/>
        </w:rPr>
        <w:t>“Komiteti Eu</w:t>
      </w:r>
      <w:r w:rsidR="00E76CA2" w:rsidRPr="00E76CA2">
        <w:rPr>
          <w:lang w:val="it-IT"/>
        </w:rPr>
        <w:t>ropian mbi Prob</w:t>
      </w:r>
      <w:r>
        <w:rPr>
          <w:lang w:val="it-IT"/>
        </w:rPr>
        <w:t>leme të Krimit i Këshillit të Eu</w:t>
      </w:r>
      <w:r w:rsidR="00E76CA2" w:rsidRPr="00E76CA2">
        <w:rPr>
          <w:lang w:val="it-IT"/>
        </w:rPr>
        <w:t>ropës duhet të informohet në lidhje me zbatimin e kësaj Konvente dhe duhet të bëjë çdo gjë që lehtëson zgjidhjen miqësore të ndonjë vështirësie që mund të lindë gjatë zbatimit.”</w:t>
      </w:r>
    </w:p>
    <w:p w:rsidR="00E76CA2" w:rsidRPr="00E76CA2" w:rsidRDefault="00E76CA2" w:rsidP="00E76CA2">
      <w:pPr>
        <w:pStyle w:val="Paragrafi0"/>
        <w:rPr>
          <w:lang w:val="it-IT"/>
        </w:rPr>
      </w:pPr>
      <w:r w:rsidRPr="00E76CA2">
        <w:rPr>
          <w:lang w:val="it-IT"/>
        </w:rPr>
        <w:t xml:space="preserve">Paragrafi 10 i raportit shpjegues shpreh se “Konventa kufizohet me sigurimin e kuadrit procedural për transferimet. Ajo nuk përmban detyrime ndaj </w:t>
      </w:r>
      <w:r w:rsidR="000D6682" w:rsidRPr="00E76CA2">
        <w:rPr>
          <w:lang w:val="it-IT"/>
        </w:rPr>
        <w:t xml:space="preserve">shteteve kontraktuese </w:t>
      </w:r>
      <w:r w:rsidRPr="00E76CA2">
        <w:rPr>
          <w:lang w:val="it-IT"/>
        </w:rPr>
        <w:t xml:space="preserve">për të përmbushur kërkesën për transferim; për këtë arsye, nuk ishte e domosdoshme të renditeshin arsyet e refuzimit, apo t’i kërkohej </w:t>
      </w:r>
      <w:r w:rsidR="000D6682" w:rsidRPr="00E76CA2">
        <w:rPr>
          <w:lang w:val="it-IT"/>
        </w:rPr>
        <w:t xml:space="preserve">shtetit </w:t>
      </w:r>
      <w:r w:rsidRPr="00E76CA2">
        <w:rPr>
          <w:lang w:val="it-IT"/>
        </w:rPr>
        <w:t>të kërkuar të japë arsyet e refuzimit nga ana e tij të transferimit të kërkuar.”</w:t>
      </w:r>
    </w:p>
    <w:p w:rsidR="00E76CA2" w:rsidRPr="00E76CA2" w:rsidRDefault="00E76CA2" w:rsidP="00E76CA2">
      <w:pPr>
        <w:pStyle w:val="Paragrafi0"/>
        <w:rPr>
          <w:lang w:val="it-IT"/>
        </w:rPr>
      </w:pPr>
    </w:p>
    <w:p w:rsidR="00E76CA2" w:rsidRPr="00E76CA2" w:rsidRDefault="00E76CA2" w:rsidP="00E76CA2">
      <w:pPr>
        <w:pStyle w:val="Paragrafi0"/>
        <w:rPr>
          <w:lang w:val="it-IT"/>
        </w:rPr>
      </w:pPr>
      <w:r w:rsidRPr="00E76CA2">
        <w:rPr>
          <w:lang w:val="it-IT"/>
        </w:rPr>
        <w:t>ANKIMET</w:t>
      </w:r>
    </w:p>
    <w:p w:rsidR="00E76CA2" w:rsidRPr="00E76CA2" w:rsidRDefault="00E76CA2" w:rsidP="00E76CA2">
      <w:pPr>
        <w:pStyle w:val="Paragrafi0"/>
        <w:rPr>
          <w:lang w:val="it-IT"/>
        </w:rPr>
      </w:pPr>
      <w:r w:rsidRPr="00E76CA2">
        <w:rPr>
          <w:lang w:val="it-IT"/>
        </w:rPr>
        <w:t xml:space="preserve">Ankuesit pretendonin se refuzimi i autoriteteve </w:t>
      </w:r>
      <w:r w:rsidR="00744F4D" w:rsidRPr="00E76CA2">
        <w:rPr>
          <w:lang w:val="it-IT"/>
        </w:rPr>
        <w:t xml:space="preserve">greke </w:t>
      </w:r>
      <w:r w:rsidRPr="00E76CA2">
        <w:rPr>
          <w:lang w:val="it-IT"/>
        </w:rPr>
        <w:t>për t’i transferuar ato në Shqipëri</w:t>
      </w:r>
      <w:r w:rsidR="000D6682">
        <w:rPr>
          <w:lang w:val="it-IT"/>
        </w:rPr>
        <w:t>,</w:t>
      </w:r>
      <w:r w:rsidRPr="00E76CA2">
        <w:rPr>
          <w:lang w:val="it-IT"/>
        </w:rPr>
        <w:t xml:space="preserve"> me qëllim që të vuanin pjesën e mbetur të dënimit në vendin e tyre të origjinës, pasi fillimisht kanë pranuar transferimin, shkaktonte </w:t>
      </w:r>
      <w:r w:rsidRPr="00744F4D">
        <w:rPr>
          <w:i/>
          <w:lang w:val="it-IT"/>
        </w:rPr>
        <w:t>de facto</w:t>
      </w:r>
      <w:r w:rsidRPr="00E76CA2">
        <w:rPr>
          <w:lang w:val="it-IT"/>
        </w:rPr>
        <w:t xml:space="preserve"> një periudhë më të gjatë burgimi në krahasim me periudhën që ato do të kishin vuajtur nëse do të bëhej transferimi. Ankuesit u ankuan se të dyja </w:t>
      </w:r>
      <w:r w:rsidR="00744F4D" w:rsidRPr="00E76CA2">
        <w:rPr>
          <w:lang w:val="it-IT"/>
        </w:rPr>
        <w:t xml:space="preserve">qeveritë </w:t>
      </w:r>
      <w:r w:rsidRPr="00E76CA2">
        <w:rPr>
          <w:lang w:val="it-IT"/>
        </w:rPr>
        <w:t>nuk kanë ndërmarrë hapat e mjaftueshëm për të garantuar të drejtat e tyre dhe për të përfunduar procedurat e transferimit. Gjithashtu</w:t>
      </w:r>
      <w:r w:rsidR="004A1509">
        <w:rPr>
          <w:lang w:val="it-IT"/>
        </w:rPr>
        <w:t>,</w:t>
      </w:r>
      <w:r w:rsidRPr="00E76CA2">
        <w:rPr>
          <w:lang w:val="it-IT"/>
        </w:rPr>
        <w:t xml:space="preserve"> ato u ankuan sipas </w:t>
      </w:r>
      <w:r w:rsidR="00744F4D" w:rsidRPr="00E76CA2">
        <w:rPr>
          <w:lang w:val="it-IT"/>
        </w:rPr>
        <w:t xml:space="preserve">nenit </w:t>
      </w:r>
      <w:r w:rsidRPr="00E76CA2">
        <w:rPr>
          <w:lang w:val="it-IT"/>
        </w:rPr>
        <w:t>6 § 1 të Konventës</w:t>
      </w:r>
      <w:r w:rsidR="004A1509">
        <w:rPr>
          <w:lang w:val="it-IT"/>
        </w:rPr>
        <w:t>,</w:t>
      </w:r>
      <w:r w:rsidRPr="00E76CA2">
        <w:rPr>
          <w:lang w:val="it-IT"/>
        </w:rPr>
        <w:t xml:space="preserve"> se atyre nuk u është bërë gjykim i drejtë në Greqi, meqenëse gjykatat vendase nuk u kishin siguruar përkthyes të saktë. Sipas </w:t>
      </w:r>
      <w:r w:rsidR="00744F4D" w:rsidRPr="00E76CA2">
        <w:rPr>
          <w:lang w:val="it-IT"/>
        </w:rPr>
        <w:t xml:space="preserve">nenit </w:t>
      </w:r>
      <w:r w:rsidRPr="00E76CA2">
        <w:rPr>
          <w:lang w:val="it-IT"/>
        </w:rPr>
        <w:t>8 të Kon</w:t>
      </w:r>
      <w:r w:rsidR="000D6682">
        <w:rPr>
          <w:lang w:val="it-IT"/>
        </w:rPr>
        <w:t>ventës, ato argumentonin se mos</w:t>
      </w:r>
      <w:r w:rsidRPr="00E76CA2">
        <w:rPr>
          <w:lang w:val="it-IT"/>
        </w:rPr>
        <w:t xml:space="preserve">transferimi i tyre ishte një ndërhyrje e pajustifikuar me të drejtën e tyre për të respektuar jetën familjare. </w:t>
      </w:r>
    </w:p>
    <w:p w:rsidR="000D6682" w:rsidRDefault="000D6682" w:rsidP="00E76CA2">
      <w:pPr>
        <w:pStyle w:val="Paragrafi0"/>
        <w:rPr>
          <w:lang w:val="it-IT"/>
        </w:rPr>
      </w:pPr>
    </w:p>
    <w:p w:rsidR="00E76CA2" w:rsidRPr="00E76CA2" w:rsidRDefault="00E76CA2" w:rsidP="00E76CA2">
      <w:pPr>
        <w:pStyle w:val="Paragrafi0"/>
        <w:rPr>
          <w:lang w:val="it-IT"/>
        </w:rPr>
      </w:pPr>
      <w:r w:rsidRPr="00E76CA2">
        <w:rPr>
          <w:lang w:val="it-IT"/>
        </w:rPr>
        <w:t>E DREJTA</w:t>
      </w:r>
    </w:p>
    <w:p w:rsidR="00E76CA2" w:rsidRPr="00E76CA2" w:rsidRDefault="00CC748F" w:rsidP="00E76CA2">
      <w:pPr>
        <w:pStyle w:val="Paragrafi0"/>
        <w:rPr>
          <w:lang w:val="it-IT"/>
        </w:rPr>
      </w:pPr>
      <w:r>
        <w:rPr>
          <w:lang w:val="it-IT"/>
        </w:rPr>
        <w:t xml:space="preserve">1. </w:t>
      </w:r>
      <w:r w:rsidR="00E76CA2" w:rsidRPr="00E76CA2">
        <w:rPr>
          <w:lang w:val="it-IT"/>
        </w:rPr>
        <w:t xml:space="preserve">Ankuesit u ankuan sipas </w:t>
      </w:r>
      <w:r w:rsidR="00744F4D" w:rsidRPr="00E76CA2">
        <w:rPr>
          <w:lang w:val="it-IT"/>
        </w:rPr>
        <w:t xml:space="preserve">nenit </w:t>
      </w:r>
      <w:r w:rsidR="00E76CA2" w:rsidRPr="00E76CA2">
        <w:rPr>
          <w:lang w:val="it-IT"/>
        </w:rPr>
        <w:t xml:space="preserve">6 § 1 të Konventës se autoritetet </w:t>
      </w:r>
      <w:r w:rsidR="000D6682" w:rsidRPr="00E76CA2">
        <w:rPr>
          <w:lang w:val="it-IT"/>
        </w:rPr>
        <w:t xml:space="preserve">shqiptare </w:t>
      </w:r>
      <w:r w:rsidR="00E76CA2" w:rsidRPr="00E76CA2">
        <w:rPr>
          <w:lang w:val="it-IT"/>
        </w:rPr>
        <w:t xml:space="preserve">nuk kanë vepruar në përputhje me vendimin e Gjykatës së Rrethit Lushnjë të datës 15 </w:t>
      </w:r>
      <w:r w:rsidR="00744F4D" w:rsidRPr="00E76CA2">
        <w:rPr>
          <w:lang w:val="it-IT"/>
        </w:rPr>
        <w:t xml:space="preserve">nëntor </w:t>
      </w:r>
      <w:r w:rsidR="00E76CA2" w:rsidRPr="00E76CA2">
        <w:rPr>
          <w:lang w:val="it-IT"/>
        </w:rPr>
        <w:t>2000.</w:t>
      </w:r>
    </w:p>
    <w:p w:rsidR="00E76CA2" w:rsidRPr="00E76CA2" w:rsidRDefault="00E76CA2" w:rsidP="00E76CA2">
      <w:pPr>
        <w:pStyle w:val="Paragrafi0"/>
        <w:rPr>
          <w:lang w:val="it-IT"/>
        </w:rPr>
      </w:pPr>
      <w:r w:rsidRPr="00E76CA2">
        <w:rPr>
          <w:lang w:val="it-IT"/>
        </w:rPr>
        <w:t>Neni 6 § 1 i Konventës, në pjesët që lidhen me këtë çështje, parashikon si më poshtë:</w:t>
      </w:r>
    </w:p>
    <w:p w:rsidR="00E76CA2" w:rsidRPr="00E76CA2" w:rsidRDefault="00E76CA2" w:rsidP="00E76CA2">
      <w:pPr>
        <w:pStyle w:val="Paragrafi0"/>
        <w:rPr>
          <w:lang w:val="it-IT"/>
        </w:rPr>
      </w:pPr>
      <w:r w:rsidRPr="00E76CA2">
        <w:rPr>
          <w:lang w:val="it-IT"/>
        </w:rPr>
        <w:t>“Në ushtrimin e të drejtave dhe detyrimeve të tij civile, … çdo person ka të drejtën e një procesi të rregullt ligjor … nga [një] … gjykatë…”</w:t>
      </w:r>
    </w:p>
    <w:p w:rsidR="00E76CA2" w:rsidRPr="00E76CA2" w:rsidRDefault="00E76CA2" w:rsidP="00E76CA2">
      <w:pPr>
        <w:pStyle w:val="Paragrafi0"/>
        <w:rPr>
          <w:lang w:val="it-IT"/>
        </w:rPr>
      </w:pPr>
      <w:r w:rsidRPr="00E76CA2">
        <w:rPr>
          <w:lang w:val="it-IT"/>
        </w:rPr>
        <w:t xml:space="preserve">Qeveria Shqiptare argumentoi se ankuesit nuk hynë në juridiksionin e saj. Vendimi i gjykatës vendase </w:t>
      </w:r>
      <w:r w:rsidR="00744F4D" w:rsidRPr="00E76CA2">
        <w:rPr>
          <w:lang w:val="it-IT"/>
        </w:rPr>
        <w:t>shqiptare</w:t>
      </w:r>
      <w:r w:rsidRPr="00E76CA2">
        <w:rPr>
          <w:lang w:val="it-IT"/>
        </w:rPr>
        <w:t>, i cili do të kishte efekt</w:t>
      </w:r>
      <w:r w:rsidR="004A1509">
        <w:rPr>
          <w:lang w:val="it-IT"/>
        </w:rPr>
        <w:t>,</w:t>
      </w:r>
      <w:r w:rsidRPr="00E76CA2">
        <w:rPr>
          <w:lang w:val="it-IT"/>
        </w:rPr>
        <w:t xml:space="preserve"> nëse ankuesit do të transferoheshin nga Greqia, vleftësoi vendimin e gjykatës </w:t>
      </w:r>
      <w:r w:rsidR="00744F4D" w:rsidRPr="00E76CA2">
        <w:rPr>
          <w:lang w:val="it-IT"/>
        </w:rPr>
        <w:t xml:space="preserve">greke </w:t>
      </w:r>
      <w:r w:rsidRPr="00E76CA2">
        <w:rPr>
          <w:lang w:val="it-IT"/>
        </w:rPr>
        <w:t xml:space="preserve">dhe konvertoi dënimet e ankuesve. </w:t>
      </w:r>
    </w:p>
    <w:p w:rsidR="00E76CA2" w:rsidRPr="00E76CA2" w:rsidRDefault="00E76CA2" w:rsidP="00E76CA2">
      <w:pPr>
        <w:pStyle w:val="Paragrafi0"/>
        <w:rPr>
          <w:lang w:val="it-IT"/>
        </w:rPr>
      </w:pPr>
      <w:r w:rsidRPr="00E76CA2">
        <w:rPr>
          <w:lang w:val="it-IT"/>
        </w:rPr>
        <w:t xml:space="preserve"> Gjykata vëren se lidhja ndërmjet ankuesve dhe Shqipërisë është vendimi i Gjykatës së Rrethit Lushnjë, i datës 15 </w:t>
      </w:r>
      <w:r w:rsidR="00744F4D" w:rsidRPr="00E76CA2">
        <w:rPr>
          <w:lang w:val="it-IT"/>
        </w:rPr>
        <w:t xml:space="preserve">nëntor </w:t>
      </w:r>
      <w:r w:rsidRPr="00E76CA2">
        <w:rPr>
          <w:lang w:val="it-IT"/>
        </w:rPr>
        <w:t xml:space="preserve">2000. Ajo vlerëson se çështja thelbësore për t’u shqyrtuar në lidhje me këtë ankim është nëse, si rezultat i vendimit të gjykatës, ankuesit mund të përfshiheshin në juridiksionin e Shqipërisë në kuptim të </w:t>
      </w:r>
      <w:r w:rsidR="00744F4D" w:rsidRPr="00E76CA2">
        <w:rPr>
          <w:lang w:val="it-IT"/>
        </w:rPr>
        <w:t xml:space="preserve">nenit </w:t>
      </w:r>
      <w:r w:rsidRPr="00E76CA2">
        <w:rPr>
          <w:lang w:val="it-IT"/>
        </w:rPr>
        <w:t>1 të Konventës.</w:t>
      </w:r>
    </w:p>
    <w:p w:rsidR="00E76CA2" w:rsidRPr="00E76CA2" w:rsidRDefault="00E76CA2" w:rsidP="00E76CA2">
      <w:pPr>
        <w:pStyle w:val="Paragrafi0"/>
        <w:rPr>
          <w:lang w:val="it-IT"/>
        </w:rPr>
      </w:pPr>
      <w:r w:rsidRPr="00E76CA2">
        <w:rPr>
          <w:lang w:val="it-IT"/>
        </w:rPr>
        <w:t xml:space="preserve">Ankuesit janë proceduar dhe dënuar nga autoritetet </w:t>
      </w:r>
      <w:r w:rsidR="000D6682" w:rsidRPr="00E76CA2">
        <w:rPr>
          <w:lang w:val="it-IT"/>
        </w:rPr>
        <w:t>greke</w:t>
      </w:r>
      <w:r w:rsidRPr="00E76CA2">
        <w:rPr>
          <w:lang w:val="it-IT"/>
        </w:rPr>
        <w:t>, ku për rrjedhojë ato vuajnë dënimin e tyre në Greqi. Gjykata konsideron që nuk ka të dhëna se autoritet</w:t>
      </w:r>
      <w:r w:rsidR="000D6682">
        <w:rPr>
          <w:lang w:val="it-IT"/>
        </w:rPr>
        <w:t>et</w:t>
      </w:r>
      <w:r w:rsidRPr="00E76CA2">
        <w:rPr>
          <w:lang w:val="it-IT"/>
        </w:rPr>
        <w:t xml:space="preserve"> </w:t>
      </w:r>
      <w:r w:rsidR="000D6682" w:rsidRPr="00E76CA2">
        <w:rPr>
          <w:lang w:val="it-IT"/>
        </w:rPr>
        <w:t xml:space="preserve">shqiptare </w:t>
      </w:r>
      <w:r w:rsidRPr="00E76CA2">
        <w:rPr>
          <w:lang w:val="it-IT"/>
        </w:rPr>
        <w:t xml:space="preserve">ushtruan juridiksionin mbi ankuesit në kuptim të </w:t>
      </w:r>
      <w:r w:rsidR="00744F4D" w:rsidRPr="00E76CA2">
        <w:rPr>
          <w:lang w:val="it-IT"/>
        </w:rPr>
        <w:t xml:space="preserve">nenit </w:t>
      </w:r>
      <w:r w:rsidRPr="00E76CA2">
        <w:rPr>
          <w:lang w:val="it-IT"/>
        </w:rPr>
        <w:t>1 të Konventës (</w:t>
      </w:r>
      <w:r w:rsidR="00744F4D" w:rsidRPr="00E76CA2">
        <w:rPr>
          <w:lang w:val="it-IT"/>
        </w:rPr>
        <w:t>shih</w:t>
      </w:r>
      <w:r w:rsidRPr="00E76CA2">
        <w:rPr>
          <w:lang w:val="it-IT"/>
        </w:rPr>
        <w:t>, për shembull, Bankovic dhe të Tjerë k. Belgjikës dhe 16 Shteteve të Tjera Kontraktuese (dec.) [GC], nr. 52207/99,§§ 61-63, ECHR 2001-XII). Gjithashtu</w:t>
      </w:r>
      <w:r w:rsidR="004A1509">
        <w:rPr>
          <w:lang w:val="it-IT"/>
        </w:rPr>
        <w:t>,</w:t>
      </w:r>
      <w:r w:rsidRPr="00E76CA2">
        <w:rPr>
          <w:lang w:val="it-IT"/>
        </w:rPr>
        <w:t xml:space="preserve"> nuk mund të konsiderohet mbi faktet se Shqipëria ndërmori ndonjë përgjegjësi për ankuesit. Procedurat në Shqipëri ndodhën si rezultat i kërkesës për transferim parashtruar nga autoritet</w:t>
      </w:r>
      <w:r w:rsidR="000D6682">
        <w:rPr>
          <w:lang w:val="it-IT"/>
        </w:rPr>
        <w:t>et</w:t>
      </w:r>
      <w:r w:rsidRPr="00E76CA2">
        <w:rPr>
          <w:lang w:val="it-IT"/>
        </w:rPr>
        <w:t xml:space="preserve"> </w:t>
      </w:r>
      <w:r w:rsidR="000D6682" w:rsidRPr="00E76CA2">
        <w:rPr>
          <w:lang w:val="it-IT"/>
        </w:rPr>
        <w:t xml:space="preserve">greke </w:t>
      </w:r>
      <w:r w:rsidRPr="00E76CA2">
        <w:rPr>
          <w:lang w:val="it-IT"/>
        </w:rPr>
        <w:t xml:space="preserve">dhe u planifikuan vetëm për të vlerësuar dhe zbatuar vendimin e gjykatës </w:t>
      </w:r>
      <w:r w:rsidR="00744F4D" w:rsidRPr="00E76CA2">
        <w:rPr>
          <w:lang w:val="it-IT"/>
        </w:rPr>
        <w:t>greke</w:t>
      </w:r>
      <w:r w:rsidRPr="00E76CA2">
        <w:rPr>
          <w:lang w:val="it-IT"/>
        </w:rPr>
        <w:t xml:space="preserve">. </w:t>
      </w:r>
    </w:p>
    <w:p w:rsidR="00E76CA2" w:rsidRPr="00E76CA2" w:rsidRDefault="00E76CA2" w:rsidP="00E76CA2">
      <w:pPr>
        <w:pStyle w:val="Paragrafi0"/>
        <w:rPr>
          <w:lang w:val="it-IT"/>
        </w:rPr>
      </w:pPr>
      <w:r w:rsidRPr="00E76CA2">
        <w:rPr>
          <w:lang w:val="it-IT"/>
        </w:rPr>
        <w:t xml:space="preserve">Gjykatat </w:t>
      </w:r>
      <w:r w:rsidR="00744F4D" w:rsidRPr="00E76CA2">
        <w:rPr>
          <w:lang w:val="it-IT"/>
        </w:rPr>
        <w:t xml:space="preserve">shqiptare </w:t>
      </w:r>
      <w:r w:rsidRPr="00E76CA2">
        <w:rPr>
          <w:lang w:val="it-IT"/>
        </w:rPr>
        <w:t xml:space="preserve">vepruan në zbatim të së drejtës penale vendase dhe në përputhje me konventat ndërkombëtare të ratifikuara nga Shqipëria. Detyrimi i Konventës për të vepruar në përputhje me vendimin e gjykatës vendase </w:t>
      </w:r>
      <w:r w:rsidR="00744F4D" w:rsidRPr="00E76CA2">
        <w:rPr>
          <w:lang w:val="it-IT"/>
        </w:rPr>
        <w:t xml:space="preserve">shqiptare </w:t>
      </w:r>
      <w:r w:rsidRPr="00E76CA2">
        <w:rPr>
          <w:lang w:val="it-IT"/>
        </w:rPr>
        <w:t>do të lindte në rastin e transferimit të ankuesve në Shqipëri. Ndërsa ank</w:t>
      </w:r>
      <w:r w:rsidR="00744F4D">
        <w:rPr>
          <w:lang w:val="it-IT"/>
        </w:rPr>
        <w:t>uesit ankohen pikërisht për mos</w:t>
      </w:r>
      <w:r w:rsidRPr="00E76CA2">
        <w:rPr>
          <w:lang w:val="it-IT"/>
        </w:rPr>
        <w:t>transferimin, në rrethanat e çështjes nuk</w:t>
      </w:r>
      <w:r w:rsidR="004A1509">
        <w:rPr>
          <w:lang w:val="it-IT"/>
        </w:rPr>
        <w:t xml:space="preserve"> ka asnjë element që të lejojë </w:t>
      </w:r>
      <w:r w:rsidR="00A673EF">
        <w:rPr>
          <w:lang w:val="it-IT"/>
        </w:rPr>
        <w:t>G</w:t>
      </w:r>
      <w:r w:rsidR="00A673EF" w:rsidRPr="00E76CA2">
        <w:rPr>
          <w:lang w:val="it-IT"/>
        </w:rPr>
        <w:t xml:space="preserve">jykatën </w:t>
      </w:r>
      <w:r w:rsidRPr="00E76CA2">
        <w:rPr>
          <w:lang w:val="it-IT"/>
        </w:rPr>
        <w:t xml:space="preserve">të arrijë në përfundimin nëse ankuesit mund të kishin aftësinë të përfshiheshin në juridiksionin </w:t>
      </w:r>
      <w:r w:rsidR="00744F4D" w:rsidRPr="00E76CA2">
        <w:rPr>
          <w:lang w:val="it-IT"/>
        </w:rPr>
        <w:t xml:space="preserve">shqiptar </w:t>
      </w:r>
      <w:r w:rsidRPr="00E76CA2">
        <w:rPr>
          <w:lang w:val="it-IT"/>
        </w:rPr>
        <w:t xml:space="preserve">në kuptim të </w:t>
      </w:r>
      <w:r w:rsidR="000D6682" w:rsidRPr="00E76CA2">
        <w:rPr>
          <w:lang w:val="it-IT"/>
        </w:rPr>
        <w:t xml:space="preserve">nenit </w:t>
      </w:r>
      <w:r w:rsidRPr="00E76CA2">
        <w:rPr>
          <w:lang w:val="it-IT"/>
        </w:rPr>
        <w:t>1 të Konventës (shih për shembull Drozd dhe Janousek k. Francës dhe Spanjës, 26 Qershor 1992, §§ 91-98, Seria A nr. 240; Loizidou k. Turqisë (kundërshtimet paraprake), 23 Mars 1995, §§ 59-64, Seria A nr.310; Bankovic dhe të Tjerë, cituar më lart,§§ 74-82; Ilascu dhe të Tjerë k. Moldavisë dhe Rusisë [GC], nr. 48787/99, §§ 300-394, ECHR 2004- VII ).</w:t>
      </w:r>
    </w:p>
    <w:p w:rsidR="00E76CA2" w:rsidRPr="00E76CA2" w:rsidRDefault="00E76CA2" w:rsidP="00E76CA2">
      <w:pPr>
        <w:pStyle w:val="Paragrafi0"/>
        <w:rPr>
          <w:lang w:val="it-IT"/>
        </w:rPr>
      </w:pPr>
      <w:r w:rsidRPr="00E76CA2">
        <w:rPr>
          <w:lang w:val="it-IT"/>
        </w:rPr>
        <w:t xml:space="preserve">Për rrjedhojë ankimi duhet të deklarohet i papajtueshëm </w:t>
      </w:r>
      <w:r w:rsidRPr="00744F4D">
        <w:rPr>
          <w:i/>
          <w:lang w:val="it-IT"/>
        </w:rPr>
        <w:t>ratione personae</w:t>
      </w:r>
      <w:r w:rsidRPr="00E76CA2">
        <w:rPr>
          <w:lang w:val="it-IT"/>
        </w:rPr>
        <w:t xml:space="preserve"> me dispozitat e Konventës dhe si i tillë, i papranueshëm në përputhje me </w:t>
      </w:r>
      <w:r w:rsidR="00744F4D" w:rsidRPr="00E76CA2">
        <w:rPr>
          <w:lang w:val="it-IT"/>
        </w:rPr>
        <w:t xml:space="preserve">nenin </w:t>
      </w:r>
      <w:r w:rsidRPr="00E76CA2">
        <w:rPr>
          <w:lang w:val="it-IT"/>
        </w:rPr>
        <w:t>35 §§ 3 dhe 4 të Konventës.</w:t>
      </w:r>
    </w:p>
    <w:p w:rsidR="00E76CA2" w:rsidRPr="00E76CA2" w:rsidRDefault="00CC748F" w:rsidP="00E76CA2">
      <w:pPr>
        <w:pStyle w:val="Paragrafi0"/>
        <w:rPr>
          <w:lang w:val="it-IT"/>
        </w:rPr>
      </w:pPr>
      <w:r>
        <w:rPr>
          <w:lang w:val="it-IT"/>
        </w:rPr>
        <w:t xml:space="preserve">2. </w:t>
      </w:r>
      <w:r w:rsidR="00E76CA2" w:rsidRPr="00E76CA2">
        <w:rPr>
          <w:lang w:val="it-IT"/>
        </w:rPr>
        <w:t xml:space="preserve">Pa iu drejtuar ndonjë </w:t>
      </w:r>
      <w:r w:rsidR="00153A16" w:rsidRPr="00E76CA2">
        <w:rPr>
          <w:lang w:val="it-IT"/>
        </w:rPr>
        <w:t xml:space="preserve">neni </w:t>
      </w:r>
      <w:r w:rsidR="00E76CA2" w:rsidRPr="00E76CA2">
        <w:rPr>
          <w:lang w:val="it-IT"/>
        </w:rPr>
        <w:t xml:space="preserve">të veçantë të Konventës, ankuesit u ankuan gjithashtu kundër Greqisë se mostransferimi i tyre nga kjo e fundit nënkuptonte se ato duhej të vuanin një periudhë më të gjatë burgimi. Më tej ato pretenduan shkelje të së drejtës së tyre të respektimit të jetës familjare sipas </w:t>
      </w:r>
      <w:r w:rsidR="00D8550D" w:rsidRPr="00E76CA2">
        <w:rPr>
          <w:lang w:val="it-IT"/>
        </w:rPr>
        <w:t xml:space="preserve">nenit </w:t>
      </w:r>
      <w:r w:rsidR="00E76CA2" w:rsidRPr="00E76CA2">
        <w:rPr>
          <w:lang w:val="it-IT"/>
        </w:rPr>
        <w:t xml:space="preserve">8 të Konventës si rezultat i refuzimit të autoriteteve </w:t>
      </w:r>
      <w:r w:rsidR="000D6682" w:rsidRPr="00E76CA2">
        <w:rPr>
          <w:lang w:val="it-IT"/>
        </w:rPr>
        <w:t xml:space="preserve">greke </w:t>
      </w:r>
      <w:r w:rsidR="00E76CA2" w:rsidRPr="00E76CA2">
        <w:rPr>
          <w:lang w:val="it-IT"/>
        </w:rPr>
        <w:t xml:space="preserve">për t’i transferuar ato në Shqipëri. </w:t>
      </w:r>
    </w:p>
    <w:p w:rsidR="00E76CA2" w:rsidRPr="00E76CA2" w:rsidRDefault="00E76CA2" w:rsidP="00E76CA2">
      <w:pPr>
        <w:pStyle w:val="Paragrafi0"/>
        <w:rPr>
          <w:lang w:val="it-IT"/>
        </w:rPr>
      </w:pPr>
      <w:r w:rsidRPr="00E76CA2">
        <w:rPr>
          <w:lang w:val="it-IT"/>
        </w:rPr>
        <w:t>Neni 8 i Konventës parashikon:</w:t>
      </w:r>
    </w:p>
    <w:p w:rsidR="00E76CA2" w:rsidRPr="00E76CA2" w:rsidRDefault="00E76CA2" w:rsidP="00E76CA2">
      <w:pPr>
        <w:pStyle w:val="Paragrafi0"/>
        <w:rPr>
          <w:lang w:val="it-IT"/>
        </w:rPr>
      </w:pPr>
      <w:r w:rsidRPr="00E76CA2">
        <w:rPr>
          <w:lang w:val="it-IT"/>
        </w:rPr>
        <w:t xml:space="preserve">“1. </w:t>
      </w:r>
      <w:r w:rsidR="000D6682" w:rsidRPr="00E76CA2">
        <w:rPr>
          <w:lang w:val="it-IT"/>
        </w:rPr>
        <w:t xml:space="preserve">Çdokush </w:t>
      </w:r>
      <w:r w:rsidRPr="00E76CA2">
        <w:rPr>
          <w:lang w:val="it-IT"/>
        </w:rPr>
        <w:t>ka të drejtën e respektimit të jetës së tij private dhe familjare, shtëpisë dhe korrespondencës së tij.</w:t>
      </w:r>
    </w:p>
    <w:p w:rsidR="00E76CA2" w:rsidRPr="00E76CA2" w:rsidRDefault="00E76CA2" w:rsidP="00E76CA2">
      <w:pPr>
        <w:pStyle w:val="Paragrafi0"/>
        <w:rPr>
          <w:lang w:val="it-IT"/>
        </w:rPr>
      </w:pPr>
      <w:r w:rsidRPr="00E76CA2">
        <w:rPr>
          <w:lang w:val="it-IT"/>
        </w:rPr>
        <w:t>2. Autoriteti publik nuk duhet të ndërhyjë më ushtrimin e kësaj të drejte</w:t>
      </w:r>
      <w:r w:rsidR="000D6682">
        <w:rPr>
          <w:lang w:val="it-IT"/>
        </w:rPr>
        <w:t>,</w:t>
      </w:r>
      <w:r w:rsidRPr="00E76CA2">
        <w:rPr>
          <w:lang w:val="it-IT"/>
        </w:rPr>
        <w:t xml:space="preserve"> me përjashtim të rasteve kur në përputhje me ligjin është e domosdoshme në një shoqëri demokratike në interes të sigurisë kombëtare, sigurisë publike apo mirëqenies ekonomike të vendit, për parandalimin e prishjes së qetësisë publike ose krimit, për mbrojtjen e shëndetit apo..., ose për mbrojtjen e të drejtave dhe lirive të të tjerëve.” </w:t>
      </w:r>
      <w:r w:rsidR="00153A16">
        <w:rPr>
          <w:lang w:val="it-IT"/>
        </w:rPr>
        <w:t>.</w:t>
      </w:r>
    </w:p>
    <w:p w:rsidR="00E76CA2" w:rsidRPr="00E76CA2" w:rsidRDefault="004A1509" w:rsidP="00E76CA2">
      <w:pPr>
        <w:pStyle w:val="Paragrafi0"/>
        <w:rPr>
          <w:lang w:val="it-IT"/>
        </w:rPr>
      </w:pPr>
      <w:r>
        <w:rPr>
          <w:lang w:val="it-IT"/>
        </w:rPr>
        <w:t xml:space="preserve"> Qeveria g</w:t>
      </w:r>
      <w:r w:rsidR="00E76CA2" w:rsidRPr="00E76CA2">
        <w:rPr>
          <w:lang w:val="it-IT"/>
        </w:rPr>
        <w:t xml:space="preserve">reke parashtroi se autoritetet </w:t>
      </w:r>
      <w:r w:rsidR="00153A16" w:rsidRPr="00E76CA2">
        <w:rPr>
          <w:lang w:val="it-IT"/>
        </w:rPr>
        <w:t>greke</w:t>
      </w:r>
      <w:r w:rsidR="000D6682">
        <w:rPr>
          <w:lang w:val="it-IT"/>
        </w:rPr>
        <w:t>,</w:t>
      </w:r>
      <w:r w:rsidR="00153A16" w:rsidRPr="00E76CA2">
        <w:rPr>
          <w:lang w:val="it-IT"/>
        </w:rPr>
        <w:t xml:space="preserve"> </w:t>
      </w:r>
      <w:r w:rsidR="000D6682">
        <w:rPr>
          <w:lang w:val="it-IT"/>
        </w:rPr>
        <w:t>thjesht</w:t>
      </w:r>
      <w:r w:rsidR="00E76CA2" w:rsidRPr="00E76CA2">
        <w:rPr>
          <w:lang w:val="it-IT"/>
        </w:rPr>
        <w:t xml:space="preserve"> kanë filluar procedurat duke informuar autoritetet </w:t>
      </w:r>
      <w:r w:rsidR="00153A16" w:rsidRPr="00E76CA2">
        <w:rPr>
          <w:lang w:val="it-IT"/>
        </w:rPr>
        <w:t xml:space="preserve">shqiptare </w:t>
      </w:r>
      <w:r w:rsidR="00E76CA2" w:rsidRPr="00E76CA2">
        <w:rPr>
          <w:lang w:val="it-IT"/>
        </w:rPr>
        <w:t xml:space="preserve">mbi synimet e tyre. Ato kanë kërkuar parashtrimin e dokumenteve suplementare, me marrjen e të cilave ato kanë refuzuar transferimin, pa e aprovuar ndonjëherë. Më tej ajo argumentoi se qëllimi i Konventës për </w:t>
      </w:r>
      <w:r w:rsidR="00153A16" w:rsidRPr="00E76CA2">
        <w:rPr>
          <w:lang w:val="it-IT"/>
        </w:rPr>
        <w:t xml:space="preserve">transferim </w:t>
      </w:r>
      <w:r w:rsidR="00E76CA2" w:rsidRPr="00E76CA2">
        <w:rPr>
          <w:lang w:val="it-IT"/>
        </w:rPr>
        <w:t xml:space="preserve">nuk ishte për të mundësuar personat e dënuar të kthehen në vendin e tyre të origjinës dhe të lirohen nga pasojat e pafavorshme të vuajtjes së dënimit të caktuar nga </w:t>
      </w:r>
      <w:r w:rsidR="00153A16" w:rsidRPr="00E76CA2">
        <w:rPr>
          <w:lang w:val="it-IT"/>
        </w:rPr>
        <w:t xml:space="preserve">shteti </w:t>
      </w:r>
      <w:r w:rsidR="00E76CA2" w:rsidRPr="00E76CA2">
        <w:rPr>
          <w:lang w:val="it-IT"/>
        </w:rPr>
        <w:t xml:space="preserve">dënues. Transferimi dhe marrëveshja e palëve në lidhje me të nuk ishin të detyrueshme për </w:t>
      </w:r>
      <w:r w:rsidR="00153A16" w:rsidRPr="00E76CA2">
        <w:rPr>
          <w:lang w:val="it-IT"/>
        </w:rPr>
        <w:t xml:space="preserve">shtetin </w:t>
      </w:r>
      <w:r w:rsidR="00E76CA2" w:rsidRPr="00E76CA2">
        <w:rPr>
          <w:lang w:val="it-IT"/>
        </w:rPr>
        <w:t>dënues.</w:t>
      </w:r>
    </w:p>
    <w:p w:rsidR="00E76CA2" w:rsidRPr="00E76CA2" w:rsidRDefault="00E76CA2" w:rsidP="00E76CA2">
      <w:pPr>
        <w:pStyle w:val="Paragrafi0"/>
        <w:rPr>
          <w:lang w:val="it-IT"/>
        </w:rPr>
      </w:pPr>
      <w:r w:rsidRPr="00E76CA2">
        <w:rPr>
          <w:lang w:val="it-IT"/>
        </w:rPr>
        <w:t xml:space="preserve">Gjykata konsideron se çështja thelbësore e ngritur nga ankuesit është nëse refuzimi nga Greqia për transferimin e tyre përfshihet në fushën e veprimit të ndonjë </w:t>
      </w:r>
      <w:r w:rsidR="00153A16" w:rsidRPr="00E76CA2">
        <w:rPr>
          <w:lang w:val="it-IT"/>
        </w:rPr>
        <w:t xml:space="preserve">neni </w:t>
      </w:r>
      <w:r w:rsidRPr="00E76CA2">
        <w:rPr>
          <w:lang w:val="it-IT"/>
        </w:rPr>
        <w:t>të Konventës.</w:t>
      </w:r>
    </w:p>
    <w:p w:rsidR="00E76CA2" w:rsidRPr="00E76CA2" w:rsidRDefault="00E76CA2" w:rsidP="00E76CA2">
      <w:pPr>
        <w:pStyle w:val="Paragrafi0"/>
        <w:rPr>
          <w:lang w:val="it-IT"/>
        </w:rPr>
      </w:pPr>
      <w:r w:rsidRPr="00E76CA2">
        <w:rPr>
          <w:lang w:val="it-IT"/>
        </w:rPr>
        <w:t xml:space="preserve">Së pari, Gjykata vëren se nuk ka të dhëna që ligji </w:t>
      </w:r>
      <w:r w:rsidR="00153A16" w:rsidRPr="00E76CA2">
        <w:rPr>
          <w:lang w:val="it-IT"/>
        </w:rPr>
        <w:t xml:space="preserve">grek </w:t>
      </w:r>
      <w:r w:rsidRPr="00E76CA2">
        <w:rPr>
          <w:lang w:val="it-IT"/>
        </w:rPr>
        <w:t xml:space="preserve">i njeh ankuesve ndonjë të drejtë për t’u transferuar në Shqipëri dhe ankuesit nuk iu referuan ndonjë dispozite ligjore përkatëse që do të tregonte ekzistencën e ndonjë të drejte të tillë. Gjithashtu nuk ka asnjë urdhër transferimi të gjykatës vendase në favor të tyre. Rrjedhimisht, nuk mund të pretendohet se ato kanë ndonjë të drejtë thelbësore sipas ligjit </w:t>
      </w:r>
      <w:r w:rsidR="000D6682" w:rsidRPr="00E76CA2">
        <w:rPr>
          <w:lang w:val="it-IT"/>
        </w:rPr>
        <w:t xml:space="preserve">grek </w:t>
      </w:r>
      <w:r w:rsidRPr="00E76CA2">
        <w:rPr>
          <w:lang w:val="it-IT"/>
        </w:rPr>
        <w:t>për t’u transferuar në vendin e tyre të origjinës.</w:t>
      </w:r>
    </w:p>
    <w:p w:rsidR="00E76CA2" w:rsidRPr="00E76CA2" w:rsidRDefault="00E76CA2" w:rsidP="00E76CA2">
      <w:pPr>
        <w:pStyle w:val="Paragrafi0"/>
        <w:rPr>
          <w:lang w:val="it-IT"/>
        </w:rPr>
      </w:pPr>
      <w:r w:rsidRPr="00E76CA2">
        <w:rPr>
          <w:lang w:val="it-IT"/>
        </w:rPr>
        <w:t>Gjykata gjithashtu vëren se, ndërsa dispozitat e marrëveshjeve ndërkombëtare mund të krijojnë të drejta individuale të mbrojtura nga Konventa ose ku</w:t>
      </w:r>
      <w:r w:rsidR="000D6682">
        <w:rPr>
          <w:lang w:val="it-IT"/>
        </w:rPr>
        <w:t>r dispozita është drejtpërdrejt</w:t>
      </w:r>
      <w:r w:rsidRPr="00E76CA2">
        <w:rPr>
          <w:lang w:val="it-IT"/>
        </w:rPr>
        <w:t xml:space="preserve"> e aplikueshme (shih S.A Dangeville k. Francës, nr.36677/97,§§ 46-48, </w:t>
      </w:r>
      <w:r w:rsidR="000D6682">
        <w:rPr>
          <w:lang w:val="it-IT"/>
        </w:rPr>
        <w:t>ECHR 2002-III, në lidhje me mos</w:t>
      </w:r>
      <w:r w:rsidRPr="00E76CA2">
        <w:rPr>
          <w:lang w:val="it-IT"/>
        </w:rPr>
        <w:t>vendosjen e të drejtës së brendshme në përputhje me direktivën e Komunitetit) ose kur është shpallur legjislacioni i brendshëm i domosdoshëm që e zbaton atë (</w:t>
      </w:r>
      <w:r w:rsidR="004A1509">
        <w:rPr>
          <w:lang w:val="it-IT"/>
        </w:rPr>
        <w:t>shih Beaumartin k. Francës, 24 nëntor 1994, §§ 27-28, s</w:t>
      </w:r>
      <w:r w:rsidRPr="00E76CA2">
        <w:rPr>
          <w:lang w:val="it-IT"/>
        </w:rPr>
        <w:t xml:space="preserve">eria A nr. 296-B, në lidhje me të drejtën e kompensimit që rrjedh nga traktati </w:t>
      </w:r>
      <w:r w:rsidR="000D6682" w:rsidRPr="00E76CA2">
        <w:rPr>
          <w:lang w:val="it-IT"/>
        </w:rPr>
        <w:t>franko</w:t>
      </w:r>
      <w:r w:rsidRPr="00E76CA2">
        <w:rPr>
          <w:lang w:val="it-IT"/>
        </w:rPr>
        <w:t>-</w:t>
      </w:r>
      <w:r w:rsidR="000D6682" w:rsidRPr="00E76CA2">
        <w:rPr>
          <w:lang w:val="it-IT"/>
        </w:rPr>
        <w:t xml:space="preserve">maroken </w:t>
      </w:r>
      <w:r w:rsidRPr="00E76CA2">
        <w:rPr>
          <w:lang w:val="it-IT"/>
        </w:rPr>
        <w:t xml:space="preserve">dhe legjislacioni vijues </w:t>
      </w:r>
      <w:r w:rsidR="00153A16" w:rsidRPr="00E76CA2">
        <w:rPr>
          <w:lang w:val="it-IT"/>
        </w:rPr>
        <w:t xml:space="preserve">francez </w:t>
      </w:r>
      <w:r w:rsidRPr="00E76CA2">
        <w:rPr>
          <w:lang w:val="it-IT"/>
        </w:rPr>
        <w:t xml:space="preserve">që krijon një komitet përgjegjës për shpërndarjen e dëmshpërblimit </w:t>
      </w:r>
      <w:r w:rsidR="000D6682" w:rsidRPr="00E76CA2">
        <w:rPr>
          <w:lang w:val="it-IT"/>
        </w:rPr>
        <w:t>maroken</w:t>
      </w:r>
      <w:r w:rsidRPr="00E76CA2">
        <w:rPr>
          <w:lang w:val="it-IT"/>
        </w:rPr>
        <w:t xml:space="preserve">), dispozitat e Marrëveshjes </w:t>
      </w:r>
      <w:r w:rsidR="004A1509" w:rsidRPr="00E76CA2">
        <w:rPr>
          <w:lang w:val="it-IT"/>
        </w:rPr>
        <w:t xml:space="preserve">Bilaterale </w:t>
      </w:r>
      <w:r w:rsidRPr="00E76CA2">
        <w:rPr>
          <w:lang w:val="it-IT"/>
        </w:rPr>
        <w:t xml:space="preserve">dhe Konventa për </w:t>
      </w:r>
      <w:r w:rsidR="00153A16" w:rsidRPr="00E76CA2">
        <w:rPr>
          <w:lang w:val="it-IT"/>
        </w:rPr>
        <w:t xml:space="preserve">transferim </w:t>
      </w:r>
      <w:r w:rsidRPr="00E76CA2">
        <w:rPr>
          <w:lang w:val="it-IT"/>
        </w:rPr>
        <w:t>i kufizon ato për të siguruar kuadrin procedural ndër</w:t>
      </w:r>
      <w:r w:rsidR="00153A16">
        <w:rPr>
          <w:lang w:val="it-IT"/>
        </w:rPr>
        <w:t>s</w:t>
      </w:r>
      <w:r w:rsidRPr="00E76CA2">
        <w:rPr>
          <w:lang w:val="it-IT"/>
        </w:rPr>
        <w:t xml:space="preserve">htetëror për transferimin e personave të dënuar dhe nuk krijon asnjë të drejtë thelbësore individuale </w:t>
      </w:r>
      <w:r w:rsidRPr="000D6682">
        <w:rPr>
          <w:i/>
          <w:lang w:val="it-IT"/>
        </w:rPr>
        <w:t>per se</w:t>
      </w:r>
      <w:r w:rsidRPr="00E76CA2">
        <w:rPr>
          <w:lang w:val="it-IT"/>
        </w:rPr>
        <w:t xml:space="preserve">. Në çdo rast, këto instrumente ndërkombëtare nuk përmbajnë një detyrim për </w:t>
      </w:r>
      <w:r w:rsidR="00153A16" w:rsidRPr="00E76CA2">
        <w:rPr>
          <w:lang w:val="it-IT"/>
        </w:rPr>
        <w:t xml:space="preserve">shtetet </w:t>
      </w:r>
      <w:r w:rsidRPr="00E76CA2">
        <w:rPr>
          <w:lang w:val="it-IT"/>
        </w:rPr>
        <w:t>nënshkruese për të vepruar në përputhje me kërkesën për transferim (shih Passaris k. G</w:t>
      </w:r>
      <w:r w:rsidR="009A2FD5">
        <w:rPr>
          <w:lang w:val="it-IT"/>
        </w:rPr>
        <w:t>reqisë (dec.), nr. 53344/07, 4 s</w:t>
      </w:r>
      <w:r w:rsidRPr="00E76CA2">
        <w:rPr>
          <w:lang w:val="it-IT"/>
        </w:rPr>
        <w:t xml:space="preserve">hator 2009). Megjithëse marrëveshja bilaterale përmbante argumente mbi të cilat mund të refuzohej transferimi, ajo nuk detyronte autoritetet </w:t>
      </w:r>
      <w:r w:rsidR="000D6682" w:rsidRPr="00E76CA2">
        <w:rPr>
          <w:lang w:val="it-IT"/>
        </w:rPr>
        <w:t xml:space="preserve">greke </w:t>
      </w:r>
      <w:r w:rsidR="000D6682">
        <w:rPr>
          <w:lang w:val="it-IT"/>
        </w:rPr>
        <w:t>të</w:t>
      </w:r>
      <w:r w:rsidRPr="00E76CA2">
        <w:rPr>
          <w:lang w:val="it-IT"/>
        </w:rPr>
        <w:t xml:space="preserve"> gjente kërkesat e transferimit në favor të ankuesve. Në mënyrë specifike</w:t>
      </w:r>
      <w:r w:rsidR="000D6682">
        <w:rPr>
          <w:lang w:val="it-IT"/>
        </w:rPr>
        <w:t>,</w:t>
      </w:r>
      <w:r w:rsidRPr="00E76CA2">
        <w:rPr>
          <w:lang w:val="it-IT"/>
        </w:rPr>
        <w:t xml:space="preserve"> </w:t>
      </w:r>
      <w:r w:rsidR="000D6682" w:rsidRPr="00E76CA2">
        <w:rPr>
          <w:lang w:val="it-IT"/>
        </w:rPr>
        <w:t xml:space="preserve">marrëveshja bilaterale </w:t>
      </w:r>
      <w:r w:rsidRPr="00E76CA2">
        <w:rPr>
          <w:lang w:val="it-IT"/>
        </w:rPr>
        <w:t>përjashton çdo detyrim të tillë për të kryer një transferim edhe nëse janë përmbushur kushte të tilla.</w:t>
      </w:r>
    </w:p>
    <w:p w:rsidR="00E76CA2" w:rsidRPr="00E76CA2" w:rsidRDefault="00E76CA2" w:rsidP="00E76CA2">
      <w:pPr>
        <w:pStyle w:val="Paragrafi0"/>
        <w:rPr>
          <w:lang w:val="it-IT"/>
        </w:rPr>
      </w:pPr>
      <w:r w:rsidRPr="00E76CA2">
        <w:rPr>
          <w:lang w:val="it-IT"/>
        </w:rPr>
        <w:t xml:space="preserve">Së fundi, duhet të ritheksohet se, për sa i përket refuzimit </w:t>
      </w:r>
      <w:r w:rsidR="000D6682" w:rsidRPr="00E76CA2">
        <w:rPr>
          <w:lang w:val="it-IT"/>
        </w:rPr>
        <w:t xml:space="preserve">grek </w:t>
      </w:r>
      <w:r w:rsidRPr="00E76CA2">
        <w:rPr>
          <w:lang w:val="it-IT"/>
        </w:rPr>
        <w:t xml:space="preserve">për të autorizuar transferimin e ankuesve në Shqipëri, Konventa nuk i njeh të burgosurve të drejtën për të zgjedhur vendin e vuajtjes së dënimit dhe se ndarja dhe largësia nga familja e tyre janë një pasojë e pashmangshme e vuajtjes së dënimit të tyre sipas ushtrimit nga </w:t>
      </w:r>
      <w:r w:rsidR="000D6682" w:rsidRPr="00E76CA2">
        <w:rPr>
          <w:lang w:val="it-IT"/>
        </w:rPr>
        <w:t xml:space="preserve">shteti grek </w:t>
      </w:r>
      <w:r w:rsidRPr="00E76CA2">
        <w:rPr>
          <w:lang w:val="it-IT"/>
        </w:rPr>
        <w:t xml:space="preserve">i prerogativave të tij në fushën e sanksioneve penale (shih Selmani k. Zvicrës (dec.) </w:t>
      </w:r>
      <w:r w:rsidR="009A2FD5">
        <w:rPr>
          <w:lang w:val="it-IT"/>
        </w:rPr>
        <w:t>nr. 70258/01, 28 q</w:t>
      </w:r>
      <w:r w:rsidRPr="00E76CA2">
        <w:rPr>
          <w:lang w:val="it-IT"/>
        </w:rPr>
        <w:t xml:space="preserve">ershor 2001; Venetucci k. Italisë, vendimi i Komisionit i datës 2 </w:t>
      </w:r>
      <w:r w:rsidR="009A2FD5">
        <w:rPr>
          <w:lang w:val="it-IT"/>
        </w:rPr>
        <w:t>m</w:t>
      </w:r>
      <w:r w:rsidRPr="00E76CA2">
        <w:rPr>
          <w:lang w:val="it-IT"/>
        </w:rPr>
        <w:t xml:space="preserve">ars 1998; Hacisuleymanogly k. Italisë, nr. 23241/94, vendimi i Komisionit i datës 20 </w:t>
      </w:r>
      <w:r w:rsidR="000D6682" w:rsidRPr="00E76CA2">
        <w:rPr>
          <w:lang w:val="it-IT"/>
        </w:rPr>
        <w:t xml:space="preserve">tetor </w:t>
      </w:r>
      <w:r w:rsidRPr="00E76CA2">
        <w:rPr>
          <w:lang w:val="it-IT"/>
        </w:rPr>
        <w:t>1994).</w:t>
      </w:r>
    </w:p>
    <w:p w:rsidR="00E76CA2" w:rsidRPr="00E76CA2" w:rsidRDefault="00E76CA2" w:rsidP="00E76CA2">
      <w:pPr>
        <w:pStyle w:val="Paragrafi0"/>
        <w:rPr>
          <w:lang w:val="it-IT"/>
        </w:rPr>
      </w:pPr>
      <w:r w:rsidRPr="00E76CA2">
        <w:rPr>
          <w:lang w:val="it-IT"/>
        </w:rPr>
        <w:t xml:space="preserve">Për pasojë ky ankim është i papajtueshëm </w:t>
      </w:r>
      <w:r w:rsidRPr="000D6682">
        <w:rPr>
          <w:i/>
          <w:lang w:val="it-IT"/>
        </w:rPr>
        <w:t>ratione materiae</w:t>
      </w:r>
      <w:r w:rsidRPr="00E76CA2">
        <w:rPr>
          <w:lang w:val="it-IT"/>
        </w:rPr>
        <w:t xml:space="preserve"> me dispozitat e Konventës në kuptim të </w:t>
      </w:r>
      <w:r w:rsidR="00153A16" w:rsidRPr="00E76CA2">
        <w:rPr>
          <w:lang w:val="it-IT"/>
        </w:rPr>
        <w:t xml:space="preserve">nenit </w:t>
      </w:r>
      <w:r w:rsidRPr="00E76CA2">
        <w:rPr>
          <w:lang w:val="it-IT"/>
        </w:rPr>
        <w:t xml:space="preserve">35 § 3 dhe duhet të rrëzohet në përputhje me </w:t>
      </w:r>
      <w:r w:rsidR="00153A16" w:rsidRPr="00E76CA2">
        <w:rPr>
          <w:lang w:val="it-IT"/>
        </w:rPr>
        <w:t xml:space="preserve">nenin </w:t>
      </w:r>
      <w:r w:rsidRPr="00E76CA2">
        <w:rPr>
          <w:lang w:val="it-IT"/>
        </w:rPr>
        <w:t>35 § 4 të Konventës.</w:t>
      </w:r>
    </w:p>
    <w:p w:rsidR="00E76CA2" w:rsidRPr="00E76CA2" w:rsidRDefault="00CC748F" w:rsidP="00E76CA2">
      <w:pPr>
        <w:pStyle w:val="Paragrafi0"/>
        <w:rPr>
          <w:lang w:val="it-IT"/>
        </w:rPr>
      </w:pPr>
      <w:r>
        <w:rPr>
          <w:lang w:val="it-IT"/>
        </w:rPr>
        <w:t xml:space="preserve">3. </w:t>
      </w:r>
      <w:r w:rsidR="00E76CA2" w:rsidRPr="00E76CA2">
        <w:rPr>
          <w:lang w:val="it-IT"/>
        </w:rPr>
        <w:t xml:space="preserve">Ankuesit gjithashtu u ankuan sipas </w:t>
      </w:r>
      <w:r w:rsidR="00153A16" w:rsidRPr="00E76CA2">
        <w:rPr>
          <w:lang w:val="it-IT"/>
        </w:rPr>
        <w:t xml:space="preserve">nenit </w:t>
      </w:r>
      <w:r w:rsidR="00E76CA2" w:rsidRPr="00E76CA2">
        <w:rPr>
          <w:lang w:val="it-IT"/>
        </w:rPr>
        <w:t>6 §§ 1 dhe 3 (e) se procedimet që kishin çuar në dënimet e tyre në Greqi ishin të padrejta.</w:t>
      </w:r>
    </w:p>
    <w:p w:rsidR="00E76CA2" w:rsidRPr="00E76CA2" w:rsidRDefault="00E76CA2" w:rsidP="00E76CA2">
      <w:pPr>
        <w:pStyle w:val="Paragrafi0"/>
        <w:rPr>
          <w:lang w:val="it-IT"/>
        </w:rPr>
      </w:pPr>
      <w:r w:rsidRPr="00E76CA2">
        <w:rPr>
          <w:lang w:val="it-IT"/>
        </w:rPr>
        <w:t>Neni 6 §§ 1 dhe 3 (e) i Konventës, në pjesët që lidhen me këtë çështje, parashikon si më poshtë:</w:t>
      </w:r>
    </w:p>
    <w:p w:rsidR="00E76CA2" w:rsidRPr="00E76CA2" w:rsidRDefault="00E76CA2" w:rsidP="00E76CA2">
      <w:pPr>
        <w:pStyle w:val="Paragrafi0"/>
        <w:rPr>
          <w:lang w:val="it-IT"/>
        </w:rPr>
      </w:pPr>
    </w:p>
    <w:p w:rsidR="00E76CA2" w:rsidRPr="00E76CA2" w:rsidRDefault="00E76CA2" w:rsidP="00E76CA2">
      <w:pPr>
        <w:pStyle w:val="Paragrafi0"/>
        <w:rPr>
          <w:lang w:val="it-IT"/>
        </w:rPr>
      </w:pPr>
      <w:r w:rsidRPr="00E76CA2">
        <w:rPr>
          <w:lang w:val="it-IT"/>
        </w:rPr>
        <w:t>“Në përcaktimin e çdo akuze, … çdo person ka të drejtën e një procesi të rregullt ligjor … nga [një] … gjykatë…”</w:t>
      </w:r>
    </w:p>
    <w:p w:rsidR="00E76CA2" w:rsidRPr="00E76CA2" w:rsidRDefault="00E76CA2" w:rsidP="00E76CA2">
      <w:pPr>
        <w:pStyle w:val="Paragrafi0"/>
        <w:rPr>
          <w:lang w:val="it-IT"/>
        </w:rPr>
      </w:pPr>
      <w:r w:rsidRPr="00E76CA2">
        <w:rPr>
          <w:lang w:val="it-IT"/>
        </w:rPr>
        <w:t>...</w:t>
      </w:r>
    </w:p>
    <w:p w:rsidR="00E76CA2" w:rsidRPr="00E76CA2" w:rsidRDefault="00E76CA2" w:rsidP="00E76CA2">
      <w:pPr>
        <w:pStyle w:val="Paragrafi0"/>
        <w:rPr>
          <w:lang w:val="it-IT"/>
        </w:rPr>
      </w:pPr>
      <w:r w:rsidRPr="00E76CA2">
        <w:rPr>
          <w:lang w:val="it-IT"/>
        </w:rPr>
        <w:t>“Në përcaktimin e çdo akuze, … çdo person ka të drejtën e një procesi të rregullt ligjor … nga [një] … gjykatë…”</w:t>
      </w:r>
    </w:p>
    <w:p w:rsidR="00E76CA2" w:rsidRPr="00E76CA2" w:rsidRDefault="00E76CA2" w:rsidP="00E76CA2">
      <w:pPr>
        <w:pStyle w:val="Paragrafi0"/>
        <w:rPr>
          <w:lang w:val="it-IT"/>
        </w:rPr>
      </w:pPr>
    </w:p>
    <w:p w:rsidR="00E76CA2" w:rsidRPr="00CC748F" w:rsidRDefault="00E76CA2" w:rsidP="00E76CA2">
      <w:pPr>
        <w:pStyle w:val="Paragrafi0"/>
        <w:rPr>
          <w:lang w:val="it-IT"/>
        </w:rPr>
      </w:pPr>
      <w:hyperlink r:id="rId8" w:history="1">
        <w:r w:rsidRPr="00CC748F">
          <w:rPr>
            <w:rStyle w:val="Hyperlink"/>
            <w:color w:val="auto"/>
            <w:u w:val="none"/>
            <w:lang w:val="it-IT"/>
          </w:rPr>
          <w:t>3. Çdo</w:t>
        </w:r>
      </w:hyperlink>
      <w:r w:rsidRPr="00CC748F">
        <w:rPr>
          <w:lang w:val="it-IT"/>
        </w:rPr>
        <w:t xml:space="preserve"> i akuzuar ka, së paku, të drejtat e mëposhtme:</w:t>
      </w:r>
    </w:p>
    <w:p w:rsidR="00E76CA2" w:rsidRPr="00E76CA2" w:rsidRDefault="00E76CA2" w:rsidP="00E76CA2">
      <w:pPr>
        <w:pStyle w:val="Paragrafi0"/>
        <w:rPr>
          <w:lang w:val="it-IT"/>
        </w:rPr>
      </w:pPr>
      <w:r w:rsidRPr="00E76CA2">
        <w:rPr>
          <w:lang w:val="it-IT"/>
        </w:rPr>
        <w:t>...</w:t>
      </w:r>
    </w:p>
    <w:p w:rsidR="00E76CA2" w:rsidRPr="00E76CA2" w:rsidRDefault="00E76CA2" w:rsidP="00E76CA2">
      <w:pPr>
        <w:pStyle w:val="Paragrafi0"/>
        <w:rPr>
          <w:lang w:val="it-IT"/>
        </w:rPr>
      </w:pPr>
      <w:r w:rsidRPr="00E76CA2">
        <w:rPr>
          <w:lang w:val="it-IT"/>
        </w:rPr>
        <w:t>(e) të ketë ndihmë të lirë të një përkthyesi nëse ai nuk mund të kuptojë ose flasë gjuhën e përdorur në gjyq.</w:t>
      </w:r>
    </w:p>
    <w:p w:rsidR="00E76CA2" w:rsidRPr="0070154F" w:rsidRDefault="00E76CA2" w:rsidP="00E76CA2">
      <w:pPr>
        <w:pStyle w:val="Paragrafi0"/>
      </w:pPr>
      <w:r w:rsidRPr="00CC748F">
        <w:rPr>
          <w:lang w:val="it-IT"/>
        </w:rPr>
        <w:t xml:space="preserve">Edhe nëse supozohet se ka pasur shkelje të </w:t>
      </w:r>
      <w:r w:rsidR="00153A16" w:rsidRPr="00CC748F">
        <w:rPr>
          <w:lang w:val="it-IT"/>
        </w:rPr>
        <w:t xml:space="preserve">nenit </w:t>
      </w:r>
      <w:r w:rsidRPr="00CC748F">
        <w:rPr>
          <w:lang w:val="it-IT"/>
        </w:rPr>
        <w:t xml:space="preserve">6 §§ 1 dhe 3 (e) për arsye të mungesës së interpretimit, gjykata vëren se ankuesit hoqën dorë nga e drejta e tyre për të apeluar kundër vendimit të Gjykatës së </w:t>
      </w:r>
      <w:r w:rsidR="000D6682" w:rsidRPr="00CC748F">
        <w:rPr>
          <w:lang w:val="it-IT"/>
        </w:rPr>
        <w:t xml:space="preserve">apelit </w:t>
      </w:r>
      <w:r w:rsidRPr="00CC748F">
        <w:rPr>
          <w:lang w:val="it-IT"/>
        </w:rPr>
        <w:t xml:space="preserve">Athinë të datës 9 </w:t>
      </w:r>
      <w:r w:rsidR="000D6682" w:rsidRPr="00CC748F">
        <w:rPr>
          <w:lang w:val="it-IT"/>
        </w:rPr>
        <w:t xml:space="preserve">dhjetor </w:t>
      </w:r>
      <w:r w:rsidRPr="00CC748F">
        <w:rPr>
          <w:lang w:val="it-IT"/>
        </w:rPr>
        <w:t xml:space="preserve">1999. </w:t>
      </w:r>
      <w:r w:rsidRPr="00153A16">
        <w:rPr>
          <w:lang w:val="it-IT"/>
        </w:rPr>
        <w:t xml:space="preserve">Në këtë kuptim, Gjykata vëren se as Marrëveshja </w:t>
      </w:r>
      <w:r w:rsidR="009A2FD5" w:rsidRPr="00153A16">
        <w:rPr>
          <w:lang w:val="it-IT"/>
        </w:rPr>
        <w:t xml:space="preserve">Bilaterale </w:t>
      </w:r>
      <w:r w:rsidRPr="00153A16">
        <w:rPr>
          <w:lang w:val="it-IT"/>
        </w:rPr>
        <w:t xml:space="preserve">dhe as Konventa për </w:t>
      </w:r>
      <w:r w:rsidR="00153A16" w:rsidRPr="00153A16">
        <w:rPr>
          <w:lang w:val="it-IT"/>
        </w:rPr>
        <w:t xml:space="preserve">transferim </w:t>
      </w:r>
      <w:r w:rsidRPr="00153A16">
        <w:rPr>
          <w:lang w:val="it-IT"/>
        </w:rPr>
        <w:t xml:space="preserve">nuk përmbajnë ndonjë dispozitë që do të kushtëzonte transferimin me dorëheqjen e ankuesve nga e drejta e apelimit dhe prandaj Gjykata nuk mund të pranojë argumentimin e ankuesve se një dorëheqje e tillë ishte një kusht për fillimin e procedurave të transferimit. </w:t>
      </w:r>
      <w:r w:rsidRPr="0070154F">
        <w:t xml:space="preserve">Apelimet vijuese të ankuesve u konstatuan se ishin jashtë afatit. Prandaj Gjykata konsideron se ankuesit nuk zbatuan kërkesat procedurale të brendshme formale, duke përfshirë afatet kohore. Si rrjedhim ajo e deklaron këtë ankim të papranueshëm për mosshterim të mjeteve ligjore të brendshme sipas </w:t>
      </w:r>
      <w:r w:rsidR="00153A16" w:rsidRPr="0070154F">
        <w:t xml:space="preserve">nenit </w:t>
      </w:r>
      <w:r w:rsidRPr="0070154F">
        <w:t xml:space="preserve">35 § 1 dhe e rrëzon atë sipas </w:t>
      </w:r>
      <w:r w:rsidR="00153A16" w:rsidRPr="0070154F">
        <w:t xml:space="preserve">nenit </w:t>
      </w:r>
      <w:r w:rsidRPr="0070154F">
        <w:t>35 § 4 të Konventës.</w:t>
      </w:r>
    </w:p>
    <w:p w:rsidR="00E76CA2" w:rsidRPr="0070154F" w:rsidRDefault="00E76CA2" w:rsidP="00E76CA2">
      <w:pPr>
        <w:pStyle w:val="Paragrafi0"/>
      </w:pPr>
      <w:r w:rsidRPr="0070154F">
        <w:t>Për këto arsye, Gjykata</w:t>
      </w:r>
      <w:r w:rsidR="00153A16">
        <w:t>,</w:t>
      </w:r>
      <w:r w:rsidR="000D6682">
        <w:t xml:space="preserve"> njëzëri:</w:t>
      </w:r>
    </w:p>
    <w:p w:rsidR="00E76CA2" w:rsidRPr="0070154F" w:rsidRDefault="00E76CA2" w:rsidP="00E76CA2">
      <w:pPr>
        <w:pStyle w:val="Paragrafi0"/>
      </w:pPr>
    </w:p>
    <w:p w:rsidR="00E76CA2" w:rsidRPr="0070154F" w:rsidRDefault="00E76CA2" w:rsidP="00E76CA2">
      <w:pPr>
        <w:pStyle w:val="Paragrafi0"/>
      </w:pPr>
      <w:r w:rsidRPr="0070154F">
        <w:t>I deklaron ankimet të papranueshme.</w:t>
      </w:r>
    </w:p>
    <w:p w:rsidR="00E76CA2" w:rsidRPr="0070154F" w:rsidRDefault="00D0343C" w:rsidP="00E76CA2">
      <w:pPr>
        <w:pStyle w:val="Paragrafi0"/>
      </w:pPr>
      <w:r>
        <w:t xml:space="preserve"> </w:t>
      </w:r>
    </w:p>
    <w:p w:rsidR="00E76CA2" w:rsidRPr="0070154F" w:rsidRDefault="00E76CA2" w:rsidP="00CC748F">
      <w:pPr>
        <w:pStyle w:val="Paragrafi0"/>
        <w:jc w:val="center"/>
      </w:pPr>
      <w:r w:rsidRPr="0070154F">
        <w:t>Fatoş Aracı</w:t>
      </w:r>
      <w:r w:rsidRPr="0070154F">
        <w:tab/>
        <w:t xml:space="preserve">                                                                       </w:t>
      </w:r>
      <w:r w:rsidR="000D6682">
        <w:t xml:space="preserve">       Nicolas Bratza</w:t>
      </w:r>
      <w:r w:rsidR="000D6682">
        <w:br/>
      </w:r>
      <w:r w:rsidR="000D6682">
        <w:tab/>
        <w:t>Zëvendësr</w:t>
      </w:r>
      <w:r w:rsidRPr="0070154F">
        <w:t>egjistrues</w:t>
      </w:r>
      <w:r w:rsidRPr="0070154F">
        <w:tab/>
        <w:t xml:space="preserve">                                                                        Kryetar</w:t>
      </w:r>
    </w:p>
    <w:sectPr w:rsidR="00E76CA2" w:rsidRPr="0070154F" w:rsidSect="00D8094B">
      <w:footerReference w:type="even" r:id="rId9"/>
      <w:footerReference w:type="default" r:id="rId10"/>
      <w:pgSz w:w="11907" w:h="16840" w:code="9"/>
      <w:pgMar w:top="1418" w:right="1440" w:bottom="1418" w:left="1418" w:header="130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B5F" w:rsidRDefault="00756B5F">
      <w:r>
        <w:separator/>
      </w:r>
    </w:p>
  </w:endnote>
  <w:endnote w:type="continuationSeparator" w:id="0">
    <w:p w:rsidR="00756B5F" w:rsidRDefault="0075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3EF" w:rsidRDefault="00A673EF" w:rsidP="0048359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673EF" w:rsidRDefault="00A673EF" w:rsidP="00D7190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3EF" w:rsidRDefault="00A673EF" w:rsidP="0048359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E7264">
      <w:rPr>
        <w:rStyle w:val="PageNumber"/>
        <w:noProof/>
      </w:rPr>
      <w:t>3</w:t>
    </w:r>
    <w:r>
      <w:rPr>
        <w:rStyle w:val="PageNumber"/>
      </w:rPr>
      <w:fldChar w:fldCharType="end"/>
    </w:r>
  </w:p>
  <w:p w:rsidR="00A673EF" w:rsidRDefault="00A673EF" w:rsidP="00D7190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B5F" w:rsidRDefault="00756B5F">
      <w:r>
        <w:separator/>
      </w:r>
    </w:p>
  </w:footnote>
  <w:footnote w:type="continuationSeparator" w:id="0">
    <w:p w:rsidR="00756B5F" w:rsidRDefault="00756B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 w:numId="16">
    <w:abstractNumId w:val="4"/>
  </w:num>
  <w:num w:numId="17">
    <w:abstractNumId w:val="0"/>
  </w:num>
  <w:num w:numId="18">
    <w:abstractNumId w:val="0"/>
  </w:num>
  <w:num w:numId="19">
    <w:abstractNumId w:val="2"/>
  </w:num>
  <w:num w:numId="20">
    <w:abstractNumId w:val="4"/>
  </w:num>
  <w:num w:numId="21">
    <w:abstractNumId w:val="2"/>
  </w:num>
  <w:num w:numId="22">
    <w:abstractNumId w:val="4"/>
  </w:num>
  <w:num w:numId="23">
    <w:abstractNumId w:val="2"/>
  </w:num>
  <w:num w:numId="24">
    <w:abstractNumId w:val="4"/>
  </w:num>
  <w:num w:numId="25">
    <w:abstractNumId w:val="2"/>
  </w:num>
  <w:num w:numId="26">
    <w:abstractNumId w:val="4"/>
  </w:num>
  <w:num w:numId="27">
    <w:abstractNumId w:val="4"/>
  </w:num>
  <w:num w:numId="28">
    <w:abstractNumId w:val="0"/>
  </w:num>
  <w:num w:numId="29">
    <w:abstractNumId w:val="0"/>
  </w:num>
  <w:num w:numId="30">
    <w:abstractNumId w:val="2"/>
  </w:num>
  <w:num w:numId="31">
    <w:abstractNumId w:val="4"/>
  </w:num>
  <w:num w:numId="32">
    <w:abstractNumId w:val="2"/>
  </w:num>
  <w:num w:numId="33">
    <w:abstractNumId w:val="4"/>
  </w:num>
  <w:num w:numId="34">
    <w:abstractNumId w:val="2"/>
  </w:num>
  <w:num w:numId="35">
    <w:abstractNumId w:val="4"/>
  </w:num>
  <w:num w:numId="36">
    <w:abstractNumId w:val="2"/>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CA2"/>
    <w:rsid w:val="00000B0C"/>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1D4"/>
    <w:rsid w:val="00014340"/>
    <w:rsid w:val="000152A2"/>
    <w:rsid w:val="000152BC"/>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422"/>
    <w:rsid w:val="000407C3"/>
    <w:rsid w:val="00040FA4"/>
    <w:rsid w:val="00041A56"/>
    <w:rsid w:val="000421F4"/>
    <w:rsid w:val="00042213"/>
    <w:rsid w:val="00042FCA"/>
    <w:rsid w:val="00043438"/>
    <w:rsid w:val="000437E7"/>
    <w:rsid w:val="00043973"/>
    <w:rsid w:val="00044149"/>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914"/>
    <w:rsid w:val="00054E44"/>
    <w:rsid w:val="00055653"/>
    <w:rsid w:val="00055B92"/>
    <w:rsid w:val="0005641C"/>
    <w:rsid w:val="000566FA"/>
    <w:rsid w:val="00056BD8"/>
    <w:rsid w:val="00056CF5"/>
    <w:rsid w:val="00056FDA"/>
    <w:rsid w:val="00057B3F"/>
    <w:rsid w:val="00060489"/>
    <w:rsid w:val="00061AD2"/>
    <w:rsid w:val="000624EF"/>
    <w:rsid w:val="00062B6D"/>
    <w:rsid w:val="000631C3"/>
    <w:rsid w:val="00063697"/>
    <w:rsid w:val="000639F0"/>
    <w:rsid w:val="000660E6"/>
    <w:rsid w:val="00066D59"/>
    <w:rsid w:val="00066D6B"/>
    <w:rsid w:val="0007089B"/>
    <w:rsid w:val="00070A47"/>
    <w:rsid w:val="00071072"/>
    <w:rsid w:val="00071282"/>
    <w:rsid w:val="00071B54"/>
    <w:rsid w:val="00071BEF"/>
    <w:rsid w:val="00071C43"/>
    <w:rsid w:val="000752F1"/>
    <w:rsid w:val="000764CC"/>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D56"/>
    <w:rsid w:val="000866D6"/>
    <w:rsid w:val="00086849"/>
    <w:rsid w:val="00086D7E"/>
    <w:rsid w:val="00087365"/>
    <w:rsid w:val="000903B6"/>
    <w:rsid w:val="000903F7"/>
    <w:rsid w:val="000908D6"/>
    <w:rsid w:val="00091124"/>
    <w:rsid w:val="000911CE"/>
    <w:rsid w:val="000918AA"/>
    <w:rsid w:val="00093045"/>
    <w:rsid w:val="000930FA"/>
    <w:rsid w:val="00093432"/>
    <w:rsid w:val="00094934"/>
    <w:rsid w:val="00095971"/>
    <w:rsid w:val="00096DE7"/>
    <w:rsid w:val="00096F6A"/>
    <w:rsid w:val="00097D2E"/>
    <w:rsid w:val="000A03EC"/>
    <w:rsid w:val="000A05B0"/>
    <w:rsid w:val="000A065D"/>
    <w:rsid w:val="000A0C31"/>
    <w:rsid w:val="000A0C5D"/>
    <w:rsid w:val="000A0CC4"/>
    <w:rsid w:val="000A0EEA"/>
    <w:rsid w:val="000A0F7C"/>
    <w:rsid w:val="000A2CF3"/>
    <w:rsid w:val="000A3A39"/>
    <w:rsid w:val="000A3FB5"/>
    <w:rsid w:val="000A44EA"/>
    <w:rsid w:val="000A4A27"/>
    <w:rsid w:val="000A4C06"/>
    <w:rsid w:val="000A4F88"/>
    <w:rsid w:val="000A5791"/>
    <w:rsid w:val="000A6264"/>
    <w:rsid w:val="000A71CB"/>
    <w:rsid w:val="000A74BD"/>
    <w:rsid w:val="000A7BA3"/>
    <w:rsid w:val="000A7DAE"/>
    <w:rsid w:val="000B0775"/>
    <w:rsid w:val="000B0ADE"/>
    <w:rsid w:val="000B122F"/>
    <w:rsid w:val="000B1258"/>
    <w:rsid w:val="000B2043"/>
    <w:rsid w:val="000B3B20"/>
    <w:rsid w:val="000B5F74"/>
    <w:rsid w:val="000B6AAE"/>
    <w:rsid w:val="000B6FDE"/>
    <w:rsid w:val="000B712E"/>
    <w:rsid w:val="000B7659"/>
    <w:rsid w:val="000B7702"/>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E9C"/>
    <w:rsid w:val="000D1F2B"/>
    <w:rsid w:val="000D24B7"/>
    <w:rsid w:val="000D269A"/>
    <w:rsid w:val="000D38F4"/>
    <w:rsid w:val="000D3A50"/>
    <w:rsid w:val="000D3CC1"/>
    <w:rsid w:val="000D3DAC"/>
    <w:rsid w:val="000D4337"/>
    <w:rsid w:val="000D5A21"/>
    <w:rsid w:val="000D5C29"/>
    <w:rsid w:val="000D5D4E"/>
    <w:rsid w:val="000D648F"/>
    <w:rsid w:val="000D65A1"/>
    <w:rsid w:val="000D6682"/>
    <w:rsid w:val="000D6CFF"/>
    <w:rsid w:val="000E0543"/>
    <w:rsid w:val="000E0813"/>
    <w:rsid w:val="000E09FD"/>
    <w:rsid w:val="000E0B15"/>
    <w:rsid w:val="000E0DE0"/>
    <w:rsid w:val="000E1943"/>
    <w:rsid w:val="000E1D7D"/>
    <w:rsid w:val="000E208B"/>
    <w:rsid w:val="000E25A4"/>
    <w:rsid w:val="000E31B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101E"/>
    <w:rsid w:val="0010112B"/>
    <w:rsid w:val="0010252A"/>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4CA"/>
    <w:rsid w:val="001308B7"/>
    <w:rsid w:val="001309BE"/>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41DD"/>
    <w:rsid w:val="0014440B"/>
    <w:rsid w:val="001445FD"/>
    <w:rsid w:val="00144D75"/>
    <w:rsid w:val="00145508"/>
    <w:rsid w:val="0014598C"/>
    <w:rsid w:val="0014747F"/>
    <w:rsid w:val="0015074C"/>
    <w:rsid w:val="00150A3A"/>
    <w:rsid w:val="00150AE0"/>
    <w:rsid w:val="00150BB0"/>
    <w:rsid w:val="00151189"/>
    <w:rsid w:val="001518AD"/>
    <w:rsid w:val="00151B9E"/>
    <w:rsid w:val="0015202D"/>
    <w:rsid w:val="00152456"/>
    <w:rsid w:val="00152735"/>
    <w:rsid w:val="0015294C"/>
    <w:rsid w:val="00152E61"/>
    <w:rsid w:val="00152F62"/>
    <w:rsid w:val="001532F4"/>
    <w:rsid w:val="00153A16"/>
    <w:rsid w:val="00153B3C"/>
    <w:rsid w:val="00153FD3"/>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AE1"/>
    <w:rsid w:val="00165F15"/>
    <w:rsid w:val="001661C2"/>
    <w:rsid w:val="001661C9"/>
    <w:rsid w:val="001664E1"/>
    <w:rsid w:val="001703F3"/>
    <w:rsid w:val="00170CD2"/>
    <w:rsid w:val="00170D92"/>
    <w:rsid w:val="0017145C"/>
    <w:rsid w:val="001719D2"/>
    <w:rsid w:val="00172642"/>
    <w:rsid w:val="00173FD1"/>
    <w:rsid w:val="001743DB"/>
    <w:rsid w:val="00175141"/>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91231"/>
    <w:rsid w:val="00191D90"/>
    <w:rsid w:val="00191FDA"/>
    <w:rsid w:val="00192A19"/>
    <w:rsid w:val="00192FBF"/>
    <w:rsid w:val="00193A22"/>
    <w:rsid w:val="00194A4D"/>
    <w:rsid w:val="001952F8"/>
    <w:rsid w:val="001955AE"/>
    <w:rsid w:val="0019562E"/>
    <w:rsid w:val="0019602A"/>
    <w:rsid w:val="001969CC"/>
    <w:rsid w:val="00196DA0"/>
    <w:rsid w:val="00196FED"/>
    <w:rsid w:val="00197454"/>
    <w:rsid w:val="0019795D"/>
    <w:rsid w:val="00197CB4"/>
    <w:rsid w:val="001A02D5"/>
    <w:rsid w:val="001A04CD"/>
    <w:rsid w:val="001A0623"/>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5FE5"/>
    <w:rsid w:val="001C63EC"/>
    <w:rsid w:val="001C6BC4"/>
    <w:rsid w:val="001C6FD6"/>
    <w:rsid w:val="001C79C3"/>
    <w:rsid w:val="001C7D53"/>
    <w:rsid w:val="001D150D"/>
    <w:rsid w:val="001D184A"/>
    <w:rsid w:val="001D1D7E"/>
    <w:rsid w:val="001D38F0"/>
    <w:rsid w:val="001D4599"/>
    <w:rsid w:val="001D4DCD"/>
    <w:rsid w:val="001D4F16"/>
    <w:rsid w:val="001D52B7"/>
    <w:rsid w:val="001D66C3"/>
    <w:rsid w:val="001D6951"/>
    <w:rsid w:val="001D69B9"/>
    <w:rsid w:val="001D7F75"/>
    <w:rsid w:val="001D7F98"/>
    <w:rsid w:val="001D7FAE"/>
    <w:rsid w:val="001E030A"/>
    <w:rsid w:val="001E0AF3"/>
    <w:rsid w:val="001E1266"/>
    <w:rsid w:val="001E1829"/>
    <w:rsid w:val="001E1C84"/>
    <w:rsid w:val="001E2099"/>
    <w:rsid w:val="001E2566"/>
    <w:rsid w:val="001E264B"/>
    <w:rsid w:val="001E270C"/>
    <w:rsid w:val="001E2AE7"/>
    <w:rsid w:val="001E2D62"/>
    <w:rsid w:val="001E3756"/>
    <w:rsid w:val="001E4ADE"/>
    <w:rsid w:val="001E4F6A"/>
    <w:rsid w:val="001E52D3"/>
    <w:rsid w:val="001E550D"/>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3073"/>
    <w:rsid w:val="00204565"/>
    <w:rsid w:val="002047F1"/>
    <w:rsid w:val="00204FA7"/>
    <w:rsid w:val="00206485"/>
    <w:rsid w:val="002066B5"/>
    <w:rsid w:val="00207A3A"/>
    <w:rsid w:val="002112FC"/>
    <w:rsid w:val="002112FF"/>
    <w:rsid w:val="00211A19"/>
    <w:rsid w:val="00211D2B"/>
    <w:rsid w:val="00213A6C"/>
    <w:rsid w:val="002146A5"/>
    <w:rsid w:val="00214F8C"/>
    <w:rsid w:val="00214FCF"/>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3BE8"/>
    <w:rsid w:val="002343A6"/>
    <w:rsid w:val="00235855"/>
    <w:rsid w:val="00237B41"/>
    <w:rsid w:val="0024092D"/>
    <w:rsid w:val="00240AE2"/>
    <w:rsid w:val="002412F4"/>
    <w:rsid w:val="0024176E"/>
    <w:rsid w:val="00241FC3"/>
    <w:rsid w:val="00242E4B"/>
    <w:rsid w:val="00243037"/>
    <w:rsid w:val="00243114"/>
    <w:rsid w:val="0024381E"/>
    <w:rsid w:val="0024386A"/>
    <w:rsid w:val="0024388C"/>
    <w:rsid w:val="00244298"/>
    <w:rsid w:val="00244385"/>
    <w:rsid w:val="002447C4"/>
    <w:rsid w:val="0024493A"/>
    <w:rsid w:val="0024508A"/>
    <w:rsid w:val="00245782"/>
    <w:rsid w:val="00246B85"/>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EC"/>
    <w:rsid w:val="0025540D"/>
    <w:rsid w:val="00255FC1"/>
    <w:rsid w:val="00257AE3"/>
    <w:rsid w:val="0026012B"/>
    <w:rsid w:val="00260625"/>
    <w:rsid w:val="002608DE"/>
    <w:rsid w:val="002612BA"/>
    <w:rsid w:val="00262F22"/>
    <w:rsid w:val="002631F7"/>
    <w:rsid w:val="00263ADE"/>
    <w:rsid w:val="0026559D"/>
    <w:rsid w:val="00265820"/>
    <w:rsid w:val="002667AD"/>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95D"/>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2E8F"/>
    <w:rsid w:val="0029358C"/>
    <w:rsid w:val="00293647"/>
    <w:rsid w:val="00296798"/>
    <w:rsid w:val="00296B24"/>
    <w:rsid w:val="002A108A"/>
    <w:rsid w:val="002A1B39"/>
    <w:rsid w:val="002A1C26"/>
    <w:rsid w:val="002A1F05"/>
    <w:rsid w:val="002A4353"/>
    <w:rsid w:val="002A4779"/>
    <w:rsid w:val="002A6110"/>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1CF"/>
    <w:rsid w:val="002C4551"/>
    <w:rsid w:val="002C45AF"/>
    <w:rsid w:val="002C663A"/>
    <w:rsid w:val="002C77EE"/>
    <w:rsid w:val="002D16A0"/>
    <w:rsid w:val="002D1E63"/>
    <w:rsid w:val="002D3A64"/>
    <w:rsid w:val="002D3AB2"/>
    <w:rsid w:val="002D3E9F"/>
    <w:rsid w:val="002D4508"/>
    <w:rsid w:val="002D55C5"/>
    <w:rsid w:val="002D5726"/>
    <w:rsid w:val="002D631D"/>
    <w:rsid w:val="002D6424"/>
    <w:rsid w:val="002D6667"/>
    <w:rsid w:val="002D6FFB"/>
    <w:rsid w:val="002D737C"/>
    <w:rsid w:val="002D778D"/>
    <w:rsid w:val="002D7FD9"/>
    <w:rsid w:val="002E0563"/>
    <w:rsid w:val="002E2EA8"/>
    <w:rsid w:val="002E38D0"/>
    <w:rsid w:val="002E39B7"/>
    <w:rsid w:val="002E3F50"/>
    <w:rsid w:val="002E48A9"/>
    <w:rsid w:val="002E4C32"/>
    <w:rsid w:val="002E5548"/>
    <w:rsid w:val="002E5613"/>
    <w:rsid w:val="002E64E8"/>
    <w:rsid w:val="002E6924"/>
    <w:rsid w:val="002E69F8"/>
    <w:rsid w:val="002E6FF6"/>
    <w:rsid w:val="002E7264"/>
    <w:rsid w:val="002E72C3"/>
    <w:rsid w:val="002E7680"/>
    <w:rsid w:val="002E7C03"/>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3244"/>
    <w:rsid w:val="00313867"/>
    <w:rsid w:val="003148A3"/>
    <w:rsid w:val="00314EA9"/>
    <w:rsid w:val="0031550B"/>
    <w:rsid w:val="0031568D"/>
    <w:rsid w:val="00315CA3"/>
    <w:rsid w:val="0032002D"/>
    <w:rsid w:val="003202CF"/>
    <w:rsid w:val="00320574"/>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E8"/>
    <w:rsid w:val="00333375"/>
    <w:rsid w:val="003346EA"/>
    <w:rsid w:val="00334B34"/>
    <w:rsid w:val="00334F2A"/>
    <w:rsid w:val="003358A9"/>
    <w:rsid w:val="00336085"/>
    <w:rsid w:val="00336356"/>
    <w:rsid w:val="00336BAF"/>
    <w:rsid w:val="00337BC5"/>
    <w:rsid w:val="00340FC7"/>
    <w:rsid w:val="0034223C"/>
    <w:rsid w:val="003424F0"/>
    <w:rsid w:val="00344F71"/>
    <w:rsid w:val="00345263"/>
    <w:rsid w:val="0034544B"/>
    <w:rsid w:val="003460C1"/>
    <w:rsid w:val="003466E2"/>
    <w:rsid w:val="00346A8A"/>
    <w:rsid w:val="003470D6"/>
    <w:rsid w:val="003472EB"/>
    <w:rsid w:val="003474E0"/>
    <w:rsid w:val="00347690"/>
    <w:rsid w:val="00347ADA"/>
    <w:rsid w:val="003504D9"/>
    <w:rsid w:val="00350D50"/>
    <w:rsid w:val="00351767"/>
    <w:rsid w:val="00351794"/>
    <w:rsid w:val="00352A23"/>
    <w:rsid w:val="00353D77"/>
    <w:rsid w:val="00354BE6"/>
    <w:rsid w:val="00354C70"/>
    <w:rsid w:val="00354CF6"/>
    <w:rsid w:val="00355406"/>
    <w:rsid w:val="00355E54"/>
    <w:rsid w:val="003564BE"/>
    <w:rsid w:val="00356970"/>
    <w:rsid w:val="00356991"/>
    <w:rsid w:val="00356EA6"/>
    <w:rsid w:val="003575A2"/>
    <w:rsid w:val="00357FBC"/>
    <w:rsid w:val="00360426"/>
    <w:rsid w:val="003604C4"/>
    <w:rsid w:val="003608D3"/>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080"/>
    <w:rsid w:val="003714DD"/>
    <w:rsid w:val="00371546"/>
    <w:rsid w:val="00371853"/>
    <w:rsid w:val="00372247"/>
    <w:rsid w:val="003722BB"/>
    <w:rsid w:val="003724AE"/>
    <w:rsid w:val="00372802"/>
    <w:rsid w:val="00373196"/>
    <w:rsid w:val="00373677"/>
    <w:rsid w:val="00373FD0"/>
    <w:rsid w:val="00374C8E"/>
    <w:rsid w:val="00374FC4"/>
    <w:rsid w:val="0037658A"/>
    <w:rsid w:val="00380290"/>
    <w:rsid w:val="00380463"/>
    <w:rsid w:val="003805B6"/>
    <w:rsid w:val="00380620"/>
    <w:rsid w:val="00380843"/>
    <w:rsid w:val="00380F68"/>
    <w:rsid w:val="00381F7B"/>
    <w:rsid w:val="00382000"/>
    <w:rsid w:val="0038255E"/>
    <w:rsid w:val="00382A9B"/>
    <w:rsid w:val="00382F4A"/>
    <w:rsid w:val="00383AE3"/>
    <w:rsid w:val="0038481A"/>
    <w:rsid w:val="00385CC1"/>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B79F2"/>
    <w:rsid w:val="003C021F"/>
    <w:rsid w:val="003C1615"/>
    <w:rsid w:val="003C207B"/>
    <w:rsid w:val="003C2445"/>
    <w:rsid w:val="003C34AC"/>
    <w:rsid w:val="003C39AE"/>
    <w:rsid w:val="003C3E7E"/>
    <w:rsid w:val="003C3FA9"/>
    <w:rsid w:val="003C4833"/>
    <w:rsid w:val="003C5597"/>
    <w:rsid w:val="003C618E"/>
    <w:rsid w:val="003C7828"/>
    <w:rsid w:val="003C7846"/>
    <w:rsid w:val="003C7854"/>
    <w:rsid w:val="003C7AF3"/>
    <w:rsid w:val="003C7E57"/>
    <w:rsid w:val="003D046C"/>
    <w:rsid w:val="003D0D71"/>
    <w:rsid w:val="003D172B"/>
    <w:rsid w:val="003D18AA"/>
    <w:rsid w:val="003D1BDF"/>
    <w:rsid w:val="003D1EC3"/>
    <w:rsid w:val="003D26E3"/>
    <w:rsid w:val="003D2AED"/>
    <w:rsid w:val="003D2B11"/>
    <w:rsid w:val="003D35BD"/>
    <w:rsid w:val="003D36D3"/>
    <w:rsid w:val="003D3940"/>
    <w:rsid w:val="003D3DA9"/>
    <w:rsid w:val="003D45ED"/>
    <w:rsid w:val="003D4F7B"/>
    <w:rsid w:val="003D5125"/>
    <w:rsid w:val="003D515C"/>
    <w:rsid w:val="003D5457"/>
    <w:rsid w:val="003D549F"/>
    <w:rsid w:val="003D5AAB"/>
    <w:rsid w:val="003D5EF0"/>
    <w:rsid w:val="003D5F38"/>
    <w:rsid w:val="003D60A3"/>
    <w:rsid w:val="003D7699"/>
    <w:rsid w:val="003E0702"/>
    <w:rsid w:val="003E0AA3"/>
    <w:rsid w:val="003E1B8C"/>
    <w:rsid w:val="003E1D76"/>
    <w:rsid w:val="003E1F8C"/>
    <w:rsid w:val="003E1FB2"/>
    <w:rsid w:val="003E2373"/>
    <w:rsid w:val="003E2586"/>
    <w:rsid w:val="003E27A8"/>
    <w:rsid w:val="003E29AB"/>
    <w:rsid w:val="003E390C"/>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CA9"/>
    <w:rsid w:val="003F3FB6"/>
    <w:rsid w:val="003F459C"/>
    <w:rsid w:val="003F525B"/>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AF9"/>
    <w:rsid w:val="00441BE8"/>
    <w:rsid w:val="00442E86"/>
    <w:rsid w:val="00443025"/>
    <w:rsid w:val="004436AB"/>
    <w:rsid w:val="00443958"/>
    <w:rsid w:val="00443FF0"/>
    <w:rsid w:val="00444B5C"/>
    <w:rsid w:val="00444BBA"/>
    <w:rsid w:val="00444DF9"/>
    <w:rsid w:val="004450DD"/>
    <w:rsid w:val="00445782"/>
    <w:rsid w:val="00445DAA"/>
    <w:rsid w:val="00445FEE"/>
    <w:rsid w:val="00446666"/>
    <w:rsid w:val="004467F9"/>
    <w:rsid w:val="004475C5"/>
    <w:rsid w:val="004476E3"/>
    <w:rsid w:val="00450263"/>
    <w:rsid w:val="004516B2"/>
    <w:rsid w:val="00453249"/>
    <w:rsid w:val="0045357A"/>
    <w:rsid w:val="00453864"/>
    <w:rsid w:val="00453A0F"/>
    <w:rsid w:val="004543CE"/>
    <w:rsid w:val="0045529E"/>
    <w:rsid w:val="00455370"/>
    <w:rsid w:val="00457ABD"/>
    <w:rsid w:val="00457EF5"/>
    <w:rsid w:val="00460C60"/>
    <w:rsid w:val="00460D88"/>
    <w:rsid w:val="0046102B"/>
    <w:rsid w:val="004612CF"/>
    <w:rsid w:val="004617B7"/>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36D"/>
    <w:rsid w:val="00480424"/>
    <w:rsid w:val="0048046E"/>
    <w:rsid w:val="004811FB"/>
    <w:rsid w:val="0048172A"/>
    <w:rsid w:val="00481895"/>
    <w:rsid w:val="00481BB0"/>
    <w:rsid w:val="00482BFF"/>
    <w:rsid w:val="00483128"/>
    <w:rsid w:val="004833A8"/>
    <w:rsid w:val="0048359C"/>
    <w:rsid w:val="0048385A"/>
    <w:rsid w:val="00483AD8"/>
    <w:rsid w:val="00484591"/>
    <w:rsid w:val="00484DA6"/>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509"/>
    <w:rsid w:val="004A18ED"/>
    <w:rsid w:val="004A2BE7"/>
    <w:rsid w:val="004A313C"/>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B2D"/>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71CF"/>
    <w:rsid w:val="004D7372"/>
    <w:rsid w:val="004D7643"/>
    <w:rsid w:val="004D7783"/>
    <w:rsid w:val="004D7EC5"/>
    <w:rsid w:val="004E084E"/>
    <w:rsid w:val="004E089B"/>
    <w:rsid w:val="004E175A"/>
    <w:rsid w:val="004E19EF"/>
    <w:rsid w:val="004E1AE2"/>
    <w:rsid w:val="004E1DFA"/>
    <w:rsid w:val="004E22D7"/>
    <w:rsid w:val="004E22ED"/>
    <w:rsid w:val="004E27B8"/>
    <w:rsid w:val="004E2864"/>
    <w:rsid w:val="004E3B69"/>
    <w:rsid w:val="004E4819"/>
    <w:rsid w:val="004E550D"/>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C74"/>
    <w:rsid w:val="00506C65"/>
    <w:rsid w:val="0050788A"/>
    <w:rsid w:val="00507C40"/>
    <w:rsid w:val="00507E51"/>
    <w:rsid w:val="0051086F"/>
    <w:rsid w:val="005118EE"/>
    <w:rsid w:val="00511E45"/>
    <w:rsid w:val="0051218E"/>
    <w:rsid w:val="00512808"/>
    <w:rsid w:val="00512E93"/>
    <w:rsid w:val="0051334F"/>
    <w:rsid w:val="00513381"/>
    <w:rsid w:val="00513651"/>
    <w:rsid w:val="00513791"/>
    <w:rsid w:val="00515269"/>
    <w:rsid w:val="0051565A"/>
    <w:rsid w:val="00515FEF"/>
    <w:rsid w:val="005173A0"/>
    <w:rsid w:val="0051740D"/>
    <w:rsid w:val="00517626"/>
    <w:rsid w:val="00520904"/>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E"/>
    <w:rsid w:val="005476BB"/>
    <w:rsid w:val="00547EA1"/>
    <w:rsid w:val="00550184"/>
    <w:rsid w:val="00550602"/>
    <w:rsid w:val="00551086"/>
    <w:rsid w:val="00551675"/>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9C"/>
    <w:rsid w:val="00570FBD"/>
    <w:rsid w:val="00571417"/>
    <w:rsid w:val="00571B16"/>
    <w:rsid w:val="00571BAB"/>
    <w:rsid w:val="00571EB4"/>
    <w:rsid w:val="00572168"/>
    <w:rsid w:val="005728B1"/>
    <w:rsid w:val="00572B76"/>
    <w:rsid w:val="00572E84"/>
    <w:rsid w:val="00573444"/>
    <w:rsid w:val="005762BC"/>
    <w:rsid w:val="005769FB"/>
    <w:rsid w:val="00577768"/>
    <w:rsid w:val="00577BCB"/>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6B51"/>
    <w:rsid w:val="005871A4"/>
    <w:rsid w:val="005875BC"/>
    <w:rsid w:val="005878CA"/>
    <w:rsid w:val="00587E94"/>
    <w:rsid w:val="00590199"/>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0A1"/>
    <w:rsid w:val="005E01A2"/>
    <w:rsid w:val="005E10DC"/>
    <w:rsid w:val="005E12E8"/>
    <w:rsid w:val="005E1300"/>
    <w:rsid w:val="005E1F42"/>
    <w:rsid w:val="005E35BB"/>
    <w:rsid w:val="005E3F56"/>
    <w:rsid w:val="005E4476"/>
    <w:rsid w:val="005E480A"/>
    <w:rsid w:val="005E52FC"/>
    <w:rsid w:val="005E55F7"/>
    <w:rsid w:val="005E57C8"/>
    <w:rsid w:val="005E5EF2"/>
    <w:rsid w:val="005E6D7A"/>
    <w:rsid w:val="005E6E32"/>
    <w:rsid w:val="005E75F4"/>
    <w:rsid w:val="005F09F1"/>
    <w:rsid w:val="005F0A59"/>
    <w:rsid w:val="005F0F6D"/>
    <w:rsid w:val="005F1016"/>
    <w:rsid w:val="005F1594"/>
    <w:rsid w:val="005F1747"/>
    <w:rsid w:val="005F1B52"/>
    <w:rsid w:val="005F1C45"/>
    <w:rsid w:val="005F2ACC"/>
    <w:rsid w:val="005F30BF"/>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1DDF"/>
    <w:rsid w:val="0062204B"/>
    <w:rsid w:val="00622D32"/>
    <w:rsid w:val="00623056"/>
    <w:rsid w:val="0062366A"/>
    <w:rsid w:val="00623A42"/>
    <w:rsid w:val="00623C33"/>
    <w:rsid w:val="00625423"/>
    <w:rsid w:val="00626C24"/>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7352"/>
    <w:rsid w:val="0063742A"/>
    <w:rsid w:val="006374A0"/>
    <w:rsid w:val="00637880"/>
    <w:rsid w:val="0063795B"/>
    <w:rsid w:val="00637E6C"/>
    <w:rsid w:val="006402A4"/>
    <w:rsid w:val="00641C09"/>
    <w:rsid w:val="00641F4D"/>
    <w:rsid w:val="00641FF8"/>
    <w:rsid w:val="0064249D"/>
    <w:rsid w:val="006425FC"/>
    <w:rsid w:val="006426D7"/>
    <w:rsid w:val="00643B28"/>
    <w:rsid w:val="00643CC7"/>
    <w:rsid w:val="00643E4C"/>
    <w:rsid w:val="006455D8"/>
    <w:rsid w:val="00645B61"/>
    <w:rsid w:val="006479CA"/>
    <w:rsid w:val="00647C4B"/>
    <w:rsid w:val="00647D2E"/>
    <w:rsid w:val="0065059B"/>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5FA"/>
    <w:rsid w:val="006605F5"/>
    <w:rsid w:val="00660BB0"/>
    <w:rsid w:val="0066100F"/>
    <w:rsid w:val="006614A5"/>
    <w:rsid w:val="00661DA0"/>
    <w:rsid w:val="0066252C"/>
    <w:rsid w:val="00662BD6"/>
    <w:rsid w:val="00663E8F"/>
    <w:rsid w:val="00664478"/>
    <w:rsid w:val="0066468B"/>
    <w:rsid w:val="006647E4"/>
    <w:rsid w:val="00665960"/>
    <w:rsid w:val="00665FF4"/>
    <w:rsid w:val="00666A89"/>
    <w:rsid w:val="00666BAE"/>
    <w:rsid w:val="00666D2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C8E"/>
    <w:rsid w:val="00690D1F"/>
    <w:rsid w:val="006919F2"/>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58A"/>
    <w:rsid w:val="006D47BB"/>
    <w:rsid w:val="006D495B"/>
    <w:rsid w:val="006D67FD"/>
    <w:rsid w:val="006D6A86"/>
    <w:rsid w:val="006D6EFE"/>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187"/>
    <w:rsid w:val="00703A1C"/>
    <w:rsid w:val="00704754"/>
    <w:rsid w:val="00704CA8"/>
    <w:rsid w:val="00705FE0"/>
    <w:rsid w:val="007061BC"/>
    <w:rsid w:val="00706E88"/>
    <w:rsid w:val="00707001"/>
    <w:rsid w:val="007070CD"/>
    <w:rsid w:val="007071C1"/>
    <w:rsid w:val="007072E6"/>
    <w:rsid w:val="00707491"/>
    <w:rsid w:val="00707538"/>
    <w:rsid w:val="00707A6A"/>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6E8"/>
    <w:rsid w:val="00720142"/>
    <w:rsid w:val="00720587"/>
    <w:rsid w:val="0072068E"/>
    <w:rsid w:val="007208D3"/>
    <w:rsid w:val="00720D66"/>
    <w:rsid w:val="007212C0"/>
    <w:rsid w:val="00721312"/>
    <w:rsid w:val="007213F5"/>
    <w:rsid w:val="00721860"/>
    <w:rsid w:val="00722145"/>
    <w:rsid w:val="007227BA"/>
    <w:rsid w:val="00722DC9"/>
    <w:rsid w:val="0072312D"/>
    <w:rsid w:val="007235A2"/>
    <w:rsid w:val="00723726"/>
    <w:rsid w:val="00723C7E"/>
    <w:rsid w:val="007241B0"/>
    <w:rsid w:val="00725155"/>
    <w:rsid w:val="0072535F"/>
    <w:rsid w:val="00725BE2"/>
    <w:rsid w:val="00726EC8"/>
    <w:rsid w:val="00727073"/>
    <w:rsid w:val="0072713C"/>
    <w:rsid w:val="007278D0"/>
    <w:rsid w:val="00727A7F"/>
    <w:rsid w:val="00727E09"/>
    <w:rsid w:val="00730119"/>
    <w:rsid w:val="00730429"/>
    <w:rsid w:val="00730AB5"/>
    <w:rsid w:val="007317E7"/>
    <w:rsid w:val="0073198A"/>
    <w:rsid w:val="007331A1"/>
    <w:rsid w:val="007337F8"/>
    <w:rsid w:val="00733BA8"/>
    <w:rsid w:val="00733DD6"/>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4F4D"/>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4F1"/>
    <w:rsid w:val="007556D4"/>
    <w:rsid w:val="0075595B"/>
    <w:rsid w:val="0075636F"/>
    <w:rsid w:val="00756B4E"/>
    <w:rsid w:val="00756B5F"/>
    <w:rsid w:val="0075728B"/>
    <w:rsid w:val="007572B7"/>
    <w:rsid w:val="00757AEF"/>
    <w:rsid w:val="00760AA6"/>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69AC"/>
    <w:rsid w:val="007970A2"/>
    <w:rsid w:val="00797ED8"/>
    <w:rsid w:val="007A061D"/>
    <w:rsid w:val="007A0FBC"/>
    <w:rsid w:val="007A11CE"/>
    <w:rsid w:val="007A278B"/>
    <w:rsid w:val="007A2CB0"/>
    <w:rsid w:val="007A2F8A"/>
    <w:rsid w:val="007A3532"/>
    <w:rsid w:val="007A3B06"/>
    <w:rsid w:val="007A42FB"/>
    <w:rsid w:val="007A4824"/>
    <w:rsid w:val="007A4D94"/>
    <w:rsid w:val="007A5509"/>
    <w:rsid w:val="007A5B11"/>
    <w:rsid w:val="007A684E"/>
    <w:rsid w:val="007A6C02"/>
    <w:rsid w:val="007A71B3"/>
    <w:rsid w:val="007B111E"/>
    <w:rsid w:val="007B1D3D"/>
    <w:rsid w:val="007B1ED0"/>
    <w:rsid w:val="007B2BB8"/>
    <w:rsid w:val="007B335A"/>
    <w:rsid w:val="007B39AC"/>
    <w:rsid w:val="007B4535"/>
    <w:rsid w:val="007B5020"/>
    <w:rsid w:val="007B5384"/>
    <w:rsid w:val="007B55A8"/>
    <w:rsid w:val="007B6335"/>
    <w:rsid w:val="007B6F50"/>
    <w:rsid w:val="007C0F4B"/>
    <w:rsid w:val="007C227A"/>
    <w:rsid w:val="007C2552"/>
    <w:rsid w:val="007C34A4"/>
    <w:rsid w:val="007C36BB"/>
    <w:rsid w:val="007C37EF"/>
    <w:rsid w:val="007C40E1"/>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893"/>
    <w:rsid w:val="007D4AD5"/>
    <w:rsid w:val="007D4DDF"/>
    <w:rsid w:val="007D4ECC"/>
    <w:rsid w:val="007D4F2F"/>
    <w:rsid w:val="007D6EF8"/>
    <w:rsid w:val="007E01BC"/>
    <w:rsid w:val="007E1033"/>
    <w:rsid w:val="007E1300"/>
    <w:rsid w:val="007E1C35"/>
    <w:rsid w:val="007E1D96"/>
    <w:rsid w:val="007E266C"/>
    <w:rsid w:val="007E274A"/>
    <w:rsid w:val="007E2906"/>
    <w:rsid w:val="007E2FED"/>
    <w:rsid w:val="007E35B5"/>
    <w:rsid w:val="007E4506"/>
    <w:rsid w:val="007E4705"/>
    <w:rsid w:val="007E47ED"/>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79"/>
    <w:rsid w:val="008034BC"/>
    <w:rsid w:val="00803A12"/>
    <w:rsid w:val="0080416C"/>
    <w:rsid w:val="008041BD"/>
    <w:rsid w:val="008041F7"/>
    <w:rsid w:val="008048DB"/>
    <w:rsid w:val="008049D0"/>
    <w:rsid w:val="00804F7F"/>
    <w:rsid w:val="00805911"/>
    <w:rsid w:val="008059D5"/>
    <w:rsid w:val="008066EE"/>
    <w:rsid w:val="008073B6"/>
    <w:rsid w:val="00807760"/>
    <w:rsid w:val="00807DA6"/>
    <w:rsid w:val="0081025B"/>
    <w:rsid w:val="008109DA"/>
    <w:rsid w:val="00811801"/>
    <w:rsid w:val="008122FC"/>
    <w:rsid w:val="008126DE"/>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05D"/>
    <w:rsid w:val="00824655"/>
    <w:rsid w:val="00824A83"/>
    <w:rsid w:val="00826023"/>
    <w:rsid w:val="00826DB2"/>
    <w:rsid w:val="0082713B"/>
    <w:rsid w:val="00827815"/>
    <w:rsid w:val="0083025C"/>
    <w:rsid w:val="0083085E"/>
    <w:rsid w:val="00830CB2"/>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526"/>
    <w:rsid w:val="008429D1"/>
    <w:rsid w:val="00843078"/>
    <w:rsid w:val="00843D8C"/>
    <w:rsid w:val="00844996"/>
    <w:rsid w:val="00844A57"/>
    <w:rsid w:val="00844D5E"/>
    <w:rsid w:val="0084505E"/>
    <w:rsid w:val="0084669A"/>
    <w:rsid w:val="00846767"/>
    <w:rsid w:val="00847C72"/>
    <w:rsid w:val="0085046D"/>
    <w:rsid w:val="00850584"/>
    <w:rsid w:val="008509D8"/>
    <w:rsid w:val="00851193"/>
    <w:rsid w:val="008518B1"/>
    <w:rsid w:val="00852EC5"/>
    <w:rsid w:val="008533FC"/>
    <w:rsid w:val="008559DA"/>
    <w:rsid w:val="008566B4"/>
    <w:rsid w:val="0085690D"/>
    <w:rsid w:val="008569AD"/>
    <w:rsid w:val="00856B30"/>
    <w:rsid w:val="00856FDF"/>
    <w:rsid w:val="00857455"/>
    <w:rsid w:val="00857DB5"/>
    <w:rsid w:val="0086147C"/>
    <w:rsid w:val="0086235D"/>
    <w:rsid w:val="00863F9C"/>
    <w:rsid w:val="00864422"/>
    <w:rsid w:val="00864FF5"/>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617E"/>
    <w:rsid w:val="0089647C"/>
    <w:rsid w:val="0089728D"/>
    <w:rsid w:val="008A0632"/>
    <w:rsid w:val="008A09C9"/>
    <w:rsid w:val="008A1672"/>
    <w:rsid w:val="008A1CE8"/>
    <w:rsid w:val="008A20A3"/>
    <w:rsid w:val="008A2943"/>
    <w:rsid w:val="008A41D6"/>
    <w:rsid w:val="008A484C"/>
    <w:rsid w:val="008A4B90"/>
    <w:rsid w:val="008A5100"/>
    <w:rsid w:val="008A5418"/>
    <w:rsid w:val="008A651B"/>
    <w:rsid w:val="008B10ED"/>
    <w:rsid w:val="008B1298"/>
    <w:rsid w:val="008B1514"/>
    <w:rsid w:val="008B1CB4"/>
    <w:rsid w:val="008B1D98"/>
    <w:rsid w:val="008B327C"/>
    <w:rsid w:val="008B5C38"/>
    <w:rsid w:val="008B61D4"/>
    <w:rsid w:val="008B626B"/>
    <w:rsid w:val="008B6512"/>
    <w:rsid w:val="008B6E72"/>
    <w:rsid w:val="008B7751"/>
    <w:rsid w:val="008B7ECB"/>
    <w:rsid w:val="008C0673"/>
    <w:rsid w:val="008C0D19"/>
    <w:rsid w:val="008C2007"/>
    <w:rsid w:val="008C323C"/>
    <w:rsid w:val="008C331E"/>
    <w:rsid w:val="008C33A8"/>
    <w:rsid w:val="008C347F"/>
    <w:rsid w:val="008C49D2"/>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86E"/>
    <w:rsid w:val="008E294F"/>
    <w:rsid w:val="008E37A0"/>
    <w:rsid w:val="008E41F7"/>
    <w:rsid w:val="008E4829"/>
    <w:rsid w:val="008E64BD"/>
    <w:rsid w:val="008E65BC"/>
    <w:rsid w:val="008E7307"/>
    <w:rsid w:val="008E7BBF"/>
    <w:rsid w:val="008E7DC0"/>
    <w:rsid w:val="008F0003"/>
    <w:rsid w:val="008F01CE"/>
    <w:rsid w:val="008F0219"/>
    <w:rsid w:val="008F0846"/>
    <w:rsid w:val="008F0C37"/>
    <w:rsid w:val="008F1BE3"/>
    <w:rsid w:val="008F1F56"/>
    <w:rsid w:val="008F25B8"/>
    <w:rsid w:val="008F2ABA"/>
    <w:rsid w:val="008F3C07"/>
    <w:rsid w:val="008F3D68"/>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1C0F"/>
    <w:rsid w:val="009221B5"/>
    <w:rsid w:val="009222D0"/>
    <w:rsid w:val="00922333"/>
    <w:rsid w:val="00922406"/>
    <w:rsid w:val="00922ED0"/>
    <w:rsid w:val="00923E21"/>
    <w:rsid w:val="00923E34"/>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3C9"/>
    <w:rsid w:val="00971A8A"/>
    <w:rsid w:val="00971B20"/>
    <w:rsid w:val="0097217B"/>
    <w:rsid w:val="00972672"/>
    <w:rsid w:val="00972937"/>
    <w:rsid w:val="00972C18"/>
    <w:rsid w:val="00973347"/>
    <w:rsid w:val="00973656"/>
    <w:rsid w:val="00973EC5"/>
    <w:rsid w:val="00973FFF"/>
    <w:rsid w:val="00975979"/>
    <w:rsid w:val="00975C48"/>
    <w:rsid w:val="00975C93"/>
    <w:rsid w:val="00977667"/>
    <w:rsid w:val="00977D61"/>
    <w:rsid w:val="009802C4"/>
    <w:rsid w:val="00980C59"/>
    <w:rsid w:val="00981079"/>
    <w:rsid w:val="009816B1"/>
    <w:rsid w:val="00981D9B"/>
    <w:rsid w:val="009820D2"/>
    <w:rsid w:val="0098361D"/>
    <w:rsid w:val="00984C25"/>
    <w:rsid w:val="00984E74"/>
    <w:rsid w:val="00985B09"/>
    <w:rsid w:val="00985FEA"/>
    <w:rsid w:val="009865D7"/>
    <w:rsid w:val="0098676C"/>
    <w:rsid w:val="00986B47"/>
    <w:rsid w:val="00986F50"/>
    <w:rsid w:val="0098718E"/>
    <w:rsid w:val="00987289"/>
    <w:rsid w:val="009900DD"/>
    <w:rsid w:val="00990A5D"/>
    <w:rsid w:val="00990D9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2FD5"/>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3645"/>
    <w:rsid w:val="009B4FA5"/>
    <w:rsid w:val="009B5323"/>
    <w:rsid w:val="009B566F"/>
    <w:rsid w:val="009B5DE8"/>
    <w:rsid w:val="009B64FE"/>
    <w:rsid w:val="009B6821"/>
    <w:rsid w:val="009B7194"/>
    <w:rsid w:val="009B731C"/>
    <w:rsid w:val="009B7B52"/>
    <w:rsid w:val="009C0651"/>
    <w:rsid w:val="009C0EF4"/>
    <w:rsid w:val="009C1B6D"/>
    <w:rsid w:val="009C1C7A"/>
    <w:rsid w:val="009C244E"/>
    <w:rsid w:val="009C2D44"/>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6651"/>
    <w:rsid w:val="009D7956"/>
    <w:rsid w:val="009E0027"/>
    <w:rsid w:val="009E077E"/>
    <w:rsid w:val="009E12A3"/>
    <w:rsid w:val="009E1422"/>
    <w:rsid w:val="009E17A4"/>
    <w:rsid w:val="009E17EE"/>
    <w:rsid w:val="009E196D"/>
    <w:rsid w:val="009E2F67"/>
    <w:rsid w:val="009E3162"/>
    <w:rsid w:val="009E31CA"/>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74A5"/>
    <w:rsid w:val="00A20D12"/>
    <w:rsid w:val="00A20DAE"/>
    <w:rsid w:val="00A21F0A"/>
    <w:rsid w:val="00A23238"/>
    <w:rsid w:val="00A24640"/>
    <w:rsid w:val="00A24C2D"/>
    <w:rsid w:val="00A24D08"/>
    <w:rsid w:val="00A25BC6"/>
    <w:rsid w:val="00A26070"/>
    <w:rsid w:val="00A26392"/>
    <w:rsid w:val="00A2639C"/>
    <w:rsid w:val="00A268F8"/>
    <w:rsid w:val="00A26A8F"/>
    <w:rsid w:val="00A26C93"/>
    <w:rsid w:val="00A26D21"/>
    <w:rsid w:val="00A308F3"/>
    <w:rsid w:val="00A30BE0"/>
    <w:rsid w:val="00A30C14"/>
    <w:rsid w:val="00A30FB1"/>
    <w:rsid w:val="00A319D4"/>
    <w:rsid w:val="00A32061"/>
    <w:rsid w:val="00A324B6"/>
    <w:rsid w:val="00A32A1B"/>
    <w:rsid w:val="00A32DBB"/>
    <w:rsid w:val="00A33AF7"/>
    <w:rsid w:val="00A34747"/>
    <w:rsid w:val="00A3515D"/>
    <w:rsid w:val="00A364E6"/>
    <w:rsid w:val="00A3678F"/>
    <w:rsid w:val="00A36EFF"/>
    <w:rsid w:val="00A36F61"/>
    <w:rsid w:val="00A3778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374E"/>
    <w:rsid w:val="00A54169"/>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B45"/>
    <w:rsid w:val="00A60C22"/>
    <w:rsid w:val="00A622B5"/>
    <w:rsid w:val="00A632F9"/>
    <w:rsid w:val="00A63B5F"/>
    <w:rsid w:val="00A6419D"/>
    <w:rsid w:val="00A6494C"/>
    <w:rsid w:val="00A64DC9"/>
    <w:rsid w:val="00A66C5D"/>
    <w:rsid w:val="00A67172"/>
    <w:rsid w:val="00A67374"/>
    <w:rsid w:val="00A673EF"/>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002"/>
    <w:rsid w:val="00A81297"/>
    <w:rsid w:val="00A81A06"/>
    <w:rsid w:val="00A81E2C"/>
    <w:rsid w:val="00A825ED"/>
    <w:rsid w:val="00A8294D"/>
    <w:rsid w:val="00A83090"/>
    <w:rsid w:val="00A84ABA"/>
    <w:rsid w:val="00A852FA"/>
    <w:rsid w:val="00A86120"/>
    <w:rsid w:val="00A863A9"/>
    <w:rsid w:val="00A86C08"/>
    <w:rsid w:val="00A87FD1"/>
    <w:rsid w:val="00A909F5"/>
    <w:rsid w:val="00A9111F"/>
    <w:rsid w:val="00A91B13"/>
    <w:rsid w:val="00A92ECE"/>
    <w:rsid w:val="00A9337C"/>
    <w:rsid w:val="00A93486"/>
    <w:rsid w:val="00A94789"/>
    <w:rsid w:val="00A95020"/>
    <w:rsid w:val="00A95AEE"/>
    <w:rsid w:val="00A95B15"/>
    <w:rsid w:val="00A97655"/>
    <w:rsid w:val="00A9773B"/>
    <w:rsid w:val="00AA0126"/>
    <w:rsid w:val="00AA0434"/>
    <w:rsid w:val="00AA0509"/>
    <w:rsid w:val="00AA0B7D"/>
    <w:rsid w:val="00AA1455"/>
    <w:rsid w:val="00AA1637"/>
    <w:rsid w:val="00AA1654"/>
    <w:rsid w:val="00AA1C46"/>
    <w:rsid w:val="00AA2013"/>
    <w:rsid w:val="00AA2DDD"/>
    <w:rsid w:val="00AA38A8"/>
    <w:rsid w:val="00AA402E"/>
    <w:rsid w:val="00AA457D"/>
    <w:rsid w:val="00AA45A7"/>
    <w:rsid w:val="00AA5093"/>
    <w:rsid w:val="00AA578A"/>
    <w:rsid w:val="00AA6B53"/>
    <w:rsid w:val="00AA752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A6A"/>
    <w:rsid w:val="00AC2106"/>
    <w:rsid w:val="00AC28F0"/>
    <w:rsid w:val="00AC2D54"/>
    <w:rsid w:val="00AC2F06"/>
    <w:rsid w:val="00AC3266"/>
    <w:rsid w:val="00AC3358"/>
    <w:rsid w:val="00AC414F"/>
    <w:rsid w:val="00AC4ECC"/>
    <w:rsid w:val="00AC6521"/>
    <w:rsid w:val="00AD0108"/>
    <w:rsid w:val="00AD12E7"/>
    <w:rsid w:val="00AD1F70"/>
    <w:rsid w:val="00AD2457"/>
    <w:rsid w:val="00AD2585"/>
    <w:rsid w:val="00AD2B50"/>
    <w:rsid w:val="00AD3A6B"/>
    <w:rsid w:val="00AD3F7A"/>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5982"/>
    <w:rsid w:val="00AF6419"/>
    <w:rsid w:val="00AF6EFC"/>
    <w:rsid w:val="00AF6FC9"/>
    <w:rsid w:val="00AF7938"/>
    <w:rsid w:val="00AF7F67"/>
    <w:rsid w:val="00B01093"/>
    <w:rsid w:val="00B01522"/>
    <w:rsid w:val="00B01616"/>
    <w:rsid w:val="00B01885"/>
    <w:rsid w:val="00B0285E"/>
    <w:rsid w:val="00B0397B"/>
    <w:rsid w:val="00B044DC"/>
    <w:rsid w:val="00B046E0"/>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3A"/>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BE2"/>
    <w:rsid w:val="00B401DC"/>
    <w:rsid w:val="00B402E4"/>
    <w:rsid w:val="00B40E2A"/>
    <w:rsid w:val="00B41770"/>
    <w:rsid w:val="00B42264"/>
    <w:rsid w:val="00B4249B"/>
    <w:rsid w:val="00B42891"/>
    <w:rsid w:val="00B42B96"/>
    <w:rsid w:val="00B42BA3"/>
    <w:rsid w:val="00B42CE2"/>
    <w:rsid w:val="00B4411A"/>
    <w:rsid w:val="00B44450"/>
    <w:rsid w:val="00B456B1"/>
    <w:rsid w:val="00B45B97"/>
    <w:rsid w:val="00B464A1"/>
    <w:rsid w:val="00B4663D"/>
    <w:rsid w:val="00B47811"/>
    <w:rsid w:val="00B50342"/>
    <w:rsid w:val="00B5070C"/>
    <w:rsid w:val="00B5090C"/>
    <w:rsid w:val="00B50FA7"/>
    <w:rsid w:val="00B5159A"/>
    <w:rsid w:val="00B5197F"/>
    <w:rsid w:val="00B51B97"/>
    <w:rsid w:val="00B527BD"/>
    <w:rsid w:val="00B52A73"/>
    <w:rsid w:val="00B5321B"/>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431C"/>
    <w:rsid w:val="00B845AA"/>
    <w:rsid w:val="00B84698"/>
    <w:rsid w:val="00B8484C"/>
    <w:rsid w:val="00B852B1"/>
    <w:rsid w:val="00B85578"/>
    <w:rsid w:val="00B86681"/>
    <w:rsid w:val="00B868BE"/>
    <w:rsid w:val="00B86F18"/>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FBF"/>
    <w:rsid w:val="00B9706F"/>
    <w:rsid w:val="00B97FD5"/>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CEF"/>
    <w:rsid w:val="00BB7315"/>
    <w:rsid w:val="00BC0912"/>
    <w:rsid w:val="00BC0F3B"/>
    <w:rsid w:val="00BC1137"/>
    <w:rsid w:val="00BC192A"/>
    <w:rsid w:val="00BC1D08"/>
    <w:rsid w:val="00BC2372"/>
    <w:rsid w:val="00BC24AC"/>
    <w:rsid w:val="00BC26E1"/>
    <w:rsid w:val="00BC2A47"/>
    <w:rsid w:val="00BC35BE"/>
    <w:rsid w:val="00BC3EFB"/>
    <w:rsid w:val="00BC4FC3"/>
    <w:rsid w:val="00BC5452"/>
    <w:rsid w:val="00BC54B4"/>
    <w:rsid w:val="00BC5A8B"/>
    <w:rsid w:val="00BC681E"/>
    <w:rsid w:val="00BC6CE7"/>
    <w:rsid w:val="00BC7BCC"/>
    <w:rsid w:val="00BD008D"/>
    <w:rsid w:val="00BD0374"/>
    <w:rsid w:val="00BD0A02"/>
    <w:rsid w:val="00BD1711"/>
    <w:rsid w:val="00BD1BBE"/>
    <w:rsid w:val="00BD1C9E"/>
    <w:rsid w:val="00BD1D06"/>
    <w:rsid w:val="00BD2741"/>
    <w:rsid w:val="00BD4356"/>
    <w:rsid w:val="00BD51BF"/>
    <w:rsid w:val="00BD5D09"/>
    <w:rsid w:val="00BD6A0C"/>
    <w:rsid w:val="00BD6AC3"/>
    <w:rsid w:val="00BE025B"/>
    <w:rsid w:val="00BE0564"/>
    <w:rsid w:val="00BE1622"/>
    <w:rsid w:val="00BE1DDF"/>
    <w:rsid w:val="00BE4B63"/>
    <w:rsid w:val="00BE5681"/>
    <w:rsid w:val="00BE5B08"/>
    <w:rsid w:val="00BE7099"/>
    <w:rsid w:val="00BE72B3"/>
    <w:rsid w:val="00BE741A"/>
    <w:rsid w:val="00BF0CD8"/>
    <w:rsid w:val="00BF11D8"/>
    <w:rsid w:val="00BF19D9"/>
    <w:rsid w:val="00BF214C"/>
    <w:rsid w:val="00BF2932"/>
    <w:rsid w:val="00BF3863"/>
    <w:rsid w:val="00BF3F95"/>
    <w:rsid w:val="00BF47D7"/>
    <w:rsid w:val="00BF498F"/>
    <w:rsid w:val="00BF53C2"/>
    <w:rsid w:val="00BF5651"/>
    <w:rsid w:val="00BF5C8D"/>
    <w:rsid w:val="00BF6A44"/>
    <w:rsid w:val="00BF6E17"/>
    <w:rsid w:val="00BF7754"/>
    <w:rsid w:val="00BF7969"/>
    <w:rsid w:val="00BF7AFB"/>
    <w:rsid w:val="00C004EF"/>
    <w:rsid w:val="00C00601"/>
    <w:rsid w:val="00C0114A"/>
    <w:rsid w:val="00C01FF8"/>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5637"/>
    <w:rsid w:val="00C25FA7"/>
    <w:rsid w:val="00C263F0"/>
    <w:rsid w:val="00C26A0E"/>
    <w:rsid w:val="00C2724E"/>
    <w:rsid w:val="00C275A9"/>
    <w:rsid w:val="00C310D1"/>
    <w:rsid w:val="00C316D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846"/>
    <w:rsid w:val="00C44D9B"/>
    <w:rsid w:val="00C45042"/>
    <w:rsid w:val="00C45636"/>
    <w:rsid w:val="00C4577B"/>
    <w:rsid w:val="00C45F69"/>
    <w:rsid w:val="00C462A9"/>
    <w:rsid w:val="00C47359"/>
    <w:rsid w:val="00C47B52"/>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6321"/>
    <w:rsid w:val="00C573F9"/>
    <w:rsid w:val="00C57901"/>
    <w:rsid w:val="00C57CE2"/>
    <w:rsid w:val="00C60917"/>
    <w:rsid w:val="00C619EA"/>
    <w:rsid w:val="00C61A08"/>
    <w:rsid w:val="00C61AA2"/>
    <w:rsid w:val="00C61C37"/>
    <w:rsid w:val="00C62202"/>
    <w:rsid w:val="00C622F4"/>
    <w:rsid w:val="00C63338"/>
    <w:rsid w:val="00C63800"/>
    <w:rsid w:val="00C638FA"/>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E1D"/>
    <w:rsid w:val="00C85443"/>
    <w:rsid w:val="00C85EA6"/>
    <w:rsid w:val="00C864F7"/>
    <w:rsid w:val="00C87DC0"/>
    <w:rsid w:val="00C90A36"/>
    <w:rsid w:val="00C911CC"/>
    <w:rsid w:val="00C925F6"/>
    <w:rsid w:val="00C9293C"/>
    <w:rsid w:val="00C93FA3"/>
    <w:rsid w:val="00C940DD"/>
    <w:rsid w:val="00C947C4"/>
    <w:rsid w:val="00C95E3B"/>
    <w:rsid w:val="00C97107"/>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32F6"/>
    <w:rsid w:val="00CB33DF"/>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48F"/>
    <w:rsid w:val="00CC7AA1"/>
    <w:rsid w:val="00CC7FD9"/>
    <w:rsid w:val="00CD00E5"/>
    <w:rsid w:val="00CD158C"/>
    <w:rsid w:val="00CD1CD5"/>
    <w:rsid w:val="00CD1F3A"/>
    <w:rsid w:val="00CD306E"/>
    <w:rsid w:val="00CD330A"/>
    <w:rsid w:val="00CD37D3"/>
    <w:rsid w:val="00CD3859"/>
    <w:rsid w:val="00CD3BE1"/>
    <w:rsid w:val="00CD3F79"/>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D53"/>
    <w:rsid w:val="00CE4E79"/>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14C3"/>
    <w:rsid w:val="00D02DFD"/>
    <w:rsid w:val="00D0343C"/>
    <w:rsid w:val="00D0346B"/>
    <w:rsid w:val="00D03A6F"/>
    <w:rsid w:val="00D03DA1"/>
    <w:rsid w:val="00D03F6E"/>
    <w:rsid w:val="00D04506"/>
    <w:rsid w:val="00D046F8"/>
    <w:rsid w:val="00D04F80"/>
    <w:rsid w:val="00D04FFE"/>
    <w:rsid w:val="00D06106"/>
    <w:rsid w:val="00D07148"/>
    <w:rsid w:val="00D071A7"/>
    <w:rsid w:val="00D07557"/>
    <w:rsid w:val="00D0758D"/>
    <w:rsid w:val="00D078B5"/>
    <w:rsid w:val="00D07F47"/>
    <w:rsid w:val="00D11AEB"/>
    <w:rsid w:val="00D11C33"/>
    <w:rsid w:val="00D11FE6"/>
    <w:rsid w:val="00D1366A"/>
    <w:rsid w:val="00D13A72"/>
    <w:rsid w:val="00D14D49"/>
    <w:rsid w:val="00D14F5E"/>
    <w:rsid w:val="00D15055"/>
    <w:rsid w:val="00D1516B"/>
    <w:rsid w:val="00D15FD2"/>
    <w:rsid w:val="00D2018C"/>
    <w:rsid w:val="00D202E0"/>
    <w:rsid w:val="00D210BC"/>
    <w:rsid w:val="00D21120"/>
    <w:rsid w:val="00D220AD"/>
    <w:rsid w:val="00D22173"/>
    <w:rsid w:val="00D23071"/>
    <w:rsid w:val="00D235A8"/>
    <w:rsid w:val="00D238C1"/>
    <w:rsid w:val="00D23C78"/>
    <w:rsid w:val="00D23D3B"/>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462A9"/>
    <w:rsid w:val="00D47DD4"/>
    <w:rsid w:val="00D50598"/>
    <w:rsid w:val="00D50BDE"/>
    <w:rsid w:val="00D510F7"/>
    <w:rsid w:val="00D515E2"/>
    <w:rsid w:val="00D51619"/>
    <w:rsid w:val="00D51B4E"/>
    <w:rsid w:val="00D51C6D"/>
    <w:rsid w:val="00D51C93"/>
    <w:rsid w:val="00D525D5"/>
    <w:rsid w:val="00D53148"/>
    <w:rsid w:val="00D53C6C"/>
    <w:rsid w:val="00D5465B"/>
    <w:rsid w:val="00D546E3"/>
    <w:rsid w:val="00D54E7A"/>
    <w:rsid w:val="00D55569"/>
    <w:rsid w:val="00D55588"/>
    <w:rsid w:val="00D5681E"/>
    <w:rsid w:val="00D56EEC"/>
    <w:rsid w:val="00D57BD2"/>
    <w:rsid w:val="00D57CB7"/>
    <w:rsid w:val="00D601C0"/>
    <w:rsid w:val="00D60880"/>
    <w:rsid w:val="00D60C1C"/>
    <w:rsid w:val="00D60C59"/>
    <w:rsid w:val="00D61390"/>
    <w:rsid w:val="00D61C94"/>
    <w:rsid w:val="00D61D9D"/>
    <w:rsid w:val="00D623C3"/>
    <w:rsid w:val="00D62D8F"/>
    <w:rsid w:val="00D62E93"/>
    <w:rsid w:val="00D63381"/>
    <w:rsid w:val="00D63739"/>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190A"/>
    <w:rsid w:val="00D721E6"/>
    <w:rsid w:val="00D724A6"/>
    <w:rsid w:val="00D729A8"/>
    <w:rsid w:val="00D7449C"/>
    <w:rsid w:val="00D74505"/>
    <w:rsid w:val="00D756D3"/>
    <w:rsid w:val="00D75EA0"/>
    <w:rsid w:val="00D7633F"/>
    <w:rsid w:val="00D76EEB"/>
    <w:rsid w:val="00D773F4"/>
    <w:rsid w:val="00D779A2"/>
    <w:rsid w:val="00D77A64"/>
    <w:rsid w:val="00D80261"/>
    <w:rsid w:val="00D8028C"/>
    <w:rsid w:val="00D807EA"/>
    <w:rsid w:val="00D8094B"/>
    <w:rsid w:val="00D809F8"/>
    <w:rsid w:val="00D828AB"/>
    <w:rsid w:val="00D838B0"/>
    <w:rsid w:val="00D83D47"/>
    <w:rsid w:val="00D83F02"/>
    <w:rsid w:val="00D83FA3"/>
    <w:rsid w:val="00D84214"/>
    <w:rsid w:val="00D8488D"/>
    <w:rsid w:val="00D84FFC"/>
    <w:rsid w:val="00D8550D"/>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5A53"/>
    <w:rsid w:val="00DA7194"/>
    <w:rsid w:val="00DB0B96"/>
    <w:rsid w:val="00DB174D"/>
    <w:rsid w:val="00DB2143"/>
    <w:rsid w:val="00DB2B62"/>
    <w:rsid w:val="00DB3289"/>
    <w:rsid w:val="00DB35B7"/>
    <w:rsid w:val="00DB3C2D"/>
    <w:rsid w:val="00DB5141"/>
    <w:rsid w:val="00DB582E"/>
    <w:rsid w:val="00DB5A98"/>
    <w:rsid w:val="00DB5FEF"/>
    <w:rsid w:val="00DB64F0"/>
    <w:rsid w:val="00DB68B1"/>
    <w:rsid w:val="00DC173D"/>
    <w:rsid w:val="00DC207D"/>
    <w:rsid w:val="00DC22F7"/>
    <w:rsid w:val="00DC2814"/>
    <w:rsid w:val="00DC29A9"/>
    <w:rsid w:val="00DC2BB2"/>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1F3C"/>
    <w:rsid w:val="00DF2484"/>
    <w:rsid w:val="00DF265E"/>
    <w:rsid w:val="00DF2BDF"/>
    <w:rsid w:val="00DF34B6"/>
    <w:rsid w:val="00DF389B"/>
    <w:rsid w:val="00DF3D05"/>
    <w:rsid w:val="00DF4352"/>
    <w:rsid w:val="00DF4BE8"/>
    <w:rsid w:val="00DF6D87"/>
    <w:rsid w:val="00DF776F"/>
    <w:rsid w:val="00DF77E6"/>
    <w:rsid w:val="00DF7F3F"/>
    <w:rsid w:val="00E00020"/>
    <w:rsid w:val="00E00BC8"/>
    <w:rsid w:val="00E00FE0"/>
    <w:rsid w:val="00E012D9"/>
    <w:rsid w:val="00E01487"/>
    <w:rsid w:val="00E022B5"/>
    <w:rsid w:val="00E02436"/>
    <w:rsid w:val="00E027A0"/>
    <w:rsid w:val="00E02A89"/>
    <w:rsid w:val="00E02E71"/>
    <w:rsid w:val="00E03C4C"/>
    <w:rsid w:val="00E03CC8"/>
    <w:rsid w:val="00E03FE5"/>
    <w:rsid w:val="00E0499C"/>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997"/>
    <w:rsid w:val="00E21F7F"/>
    <w:rsid w:val="00E22FBD"/>
    <w:rsid w:val="00E236EC"/>
    <w:rsid w:val="00E24687"/>
    <w:rsid w:val="00E24AD0"/>
    <w:rsid w:val="00E24CDE"/>
    <w:rsid w:val="00E254F0"/>
    <w:rsid w:val="00E25D52"/>
    <w:rsid w:val="00E25FAF"/>
    <w:rsid w:val="00E262B2"/>
    <w:rsid w:val="00E269BA"/>
    <w:rsid w:val="00E26ABA"/>
    <w:rsid w:val="00E26EC0"/>
    <w:rsid w:val="00E27FE5"/>
    <w:rsid w:val="00E30183"/>
    <w:rsid w:val="00E30277"/>
    <w:rsid w:val="00E30369"/>
    <w:rsid w:val="00E3100F"/>
    <w:rsid w:val="00E3155E"/>
    <w:rsid w:val="00E323CD"/>
    <w:rsid w:val="00E326FA"/>
    <w:rsid w:val="00E32DEC"/>
    <w:rsid w:val="00E33F95"/>
    <w:rsid w:val="00E34938"/>
    <w:rsid w:val="00E35736"/>
    <w:rsid w:val="00E35CA9"/>
    <w:rsid w:val="00E35F12"/>
    <w:rsid w:val="00E363F9"/>
    <w:rsid w:val="00E364D0"/>
    <w:rsid w:val="00E367E4"/>
    <w:rsid w:val="00E3746C"/>
    <w:rsid w:val="00E37520"/>
    <w:rsid w:val="00E3756E"/>
    <w:rsid w:val="00E37CF5"/>
    <w:rsid w:val="00E40E3A"/>
    <w:rsid w:val="00E41465"/>
    <w:rsid w:val="00E41508"/>
    <w:rsid w:val="00E41938"/>
    <w:rsid w:val="00E419C2"/>
    <w:rsid w:val="00E42908"/>
    <w:rsid w:val="00E43F7B"/>
    <w:rsid w:val="00E444F6"/>
    <w:rsid w:val="00E44CB0"/>
    <w:rsid w:val="00E45827"/>
    <w:rsid w:val="00E4586A"/>
    <w:rsid w:val="00E464FA"/>
    <w:rsid w:val="00E472BF"/>
    <w:rsid w:val="00E47701"/>
    <w:rsid w:val="00E477DB"/>
    <w:rsid w:val="00E50EF5"/>
    <w:rsid w:val="00E527B8"/>
    <w:rsid w:val="00E52AE5"/>
    <w:rsid w:val="00E53C0A"/>
    <w:rsid w:val="00E53D7F"/>
    <w:rsid w:val="00E55949"/>
    <w:rsid w:val="00E56080"/>
    <w:rsid w:val="00E56424"/>
    <w:rsid w:val="00E56CF4"/>
    <w:rsid w:val="00E56F97"/>
    <w:rsid w:val="00E60CD0"/>
    <w:rsid w:val="00E61F48"/>
    <w:rsid w:val="00E6255D"/>
    <w:rsid w:val="00E62A2A"/>
    <w:rsid w:val="00E6386F"/>
    <w:rsid w:val="00E64461"/>
    <w:rsid w:val="00E64ECE"/>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CA2"/>
    <w:rsid w:val="00E76EBD"/>
    <w:rsid w:val="00E76EF6"/>
    <w:rsid w:val="00E777DA"/>
    <w:rsid w:val="00E77D9E"/>
    <w:rsid w:val="00E80CC6"/>
    <w:rsid w:val="00E814D2"/>
    <w:rsid w:val="00E82386"/>
    <w:rsid w:val="00E83136"/>
    <w:rsid w:val="00E834AF"/>
    <w:rsid w:val="00E842D0"/>
    <w:rsid w:val="00E84333"/>
    <w:rsid w:val="00E843DA"/>
    <w:rsid w:val="00E85D97"/>
    <w:rsid w:val="00E85FAC"/>
    <w:rsid w:val="00E87DCF"/>
    <w:rsid w:val="00E900E7"/>
    <w:rsid w:val="00E90328"/>
    <w:rsid w:val="00E9049C"/>
    <w:rsid w:val="00E90A75"/>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A4C"/>
    <w:rsid w:val="00EC0561"/>
    <w:rsid w:val="00EC15B7"/>
    <w:rsid w:val="00EC1D35"/>
    <w:rsid w:val="00EC2038"/>
    <w:rsid w:val="00EC2281"/>
    <w:rsid w:val="00EC25C4"/>
    <w:rsid w:val="00EC25D4"/>
    <w:rsid w:val="00EC3315"/>
    <w:rsid w:val="00EC3710"/>
    <w:rsid w:val="00EC4CD6"/>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5911"/>
    <w:rsid w:val="00EE5B0B"/>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5426"/>
    <w:rsid w:val="00EF5D72"/>
    <w:rsid w:val="00EF5E27"/>
    <w:rsid w:val="00EF6051"/>
    <w:rsid w:val="00EF723B"/>
    <w:rsid w:val="00EF73CA"/>
    <w:rsid w:val="00EF7E31"/>
    <w:rsid w:val="00F00153"/>
    <w:rsid w:val="00F018F1"/>
    <w:rsid w:val="00F022A2"/>
    <w:rsid w:val="00F0294E"/>
    <w:rsid w:val="00F02C33"/>
    <w:rsid w:val="00F0306F"/>
    <w:rsid w:val="00F03785"/>
    <w:rsid w:val="00F03B5E"/>
    <w:rsid w:val="00F042D3"/>
    <w:rsid w:val="00F046AF"/>
    <w:rsid w:val="00F05A5C"/>
    <w:rsid w:val="00F05C88"/>
    <w:rsid w:val="00F05D9A"/>
    <w:rsid w:val="00F06E0C"/>
    <w:rsid w:val="00F07ED2"/>
    <w:rsid w:val="00F1002F"/>
    <w:rsid w:val="00F10EEB"/>
    <w:rsid w:val="00F11706"/>
    <w:rsid w:val="00F117C2"/>
    <w:rsid w:val="00F12732"/>
    <w:rsid w:val="00F12D98"/>
    <w:rsid w:val="00F13364"/>
    <w:rsid w:val="00F1345A"/>
    <w:rsid w:val="00F15A54"/>
    <w:rsid w:val="00F15C00"/>
    <w:rsid w:val="00F15C7A"/>
    <w:rsid w:val="00F17606"/>
    <w:rsid w:val="00F17FCD"/>
    <w:rsid w:val="00F20451"/>
    <w:rsid w:val="00F20881"/>
    <w:rsid w:val="00F20BE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220F"/>
    <w:rsid w:val="00F72C8F"/>
    <w:rsid w:val="00F74096"/>
    <w:rsid w:val="00F74708"/>
    <w:rsid w:val="00F75A2A"/>
    <w:rsid w:val="00F76686"/>
    <w:rsid w:val="00F76887"/>
    <w:rsid w:val="00F768D3"/>
    <w:rsid w:val="00F76A14"/>
    <w:rsid w:val="00F7724A"/>
    <w:rsid w:val="00F8008E"/>
    <w:rsid w:val="00F80E43"/>
    <w:rsid w:val="00F80FB2"/>
    <w:rsid w:val="00F8122C"/>
    <w:rsid w:val="00F8179E"/>
    <w:rsid w:val="00F81867"/>
    <w:rsid w:val="00F82EE6"/>
    <w:rsid w:val="00F83218"/>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5DEC"/>
    <w:rsid w:val="00FA687A"/>
    <w:rsid w:val="00FA6F6A"/>
    <w:rsid w:val="00FA70D1"/>
    <w:rsid w:val="00FA73BF"/>
    <w:rsid w:val="00FA796B"/>
    <w:rsid w:val="00FB05E1"/>
    <w:rsid w:val="00FB0D1F"/>
    <w:rsid w:val="00FB189B"/>
    <w:rsid w:val="00FB1E76"/>
    <w:rsid w:val="00FB2275"/>
    <w:rsid w:val="00FB22E9"/>
    <w:rsid w:val="00FB294A"/>
    <w:rsid w:val="00FB2FE4"/>
    <w:rsid w:val="00FB4018"/>
    <w:rsid w:val="00FB52AE"/>
    <w:rsid w:val="00FB5B12"/>
    <w:rsid w:val="00FB5D01"/>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C19"/>
    <w:rsid w:val="00FC2F17"/>
    <w:rsid w:val="00FC3560"/>
    <w:rsid w:val="00FC3C6E"/>
    <w:rsid w:val="00FC4189"/>
    <w:rsid w:val="00FC460C"/>
    <w:rsid w:val="00FC5012"/>
    <w:rsid w:val="00FC5D3D"/>
    <w:rsid w:val="00FC5ED2"/>
    <w:rsid w:val="00FC6442"/>
    <w:rsid w:val="00FC6AB0"/>
    <w:rsid w:val="00FC756E"/>
    <w:rsid w:val="00FC7650"/>
    <w:rsid w:val="00FC7E5F"/>
    <w:rsid w:val="00FD1061"/>
    <w:rsid w:val="00FD18BB"/>
    <w:rsid w:val="00FD1ACD"/>
    <w:rsid w:val="00FD1D9F"/>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347"/>
    <w:rsid w:val="00FE44AE"/>
    <w:rsid w:val="00FE5C72"/>
    <w:rsid w:val="00FE60CB"/>
    <w:rsid w:val="00FE695E"/>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6CA2"/>
    <w:pPr>
      <w:suppressAutoHyphens/>
    </w:pPr>
    <w:rPr>
      <w:rFonts w:eastAsia="Calibri"/>
      <w:sz w:val="24"/>
      <w:szCs w:val="24"/>
      <w:lang w:val="en-GB" w:eastAsia="fr-FR"/>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A003B4"/>
    <w:rPr>
      <w:rFonts w:ascii="CG Times" w:hAnsi="CG Times"/>
      <w:sz w:val="22"/>
      <w:lang w:val="en-GB"/>
    </w:rPr>
  </w:style>
  <w:style w:type="paragraph" w:customStyle="1" w:styleId="AneksiNr">
    <w:name w:val="Aneksi_Nr"/>
    <w:next w:val="Normal"/>
    <w:rsid w:val="00A003B4"/>
    <w:pPr>
      <w:keepNext/>
      <w:widowControl w:val="0"/>
      <w:jc w:val="center"/>
    </w:pPr>
    <w:rPr>
      <w:rFonts w:ascii="CG Times" w:hAnsi="CG Times"/>
      <w:caps/>
      <w:sz w:val="22"/>
      <w:szCs w:val="22"/>
      <w:lang w:val="en-GB"/>
    </w:rPr>
  </w:style>
  <w:style w:type="paragraph" w:customStyle="1" w:styleId="AneksiTitull">
    <w:name w:val="Aneksi_Titull"/>
    <w:next w:val="Normal"/>
    <w:rsid w:val="00A003B4"/>
    <w:pPr>
      <w:jc w:val="center"/>
    </w:pPr>
    <w:rPr>
      <w:rFonts w:ascii="CG Times" w:hAnsi="CG Times"/>
      <w:sz w:val="24"/>
      <w:szCs w:val="24"/>
      <w:lang w:val="en-GB"/>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A003B4"/>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eastAsia="tr-TR"/>
    </w:rPr>
  </w:style>
  <w:style w:type="paragraph" w:customStyle="1" w:styleId="Bllok">
    <w:name w:val="Bllok"/>
    <w:next w:val="Normal"/>
    <w:rsid w:val="00A003B4"/>
    <w:pPr>
      <w:jc w:val="center"/>
    </w:pPr>
    <w:rPr>
      <w:rFonts w:ascii="CG Times" w:hAnsi="CG Times"/>
      <w:caps/>
      <w:sz w:val="22"/>
      <w:szCs w:val="22"/>
      <w:lang w:val="en-GB"/>
    </w:rPr>
  </w:style>
  <w:style w:type="paragraph" w:customStyle="1" w:styleId="Char0">
    <w:name w:val="Char"/>
    <w:basedOn w:val="Normal"/>
    <w:rsid w:val="00A003B4"/>
    <w:pPr>
      <w:spacing w:after="160" w:line="240" w:lineRule="exact"/>
    </w:pPr>
    <w:rPr>
      <w:rFonts w:ascii="Tahoma" w:eastAsia="MS Mincho" w:hAnsi="Tahoma"/>
      <w:sz w:val="20"/>
      <w:szCs w:val="20"/>
      <w:lang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eastAsia="tr-TR"/>
    </w:rPr>
  </w:style>
  <w:style w:type="paragraph" w:customStyle="1" w:styleId="Figure">
    <w:name w:val="Figure"/>
    <w:next w:val="Normal"/>
    <w:rsid w:val="00A003B4"/>
    <w:pPr>
      <w:widowControl w:val="0"/>
      <w:outlineLvl w:val="2"/>
    </w:pPr>
    <w:rPr>
      <w:rFonts w:ascii="CG Times" w:hAnsi="CG Times"/>
      <w:sz w:val="22"/>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eastAsia="tr-TR"/>
    </w:rPr>
  </w:style>
  <w:style w:type="paragraph" w:customStyle="1" w:styleId="Institucioni">
    <w:name w:val="Institucioni"/>
    <w:next w:val="Normal"/>
    <w:rsid w:val="00A003B4"/>
    <w:pPr>
      <w:keepNext/>
      <w:widowControl w:val="0"/>
      <w:jc w:val="center"/>
    </w:pPr>
    <w:rPr>
      <w:rFonts w:ascii="CG Times" w:hAnsi="CG Times"/>
      <w:caps/>
      <w:sz w:val="22"/>
      <w:szCs w:val="22"/>
      <w:lang w:val="en-GB"/>
    </w:rPr>
  </w:style>
  <w:style w:type="paragraph" w:customStyle="1" w:styleId="Kapakufund">
    <w:name w:val="Kapaku_fund"/>
    <w:next w:val="Normal"/>
    <w:rsid w:val="00A003B4"/>
    <w:pPr>
      <w:pageBreakBefore/>
    </w:pPr>
    <w:rPr>
      <w:rFonts w:ascii="CG Times" w:hAnsi="CG Times"/>
      <w:b/>
      <w:sz w:val="22"/>
      <w:szCs w:val="22"/>
    </w:rPr>
  </w:style>
  <w:style w:type="paragraph" w:customStyle="1" w:styleId="KapitulliNr">
    <w:name w:val="Kapitulli_Nr"/>
    <w:rsid w:val="00A003B4"/>
    <w:pPr>
      <w:keepNext/>
      <w:widowControl w:val="0"/>
      <w:jc w:val="center"/>
    </w:pPr>
    <w:rPr>
      <w:rFonts w:ascii="CG Times" w:hAnsi="CG Times"/>
      <w:caps/>
      <w:sz w:val="22"/>
      <w:szCs w:val="22"/>
      <w:lang w:val="en-GB"/>
    </w:rPr>
  </w:style>
  <w:style w:type="paragraph" w:customStyle="1" w:styleId="KapitulliTitull">
    <w:name w:val="Kapitulli_Titull"/>
    <w:rsid w:val="00A003B4"/>
    <w:pPr>
      <w:keepNext/>
      <w:widowControl w:val="0"/>
      <w:jc w:val="center"/>
    </w:pPr>
    <w:rPr>
      <w:rFonts w:ascii="CG Times" w:hAnsi="CG Times"/>
      <w:caps/>
      <w:sz w:val="22"/>
      <w:szCs w:val="22"/>
      <w:lang w:val="en-GB"/>
    </w:rPr>
  </w:style>
  <w:style w:type="paragraph" w:customStyle="1" w:styleId="KreuNr">
    <w:name w:val="Kreu_Nr"/>
    <w:rsid w:val="00A003B4"/>
    <w:pPr>
      <w:keepNext/>
      <w:widowControl w:val="0"/>
      <w:jc w:val="center"/>
    </w:pPr>
    <w:rPr>
      <w:rFonts w:ascii="CG Times" w:hAnsi="CG Times"/>
      <w:caps/>
      <w:sz w:val="22"/>
      <w:szCs w:val="22"/>
    </w:rPr>
  </w:style>
  <w:style w:type="paragraph" w:customStyle="1" w:styleId="KreuTitull">
    <w:name w:val="Kreu_Titull"/>
    <w:next w:val="KapitulliTitull"/>
    <w:rsid w:val="00A003B4"/>
    <w:pPr>
      <w:keepNext/>
      <w:widowControl w:val="0"/>
      <w:jc w:val="center"/>
    </w:pPr>
    <w:rPr>
      <w:rFonts w:ascii="CG Times" w:hAnsi="CG Times"/>
      <w:caps/>
      <w:sz w:val="22"/>
      <w:szCs w:val="22"/>
    </w:rPr>
  </w:style>
  <w:style w:type="paragraph" w:customStyle="1" w:styleId="Ndryshimet">
    <w:name w:val="Ndryshimet"/>
    <w:next w:val="Normal"/>
    <w:rsid w:val="00A003B4"/>
    <w:pPr>
      <w:keepNext/>
      <w:widowControl w:val="0"/>
      <w:jc w:val="center"/>
    </w:pPr>
    <w:rPr>
      <w:rFonts w:ascii="CG Times" w:hAnsi="CG Times"/>
      <w:i/>
      <w:sz w:val="22"/>
    </w:rPr>
  </w:style>
  <w:style w:type="paragraph" w:customStyle="1" w:styleId="NeniNr">
    <w:name w:val="Neni_Nr"/>
    <w:next w:val="Normal"/>
    <w:rsid w:val="00A003B4"/>
    <w:pPr>
      <w:keepNext/>
      <w:widowControl w:val="0"/>
      <w:jc w:val="center"/>
    </w:pPr>
    <w:rPr>
      <w:rFonts w:ascii="CG Times" w:hAnsi="CG Times"/>
      <w:sz w:val="22"/>
      <w:lang w:val="en-GB"/>
    </w:rPr>
  </w:style>
  <w:style w:type="paragraph" w:customStyle="1" w:styleId="NeniTitull">
    <w:name w:val="Neni_Titull"/>
    <w:next w:val="Normal"/>
    <w:rsid w:val="00A003B4"/>
    <w:pPr>
      <w:keepNext/>
      <w:widowControl w:val="0"/>
      <w:jc w:val="center"/>
      <w:outlineLvl w:val="2"/>
    </w:pPr>
    <w:rPr>
      <w:rFonts w:ascii="CG Times" w:hAnsi="CG Times"/>
      <w:b/>
      <w:sz w:val="22"/>
      <w:lang w:val="en-GB"/>
    </w:rPr>
  </w:style>
  <w:style w:type="paragraph" w:customStyle="1" w:styleId="NenkreuNr">
    <w:name w:val="Nenkreu_Nr"/>
    <w:rsid w:val="00A003B4"/>
    <w:pPr>
      <w:keepNext/>
      <w:widowControl w:val="0"/>
      <w:jc w:val="center"/>
    </w:pPr>
    <w:rPr>
      <w:rFonts w:ascii="CG Times" w:hAnsi="CG Times"/>
      <w:caps/>
      <w:sz w:val="22"/>
      <w:szCs w:val="22"/>
      <w:lang w:val="en-GB"/>
    </w:rPr>
  </w:style>
  <w:style w:type="paragraph" w:customStyle="1" w:styleId="NenkreuTitull">
    <w:name w:val="Nenkreu_Titull"/>
    <w:rsid w:val="00A003B4"/>
    <w:pPr>
      <w:jc w:val="center"/>
    </w:pPr>
    <w:rPr>
      <w:rFonts w:ascii="CG Times" w:hAnsi="CG Times"/>
      <w:caps/>
      <w:sz w:val="22"/>
      <w:szCs w:val="22"/>
      <w:lang w:val="en-GB"/>
    </w:rPr>
  </w:style>
  <w:style w:type="paragraph" w:customStyle="1" w:styleId="Nenpika">
    <w:name w:val="Nenpika"/>
    <w:next w:val="Normal"/>
    <w:autoRedefine/>
    <w:rsid w:val="00A003B4"/>
    <w:pPr>
      <w:ind w:firstLine="720"/>
    </w:pPr>
    <w:rPr>
      <w:rFonts w:ascii="CG Times" w:hAnsi="CG Times"/>
      <w:sz w:val="22"/>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val="en-GB"/>
    </w:rPr>
  </w:style>
  <w:style w:type="paragraph" w:customStyle="1" w:styleId="NumriData">
    <w:name w:val="Numri_Data"/>
    <w:next w:val="Normal"/>
    <w:rsid w:val="00A003B4"/>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rsid w:val="00A003B4"/>
    <w:pPr>
      <w:widowControl w:val="0"/>
      <w:ind w:firstLine="720"/>
      <w:jc w:val="both"/>
    </w:pPr>
    <w:rPr>
      <w:rFonts w:ascii="CG Times" w:eastAsia="MS Mincho" w:hAnsi="CG Times"/>
      <w:sz w:val="22"/>
    </w:rPr>
  </w:style>
  <w:style w:type="paragraph" w:customStyle="1" w:styleId="Pika">
    <w:name w:val="Pika"/>
    <w:next w:val="Normal"/>
    <w:autoRedefine/>
    <w:rsid w:val="00A003B4"/>
    <w:pPr>
      <w:ind w:firstLine="720"/>
    </w:pPr>
    <w:rPr>
      <w:rFonts w:ascii="CG Times" w:hAnsi="CG Times"/>
      <w:sz w:val="22"/>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eastAsia="tr-TR"/>
    </w:rPr>
  </w:style>
  <w:style w:type="paragraph" w:customStyle="1" w:styleId="PjesaNr">
    <w:name w:val="Pjesa_Nr"/>
    <w:next w:val="Normal"/>
    <w:rsid w:val="00A003B4"/>
    <w:pPr>
      <w:keepNext/>
      <w:widowControl w:val="0"/>
      <w:jc w:val="center"/>
    </w:pPr>
    <w:rPr>
      <w:rFonts w:ascii="CG Times" w:hAnsi="CG Times"/>
      <w:caps/>
      <w:sz w:val="22"/>
      <w:szCs w:val="22"/>
      <w:lang w:val="en-GB"/>
    </w:rPr>
  </w:style>
  <w:style w:type="paragraph" w:customStyle="1" w:styleId="PjesaTitull">
    <w:name w:val="Pjesa_Titull"/>
    <w:rsid w:val="00A003B4"/>
    <w:pPr>
      <w:keepNext/>
      <w:widowControl w:val="0"/>
      <w:jc w:val="center"/>
    </w:pPr>
    <w:rPr>
      <w:rFonts w:ascii="CG Times" w:hAnsi="CG Times"/>
      <w:caps/>
      <w:sz w:val="22"/>
      <w:szCs w:val="22"/>
      <w:lang w:val="en-GB"/>
    </w:rPr>
  </w:style>
  <w:style w:type="paragraph" w:customStyle="1" w:styleId="Shpallja">
    <w:name w:val="Shpallja"/>
    <w:rsid w:val="00A003B4"/>
    <w:pPr>
      <w:widowControl w:val="0"/>
      <w:jc w:val="both"/>
    </w:pPr>
    <w:rPr>
      <w:rFonts w:ascii="CG Times" w:hAnsi="CG Times"/>
      <w:b/>
      <w:color w:val="000000"/>
      <w:sz w:val="22"/>
      <w:szCs w:val="22"/>
      <w:lang w:val="sq-AL"/>
    </w:rPr>
  </w:style>
  <w:style w:type="paragraph" w:customStyle="1" w:styleId="Tabele">
    <w:name w:val="Tabele"/>
    <w:rsid w:val="00A003B4"/>
    <w:rPr>
      <w:rFonts w:ascii="CG Times" w:eastAsia="MS Mincho" w:hAnsi="CG Times"/>
      <w:sz w:val="22"/>
      <w:lang w:val="en-GB"/>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val="en-GB"/>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rsid w:val="00A003B4"/>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eastAsia="en-GB"/>
    </w:rPr>
  </w:style>
  <w:style w:type="paragraph" w:customStyle="1" w:styleId="autoritetiemer0">
    <w:name w:val="autoritetiemer"/>
    <w:basedOn w:val="Normal"/>
    <w:rsid w:val="00A003B4"/>
    <w:pPr>
      <w:spacing w:before="100" w:beforeAutospacing="1" w:after="100" w:afterAutospacing="1"/>
    </w:pPr>
    <w:rPr>
      <w:rFonts w:eastAsia="MS Mincho"/>
      <w:lang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rPr>
  </w:style>
  <w:style w:type="paragraph" w:customStyle="1" w:styleId="PDSHeading1">
    <w:name w:val="PDS Heading 1"/>
    <w:next w:val="Normal"/>
    <w:rsid w:val="00A003B4"/>
    <w:pPr>
      <w:keepNext/>
      <w:outlineLvl w:val="0"/>
    </w:pPr>
    <w:rPr>
      <w:rFonts w:eastAsia="MS Mincho"/>
      <w:b/>
      <w:caps/>
      <w:sz w:val="24"/>
    </w:rPr>
  </w:style>
  <w:style w:type="paragraph" w:customStyle="1" w:styleId="PDSHeading2">
    <w:name w:val="PDS Heading 2"/>
    <w:next w:val="Normal"/>
    <w:rsid w:val="00A003B4"/>
    <w:pPr>
      <w:keepNext/>
    </w:pPr>
    <w:rPr>
      <w:rFonts w:eastAsia="MS Mincho"/>
      <w:b/>
      <w:sz w:val="24"/>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pacing w:before="120" w:after="0"/>
      <w:jc w:val="both"/>
    </w:pPr>
    <w:rPr>
      <w:rFonts w:eastAsia="MS Mincho"/>
      <w:snapToGrid w:val="0"/>
      <w:szCs w:val="20"/>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styleId="Hyperlink">
    <w:name w:val="Hyperlink"/>
    <w:basedOn w:val="DefaultParagraphFont"/>
    <w:rsid w:val="00E76CA2"/>
    <w:rPr>
      <w:rFonts w:cs="Times New Roman"/>
      <w:color w:val="0000FF"/>
      <w:u w:val="single"/>
    </w:rPr>
  </w:style>
  <w:style w:type="paragraph" w:styleId="Header">
    <w:name w:val="header"/>
    <w:basedOn w:val="Normal"/>
    <w:link w:val="HeaderChar"/>
    <w:rsid w:val="00E76CA2"/>
    <w:pPr>
      <w:tabs>
        <w:tab w:val="center" w:pos="4680"/>
        <w:tab w:val="right" w:pos="9360"/>
      </w:tabs>
    </w:pPr>
  </w:style>
  <w:style w:type="character" w:customStyle="1" w:styleId="HeaderChar">
    <w:name w:val="Header Char"/>
    <w:basedOn w:val="DefaultParagraphFont"/>
    <w:link w:val="Header"/>
    <w:semiHidden/>
    <w:locked/>
    <w:rsid w:val="00E76CA2"/>
    <w:rPr>
      <w:rFonts w:eastAsia="Calibri"/>
      <w:sz w:val="24"/>
      <w:szCs w:val="24"/>
      <w:lang w:val="en-GB" w:eastAsia="fr-FR" w:bidi="ar-SA"/>
    </w:rPr>
  </w:style>
  <w:style w:type="paragraph" w:styleId="Footer">
    <w:name w:val="footer"/>
    <w:basedOn w:val="Normal"/>
    <w:link w:val="FooterChar"/>
    <w:rsid w:val="00E76CA2"/>
    <w:pPr>
      <w:tabs>
        <w:tab w:val="center" w:pos="4680"/>
        <w:tab w:val="right" w:pos="9360"/>
      </w:tabs>
    </w:pPr>
  </w:style>
  <w:style w:type="character" w:customStyle="1" w:styleId="FooterChar">
    <w:name w:val="Footer Char"/>
    <w:basedOn w:val="DefaultParagraphFont"/>
    <w:link w:val="Footer"/>
    <w:locked/>
    <w:rsid w:val="00E76CA2"/>
    <w:rPr>
      <w:rFonts w:eastAsia="Calibri"/>
      <w:sz w:val="24"/>
      <w:szCs w:val="24"/>
      <w:lang w:val="en-GB" w:eastAsia="fr-FR" w:bidi="ar-SA"/>
    </w:rPr>
  </w:style>
  <w:style w:type="character" w:styleId="PageNumber">
    <w:name w:val="page number"/>
    <w:basedOn w:val="DefaultParagraphFont"/>
    <w:rsid w:val="00D7190A"/>
  </w:style>
  <w:style w:type="paragraph" w:styleId="DocumentMap">
    <w:name w:val="Document Map"/>
    <w:basedOn w:val="Normal"/>
    <w:semiHidden/>
    <w:rsid w:val="003D2AED"/>
    <w:pPr>
      <w:shd w:val="clear" w:color="auto" w:fill="000080"/>
    </w:pPr>
    <w:rPr>
      <w:rFonts w:ascii="Tahoma"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6CA2"/>
    <w:pPr>
      <w:suppressAutoHyphens/>
    </w:pPr>
    <w:rPr>
      <w:rFonts w:eastAsia="Calibri"/>
      <w:sz w:val="24"/>
      <w:szCs w:val="24"/>
      <w:lang w:val="en-GB" w:eastAsia="fr-FR"/>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A003B4"/>
    <w:rPr>
      <w:rFonts w:ascii="CG Times" w:hAnsi="CG Times"/>
      <w:sz w:val="22"/>
      <w:lang w:val="en-GB"/>
    </w:rPr>
  </w:style>
  <w:style w:type="paragraph" w:customStyle="1" w:styleId="AneksiNr">
    <w:name w:val="Aneksi_Nr"/>
    <w:next w:val="Normal"/>
    <w:rsid w:val="00A003B4"/>
    <w:pPr>
      <w:keepNext/>
      <w:widowControl w:val="0"/>
      <w:jc w:val="center"/>
    </w:pPr>
    <w:rPr>
      <w:rFonts w:ascii="CG Times" w:hAnsi="CG Times"/>
      <w:caps/>
      <w:sz w:val="22"/>
      <w:szCs w:val="22"/>
      <w:lang w:val="en-GB"/>
    </w:rPr>
  </w:style>
  <w:style w:type="paragraph" w:customStyle="1" w:styleId="AneksiTitull">
    <w:name w:val="Aneksi_Titull"/>
    <w:next w:val="Normal"/>
    <w:rsid w:val="00A003B4"/>
    <w:pPr>
      <w:jc w:val="center"/>
    </w:pPr>
    <w:rPr>
      <w:rFonts w:ascii="CG Times" w:hAnsi="CG Times"/>
      <w:sz w:val="24"/>
      <w:szCs w:val="24"/>
      <w:lang w:val="en-GB"/>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A003B4"/>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eastAsia="tr-TR"/>
    </w:rPr>
  </w:style>
  <w:style w:type="paragraph" w:customStyle="1" w:styleId="Bllok">
    <w:name w:val="Bllok"/>
    <w:next w:val="Normal"/>
    <w:rsid w:val="00A003B4"/>
    <w:pPr>
      <w:jc w:val="center"/>
    </w:pPr>
    <w:rPr>
      <w:rFonts w:ascii="CG Times" w:hAnsi="CG Times"/>
      <w:caps/>
      <w:sz w:val="22"/>
      <w:szCs w:val="22"/>
      <w:lang w:val="en-GB"/>
    </w:rPr>
  </w:style>
  <w:style w:type="paragraph" w:customStyle="1" w:styleId="Char0">
    <w:name w:val="Char"/>
    <w:basedOn w:val="Normal"/>
    <w:rsid w:val="00A003B4"/>
    <w:pPr>
      <w:spacing w:after="160" w:line="240" w:lineRule="exact"/>
    </w:pPr>
    <w:rPr>
      <w:rFonts w:ascii="Tahoma" w:eastAsia="MS Mincho" w:hAnsi="Tahoma"/>
      <w:sz w:val="20"/>
      <w:szCs w:val="20"/>
      <w:lang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eastAsia="tr-TR"/>
    </w:rPr>
  </w:style>
  <w:style w:type="paragraph" w:customStyle="1" w:styleId="Figure">
    <w:name w:val="Figure"/>
    <w:next w:val="Normal"/>
    <w:rsid w:val="00A003B4"/>
    <w:pPr>
      <w:widowControl w:val="0"/>
      <w:outlineLvl w:val="2"/>
    </w:pPr>
    <w:rPr>
      <w:rFonts w:ascii="CG Times" w:hAnsi="CG Times"/>
      <w:sz w:val="22"/>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eastAsia="tr-TR"/>
    </w:rPr>
  </w:style>
  <w:style w:type="paragraph" w:customStyle="1" w:styleId="Institucioni">
    <w:name w:val="Institucioni"/>
    <w:next w:val="Normal"/>
    <w:rsid w:val="00A003B4"/>
    <w:pPr>
      <w:keepNext/>
      <w:widowControl w:val="0"/>
      <w:jc w:val="center"/>
    </w:pPr>
    <w:rPr>
      <w:rFonts w:ascii="CG Times" w:hAnsi="CG Times"/>
      <w:caps/>
      <w:sz w:val="22"/>
      <w:szCs w:val="22"/>
      <w:lang w:val="en-GB"/>
    </w:rPr>
  </w:style>
  <w:style w:type="paragraph" w:customStyle="1" w:styleId="Kapakufund">
    <w:name w:val="Kapaku_fund"/>
    <w:next w:val="Normal"/>
    <w:rsid w:val="00A003B4"/>
    <w:pPr>
      <w:pageBreakBefore/>
    </w:pPr>
    <w:rPr>
      <w:rFonts w:ascii="CG Times" w:hAnsi="CG Times"/>
      <w:b/>
      <w:sz w:val="22"/>
      <w:szCs w:val="22"/>
    </w:rPr>
  </w:style>
  <w:style w:type="paragraph" w:customStyle="1" w:styleId="KapitulliNr">
    <w:name w:val="Kapitulli_Nr"/>
    <w:rsid w:val="00A003B4"/>
    <w:pPr>
      <w:keepNext/>
      <w:widowControl w:val="0"/>
      <w:jc w:val="center"/>
    </w:pPr>
    <w:rPr>
      <w:rFonts w:ascii="CG Times" w:hAnsi="CG Times"/>
      <w:caps/>
      <w:sz w:val="22"/>
      <w:szCs w:val="22"/>
      <w:lang w:val="en-GB"/>
    </w:rPr>
  </w:style>
  <w:style w:type="paragraph" w:customStyle="1" w:styleId="KapitulliTitull">
    <w:name w:val="Kapitulli_Titull"/>
    <w:rsid w:val="00A003B4"/>
    <w:pPr>
      <w:keepNext/>
      <w:widowControl w:val="0"/>
      <w:jc w:val="center"/>
    </w:pPr>
    <w:rPr>
      <w:rFonts w:ascii="CG Times" w:hAnsi="CG Times"/>
      <w:caps/>
      <w:sz w:val="22"/>
      <w:szCs w:val="22"/>
      <w:lang w:val="en-GB"/>
    </w:rPr>
  </w:style>
  <w:style w:type="paragraph" w:customStyle="1" w:styleId="KreuNr">
    <w:name w:val="Kreu_Nr"/>
    <w:rsid w:val="00A003B4"/>
    <w:pPr>
      <w:keepNext/>
      <w:widowControl w:val="0"/>
      <w:jc w:val="center"/>
    </w:pPr>
    <w:rPr>
      <w:rFonts w:ascii="CG Times" w:hAnsi="CG Times"/>
      <w:caps/>
      <w:sz w:val="22"/>
      <w:szCs w:val="22"/>
    </w:rPr>
  </w:style>
  <w:style w:type="paragraph" w:customStyle="1" w:styleId="KreuTitull">
    <w:name w:val="Kreu_Titull"/>
    <w:next w:val="KapitulliTitull"/>
    <w:rsid w:val="00A003B4"/>
    <w:pPr>
      <w:keepNext/>
      <w:widowControl w:val="0"/>
      <w:jc w:val="center"/>
    </w:pPr>
    <w:rPr>
      <w:rFonts w:ascii="CG Times" w:hAnsi="CG Times"/>
      <w:caps/>
      <w:sz w:val="22"/>
      <w:szCs w:val="22"/>
    </w:rPr>
  </w:style>
  <w:style w:type="paragraph" w:customStyle="1" w:styleId="Ndryshimet">
    <w:name w:val="Ndryshimet"/>
    <w:next w:val="Normal"/>
    <w:rsid w:val="00A003B4"/>
    <w:pPr>
      <w:keepNext/>
      <w:widowControl w:val="0"/>
      <w:jc w:val="center"/>
    </w:pPr>
    <w:rPr>
      <w:rFonts w:ascii="CG Times" w:hAnsi="CG Times"/>
      <w:i/>
      <w:sz w:val="22"/>
    </w:rPr>
  </w:style>
  <w:style w:type="paragraph" w:customStyle="1" w:styleId="NeniNr">
    <w:name w:val="Neni_Nr"/>
    <w:next w:val="Normal"/>
    <w:rsid w:val="00A003B4"/>
    <w:pPr>
      <w:keepNext/>
      <w:widowControl w:val="0"/>
      <w:jc w:val="center"/>
    </w:pPr>
    <w:rPr>
      <w:rFonts w:ascii="CG Times" w:hAnsi="CG Times"/>
      <w:sz w:val="22"/>
      <w:lang w:val="en-GB"/>
    </w:rPr>
  </w:style>
  <w:style w:type="paragraph" w:customStyle="1" w:styleId="NeniTitull">
    <w:name w:val="Neni_Titull"/>
    <w:next w:val="Normal"/>
    <w:rsid w:val="00A003B4"/>
    <w:pPr>
      <w:keepNext/>
      <w:widowControl w:val="0"/>
      <w:jc w:val="center"/>
      <w:outlineLvl w:val="2"/>
    </w:pPr>
    <w:rPr>
      <w:rFonts w:ascii="CG Times" w:hAnsi="CG Times"/>
      <w:b/>
      <w:sz w:val="22"/>
      <w:lang w:val="en-GB"/>
    </w:rPr>
  </w:style>
  <w:style w:type="paragraph" w:customStyle="1" w:styleId="NenkreuNr">
    <w:name w:val="Nenkreu_Nr"/>
    <w:rsid w:val="00A003B4"/>
    <w:pPr>
      <w:keepNext/>
      <w:widowControl w:val="0"/>
      <w:jc w:val="center"/>
    </w:pPr>
    <w:rPr>
      <w:rFonts w:ascii="CG Times" w:hAnsi="CG Times"/>
      <w:caps/>
      <w:sz w:val="22"/>
      <w:szCs w:val="22"/>
      <w:lang w:val="en-GB"/>
    </w:rPr>
  </w:style>
  <w:style w:type="paragraph" w:customStyle="1" w:styleId="NenkreuTitull">
    <w:name w:val="Nenkreu_Titull"/>
    <w:rsid w:val="00A003B4"/>
    <w:pPr>
      <w:jc w:val="center"/>
    </w:pPr>
    <w:rPr>
      <w:rFonts w:ascii="CG Times" w:hAnsi="CG Times"/>
      <w:caps/>
      <w:sz w:val="22"/>
      <w:szCs w:val="22"/>
      <w:lang w:val="en-GB"/>
    </w:rPr>
  </w:style>
  <w:style w:type="paragraph" w:customStyle="1" w:styleId="Nenpika">
    <w:name w:val="Nenpika"/>
    <w:next w:val="Normal"/>
    <w:autoRedefine/>
    <w:rsid w:val="00A003B4"/>
    <w:pPr>
      <w:ind w:firstLine="720"/>
    </w:pPr>
    <w:rPr>
      <w:rFonts w:ascii="CG Times" w:hAnsi="CG Times"/>
      <w:sz w:val="22"/>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val="en-GB"/>
    </w:rPr>
  </w:style>
  <w:style w:type="paragraph" w:customStyle="1" w:styleId="NumriData">
    <w:name w:val="Numri_Data"/>
    <w:next w:val="Normal"/>
    <w:rsid w:val="00A003B4"/>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rsid w:val="00A003B4"/>
    <w:pPr>
      <w:widowControl w:val="0"/>
      <w:ind w:firstLine="720"/>
      <w:jc w:val="both"/>
    </w:pPr>
    <w:rPr>
      <w:rFonts w:ascii="CG Times" w:eastAsia="MS Mincho" w:hAnsi="CG Times"/>
      <w:sz w:val="22"/>
    </w:rPr>
  </w:style>
  <w:style w:type="paragraph" w:customStyle="1" w:styleId="Pika">
    <w:name w:val="Pika"/>
    <w:next w:val="Normal"/>
    <w:autoRedefine/>
    <w:rsid w:val="00A003B4"/>
    <w:pPr>
      <w:ind w:firstLine="720"/>
    </w:pPr>
    <w:rPr>
      <w:rFonts w:ascii="CG Times" w:hAnsi="CG Times"/>
      <w:sz w:val="22"/>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eastAsia="tr-TR"/>
    </w:rPr>
  </w:style>
  <w:style w:type="paragraph" w:customStyle="1" w:styleId="PjesaNr">
    <w:name w:val="Pjesa_Nr"/>
    <w:next w:val="Normal"/>
    <w:rsid w:val="00A003B4"/>
    <w:pPr>
      <w:keepNext/>
      <w:widowControl w:val="0"/>
      <w:jc w:val="center"/>
    </w:pPr>
    <w:rPr>
      <w:rFonts w:ascii="CG Times" w:hAnsi="CG Times"/>
      <w:caps/>
      <w:sz w:val="22"/>
      <w:szCs w:val="22"/>
      <w:lang w:val="en-GB"/>
    </w:rPr>
  </w:style>
  <w:style w:type="paragraph" w:customStyle="1" w:styleId="PjesaTitull">
    <w:name w:val="Pjesa_Titull"/>
    <w:rsid w:val="00A003B4"/>
    <w:pPr>
      <w:keepNext/>
      <w:widowControl w:val="0"/>
      <w:jc w:val="center"/>
    </w:pPr>
    <w:rPr>
      <w:rFonts w:ascii="CG Times" w:hAnsi="CG Times"/>
      <w:caps/>
      <w:sz w:val="22"/>
      <w:szCs w:val="22"/>
      <w:lang w:val="en-GB"/>
    </w:rPr>
  </w:style>
  <w:style w:type="paragraph" w:customStyle="1" w:styleId="Shpallja">
    <w:name w:val="Shpallja"/>
    <w:rsid w:val="00A003B4"/>
    <w:pPr>
      <w:widowControl w:val="0"/>
      <w:jc w:val="both"/>
    </w:pPr>
    <w:rPr>
      <w:rFonts w:ascii="CG Times" w:hAnsi="CG Times"/>
      <w:b/>
      <w:color w:val="000000"/>
      <w:sz w:val="22"/>
      <w:szCs w:val="22"/>
      <w:lang w:val="sq-AL"/>
    </w:rPr>
  </w:style>
  <w:style w:type="paragraph" w:customStyle="1" w:styleId="Tabele">
    <w:name w:val="Tabele"/>
    <w:rsid w:val="00A003B4"/>
    <w:rPr>
      <w:rFonts w:ascii="CG Times" w:eastAsia="MS Mincho" w:hAnsi="CG Times"/>
      <w:sz w:val="22"/>
      <w:lang w:val="en-GB"/>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val="en-GB"/>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rsid w:val="00A003B4"/>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eastAsia="en-GB"/>
    </w:rPr>
  </w:style>
  <w:style w:type="paragraph" w:customStyle="1" w:styleId="autoritetiemer0">
    <w:name w:val="autoritetiemer"/>
    <w:basedOn w:val="Normal"/>
    <w:rsid w:val="00A003B4"/>
    <w:pPr>
      <w:spacing w:before="100" w:beforeAutospacing="1" w:after="100" w:afterAutospacing="1"/>
    </w:pPr>
    <w:rPr>
      <w:rFonts w:eastAsia="MS Mincho"/>
      <w:lang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rPr>
  </w:style>
  <w:style w:type="paragraph" w:customStyle="1" w:styleId="PDSHeading1">
    <w:name w:val="PDS Heading 1"/>
    <w:next w:val="Normal"/>
    <w:rsid w:val="00A003B4"/>
    <w:pPr>
      <w:keepNext/>
      <w:outlineLvl w:val="0"/>
    </w:pPr>
    <w:rPr>
      <w:rFonts w:eastAsia="MS Mincho"/>
      <w:b/>
      <w:caps/>
      <w:sz w:val="24"/>
    </w:rPr>
  </w:style>
  <w:style w:type="paragraph" w:customStyle="1" w:styleId="PDSHeading2">
    <w:name w:val="PDS Heading 2"/>
    <w:next w:val="Normal"/>
    <w:rsid w:val="00A003B4"/>
    <w:pPr>
      <w:keepNext/>
    </w:pPr>
    <w:rPr>
      <w:rFonts w:eastAsia="MS Mincho"/>
      <w:b/>
      <w:sz w:val="24"/>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pacing w:before="120" w:after="0"/>
      <w:jc w:val="both"/>
    </w:pPr>
    <w:rPr>
      <w:rFonts w:eastAsia="MS Mincho"/>
      <w:snapToGrid w:val="0"/>
      <w:szCs w:val="20"/>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styleId="Hyperlink">
    <w:name w:val="Hyperlink"/>
    <w:basedOn w:val="DefaultParagraphFont"/>
    <w:rsid w:val="00E76CA2"/>
    <w:rPr>
      <w:rFonts w:cs="Times New Roman"/>
      <w:color w:val="0000FF"/>
      <w:u w:val="single"/>
    </w:rPr>
  </w:style>
  <w:style w:type="paragraph" w:styleId="Header">
    <w:name w:val="header"/>
    <w:basedOn w:val="Normal"/>
    <w:link w:val="HeaderChar"/>
    <w:rsid w:val="00E76CA2"/>
    <w:pPr>
      <w:tabs>
        <w:tab w:val="center" w:pos="4680"/>
        <w:tab w:val="right" w:pos="9360"/>
      </w:tabs>
    </w:pPr>
  </w:style>
  <w:style w:type="character" w:customStyle="1" w:styleId="HeaderChar">
    <w:name w:val="Header Char"/>
    <w:basedOn w:val="DefaultParagraphFont"/>
    <w:link w:val="Header"/>
    <w:semiHidden/>
    <w:locked/>
    <w:rsid w:val="00E76CA2"/>
    <w:rPr>
      <w:rFonts w:eastAsia="Calibri"/>
      <w:sz w:val="24"/>
      <w:szCs w:val="24"/>
      <w:lang w:val="en-GB" w:eastAsia="fr-FR" w:bidi="ar-SA"/>
    </w:rPr>
  </w:style>
  <w:style w:type="paragraph" w:styleId="Footer">
    <w:name w:val="footer"/>
    <w:basedOn w:val="Normal"/>
    <w:link w:val="FooterChar"/>
    <w:rsid w:val="00E76CA2"/>
    <w:pPr>
      <w:tabs>
        <w:tab w:val="center" w:pos="4680"/>
        <w:tab w:val="right" w:pos="9360"/>
      </w:tabs>
    </w:pPr>
  </w:style>
  <w:style w:type="character" w:customStyle="1" w:styleId="FooterChar">
    <w:name w:val="Footer Char"/>
    <w:basedOn w:val="DefaultParagraphFont"/>
    <w:link w:val="Footer"/>
    <w:locked/>
    <w:rsid w:val="00E76CA2"/>
    <w:rPr>
      <w:rFonts w:eastAsia="Calibri"/>
      <w:sz w:val="24"/>
      <w:szCs w:val="24"/>
      <w:lang w:val="en-GB" w:eastAsia="fr-FR" w:bidi="ar-SA"/>
    </w:rPr>
  </w:style>
  <w:style w:type="character" w:styleId="PageNumber">
    <w:name w:val="page number"/>
    <w:basedOn w:val="DefaultParagraphFont"/>
    <w:rsid w:val="00D7190A"/>
  </w:style>
  <w:style w:type="paragraph" w:styleId="DocumentMap">
    <w:name w:val="Document Map"/>
    <w:basedOn w:val="Normal"/>
    <w:semiHidden/>
    <w:rsid w:val="003D2AED"/>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3.@do"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3713</Words>
  <Characters>21167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24831</CharactersWithSpaces>
  <SharedDoc>false</SharedDoc>
  <HLinks>
    <vt:vector size="6" baseType="variant">
      <vt:variant>
        <vt:i4>8257536</vt:i4>
      </vt:variant>
      <vt:variant>
        <vt:i4>0</vt:i4>
      </vt:variant>
      <vt:variant>
        <vt:i4>0</vt:i4>
      </vt:variant>
      <vt:variant>
        <vt:i4>5</vt:i4>
      </vt:variant>
      <vt:variant>
        <vt:lpwstr>mailto:3.@do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Jonida Resulaj</cp:lastModifiedBy>
  <cp:revision>2</cp:revision>
  <cp:lastPrinted>2010-07-29T09:06:00Z</cp:lastPrinted>
  <dcterms:created xsi:type="dcterms:W3CDTF">2019-05-22T10:13:00Z</dcterms:created>
  <dcterms:modified xsi:type="dcterms:W3CDTF">2019-05-22T10:13:00Z</dcterms:modified>
</cp:coreProperties>
</file>