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8F6" w:rsidRDefault="002768F6" w:rsidP="004A0E2A">
      <w:pPr>
        <w:pStyle w:val="Akti"/>
        <w:keepNext w:val="0"/>
      </w:pPr>
      <w:bookmarkStart w:id="0" w:name="_GoBack"/>
      <w:bookmarkEnd w:id="0"/>
      <w:r>
        <w:t>LIGJ</w:t>
      </w:r>
    </w:p>
    <w:p w:rsidR="002768F6" w:rsidRDefault="00915A40" w:rsidP="004A0E2A">
      <w:pPr>
        <w:pStyle w:val="NumriData"/>
        <w:keepNext w:val="0"/>
      </w:pPr>
      <w:r>
        <w:t>Nr.</w:t>
      </w:r>
      <w:r w:rsidR="002768F6">
        <w:t>10 283, datë 3.6.2010</w:t>
      </w:r>
    </w:p>
    <w:p w:rsidR="002768F6" w:rsidRDefault="002768F6" w:rsidP="004A0E2A">
      <w:pPr>
        <w:pStyle w:val="Paragrafi0"/>
        <w:rPr>
          <w:b/>
        </w:rPr>
      </w:pPr>
    </w:p>
    <w:p w:rsidR="002768F6" w:rsidRDefault="002768F6" w:rsidP="004A0E2A">
      <w:pPr>
        <w:pStyle w:val="Titulli0"/>
        <w:keepNext w:val="0"/>
      </w:pPr>
      <w:r>
        <w:t xml:space="preserve">PËR ADERIMIN E REPUBLIKËS SË SHQIPËRISË NË MARRËVESHJEN E NATO-S “PËR KOMUNIKIMIN </w:t>
      </w:r>
      <w:r w:rsidR="001521F6">
        <w:t>E INFORMACIONIT TEKNIK PËR QËLL</w:t>
      </w:r>
      <w:r>
        <w:t>IME TË MBROJTJES”</w:t>
      </w:r>
    </w:p>
    <w:p w:rsidR="002768F6" w:rsidRDefault="002768F6" w:rsidP="004A0E2A">
      <w:pPr>
        <w:pStyle w:val="Paragrafi0"/>
      </w:pPr>
    </w:p>
    <w:p w:rsidR="002768F6" w:rsidRDefault="002768F6" w:rsidP="004A0E2A">
      <w:pPr>
        <w:pStyle w:val="Paragrafi0"/>
      </w:pPr>
      <w:r>
        <w:t>Në mbështetje të neneve 78, 83 pika 1 dhe 121 të Kushtetutës, me propozimin e Këshillit të Ministrave,</w:t>
      </w:r>
    </w:p>
    <w:p w:rsidR="002768F6" w:rsidRDefault="002768F6" w:rsidP="004A0E2A">
      <w:pPr>
        <w:pStyle w:val="Paragrafi0"/>
      </w:pPr>
    </w:p>
    <w:p w:rsidR="002768F6" w:rsidRPr="001521F6" w:rsidRDefault="002768F6" w:rsidP="004A0E2A">
      <w:pPr>
        <w:pStyle w:val="Institucioni"/>
        <w:keepNext w:val="0"/>
        <w:rPr>
          <w:lang w:val="it-IT"/>
        </w:rPr>
      </w:pPr>
      <w:r w:rsidRPr="001521F6">
        <w:rPr>
          <w:lang w:val="it-IT"/>
        </w:rPr>
        <w:t>KUVENDI</w:t>
      </w:r>
    </w:p>
    <w:p w:rsidR="002768F6" w:rsidRPr="001521F6" w:rsidRDefault="002768F6" w:rsidP="004A0E2A">
      <w:pPr>
        <w:pStyle w:val="Institucioni"/>
        <w:keepNext w:val="0"/>
        <w:rPr>
          <w:lang w:val="it-IT"/>
        </w:rPr>
      </w:pPr>
      <w:r w:rsidRPr="001521F6">
        <w:rPr>
          <w:lang w:val="it-IT"/>
        </w:rPr>
        <w:t>I REPUBLIKËS SË SHQIPËRISË</w:t>
      </w:r>
    </w:p>
    <w:p w:rsidR="002768F6" w:rsidRPr="001521F6" w:rsidRDefault="002768F6" w:rsidP="004A0E2A">
      <w:pPr>
        <w:pStyle w:val="Paragrafi0"/>
        <w:rPr>
          <w:b/>
          <w:lang w:val="it-IT"/>
        </w:rPr>
      </w:pPr>
    </w:p>
    <w:p w:rsidR="002768F6" w:rsidRPr="001521F6" w:rsidRDefault="002768F6" w:rsidP="004A0E2A">
      <w:pPr>
        <w:pStyle w:val="VENDOSI0"/>
        <w:keepNext w:val="0"/>
        <w:rPr>
          <w:lang w:val="it-IT"/>
        </w:rPr>
      </w:pPr>
      <w:r w:rsidRPr="001521F6">
        <w:rPr>
          <w:lang w:val="it-IT"/>
        </w:rPr>
        <w:t>VENDOSI:</w:t>
      </w:r>
    </w:p>
    <w:p w:rsidR="002768F6" w:rsidRPr="001521F6" w:rsidRDefault="002768F6" w:rsidP="004A0E2A">
      <w:pPr>
        <w:pStyle w:val="Paragrafi0"/>
        <w:rPr>
          <w:szCs w:val="28"/>
          <w:lang w:val="it-IT"/>
        </w:rPr>
      </w:pPr>
    </w:p>
    <w:p w:rsidR="002768F6" w:rsidRPr="001521F6" w:rsidRDefault="002768F6" w:rsidP="004A0E2A">
      <w:pPr>
        <w:pStyle w:val="NeniNr"/>
        <w:keepNext w:val="0"/>
        <w:rPr>
          <w:lang w:val="it-IT"/>
        </w:rPr>
      </w:pPr>
      <w:r w:rsidRPr="001521F6">
        <w:rPr>
          <w:lang w:val="it-IT"/>
        </w:rPr>
        <w:t>Neni 1</w:t>
      </w:r>
    </w:p>
    <w:p w:rsidR="002768F6" w:rsidRPr="001521F6" w:rsidRDefault="002768F6" w:rsidP="004A0E2A">
      <w:pPr>
        <w:pStyle w:val="Paragrafi0"/>
        <w:rPr>
          <w:lang w:val="it-IT"/>
        </w:rPr>
      </w:pPr>
    </w:p>
    <w:p w:rsidR="002768F6" w:rsidRPr="001521F6" w:rsidRDefault="002768F6" w:rsidP="004A0E2A">
      <w:pPr>
        <w:pStyle w:val="Paragrafi0"/>
        <w:rPr>
          <w:lang w:val="it-IT"/>
        </w:rPr>
      </w:pPr>
      <w:r w:rsidRPr="001521F6">
        <w:rPr>
          <w:lang w:val="it-IT"/>
        </w:rPr>
        <w:t>Republika e Shqipërisë aderon në marrëveshjen e NATO-s “Për komunikimin e informacionit teknik për qëllime të mbrojtjes”, bërë në Bruksel më 19 tetor 1970.</w:t>
      </w:r>
    </w:p>
    <w:p w:rsidR="002768F6" w:rsidRPr="001521F6" w:rsidRDefault="002768F6" w:rsidP="004A0E2A">
      <w:pPr>
        <w:pStyle w:val="Paragrafi0"/>
        <w:rPr>
          <w:lang w:val="it-IT"/>
        </w:rPr>
      </w:pPr>
    </w:p>
    <w:p w:rsidR="002768F6" w:rsidRPr="001521F6" w:rsidRDefault="002768F6" w:rsidP="004A0E2A">
      <w:pPr>
        <w:pStyle w:val="NeniNr"/>
        <w:keepNext w:val="0"/>
        <w:rPr>
          <w:lang w:val="it-IT"/>
        </w:rPr>
      </w:pPr>
      <w:r w:rsidRPr="001521F6">
        <w:rPr>
          <w:lang w:val="it-IT"/>
        </w:rPr>
        <w:t>Neni 2</w:t>
      </w:r>
    </w:p>
    <w:p w:rsidR="002768F6" w:rsidRPr="001521F6" w:rsidRDefault="002768F6" w:rsidP="004A0E2A">
      <w:pPr>
        <w:pStyle w:val="Paragrafi0"/>
        <w:rPr>
          <w:lang w:val="it-IT"/>
        </w:rPr>
      </w:pPr>
    </w:p>
    <w:p w:rsidR="002768F6" w:rsidRPr="001521F6" w:rsidRDefault="002768F6" w:rsidP="004A0E2A">
      <w:pPr>
        <w:pStyle w:val="Paragrafi0"/>
        <w:rPr>
          <w:lang w:val="it-IT"/>
        </w:rPr>
      </w:pPr>
      <w:r w:rsidRPr="001521F6">
        <w:rPr>
          <w:lang w:val="it-IT"/>
        </w:rPr>
        <w:t>Ky ligj hyn në fuqi 15 ditë pas botimit në Fletoren Zyrtare.</w:t>
      </w:r>
    </w:p>
    <w:p w:rsidR="002768F6" w:rsidRPr="001521F6" w:rsidRDefault="002768F6" w:rsidP="004A0E2A">
      <w:pPr>
        <w:pStyle w:val="Paragrafi0"/>
        <w:rPr>
          <w:lang w:val="it-IT"/>
        </w:rPr>
      </w:pPr>
    </w:p>
    <w:p w:rsidR="009938F0" w:rsidRDefault="009938F0" w:rsidP="004A0E2A">
      <w:pPr>
        <w:pStyle w:val="Paragrafi0"/>
        <w:ind w:firstLine="0"/>
        <w:rPr>
          <w:b/>
          <w:sz w:val="23"/>
          <w:szCs w:val="23"/>
          <w:lang w:val="sq-AL"/>
        </w:rPr>
      </w:pPr>
      <w:r>
        <w:rPr>
          <w:b/>
          <w:sz w:val="23"/>
          <w:szCs w:val="23"/>
          <w:lang w:val="sq-AL"/>
        </w:rPr>
        <w:t>Shpallur me dekretin nr.6601, datë 17.6</w:t>
      </w:r>
      <w:r w:rsidRPr="009E6281">
        <w:rPr>
          <w:b/>
          <w:sz w:val="23"/>
          <w:szCs w:val="23"/>
          <w:lang w:val="sq-AL"/>
        </w:rPr>
        <w:t>.2010 të Presidentit të Republikës së Shqipërisë, Bamir Topi</w:t>
      </w:r>
    </w:p>
    <w:p w:rsidR="00D73E64" w:rsidRPr="009E6281" w:rsidRDefault="00D73E64" w:rsidP="004A0E2A">
      <w:pPr>
        <w:pStyle w:val="Paragrafi0"/>
        <w:ind w:firstLine="0"/>
        <w:rPr>
          <w:sz w:val="23"/>
          <w:szCs w:val="23"/>
          <w:lang w:val="sq-AL"/>
        </w:rPr>
      </w:pPr>
    </w:p>
    <w:p w:rsidR="00920674" w:rsidRPr="001521F6" w:rsidRDefault="00920674" w:rsidP="004A0E2A">
      <w:pPr>
        <w:pStyle w:val="Paragrafi0"/>
        <w:rPr>
          <w:lang w:val="it-IT"/>
        </w:rPr>
      </w:pPr>
    </w:p>
    <w:p w:rsidR="00920674" w:rsidRPr="001521F6" w:rsidRDefault="00920674" w:rsidP="004A0E2A">
      <w:pPr>
        <w:pStyle w:val="Titulli0"/>
        <w:keepNext w:val="0"/>
        <w:rPr>
          <w:lang w:val="it-IT"/>
        </w:rPr>
      </w:pPr>
      <w:r w:rsidRPr="001521F6">
        <w:rPr>
          <w:lang w:val="it-IT"/>
        </w:rPr>
        <w:t xml:space="preserve">Marrëveshje e NATO-s </w:t>
      </w:r>
    </w:p>
    <w:p w:rsidR="00920674" w:rsidRPr="001521F6" w:rsidRDefault="00920674" w:rsidP="004A0E2A">
      <w:pPr>
        <w:pStyle w:val="TitulliTitull"/>
        <w:keepNext w:val="0"/>
        <w:rPr>
          <w:lang w:val="it-IT"/>
        </w:rPr>
      </w:pPr>
      <w:smartTag w:uri="urn:schemas-microsoft-com:office:smarttags" w:element="stockticker">
        <w:r w:rsidRPr="001521F6">
          <w:rPr>
            <w:lang w:val="it-IT"/>
          </w:rPr>
          <w:t>mbi</w:t>
        </w:r>
      </w:smartTag>
      <w:r w:rsidRPr="001521F6">
        <w:rPr>
          <w:lang w:val="it-IT"/>
        </w:rPr>
        <w:t xml:space="preserve"> komunikimin e informacioneve teknike për qëllime të mbrojtjes</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 xml:space="preserve">Qeveritë e Belgjikës, Kanadasë, Danimarkës, Francës, Republikës Federale Gjermane, Greqisë, Italisë, Luksemburgut, Holandës, Norvegjisë, Portugalisë, Turqisë, Mbretërisë së Bashkuar dhe Shteteve të Bashkuara të Amerikës; </w:t>
      </w:r>
    </w:p>
    <w:p w:rsidR="00920674" w:rsidRPr="001521F6" w:rsidRDefault="00920674" w:rsidP="004A0E2A">
      <w:pPr>
        <w:pStyle w:val="Paragrafi0"/>
        <w:rPr>
          <w:lang w:val="it-IT"/>
        </w:rPr>
      </w:pPr>
      <w:r w:rsidRPr="001521F6">
        <w:rPr>
          <w:i/>
          <w:lang w:val="it-IT"/>
        </w:rPr>
        <w:t>palë në traktatin</w:t>
      </w:r>
      <w:r w:rsidRPr="001521F6">
        <w:rPr>
          <w:lang w:val="it-IT"/>
        </w:rPr>
        <w:t xml:space="preserve"> e Atlantikut të Veriut në nënshkruar në Uashington, më 4 prill 1949; </w:t>
      </w:r>
    </w:p>
    <w:p w:rsidR="00920674" w:rsidRPr="001521F6" w:rsidRDefault="00920674" w:rsidP="004A0E2A">
      <w:pPr>
        <w:pStyle w:val="Paragrafi0"/>
        <w:rPr>
          <w:lang w:val="it-IT"/>
        </w:rPr>
      </w:pPr>
      <w:r w:rsidRPr="001521F6">
        <w:rPr>
          <w:i/>
          <w:lang w:val="it-IT"/>
        </w:rPr>
        <w:t>duke pasur parasysh</w:t>
      </w:r>
      <w:r w:rsidRPr="001521F6">
        <w:rPr>
          <w:lang w:val="it-IT"/>
        </w:rPr>
        <w:t xml:space="preserve"> se neni </w:t>
      </w:r>
      <w:smartTag w:uri="urn:schemas-microsoft-com:office:smarttags" w:element="stockticker">
        <w:r w:rsidRPr="001521F6">
          <w:rPr>
            <w:lang w:val="it-IT"/>
          </w:rPr>
          <w:t>III</w:t>
        </w:r>
      </w:smartTag>
      <w:r w:rsidRPr="001521F6">
        <w:rPr>
          <w:lang w:val="it-IT"/>
        </w:rPr>
        <w:t xml:space="preserve"> i Traktatit të Atlantikut të Veriut parashikon që palët do të ruajnë dhe zhvillojnë aftësitë e tyre individuale dhe kolektive për t’i rezistuar sulmit të armatosur me anë të ndihmës së vet dhe ndihmesës së ndërsjellë;</w:t>
      </w:r>
    </w:p>
    <w:p w:rsidR="00920674" w:rsidRPr="001521F6" w:rsidRDefault="00920674" w:rsidP="004A0E2A">
      <w:pPr>
        <w:pStyle w:val="Paragrafi0"/>
        <w:rPr>
          <w:lang w:val="it-IT"/>
        </w:rPr>
      </w:pPr>
      <w:r w:rsidRPr="001521F6">
        <w:rPr>
          <w:i/>
          <w:lang w:val="it-IT"/>
        </w:rPr>
        <w:t>duke pasur parasysh</w:t>
      </w:r>
      <w:r w:rsidRPr="001521F6">
        <w:rPr>
          <w:lang w:val="it-IT"/>
        </w:rPr>
        <w:t xml:space="preserve"> që një aftësi e tillë mund të zhvillohet ndër të tjera përmes komunikimit ndërmjet qeverive palë dhe organizmave të NATO-s mbi informacionin teknik të rezervuar për të ndihmuar në kërkimet e mbrojtjes, zhvillimin dhe prodhimin e pajisjeve dhe materialeve ushtarake;  </w:t>
      </w:r>
    </w:p>
    <w:p w:rsidR="00920674" w:rsidRPr="001521F6" w:rsidRDefault="00920674" w:rsidP="004A0E2A">
      <w:pPr>
        <w:pStyle w:val="Paragrafi0"/>
        <w:rPr>
          <w:lang w:val="it-IT"/>
        </w:rPr>
      </w:pPr>
      <w:r w:rsidRPr="001521F6">
        <w:rPr>
          <w:i/>
          <w:lang w:val="it-IT"/>
        </w:rPr>
        <w:t>duke pasur parasysh</w:t>
      </w:r>
      <w:r w:rsidRPr="001521F6">
        <w:rPr>
          <w:lang w:val="it-IT"/>
        </w:rPr>
        <w:t xml:space="preserve"> që të drejtat e zotëruesve të informacionit teknik të rezervuar të komunikuar në këtë mëny</w:t>
      </w:r>
      <w:r w:rsidR="00915A40" w:rsidRPr="001521F6">
        <w:rPr>
          <w:lang w:val="it-IT"/>
        </w:rPr>
        <w:t>rë duhet të njihen e të mbrohen,</w:t>
      </w:r>
    </w:p>
    <w:p w:rsidR="00920674" w:rsidRPr="001521F6" w:rsidRDefault="00920674" w:rsidP="004A0E2A">
      <w:pPr>
        <w:pStyle w:val="Paragrafi0"/>
        <w:rPr>
          <w:lang w:val="it-IT"/>
        </w:rPr>
      </w:pPr>
      <w:r w:rsidRPr="001521F6">
        <w:rPr>
          <w:i/>
          <w:lang w:val="it-IT"/>
        </w:rPr>
        <w:t>kanë rënë dakord</w:t>
      </w:r>
      <w:r w:rsidRPr="001521F6">
        <w:rPr>
          <w:lang w:val="it-IT"/>
        </w:rPr>
        <w:t xml:space="preserve"> për dispozitat e mëposhtme: </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1</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 xml:space="preserve">Për qëllime të kësaj Marrëveshjeje:   </w:t>
      </w:r>
    </w:p>
    <w:p w:rsidR="00920674" w:rsidRPr="001521F6" w:rsidRDefault="00920674" w:rsidP="004A0E2A">
      <w:pPr>
        <w:pStyle w:val="Paragrafi0"/>
        <w:rPr>
          <w:lang w:val="it-IT"/>
        </w:rPr>
      </w:pPr>
      <w:r w:rsidRPr="001521F6">
        <w:rPr>
          <w:lang w:val="it-IT"/>
        </w:rPr>
        <w:t>a) termi “për qëllime të mbrojtjes” nënkupton fuqizimin e aftësive mbrojtëse individuale ose kolektive të palëve të Traktatit të Atlantikut të Veriut sipas programeve kombëtare, dypalëshe apo shumëpalëshe, apo në vënien në jetë të projekteve kërkimore, projekteve të zhvillimit, prodhimit apo projekteve logjistike të NATO-s;</w:t>
      </w:r>
    </w:p>
    <w:p w:rsidR="00920674" w:rsidRPr="001521F6" w:rsidRDefault="00920674" w:rsidP="004A0E2A">
      <w:pPr>
        <w:pStyle w:val="Paragrafi0"/>
        <w:rPr>
          <w:lang w:val="it-IT"/>
        </w:rPr>
      </w:pPr>
      <w:r w:rsidRPr="001521F6">
        <w:rPr>
          <w:lang w:val="it-IT"/>
        </w:rPr>
        <w:t>b) termi “Informacion teknik i rezervuar” nënkupton informacionin që në karakterin e tij është teknik, mjaftueshmërisht i saktë për përdorim dhe që ka vlerë në industri, si edhe që është i njohur vetëm për pronarin dhe personat në marrëdhënie me të</w:t>
      </w:r>
      <w:r w:rsidR="00915A40" w:rsidRPr="001521F6">
        <w:rPr>
          <w:lang w:val="it-IT"/>
        </w:rPr>
        <w:t>,</w:t>
      </w:r>
      <w:r w:rsidRPr="001521F6">
        <w:rPr>
          <w:lang w:val="it-IT"/>
        </w:rPr>
        <w:t xml:space="preserve"> e rrjedhimisht nuk është i disponueshëm për </w:t>
      </w:r>
      <w:r w:rsidRPr="001521F6">
        <w:rPr>
          <w:lang w:val="it-IT"/>
        </w:rPr>
        <w:lastRenderedPageBreak/>
        <w:t xml:space="preserve">publikun. Informacioni teknik i rezervuar mund të përfshijë për shembull, shpikje, skica, njohuri dhe të dhëna; </w:t>
      </w:r>
    </w:p>
    <w:p w:rsidR="00920674" w:rsidRPr="001521F6" w:rsidRDefault="00920674" w:rsidP="004A0E2A">
      <w:pPr>
        <w:pStyle w:val="Paragrafi0"/>
        <w:rPr>
          <w:lang w:val="it-IT"/>
        </w:rPr>
      </w:pPr>
      <w:r w:rsidRPr="001521F6">
        <w:rPr>
          <w:lang w:val="it-IT"/>
        </w:rPr>
        <w:t>c) termi “Organizëm i NATO-s” nënkupton Këshillin e Atlantikut të Veriut dhe cilindo organ civil apo ushtarak në varësi të tij, duke përfshirë këtu Shtabin Ushtarak Ndërkombëtar, ndaj të cilit zbatohen ose dispozitat e Marrëveshjes mbi Statusin e Organizatës së Trak</w:t>
      </w:r>
      <w:r w:rsidR="00354845" w:rsidRPr="001521F6">
        <w:rPr>
          <w:lang w:val="it-IT"/>
        </w:rPr>
        <w:t>tatit të Atlantikut të Veriut, përfaqësuesve vendas dhe personelit n</w:t>
      </w:r>
      <w:r w:rsidRPr="001521F6">
        <w:rPr>
          <w:lang w:val="it-IT"/>
        </w:rPr>
        <w:t>dërkombëtar, nënshkruar në Otava, më 20 shtator 1951, ose dispozitat e Protokollit mbi Statusin e Shtabit Ndërkombëtar Ushtarak, të ngritur në pajtim me Traktatin e Atlantikut të Veriut, nënshkruar në Paris, më 28 gusht 1952;</w:t>
      </w:r>
    </w:p>
    <w:p w:rsidR="00920674" w:rsidRPr="001521F6" w:rsidRDefault="00920674" w:rsidP="004A0E2A">
      <w:pPr>
        <w:pStyle w:val="Paragrafi0"/>
        <w:rPr>
          <w:lang w:val="it-IT"/>
        </w:rPr>
      </w:pPr>
      <w:r w:rsidRPr="001521F6">
        <w:rPr>
          <w:lang w:val="it-IT"/>
        </w:rPr>
        <w:t>d) termi “Qeveri ose or</w:t>
      </w:r>
      <w:r w:rsidR="00354845" w:rsidRPr="001521F6">
        <w:rPr>
          <w:lang w:val="it-IT"/>
        </w:rPr>
        <w:t>ganizëm i origjinës” nënkupton q</w:t>
      </w:r>
      <w:r w:rsidRPr="001521F6">
        <w:rPr>
          <w:lang w:val="it-IT"/>
        </w:rPr>
        <w:t xml:space="preserve">everinë Palë në këtë Marrëveshje ose Organizmin e NATO-s, që komunikon e para informacion teknik si të rezervuar; </w:t>
      </w:r>
    </w:p>
    <w:p w:rsidR="00920674" w:rsidRPr="001521F6" w:rsidRDefault="00920674" w:rsidP="004A0E2A">
      <w:pPr>
        <w:pStyle w:val="Paragrafi0"/>
        <w:rPr>
          <w:lang w:val="it-IT"/>
        </w:rPr>
      </w:pPr>
      <w:r w:rsidRPr="001521F6">
        <w:rPr>
          <w:lang w:val="it-IT"/>
        </w:rPr>
        <w:t>e) termi “Marrës” nënkupton cilëndo qeveri Palë në këtë Marrëveshje apo Organizëm i NATO-s</w:t>
      </w:r>
      <w:r w:rsidR="00354845" w:rsidRPr="001521F6">
        <w:rPr>
          <w:lang w:val="it-IT"/>
        </w:rPr>
        <w:t>,</w:t>
      </w:r>
      <w:r w:rsidRPr="001521F6">
        <w:rPr>
          <w:lang w:val="it-IT"/>
        </w:rPr>
        <w:t xml:space="preserve"> që merr informacion teknik të komunikuar si të rezervuar qoftë drejtpërdrejt nga qeveria apo Organizmi i Origjinës, qoftë nëpërmjet një Marrësi tjetër;</w:t>
      </w:r>
    </w:p>
    <w:p w:rsidR="00920674" w:rsidRPr="001521F6" w:rsidRDefault="00920674" w:rsidP="004A0E2A">
      <w:pPr>
        <w:pStyle w:val="Paragrafi0"/>
        <w:rPr>
          <w:lang w:val="it-IT"/>
        </w:rPr>
      </w:pPr>
      <w:r w:rsidRPr="001521F6">
        <w:rPr>
          <w:lang w:val="it-IT"/>
        </w:rPr>
        <w:t>f) termi “Zbulim në mirëbesim” nënkupton zbulimin e informacionit teknik ndaj një numri të kufizuar personash, të cilët marrin përsipër të mos e përhapin më tej informacionin, përveçse në kushtet e përcaktuara me hollësi nga qeveria apo Organizmi i Origjinës;</w:t>
      </w:r>
    </w:p>
    <w:p w:rsidR="00920674" w:rsidRPr="001521F6" w:rsidRDefault="00920674" w:rsidP="004A0E2A">
      <w:pPr>
        <w:pStyle w:val="Paragrafi0"/>
        <w:rPr>
          <w:lang w:val="it-IT"/>
        </w:rPr>
      </w:pPr>
      <w:r w:rsidRPr="001521F6">
        <w:rPr>
          <w:lang w:val="it-IT"/>
        </w:rPr>
        <w:t>g) termi “zbulim i paautorizuar” i referohet çfarëdo komunikimi të informacionit teknik të rezervuar, i cili nuk është në përputhje me kushtet sipas të cilave ai iu komunikua Marrësit;</w:t>
      </w:r>
    </w:p>
    <w:p w:rsidR="00920674" w:rsidRPr="001521F6" w:rsidRDefault="00920674" w:rsidP="004A0E2A">
      <w:pPr>
        <w:pStyle w:val="Paragrafi0"/>
        <w:rPr>
          <w:lang w:val="it-IT"/>
        </w:rPr>
      </w:pPr>
      <w:r w:rsidRPr="001521F6">
        <w:rPr>
          <w:lang w:val="it-IT"/>
        </w:rPr>
        <w:t>h) termi “përdorim i paautorizuar” i referohet çfarëdolloj përdorimi të informacionit teknik të rezervuar</w:t>
      </w:r>
      <w:r w:rsidR="00422F74" w:rsidRPr="001521F6">
        <w:rPr>
          <w:lang w:val="it-IT"/>
        </w:rPr>
        <w:t>,</w:t>
      </w:r>
      <w:r w:rsidRPr="001521F6">
        <w:rPr>
          <w:lang w:val="it-IT"/>
        </w:rPr>
        <w:t xml:space="preserve"> të bërë pa autorizim paraprak apo jo në përputhje me kushtet</w:t>
      </w:r>
      <w:r w:rsidR="00422F74" w:rsidRPr="001521F6">
        <w:rPr>
          <w:lang w:val="it-IT"/>
        </w:rPr>
        <w:t>,</w:t>
      </w:r>
      <w:r w:rsidRPr="001521F6">
        <w:rPr>
          <w:lang w:val="it-IT"/>
        </w:rPr>
        <w:t xml:space="preserve"> sipas të cilave ai iu komunikua Marrësit.</w:t>
      </w:r>
    </w:p>
    <w:p w:rsidR="00920674" w:rsidRPr="001521F6" w:rsidRDefault="00920674" w:rsidP="004A0E2A">
      <w:pPr>
        <w:pStyle w:val="NeniNr"/>
        <w:keepNext w:val="0"/>
        <w:rPr>
          <w:lang w:val="it-IT"/>
        </w:rPr>
      </w:pPr>
      <w:r w:rsidRPr="001521F6">
        <w:rPr>
          <w:lang w:val="it-IT"/>
        </w:rPr>
        <w:t>Neni 2</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 xml:space="preserve">A. Kur për qëllime të mbrojtjes, informacioni teknik i komunikohet nga një qeveri apo Organizëm i Origjinës një apo më shumë marrësve si informacion teknik i rezervuar, secili marrës, në përputhje me dispozitat e paragrafit B të këtij neni, do  të jetë përgjegjës për ruajtjen e këtij informacioni si informacion teknik i rezervuar, i cili është zbuluar në mirëbesim. Marrësi e trajton këtë informacion në përputhje me çfarëdo kushtesh që i janë vënë dhe ndërmerr hapat e përshtatshëm në përputhje me këto kushte për të parandaluar që ky informacion t’i komunikohet cilitdo, të publikohet apo të përdoret pa autorizim apo të trajtohet në çfarëdo mënyre që ka mundësi t’i shkaktojë dëm zotëruesit. Nëse një marrës do të dëshironte të bënte ndryshime në kushtet e vëna, marrësi, përveçse kur bihet dakord ndryshe, i drejton çfarëdo kërkese në lidhje me këtë qeverisë apo Organizmit të Origjinës nga është marrë informacioni teknik i rezervuar. </w:t>
      </w:r>
    </w:p>
    <w:p w:rsidR="00920674" w:rsidRPr="001521F6" w:rsidRDefault="00920674" w:rsidP="004A0E2A">
      <w:pPr>
        <w:pStyle w:val="Paragrafi0"/>
        <w:rPr>
          <w:lang w:val="it-IT"/>
        </w:rPr>
      </w:pPr>
      <w:r w:rsidRPr="001521F6">
        <w:rPr>
          <w:lang w:val="it-IT"/>
        </w:rPr>
        <w:t>B. Nëse një marrës vëren se cilado pjesë e informacionit teknik, që i është komunikuar asaj si informacion teknik i rezervuar në kohën e komunikimit, ishte tashmë në posedimin e saj apo e disponueshme për të, apo ishte atëherë apo në cilëndo kohë i bëhet e njohur publikut, marrësi, për aq sa lejojnë kërkesat e sigurisë, njofton qeverinë apo Organizmin e Origjinës mbi këtë fakt sa më shpejt që të jetë e mundur dhe nëse është e nevojshme bën çfarëdo rregullimesh që duhen me to për vazhdimin e mirëbesimit, për ruajtjen e sigurisë së mbrojtjes dhe për kthimin e dokumenteve.</w:t>
      </w:r>
    </w:p>
    <w:p w:rsidR="00920674" w:rsidRPr="001521F6" w:rsidRDefault="00920674" w:rsidP="004A0E2A">
      <w:pPr>
        <w:pStyle w:val="Paragrafi0"/>
        <w:rPr>
          <w:lang w:val="it-IT"/>
        </w:rPr>
      </w:pPr>
      <w:r w:rsidRPr="001521F6">
        <w:rPr>
          <w:lang w:val="it-IT"/>
        </w:rPr>
        <w:t>C. Asgjë në këtë Marrëveshje nuk konsiderohet se kufizon çfarëdo mb</w:t>
      </w:r>
      <w:r w:rsidR="00884E2C" w:rsidRPr="001521F6">
        <w:rPr>
          <w:lang w:val="it-IT"/>
        </w:rPr>
        <w:t>rojtje të disponueshme për një m</w:t>
      </w:r>
      <w:r w:rsidRPr="001521F6">
        <w:rPr>
          <w:lang w:val="it-IT"/>
        </w:rPr>
        <w:t>arrës në çfarëdo mosmarrëveshje</w:t>
      </w:r>
      <w:r w:rsidR="00884E2C" w:rsidRPr="001521F6">
        <w:rPr>
          <w:lang w:val="it-IT"/>
        </w:rPr>
        <w:t>,</w:t>
      </w:r>
      <w:r w:rsidRPr="001521F6">
        <w:rPr>
          <w:lang w:val="it-IT"/>
        </w:rPr>
        <w:t xml:space="preserve"> që rrjedh nga çfarëdo komunikimi i informacionit teknik. </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3</w:t>
      </w:r>
    </w:p>
    <w:p w:rsidR="00920674" w:rsidRPr="001521F6" w:rsidRDefault="00920674" w:rsidP="004A0E2A">
      <w:pPr>
        <w:pStyle w:val="Paragrafi0"/>
        <w:rPr>
          <w:lang w:val="it-IT"/>
        </w:rPr>
      </w:pPr>
      <w:r w:rsidRPr="001521F6">
        <w:rPr>
          <w:lang w:val="it-IT"/>
        </w:rPr>
        <w:tab/>
      </w:r>
    </w:p>
    <w:p w:rsidR="00920674" w:rsidRPr="001521F6" w:rsidRDefault="00920674" w:rsidP="004A0E2A">
      <w:pPr>
        <w:pStyle w:val="Paragrafi0"/>
        <w:rPr>
          <w:lang w:val="it-IT"/>
        </w:rPr>
      </w:pPr>
      <w:r w:rsidRPr="001521F6">
        <w:rPr>
          <w:lang w:val="it-IT"/>
        </w:rPr>
        <w:t>A. Nëse zotëruesi i informacionit teknik të rezervuar që është komunikuar për qëllime të mbrojtjes pëson dëm nga zbulimi i paautorizuar apo për</w:t>
      </w:r>
      <w:r w:rsidR="00884E2C" w:rsidRPr="001521F6">
        <w:rPr>
          <w:lang w:val="it-IT"/>
        </w:rPr>
        <w:t>dorimi i informacionit nga një m</w:t>
      </w:r>
      <w:r w:rsidRPr="001521F6">
        <w:rPr>
          <w:lang w:val="it-IT"/>
        </w:rPr>
        <w:t>arrë</w:t>
      </w:r>
      <w:r w:rsidR="00884E2C" w:rsidRPr="001521F6">
        <w:rPr>
          <w:lang w:val="it-IT"/>
        </w:rPr>
        <w:t>s apo nga cilido ndaj të cilit m</w:t>
      </w:r>
      <w:r w:rsidRPr="001521F6">
        <w:rPr>
          <w:lang w:val="it-IT"/>
        </w:rPr>
        <w:t>arrës</w:t>
      </w:r>
      <w:r w:rsidR="00884E2C" w:rsidRPr="001521F6">
        <w:rPr>
          <w:lang w:val="it-IT"/>
        </w:rPr>
        <w:t>i ka zbuluar informacionin, ky m</w:t>
      </w:r>
      <w:r w:rsidRPr="001521F6">
        <w:rPr>
          <w:lang w:val="it-IT"/>
        </w:rPr>
        <w:t xml:space="preserve">arrës dëmshpërblen zotëruesin: </w:t>
      </w:r>
    </w:p>
    <w:p w:rsidR="00920674" w:rsidRPr="001521F6" w:rsidRDefault="00920674" w:rsidP="004A0E2A">
      <w:pPr>
        <w:pStyle w:val="Paragrafi0"/>
        <w:rPr>
          <w:lang w:val="it-IT"/>
        </w:rPr>
      </w:pPr>
      <w:r w:rsidRPr="001521F6">
        <w:rPr>
          <w:lang w:val="it-IT"/>
        </w:rPr>
        <w:t>- kur ai është një qeveri, në përputhje me legji</w:t>
      </w:r>
      <w:r w:rsidR="00884E2C" w:rsidRPr="001521F6">
        <w:rPr>
          <w:lang w:val="it-IT"/>
        </w:rPr>
        <w:t>slacionin e brendshëm të këtij m</w:t>
      </w:r>
      <w:r w:rsidRPr="001521F6">
        <w:rPr>
          <w:lang w:val="it-IT"/>
        </w:rPr>
        <w:t>arrësi;</w:t>
      </w:r>
    </w:p>
    <w:p w:rsidR="00920674" w:rsidRPr="001521F6" w:rsidRDefault="00920674" w:rsidP="004A0E2A">
      <w:pPr>
        <w:pStyle w:val="Paragrafi0"/>
        <w:rPr>
          <w:lang w:val="it-IT"/>
        </w:rPr>
      </w:pPr>
      <w:r w:rsidRPr="001521F6">
        <w:rPr>
          <w:lang w:val="it-IT"/>
        </w:rPr>
        <w:t xml:space="preserve">- kur ai është një organizëm i NATO-s, përveçse kur bihet dakord ndryshe nga palët e interesuara, në përputhje me legjislacionin e vendit në të cilin gjendet Zyra Qendrore e këtij Organizmi. </w:t>
      </w:r>
    </w:p>
    <w:p w:rsidR="00920674" w:rsidRPr="001521F6" w:rsidRDefault="00920674" w:rsidP="004A0E2A">
      <w:pPr>
        <w:pStyle w:val="Paragrafi0"/>
        <w:rPr>
          <w:lang w:val="it-IT"/>
        </w:rPr>
      </w:pPr>
      <w:r w:rsidRPr="001521F6">
        <w:rPr>
          <w:lang w:val="it-IT"/>
        </w:rPr>
        <w:t xml:space="preserve">Ky dëmshpërblim bëhet ose drejtpërdrejt ndaj zotëruesit ose ndaj qeverisë apo Organizmit të Origjinës nëse kjo/ky i fundit dëmshpërblen zotëruesin. Në këtë rast, shuma për t’u paguar nga marrësi nuk do të preket nga shuma e dëmshpërblimit e paguar nga qeveria apo Organizmi i Origjinës, </w:t>
      </w:r>
      <w:r w:rsidRPr="001521F6">
        <w:rPr>
          <w:lang w:val="it-IT"/>
        </w:rPr>
        <w:lastRenderedPageBreak/>
        <w:t xml:space="preserve">përveçse kur bihet dakord ndryshe. </w:t>
      </w:r>
    </w:p>
    <w:p w:rsidR="00920674" w:rsidRPr="001521F6" w:rsidRDefault="00920674" w:rsidP="004A0E2A">
      <w:pPr>
        <w:pStyle w:val="Paragrafi0"/>
        <w:rPr>
          <w:lang w:val="it-IT"/>
        </w:rPr>
      </w:pPr>
      <w:r w:rsidRPr="001521F6">
        <w:rPr>
          <w:lang w:val="it-IT"/>
        </w:rPr>
        <w:t>B. Marrësit dhe qeveria apo Organizmi i Origjinës, për aq sa lejojnë kërkesat e tyre të sigurisë, pa</w:t>
      </w:r>
      <w:r w:rsidR="00884E2C" w:rsidRPr="001521F6">
        <w:rPr>
          <w:lang w:val="it-IT"/>
        </w:rPr>
        <w:t>jisin njëra</w:t>
      </w:r>
      <w:r w:rsidRPr="001521F6">
        <w:rPr>
          <w:lang w:val="it-IT"/>
        </w:rPr>
        <w:t xml:space="preserve">–tjetrën me çfarëdo prove dhe informacion të disponueshëm dhe japin ndihmesën e duhur për të përcaktuar dëmin dhe dëmshpërblimin.   </w:t>
      </w:r>
    </w:p>
    <w:p w:rsidR="00920674" w:rsidRPr="001521F6" w:rsidRDefault="00920674" w:rsidP="004A0E2A">
      <w:pPr>
        <w:pStyle w:val="Paragrafi0"/>
        <w:rPr>
          <w:lang w:val="it-IT"/>
        </w:rPr>
      </w:pPr>
      <w:r w:rsidRPr="001521F6">
        <w:rPr>
          <w:lang w:val="it-IT"/>
        </w:rPr>
        <w:t>C. Me kërkesën e një qeverie Palë në këtë Marrëveshje ose të Organizmit të interesuar të NATO-s, mund të ngrihet një Komitet Këshillimor i përbërë vetëm nga përfaqësues të qeverive dhe Organizmave të NATO-s</w:t>
      </w:r>
      <w:r w:rsidR="00884E2C" w:rsidRPr="001521F6">
        <w:rPr>
          <w:lang w:val="it-IT"/>
        </w:rPr>
        <w:t>,</w:t>
      </w:r>
      <w:r w:rsidRPr="001521F6">
        <w:rPr>
          <w:lang w:val="it-IT"/>
        </w:rPr>
        <w:t xml:space="preserve"> të përfshira në transaksion për të hetuar dhe shqyrtuar provat dhe për t’i raportuar palëve të interesuara mbi origjinën, natyrën dhe qëllimin e cilitdo dëm. Ky</w:t>
      </w:r>
      <w:r w:rsidR="00884E2C" w:rsidRPr="001521F6">
        <w:rPr>
          <w:lang w:val="it-IT"/>
        </w:rPr>
        <w:t xml:space="preserve"> K</w:t>
      </w:r>
      <w:r w:rsidRPr="001521F6">
        <w:rPr>
          <w:lang w:val="it-IT"/>
        </w:rPr>
        <w:t>omitet mund t’i kërkojë Sekretarit të Përgjithshëm të Organizatës së Traktatit të Atlantikut të Veri</w:t>
      </w:r>
      <w:r w:rsidR="00884E2C" w:rsidRPr="001521F6">
        <w:rPr>
          <w:lang w:val="it-IT"/>
        </w:rPr>
        <w:t>ut që të caktojë një anëtar të personelit n</w:t>
      </w:r>
      <w:r w:rsidRPr="001521F6">
        <w:rPr>
          <w:lang w:val="it-IT"/>
        </w:rPr>
        <w:t>dërkombëtar që të jetë anëtar i Komitetit si vëzhgues ose si përfaqësues i Sekretarit të Përgjithshëm.</w:t>
      </w:r>
    </w:p>
    <w:p w:rsidR="00920674" w:rsidRPr="001521F6" w:rsidRDefault="00920674" w:rsidP="004A0E2A">
      <w:pPr>
        <w:pStyle w:val="Paragrafi0"/>
        <w:rPr>
          <w:lang w:val="it-IT"/>
        </w:rPr>
      </w:pPr>
      <w:r w:rsidRPr="001521F6">
        <w:rPr>
          <w:lang w:val="it-IT"/>
        </w:rPr>
        <w:t xml:space="preserve">D. Asgjë në këtë nen nuk cenon çfarëdo të drejte që zotëruesi i dëmtuar mund të ketë kundrejt cilësdo qeveri apo Organizmi të NATO-s. </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4</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 xml:space="preserve">Qeveritë Palë në këtë Marrëveshje zhvillojnë në kuadrin e Këshillit të Atlantikut të Veriut procedura për vënien në jetë të kësaj Marrëveshjeje. Veçanërisht këto procedura përmbajnë dispozita që rregullojnë: </w:t>
      </w:r>
    </w:p>
    <w:p w:rsidR="00920674" w:rsidRPr="001521F6" w:rsidRDefault="00920674" w:rsidP="004A0E2A">
      <w:pPr>
        <w:pStyle w:val="Paragrafi0"/>
        <w:rPr>
          <w:lang w:val="it-IT"/>
        </w:rPr>
      </w:pPr>
      <w:r w:rsidRPr="001521F6">
        <w:rPr>
          <w:lang w:val="it-IT"/>
        </w:rPr>
        <w:t xml:space="preserve">a) komunikimin, marrjen dhe përdorimin e informacionit teknik të rezervuar; </w:t>
      </w:r>
    </w:p>
    <w:p w:rsidR="00920674" w:rsidRPr="001521F6" w:rsidRDefault="00920674" w:rsidP="004A0E2A">
      <w:pPr>
        <w:pStyle w:val="Paragrafi0"/>
        <w:rPr>
          <w:lang w:val="it-IT"/>
        </w:rPr>
      </w:pPr>
      <w:r w:rsidRPr="001521F6">
        <w:rPr>
          <w:lang w:val="it-IT"/>
        </w:rPr>
        <w:t>b) pjesëmarrjen e Organizmave të NATO-s, komunikimin, marrjen dhe përdorimin e informacionit teknik të rezervuar;</w:t>
      </w:r>
    </w:p>
    <w:p w:rsidR="00920674" w:rsidRPr="001521F6" w:rsidRDefault="00920674" w:rsidP="004A0E2A">
      <w:pPr>
        <w:pStyle w:val="Paragrafi0"/>
        <w:rPr>
          <w:lang w:val="it-IT"/>
        </w:rPr>
      </w:pPr>
      <w:r w:rsidRPr="001521F6">
        <w:rPr>
          <w:lang w:val="it-IT"/>
        </w:rPr>
        <w:t>c) krijimin dhe veprimin e Komitetit Këshillimor të parashikuar në n</w:t>
      </w:r>
      <w:r w:rsidR="00775401" w:rsidRPr="001521F6">
        <w:rPr>
          <w:lang w:val="it-IT"/>
        </w:rPr>
        <w:t>enin 3</w:t>
      </w:r>
      <w:r w:rsidRPr="001521F6">
        <w:rPr>
          <w:lang w:val="it-IT"/>
        </w:rPr>
        <w:t xml:space="preserve">, C, më lart; </w:t>
      </w:r>
    </w:p>
    <w:p w:rsidR="00920674" w:rsidRPr="001521F6" w:rsidRDefault="00920674" w:rsidP="004A0E2A">
      <w:pPr>
        <w:pStyle w:val="Paragrafi0"/>
        <w:rPr>
          <w:lang w:val="it-IT"/>
        </w:rPr>
      </w:pPr>
      <w:r w:rsidRPr="001521F6">
        <w:rPr>
          <w:lang w:val="it-IT"/>
        </w:rPr>
        <w:t>d) kërkesat për ndryshime të kushteve të vëna mbi informacionin teknik të rezervuar, siç parashikohet nga n</w:t>
      </w:r>
      <w:r w:rsidR="00775401" w:rsidRPr="001521F6">
        <w:rPr>
          <w:lang w:val="it-IT"/>
        </w:rPr>
        <w:t>eni 2</w:t>
      </w:r>
      <w:r w:rsidRPr="001521F6">
        <w:rPr>
          <w:lang w:val="it-IT"/>
        </w:rPr>
        <w:t xml:space="preserve">, A, më lart.  </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5</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1. Asgjë në këtë Marrëveshje nuk interpretohet se prek angazhimet mbi sigurinë ndërmjet apo mes qeverive Palë në këtë Marrëveshje.</w:t>
      </w:r>
    </w:p>
    <w:p w:rsidR="00920674" w:rsidRPr="001521F6" w:rsidRDefault="00920674" w:rsidP="004A0E2A">
      <w:pPr>
        <w:pStyle w:val="Paragrafi0"/>
        <w:rPr>
          <w:lang w:val="it-IT"/>
        </w:rPr>
      </w:pPr>
      <w:r w:rsidRPr="001521F6">
        <w:rPr>
          <w:lang w:val="it-IT"/>
        </w:rPr>
        <w:t xml:space="preserve">2. Secili marrës përcakton për të gjithë informacionin teknik të rezervuar që i është vënë atij në dispozicion sipas kushteve të kësaj Marrëveshjeje të paktën të njëjtën shkallë sigurie siç është përcaktuar për atë informacion teknik nga qeveria ose Organizmi i Origjinës. </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6</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1. Asgjë në këtë Marrëveshje nuk ndalon qeveritë Palë nga vazhdimi i marrëveshjeve ekzistuese apo hyrja në marrëveshje të reja me njëra-tjetrën për të njëjtin qëllim.</w:t>
      </w:r>
    </w:p>
    <w:p w:rsidR="00920674" w:rsidRPr="001521F6" w:rsidRDefault="00920674" w:rsidP="004A0E2A">
      <w:pPr>
        <w:pStyle w:val="Paragrafi0"/>
        <w:rPr>
          <w:lang w:val="it-IT"/>
        </w:rPr>
      </w:pPr>
      <w:r w:rsidRPr="001521F6">
        <w:rPr>
          <w:lang w:val="it-IT"/>
        </w:rPr>
        <w:t>2. Asgjë në këtë Marrëveshje nuk interpretohet sikur prek dispozitat e Marrëveshjes së NATO-s për Ruajtjen e Ndërsjellë të Sekretit të Shpikjeve në lidhje me Mbrojtjen</w:t>
      </w:r>
      <w:r w:rsidR="00775401" w:rsidRPr="001521F6">
        <w:rPr>
          <w:lang w:val="it-IT"/>
        </w:rPr>
        <w:t>,</w:t>
      </w:r>
      <w:r w:rsidRPr="001521F6">
        <w:rPr>
          <w:lang w:val="it-IT"/>
        </w:rPr>
        <w:t xml:space="preserve"> e për të cilat janë bërë aplikime për patenta, nënshkruar në Paris, më 21 shtator 1960.  </w:t>
      </w:r>
    </w:p>
    <w:p w:rsidR="00920674" w:rsidRPr="001521F6" w:rsidRDefault="00920674" w:rsidP="004A0E2A">
      <w:pPr>
        <w:pStyle w:val="Paragrafi0"/>
        <w:rPr>
          <w:lang w:val="it-IT"/>
        </w:rPr>
      </w:pPr>
    </w:p>
    <w:p w:rsidR="004A0E2A" w:rsidRPr="001521F6" w:rsidRDefault="004A0E2A" w:rsidP="004A0E2A">
      <w:pPr>
        <w:pStyle w:val="Paragrafi0"/>
        <w:rPr>
          <w:lang w:val="it-IT"/>
        </w:rPr>
      </w:pPr>
    </w:p>
    <w:p w:rsidR="004A0E2A" w:rsidRPr="001521F6" w:rsidRDefault="004A0E2A" w:rsidP="004A0E2A">
      <w:pPr>
        <w:pStyle w:val="Paragrafi0"/>
        <w:rPr>
          <w:lang w:val="it-IT"/>
        </w:rPr>
      </w:pPr>
    </w:p>
    <w:p w:rsidR="00920674" w:rsidRPr="001521F6" w:rsidRDefault="00920674" w:rsidP="004A0E2A">
      <w:pPr>
        <w:pStyle w:val="NeniNr"/>
        <w:keepNext w:val="0"/>
        <w:rPr>
          <w:lang w:val="it-IT"/>
        </w:rPr>
      </w:pPr>
      <w:r w:rsidRPr="001521F6">
        <w:rPr>
          <w:lang w:val="it-IT"/>
        </w:rPr>
        <w:t>Neni 7</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 xml:space="preserve">Asgjë në këtë Marrëveshje nuk zbatohet ndaj komunikimit ose përdorimit të informacionit teknik në lidhje me energjinë atomike. </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8</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 xml:space="preserve">A. Instrumentet e ratifikimit apo miratimit të kësaj Marrëveshjeje depozitohen sa më shpejt që të jetë e mundur pranë Qeverisë së Shteteve të Bashkuara të Amerikës, të cilat do të informojnë çdo qeveri nënshkruese, si edhe Sekretarin e Përgjithshëm të NATO-s mbi datën e depozitimit të çdo instrumenti. </w:t>
      </w:r>
    </w:p>
    <w:p w:rsidR="00920674" w:rsidRPr="001521F6" w:rsidRDefault="00920674" w:rsidP="004A0E2A">
      <w:pPr>
        <w:pStyle w:val="Paragrafi0"/>
        <w:rPr>
          <w:lang w:val="it-IT"/>
        </w:rPr>
      </w:pPr>
      <w:r w:rsidRPr="001521F6">
        <w:rPr>
          <w:lang w:val="it-IT"/>
        </w:rPr>
        <w:t>Kjo Marrëveshje hyn në fuqi 30 ditë pas depozitimit nga dy Palë nënshkruese të instrumenteve të tyre të ratifikimit apo miratimit. Ajo hyn në fuqi për secilën nga Palët e tjera nënshkruese 30 ditë pas depozitimit të instrumenteve të saj të ratifikimit apo pranimit.</w:t>
      </w:r>
    </w:p>
    <w:p w:rsidR="00920674" w:rsidRPr="001521F6" w:rsidRDefault="00920674" w:rsidP="004A0E2A">
      <w:pPr>
        <w:pStyle w:val="Paragrafi0"/>
        <w:rPr>
          <w:lang w:val="it-IT"/>
        </w:rPr>
      </w:pPr>
      <w:r w:rsidRPr="001521F6">
        <w:rPr>
          <w:lang w:val="it-IT"/>
        </w:rPr>
        <w:t xml:space="preserve"> B. Këshilli i Atlantikut të Veriut do të caktojë një datë në të cilën Marrëveshja e tanishme do të fillojë ose do të pushojë të veprojë për Organizmat e NATO-s. </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9</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Cilado Palë mund të pushojë që qeni palë në këtë Marrëveshje një vit pasi njoftimi i saj i denoncimit t’i jetë dhënë Qeverisë së Shtet</w:t>
      </w:r>
      <w:r w:rsidR="00775401" w:rsidRPr="001521F6">
        <w:rPr>
          <w:lang w:val="it-IT"/>
        </w:rPr>
        <w:t xml:space="preserve">eve të Bashkuara të Amerikës, </w:t>
      </w:r>
      <w:r w:rsidR="00DD53AB" w:rsidRPr="001521F6">
        <w:rPr>
          <w:lang w:val="it-IT"/>
        </w:rPr>
        <w:t>të</w:t>
      </w:r>
      <w:r w:rsidR="00775401" w:rsidRPr="001521F6">
        <w:rPr>
          <w:lang w:val="it-IT"/>
        </w:rPr>
        <w:t xml:space="preserve"> cila</w:t>
      </w:r>
      <w:r w:rsidR="00DD53AB" w:rsidRPr="001521F6">
        <w:rPr>
          <w:lang w:val="it-IT"/>
        </w:rPr>
        <w:t>t</w:t>
      </w:r>
      <w:r w:rsidR="00775401" w:rsidRPr="001521F6">
        <w:rPr>
          <w:lang w:val="it-IT"/>
        </w:rPr>
        <w:t xml:space="preserve"> do t’i informoj</w:t>
      </w:r>
      <w:r w:rsidR="00DD53AB" w:rsidRPr="001521F6">
        <w:rPr>
          <w:lang w:val="it-IT"/>
        </w:rPr>
        <w:t>n</w:t>
      </w:r>
      <w:r w:rsidRPr="001521F6">
        <w:rPr>
          <w:lang w:val="it-IT"/>
        </w:rPr>
        <w:t xml:space="preserve">ë qeveritë e tjera nënshkruese, si edhe Sekretarin e Përgjithshëm të Organizatës së Traktatit të Atlantikut të Veriut mbi depozitimin e çdo njoftimi për denoncim. Sidoqoftë, denoncimi nuk cenon detyrimet tashmë të marra përsipër dhe të drejtat apo privilegjet e fituara më parë nga Palët sipas dispozitave të kësaj Marrëveshjeje. </w:t>
      </w:r>
    </w:p>
    <w:p w:rsidR="00920674" w:rsidRPr="001521F6" w:rsidRDefault="00920674" w:rsidP="004A0E2A">
      <w:pPr>
        <w:pStyle w:val="Paragrafi0"/>
        <w:rPr>
          <w:lang w:val="it-IT"/>
        </w:rPr>
      </w:pPr>
      <w:r w:rsidRPr="001521F6">
        <w:rPr>
          <w:lang w:val="it-IT"/>
        </w:rPr>
        <w:t xml:space="preserve">  Në dëshmi të kësaj, përfaqësuesit nënshkrues të autorizuar në mënyrën e duhur kanë nënshkruar këtë Marrëveshje. </w:t>
      </w:r>
    </w:p>
    <w:p w:rsidR="00920674" w:rsidRPr="001521F6" w:rsidRDefault="00920674" w:rsidP="004A0E2A">
      <w:pPr>
        <w:pStyle w:val="Paragrafi0"/>
        <w:rPr>
          <w:lang w:val="it-IT"/>
        </w:rPr>
      </w:pPr>
      <w:r w:rsidRPr="001521F6">
        <w:rPr>
          <w:lang w:val="it-IT"/>
        </w:rPr>
        <w:t>Bërë në Bruksel në ditën e 19-të të tetorit 1970, në gjuhët angleze dhe frënge, duke qenë të dy tekstet njëlloj autentike, në një kopje të vetme që depozitohet në arkivat e Qeverisë së Shteteve të Bashk</w:t>
      </w:r>
      <w:r w:rsidR="00356275" w:rsidRPr="001521F6">
        <w:rPr>
          <w:lang w:val="it-IT"/>
        </w:rPr>
        <w:t>uara të Amerikës, e cila do t’u</w:t>
      </w:r>
      <w:r w:rsidRPr="001521F6">
        <w:rPr>
          <w:lang w:val="it-IT"/>
        </w:rPr>
        <w:t xml:space="preserve"> pë</w:t>
      </w:r>
      <w:r w:rsidR="00356275" w:rsidRPr="001521F6">
        <w:rPr>
          <w:lang w:val="it-IT"/>
        </w:rPr>
        <w:t>rcjelli një kopje të vërtetuar q</w:t>
      </w:r>
      <w:r w:rsidRPr="001521F6">
        <w:rPr>
          <w:lang w:val="it-IT"/>
        </w:rPr>
        <w:t xml:space="preserve">everive të tjera nënshkruese dhe Sekretarit të Përgjithshëm të Organizatës së Traktatit të Atlantikut të Veriut. </w:t>
      </w:r>
    </w:p>
    <w:p w:rsidR="00920674" w:rsidRPr="001521F6" w:rsidRDefault="00920674" w:rsidP="004A0E2A">
      <w:pPr>
        <w:pStyle w:val="Paragrafi0"/>
        <w:rPr>
          <w:lang w:val="it-IT"/>
        </w:rPr>
      </w:pPr>
    </w:p>
    <w:p w:rsidR="002768F6" w:rsidRDefault="002768F6" w:rsidP="004A0E2A">
      <w:pPr>
        <w:pStyle w:val="Paragrafi0"/>
        <w:rPr>
          <w:rFonts w:ascii="Times New Roman" w:hAnsi="Times New Roman"/>
          <w:sz w:val="24"/>
          <w:lang w:val="pt-BR"/>
        </w:rPr>
      </w:pPr>
    </w:p>
    <w:p w:rsidR="002768F6" w:rsidRPr="001521F6" w:rsidRDefault="002768F6" w:rsidP="004A0E2A">
      <w:pPr>
        <w:pStyle w:val="Akti"/>
        <w:keepNext w:val="0"/>
        <w:rPr>
          <w:lang w:val="pt-BR"/>
        </w:rPr>
      </w:pPr>
      <w:r w:rsidRPr="001521F6">
        <w:rPr>
          <w:lang w:val="pt-BR"/>
        </w:rPr>
        <w:t>LIGJ</w:t>
      </w:r>
    </w:p>
    <w:p w:rsidR="002768F6" w:rsidRPr="001521F6" w:rsidRDefault="00920674" w:rsidP="004A0E2A">
      <w:pPr>
        <w:pStyle w:val="NumriData"/>
        <w:keepNext w:val="0"/>
        <w:rPr>
          <w:lang w:val="pt-BR"/>
        </w:rPr>
      </w:pPr>
      <w:r w:rsidRPr="001521F6">
        <w:rPr>
          <w:lang w:val="pt-BR"/>
        </w:rPr>
        <w:t>Nr.</w:t>
      </w:r>
      <w:r w:rsidR="002768F6" w:rsidRPr="001521F6">
        <w:rPr>
          <w:lang w:val="pt-BR"/>
        </w:rPr>
        <w:t>10 284, datë 3.6.2010</w:t>
      </w:r>
    </w:p>
    <w:p w:rsidR="002768F6" w:rsidRPr="001521F6" w:rsidRDefault="002768F6" w:rsidP="004A0E2A">
      <w:pPr>
        <w:pStyle w:val="Paragrafi0"/>
        <w:rPr>
          <w:b/>
          <w:sz w:val="14"/>
          <w:lang w:val="pt-BR"/>
        </w:rPr>
      </w:pPr>
    </w:p>
    <w:p w:rsidR="002768F6" w:rsidRPr="001521F6" w:rsidRDefault="002768F6" w:rsidP="004A0E2A">
      <w:pPr>
        <w:pStyle w:val="Titulli0"/>
        <w:keepNext w:val="0"/>
        <w:rPr>
          <w:lang w:val="pt-BR"/>
        </w:rPr>
      </w:pPr>
      <w:r w:rsidRPr="001521F6">
        <w:rPr>
          <w:lang w:val="pt-BR"/>
        </w:rPr>
        <w:t>PËR ADERIMIN E REPUBLIKËS SË SHQIPËRISË NË “MARRËVESHJEN PËR MBROJTJEN E NDËRSJELLË TË TEKNOLOGJIVE SEKRETE NË FUSHËN E MBROJTJES DHE PËR TË CILAT ËSHTË BËRË APLIKIMI I PATENTËS”</w:t>
      </w:r>
    </w:p>
    <w:p w:rsidR="002768F6" w:rsidRPr="001521F6" w:rsidRDefault="002768F6" w:rsidP="004A0E2A">
      <w:pPr>
        <w:pStyle w:val="Paragrafi0"/>
        <w:ind w:firstLine="0"/>
        <w:rPr>
          <w:lang w:val="pt-BR"/>
        </w:rPr>
      </w:pPr>
    </w:p>
    <w:p w:rsidR="002768F6" w:rsidRPr="001521F6" w:rsidRDefault="002768F6" w:rsidP="004A0E2A">
      <w:pPr>
        <w:pStyle w:val="Paragrafi0"/>
        <w:rPr>
          <w:lang w:val="pt-BR"/>
        </w:rPr>
      </w:pPr>
      <w:r w:rsidRPr="001521F6">
        <w:rPr>
          <w:lang w:val="pt-BR"/>
        </w:rPr>
        <w:t>Në mbështetje të neneve 78, 83 pika 1 dhe 121 të Kushtetutës, me propozimin e Këshillit të Ministrave,</w:t>
      </w:r>
    </w:p>
    <w:p w:rsidR="002768F6" w:rsidRPr="001521F6" w:rsidRDefault="002768F6" w:rsidP="004A0E2A">
      <w:pPr>
        <w:pStyle w:val="Paragrafi0"/>
        <w:rPr>
          <w:lang w:val="pt-BR"/>
        </w:rPr>
      </w:pPr>
    </w:p>
    <w:p w:rsidR="002768F6" w:rsidRPr="001521F6" w:rsidRDefault="002768F6" w:rsidP="004A0E2A">
      <w:pPr>
        <w:pStyle w:val="Institucioni"/>
        <w:keepNext w:val="0"/>
        <w:rPr>
          <w:lang w:val="it-IT"/>
        </w:rPr>
      </w:pPr>
      <w:r w:rsidRPr="001521F6">
        <w:rPr>
          <w:lang w:val="it-IT"/>
        </w:rPr>
        <w:t>KUVENDI</w:t>
      </w:r>
    </w:p>
    <w:p w:rsidR="002768F6" w:rsidRPr="001521F6" w:rsidRDefault="002768F6" w:rsidP="004A0E2A">
      <w:pPr>
        <w:pStyle w:val="Institucioni"/>
        <w:keepNext w:val="0"/>
        <w:rPr>
          <w:lang w:val="it-IT"/>
        </w:rPr>
      </w:pPr>
      <w:r w:rsidRPr="001521F6">
        <w:rPr>
          <w:lang w:val="it-IT"/>
        </w:rPr>
        <w:t>I REPUBLIKËS SË SHQIPËRISË</w:t>
      </w:r>
    </w:p>
    <w:p w:rsidR="002768F6" w:rsidRPr="001521F6" w:rsidRDefault="002768F6" w:rsidP="004A0E2A">
      <w:pPr>
        <w:pStyle w:val="Institucioni"/>
        <w:keepNext w:val="0"/>
        <w:rPr>
          <w:b/>
          <w:sz w:val="14"/>
          <w:lang w:val="it-IT"/>
        </w:rPr>
      </w:pPr>
    </w:p>
    <w:p w:rsidR="002768F6" w:rsidRPr="001521F6" w:rsidRDefault="002768F6" w:rsidP="004A0E2A">
      <w:pPr>
        <w:pStyle w:val="VENDOSI0"/>
        <w:keepNext w:val="0"/>
        <w:rPr>
          <w:lang w:val="it-IT"/>
        </w:rPr>
      </w:pPr>
      <w:r w:rsidRPr="001521F6">
        <w:rPr>
          <w:lang w:val="it-IT"/>
        </w:rPr>
        <w:t>VENDOSI:</w:t>
      </w:r>
    </w:p>
    <w:p w:rsidR="002768F6" w:rsidRPr="001521F6" w:rsidRDefault="002768F6" w:rsidP="004A0E2A">
      <w:pPr>
        <w:pStyle w:val="Paragrafi0"/>
        <w:rPr>
          <w:sz w:val="16"/>
          <w:szCs w:val="28"/>
          <w:lang w:val="it-IT"/>
        </w:rPr>
      </w:pPr>
    </w:p>
    <w:p w:rsidR="002768F6" w:rsidRPr="001521F6" w:rsidRDefault="002768F6" w:rsidP="004A0E2A">
      <w:pPr>
        <w:pStyle w:val="NeniNr"/>
        <w:keepNext w:val="0"/>
        <w:rPr>
          <w:lang w:val="it-IT"/>
        </w:rPr>
      </w:pPr>
      <w:r w:rsidRPr="001521F6">
        <w:rPr>
          <w:lang w:val="it-IT"/>
        </w:rPr>
        <w:t>Neni 1</w:t>
      </w:r>
    </w:p>
    <w:p w:rsidR="002768F6" w:rsidRPr="001521F6" w:rsidRDefault="002768F6" w:rsidP="004A0E2A">
      <w:pPr>
        <w:pStyle w:val="Paragrafi0"/>
        <w:rPr>
          <w:sz w:val="16"/>
          <w:lang w:val="it-IT"/>
        </w:rPr>
      </w:pPr>
    </w:p>
    <w:p w:rsidR="002768F6" w:rsidRPr="001521F6" w:rsidRDefault="002768F6" w:rsidP="004A0E2A">
      <w:pPr>
        <w:pStyle w:val="Paragrafi0"/>
        <w:rPr>
          <w:lang w:val="it-IT"/>
        </w:rPr>
      </w:pPr>
      <w:r w:rsidRPr="001521F6">
        <w:rPr>
          <w:lang w:val="it-IT"/>
        </w:rPr>
        <w:t xml:space="preserve"> Republika e Shqipërisë aderon në “Marrëveshjen për mbrojtjen e ndërsjellë të teknologjive sekrete në fushën e mbrojtjes dhe për të cilat është bërë aplikimi i patentës”, bërë në Paris më 21 shtator 1960.</w:t>
      </w:r>
    </w:p>
    <w:p w:rsidR="002768F6" w:rsidRPr="001521F6" w:rsidRDefault="002768F6" w:rsidP="004A0E2A">
      <w:pPr>
        <w:pStyle w:val="Paragrafi0"/>
        <w:rPr>
          <w:lang w:val="it-IT"/>
        </w:rPr>
      </w:pPr>
    </w:p>
    <w:p w:rsidR="002768F6" w:rsidRPr="001521F6" w:rsidRDefault="002768F6" w:rsidP="004A0E2A">
      <w:pPr>
        <w:pStyle w:val="NeniNr"/>
        <w:rPr>
          <w:lang w:val="it-IT"/>
        </w:rPr>
      </w:pPr>
      <w:r w:rsidRPr="001521F6">
        <w:rPr>
          <w:lang w:val="it-IT"/>
        </w:rPr>
        <w:t>Neni 2</w:t>
      </w:r>
    </w:p>
    <w:p w:rsidR="002768F6" w:rsidRPr="001521F6" w:rsidRDefault="002768F6" w:rsidP="004A0E2A">
      <w:pPr>
        <w:pStyle w:val="Paragrafi0"/>
        <w:rPr>
          <w:lang w:val="it-IT"/>
        </w:rPr>
      </w:pPr>
    </w:p>
    <w:p w:rsidR="002768F6" w:rsidRPr="001521F6" w:rsidRDefault="002768F6" w:rsidP="004A0E2A">
      <w:pPr>
        <w:pStyle w:val="Paragrafi0"/>
        <w:rPr>
          <w:lang w:val="it-IT"/>
        </w:rPr>
      </w:pPr>
      <w:r w:rsidRPr="001521F6">
        <w:rPr>
          <w:lang w:val="it-IT"/>
        </w:rPr>
        <w:t>Ky ligj hyn në fuqi 15 ditë pas botimit në Fletoren Zyrtare.</w:t>
      </w:r>
    </w:p>
    <w:p w:rsidR="002768F6" w:rsidRPr="001521F6" w:rsidRDefault="002768F6" w:rsidP="004A0E2A">
      <w:pPr>
        <w:pStyle w:val="Paragrafi0"/>
        <w:rPr>
          <w:lang w:val="it-IT"/>
        </w:rPr>
      </w:pPr>
    </w:p>
    <w:p w:rsidR="00D73E64" w:rsidRDefault="00D73E64" w:rsidP="004A0E2A">
      <w:pPr>
        <w:pStyle w:val="Paragrafi0"/>
        <w:ind w:firstLine="0"/>
        <w:rPr>
          <w:b/>
          <w:sz w:val="23"/>
          <w:szCs w:val="23"/>
          <w:lang w:val="sq-AL"/>
        </w:rPr>
      </w:pPr>
      <w:r>
        <w:rPr>
          <w:b/>
          <w:sz w:val="23"/>
          <w:szCs w:val="23"/>
          <w:lang w:val="sq-AL"/>
        </w:rPr>
        <w:t>Shpallur me dekretin nr.6601, datë 17.6</w:t>
      </w:r>
      <w:r w:rsidRPr="009E6281">
        <w:rPr>
          <w:b/>
          <w:sz w:val="23"/>
          <w:szCs w:val="23"/>
          <w:lang w:val="sq-AL"/>
        </w:rPr>
        <w:t>.2010 të Presidentit të Republikës së Shqipërisë, Bamir Topi</w:t>
      </w:r>
    </w:p>
    <w:p w:rsidR="002768F6" w:rsidRPr="001521F6" w:rsidRDefault="002768F6" w:rsidP="004A0E2A">
      <w:pPr>
        <w:pStyle w:val="Paragrafi0"/>
        <w:rPr>
          <w:lang w:val="it-IT"/>
        </w:rPr>
      </w:pPr>
    </w:p>
    <w:p w:rsidR="00920674" w:rsidRPr="001521F6" w:rsidRDefault="00920674" w:rsidP="004A0E2A">
      <w:pPr>
        <w:pStyle w:val="Paragrafi0"/>
        <w:rPr>
          <w:lang w:val="it-IT"/>
        </w:rPr>
      </w:pPr>
    </w:p>
    <w:p w:rsidR="00920674" w:rsidRPr="001521F6" w:rsidRDefault="00920674" w:rsidP="004A0E2A">
      <w:pPr>
        <w:pStyle w:val="Titulli0"/>
        <w:keepNext w:val="0"/>
        <w:rPr>
          <w:lang w:val="it-IT"/>
        </w:rPr>
      </w:pPr>
      <w:r w:rsidRPr="001521F6">
        <w:rPr>
          <w:lang w:val="it-IT"/>
        </w:rPr>
        <w:t xml:space="preserve">Marrëveshje </w:t>
      </w:r>
    </w:p>
    <w:p w:rsidR="00920674" w:rsidRPr="001521F6" w:rsidRDefault="00920674" w:rsidP="004A0E2A">
      <w:pPr>
        <w:pStyle w:val="TitulliTitull"/>
        <w:keepNext w:val="0"/>
        <w:rPr>
          <w:lang w:val="it-IT"/>
        </w:rPr>
      </w:pPr>
      <w:r w:rsidRPr="001521F6">
        <w:rPr>
          <w:lang w:val="it-IT"/>
        </w:rPr>
        <w:t>për ruajtjen e ndërsjellë të sekretit të shpikjeve në lidhje me mbrojtjen e për të cilat janë bërë aplikime për patenta</w:t>
      </w:r>
    </w:p>
    <w:p w:rsidR="00920674" w:rsidRPr="001521F6" w:rsidRDefault="00920674" w:rsidP="004A0E2A">
      <w:pPr>
        <w:pStyle w:val="TitulliTitull"/>
        <w:keepNext w:val="0"/>
        <w:rPr>
          <w:lang w:val="it-IT"/>
        </w:rPr>
      </w:pP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Qeveritë e Belgjikës, Kanadasë, Danimarkës, Francës, Republikës Federale Gjermane, Greqisë, Italisë, Luksemburgut, Holandës, Norvegjisë, Portugalisë, Turqisë, Mbretërisë së Bashkuar dhe Shteteve të Bashkuara të Amerikës,</w:t>
      </w:r>
    </w:p>
    <w:p w:rsidR="00920674" w:rsidRPr="001521F6" w:rsidRDefault="00920674" w:rsidP="004A0E2A">
      <w:pPr>
        <w:pStyle w:val="Paragrafi0"/>
        <w:rPr>
          <w:lang w:val="it-IT"/>
        </w:rPr>
      </w:pPr>
      <w:r w:rsidRPr="001521F6">
        <w:rPr>
          <w:lang w:val="it-IT"/>
        </w:rPr>
        <w:t>palë në Traktatin e Atlantikut të Veriut të nënshkruar në Uashington, më 4 prill 1949;</w:t>
      </w:r>
    </w:p>
    <w:p w:rsidR="00920674" w:rsidRPr="001521F6" w:rsidRDefault="00920674" w:rsidP="004A0E2A">
      <w:pPr>
        <w:pStyle w:val="Paragrafi0"/>
        <w:rPr>
          <w:lang w:val="it-IT"/>
        </w:rPr>
      </w:pPr>
      <w:r w:rsidRPr="001521F6">
        <w:rPr>
          <w:lang w:val="it-IT"/>
        </w:rPr>
        <w:t xml:space="preserve"> </w:t>
      </w:r>
      <w:r w:rsidRPr="001521F6">
        <w:rPr>
          <w:i/>
          <w:lang w:val="it-IT"/>
        </w:rPr>
        <w:t>me dëshirën</w:t>
      </w:r>
      <w:r w:rsidRPr="001521F6">
        <w:rPr>
          <w:lang w:val="it-IT"/>
        </w:rPr>
        <w:t xml:space="preserve"> për të nxitur bashkëpunimin ekonomik ndërmjet cilësdo apo të gjitha qeverive të tyre, siç është rënë dakord në nenin 2 të Traktatit;</w:t>
      </w:r>
    </w:p>
    <w:p w:rsidR="00920674" w:rsidRPr="001521F6" w:rsidRDefault="00920674" w:rsidP="004A0E2A">
      <w:pPr>
        <w:pStyle w:val="Paragrafi0"/>
        <w:rPr>
          <w:lang w:val="it-IT"/>
        </w:rPr>
      </w:pPr>
      <w:r w:rsidRPr="001521F6">
        <w:rPr>
          <w:i/>
          <w:lang w:val="it-IT"/>
        </w:rPr>
        <w:t>të ndërgjegjshme</w:t>
      </w:r>
      <w:r w:rsidRPr="001521F6">
        <w:rPr>
          <w:lang w:val="it-IT"/>
        </w:rPr>
        <w:t xml:space="preserve"> për ato që kanë marrë përsipër sipas termave të nenit 3, për të ruajtur dhe zhvilluar, me anë të vetëndihmesës së vazhdueshme dhe efektive, aftësinë e tyre individuale dhe kolektive për t’i rezistuar sulmeve të armatosura; </w:t>
      </w:r>
    </w:p>
    <w:p w:rsidR="00920674" w:rsidRPr="001521F6" w:rsidRDefault="00920674" w:rsidP="004A0E2A">
      <w:pPr>
        <w:pStyle w:val="Paragrafi0"/>
        <w:rPr>
          <w:lang w:val="it-IT"/>
        </w:rPr>
      </w:pPr>
      <w:r w:rsidRPr="001521F6">
        <w:rPr>
          <w:i/>
          <w:lang w:val="it-IT"/>
        </w:rPr>
        <w:t>duke pasur parasysh</w:t>
      </w:r>
      <w:r w:rsidRPr="001521F6">
        <w:rPr>
          <w:lang w:val="it-IT"/>
        </w:rPr>
        <w:t xml:space="preserve"> se vendosja e sekretit mbi një shpikje në lidhje me mbrojtjen në njërin nga vendet e Organizatës së Traktatit të Atlantikut të Veriut në përgjithësi sjell si përfundim, kur është aplikuar për një patentë ose kur kjo është dhënë, ndalimin për të aplikuar për një patentë për të njëjtën shpikje në vende të tjera, duke përfshirë këtu vendet e Organizatës së Traktatit të Atlantikut të Veriut;</w:t>
      </w:r>
    </w:p>
    <w:p w:rsidR="00920674" w:rsidRPr="001521F6" w:rsidRDefault="00920674" w:rsidP="004A0E2A">
      <w:pPr>
        <w:pStyle w:val="Paragrafi0"/>
        <w:rPr>
          <w:lang w:val="it-IT"/>
        </w:rPr>
      </w:pPr>
      <w:r w:rsidRPr="001521F6">
        <w:rPr>
          <w:i/>
          <w:lang w:val="it-IT"/>
        </w:rPr>
        <w:t>duke pasur parasysh</w:t>
      </w:r>
      <w:r w:rsidRPr="001521F6">
        <w:rPr>
          <w:lang w:val="it-IT"/>
        </w:rPr>
        <w:t xml:space="preserve"> se kufizimet territoriale që rrjedhin nga ky ndalim mund të shkaktojnë dëm ndaj aplikantëve për patenta e si rrjedhim mund të prekin në mënyrë të dëmshme bashkëpunimin ekonomik ndërmjet vendeve të Organizatës së Traktatit të Atlantikut të Veriut;</w:t>
      </w:r>
    </w:p>
    <w:p w:rsidR="00920674" w:rsidRPr="001521F6" w:rsidRDefault="00920674" w:rsidP="004A0E2A">
      <w:pPr>
        <w:pStyle w:val="Paragrafi0"/>
        <w:rPr>
          <w:lang w:val="it-IT"/>
        </w:rPr>
      </w:pPr>
      <w:r w:rsidRPr="001521F6">
        <w:rPr>
          <w:i/>
          <w:lang w:val="it-IT"/>
        </w:rPr>
        <w:t>duke pasur parasysh</w:t>
      </w:r>
      <w:r w:rsidRPr="001521F6">
        <w:rPr>
          <w:lang w:val="it-IT"/>
        </w:rPr>
        <w:t xml:space="preserve"> se ndihmesa e ndërsjellë kërkon komunikimin e ndërsjellë të shpikjeve që lidhen me mbrojtjen dhe se në disa raste një komunikim i tillë mund të pengohet nga ky ndalim;</w:t>
      </w:r>
    </w:p>
    <w:p w:rsidR="00920674" w:rsidRPr="001521F6" w:rsidRDefault="00920674" w:rsidP="004A0E2A">
      <w:pPr>
        <w:pStyle w:val="Paragrafi0"/>
        <w:rPr>
          <w:lang w:val="it-IT"/>
        </w:rPr>
      </w:pPr>
      <w:r w:rsidRPr="001521F6">
        <w:rPr>
          <w:i/>
          <w:lang w:val="it-IT"/>
        </w:rPr>
        <w:t>duke pasur parasysh</w:t>
      </w:r>
      <w:r w:rsidR="008F2FC2" w:rsidRPr="001521F6">
        <w:rPr>
          <w:lang w:val="it-IT"/>
        </w:rPr>
        <w:t xml:space="preserve"> se nëse q</w:t>
      </w:r>
      <w:r w:rsidRPr="001521F6">
        <w:rPr>
          <w:lang w:val="it-IT"/>
        </w:rPr>
        <w:t>everia, nga e cila e ka prejardhjen ndalimi, është e përgatitur që të autorizojë paraqitjen e një aplikimi për patentë në një apo më shumë nga vendet e tjera të Organizatës së Traktatit të Atlantikut të Veriut, me kusht që qeveritë e këtyre vendeve të vendosin, gjithashtu sekretin mbi këto shpikje, këto të fundit nuk duhet të kenë lirinë për të refuzuar vendosjen e sekretit;</w:t>
      </w:r>
    </w:p>
    <w:p w:rsidR="00920674" w:rsidRPr="001521F6" w:rsidRDefault="008F2FC2" w:rsidP="004A0E2A">
      <w:pPr>
        <w:pStyle w:val="Paragrafi0"/>
        <w:rPr>
          <w:lang w:val="it-IT"/>
        </w:rPr>
      </w:pPr>
      <w:r w:rsidRPr="001521F6">
        <w:rPr>
          <w:i/>
          <w:lang w:val="it-IT"/>
        </w:rPr>
        <w:t>d</w:t>
      </w:r>
      <w:r w:rsidR="00920674" w:rsidRPr="001521F6">
        <w:rPr>
          <w:i/>
          <w:lang w:val="it-IT"/>
        </w:rPr>
        <w:t>uke pasur parasysh</w:t>
      </w:r>
      <w:r w:rsidR="00920674" w:rsidRPr="001521F6">
        <w:rPr>
          <w:lang w:val="it-IT"/>
        </w:rPr>
        <w:t xml:space="preserve"> se janë marrë masa ndërmjet qeverive të Palëve në Traktatin e Atlantikut të Veriut për mbrojtje dhe ruajtje të ndërsjellë të informacionit të klasifikuar që ato mund të shkëmbejnë me njëra – tjetrën,</w:t>
      </w:r>
    </w:p>
    <w:p w:rsidR="00920674" w:rsidRPr="001521F6" w:rsidRDefault="00920674" w:rsidP="004A0E2A">
      <w:pPr>
        <w:pStyle w:val="Paragrafi0"/>
        <w:rPr>
          <w:lang w:val="it-IT"/>
        </w:rPr>
      </w:pPr>
      <w:r w:rsidRPr="001521F6">
        <w:rPr>
          <w:i/>
          <w:lang w:val="it-IT"/>
        </w:rPr>
        <w:t>kanë rënë dakord</w:t>
      </w:r>
      <w:r w:rsidRPr="001521F6">
        <w:rPr>
          <w:lang w:val="it-IT"/>
        </w:rPr>
        <w:t xml:space="preserve"> si vijon: </w:t>
      </w:r>
    </w:p>
    <w:p w:rsidR="00920674" w:rsidRPr="001521F6" w:rsidRDefault="00920674" w:rsidP="004A0E2A">
      <w:pPr>
        <w:pStyle w:val="Paragrafi0"/>
        <w:rPr>
          <w:sz w:val="16"/>
          <w:lang w:val="it-IT"/>
        </w:rPr>
      </w:pPr>
    </w:p>
    <w:p w:rsidR="00920674" w:rsidRPr="001521F6" w:rsidRDefault="00920674" w:rsidP="004A0E2A">
      <w:pPr>
        <w:pStyle w:val="NeniNr"/>
        <w:keepNext w:val="0"/>
        <w:rPr>
          <w:lang w:val="it-IT"/>
        </w:rPr>
      </w:pPr>
      <w:r w:rsidRPr="001521F6">
        <w:rPr>
          <w:lang w:val="it-IT"/>
        </w:rPr>
        <w:t>Neni 1</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 xml:space="preserve">Qeveritë Palë të kësaj Marrëveshjeje ruajnë dhe mundësojnë ruajtjen e sekretit të shpikjeve për të cilat aplikimet për patentë janë marrë sipas procedurave të rëna dakord kurdo që sekreti është vendosur mbi shpikje të tilla në interes të mbrojtjes kombëtare nga qeveria, referuar më poshtë si “Qeveria e origjinës”, e cila ishte e para që mori një aplikim për një patentë që mbulon këto shpikje. </w:t>
      </w:r>
    </w:p>
    <w:p w:rsidR="00920674" w:rsidRPr="001521F6" w:rsidRDefault="00920674" w:rsidP="004A0E2A">
      <w:pPr>
        <w:pStyle w:val="Paragrafi0"/>
        <w:rPr>
          <w:lang w:val="it-IT"/>
        </w:rPr>
      </w:pPr>
      <w:r w:rsidRPr="001521F6">
        <w:rPr>
          <w:lang w:val="it-IT"/>
        </w:rPr>
        <w:t>Me kusht që kjo dispozitë nuk cenon të drejtën e qeverisë së origjinës për të ndaluar paraqitjen e një aplikimi për një patentë për shpikjen në një ose më shumë nga qeveritë e tjera Palë të kësaj Marrëveshjeje.</w:t>
      </w:r>
    </w:p>
    <w:p w:rsidR="00920674" w:rsidRPr="001521F6" w:rsidRDefault="00920674" w:rsidP="004A0E2A">
      <w:pPr>
        <w:pStyle w:val="Paragrafi0"/>
        <w:rPr>
          <w:lang w:val="it-IT"/>
        </w:rPr>
      </w:pPr>
      <w:r w:rsidRPr="001521F6">
        <w:rPr>
          <w:lang w:val="it-IT"/>
        </w:rPr>
        <w:t>Qeveritë Palë të kësaj Marrëveshjeje bien dakord të zhvillojnë procedura të tilla operacionale siç mund të kërkohen për të vënë në jetë këtë nen.</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2</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Dispozitat e nenit 1 zbatohen ose me kërkesën e qeverisë së origjinës, ose me kërkesën e aplikantit për patentë, me kusht që ky i fundit të paraqesë prova që sekreti është vendosur nga qeveria e origjinës dhe që ka marrë autorizim nga kjo qeveri për të paraqitur aplikimin e tij për një patentë sekrete në vendin në fjalë.</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3</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Qeveria, së cilës i kërkohet të ruajë sekretin e një shpikjeje sipas kushteve të nenit 1, ka të drejtë të kërkojë nga aplikanti për patentë një dokument të heqjes dorë nga çdo pretendim për dëmshpërblim</w:t>
      </w:r>
      <w:r w:rsidR="008F2FC2" w:rsidRPr="001521F6">
        <w:rPr>
          <w:lang w:val="it-IT"/>
        </w:rPr>
        <w:t>,</w:t>
      </w:r>
      <w:r w:rsidRPr="001521F6">
        <w:rPr>
          <w:lang w:val="it-IT"/>
        </w:rPr>
        <w:t xml:space="preserve"> për humbje ose dëmtim, shkaktuar vetëm nga vendosja e sekretit mbi shpikjen si një kusht paraprak për aplikimin e një ruajtje</w:t>
      </w:r>
      <w:r w:rsidR="008F2FC2" w:rsidRPr="001521F6">
        <w:rPr>
          <w:lang w:val="it-IT"/>
        </w:rPr>
        <w:t>je</w:t>
      </w:r>
      <w:r w:rsidRPr="001521F6">
        <w:rPr>
          <w:lang w:val="it-IT"/>
        </w:rPr>
        <w:t xml:space="preserve"> të tillë. </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4</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 xml:space="preserve">Masat e sekretit të vendosura sipas nenit 1 hiqen vetëm me kërkesën e qeverisë së origjinës. Kjo qeveri u jep qeverive të tjera të interesuara njoftimin mbi qëllimin e saj për të hequr masat e veta gjashtë javë para. </w:t>
      </w:r>
    </w:p>
    <w:p w:rsidR="00920674" w:rsidRPr="001521F6" w:rsidRDefault="00920674" w:rsidP="004A0E2A">
      <w:pPr>
        <w:pStyle w:val="Paragrafi0"/>
        <w:rPr>
          <w:lang w:val="it-IT"/>
        </w:rPr>
      </w:pPr>
      <w:r w:rsidRPr="001521F6">
        <w:rPr>
          <w:lang w:val="it-IT"/>
        </w:rPr>
        <w:t xml:space="preserve">Qeveria e origjinës merr parasysh sa të jetë e mundur, duke i kushtuar vëmendjen e duhur sigurisë së Organizatës së Traktatit të Atlantikut Verior, mendimet e dhëna nga qeveritë e tjera brenda afatit gjashtëjavor të lartpërmendur. </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5</w:t>
      </w:r>
    </w:p>
    <w:p w:rsidR="00920674" w:rsidRPr="001521F6" w:rsidRDefault="00920674" w:rsidP="004A0E2A">
      <w:pPr>
        <w:pStyle w:val="Paragrafi0"/>
        <w:rPr>
          <w:lang w:val="it-IT"/>
        </w:rPr>
      </w:pPr>
    </w:p>
    <w:p w:rsidR="00920674" w:rsidRPr="001521F6" w:rsidRDefault="008F2FC2" w:rsidP="004A0E2A">
      <w:pPr>
        <w:pStyle w:val="Paragrafi0"/>
        <w:rPr>
          <w:lang w:val="it-IT"/>
        </w:rPr>
      </w:pPr>
      <w:r w:rsidRPr="001521F6">
        <w:rPr>
          <w:lang w:val="it-IT"/>
        </w:rPr>
        <w:t>Kjo Marrëveshje nuk i pengon q</w:t>
      </w:r>
      <w:r w:rsidR="00920674" w:rsidRPr="001521F6">
        <w:rPr>
          <w:lang w:val="it-IT"/>
        </w:rPr>
        <w:t>everitë nën</w:t>
      </w:r>
      <w:r w:rsidRPr="001521F6">
        <w:rPr>
          <w:lang w:val="it-IT"/>
        </w:rPr>
        <w:t>shkruese të lidhin marrëveshje</w:t>
      </w:r>
      <w:r w:rsidR="00920674" w:rsidRPr="001521F6">
        <w:rPr>
          <w:lang w:val="it-IT"/>
        </w:rPr>
        <w:t xml:space="preserve"> dypalëshe për të njëjtin qëllim. Marrëveshjet dypalëshe ekzistuese mbeten të pacenuara.</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6</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Instrumentet e ratifikimit ose miratimit të kësaj Marrëveshjeje depozitohen sa më shpejt të jetë e mundur me Qeverinë e Shteteve të Bashkuara të Amerikës, e cila informon secilën qeveri nënshkruese për datën e depozitimit të secilit instrument.</w:t>
      </w:r>
    </w:p>
    <w:p w:rsidR="00920674" w:rsidRPr="001521F6" w:rsidRDefault="00920674" w:rsidP="004A0E2A">
      <w:pPr>
        <w:pStyle w:val="Paragrafi0"/>
        <w:rPr>
          <w:lang w:val="it-IT"/>
        </w:rPr>
      </w:pPr>
      <w:r w:rsidRPr="001521F6">
        <w:rPr>
          <w:lang w:val="it-IT"/>
        </w:rPr>
        <w:t>Kjo Marrëveshje hyn në fuqi 30 ditë pas depozitimit nga dy Palë nënshkruese të instrumenteve të tyre të ratifikimit ose miratimit. Ajo hyn në fuqi për secilën prej palëve të tjera nënshkruese 30 ditë pas depozitimit të instrumentit të saj të ratifikimit ose miratimit.</w:t>
      </w:r>
    </w:p>
    <w:p w:rsidR="00920674" w:rsidRPr="001521F6" w:rsidRDefault="00920674" w:rsidP="004A0E2A">
      <w:pPr>
        <w:pStyle w:val="Paragrafi0"/>
        <w:rPr>
          <w:lang w:val="it-IT"/>
        </w:rPr>
      </w:pPr>
    </w:p>
    <w:p w:rsidR="00920674" w:rsidRPr="001521F6" w:rsidRDefault="00920674" w:rsidP="004A0E2A">
      <w:pPr>
        <w:pStyle w:val="NeniNr"/>
        <w:keepNext w:val="0"/>
        <w:rPr>
          <w:lang w:val="it-IT"/>
        </w:rPr>
      </w:pPr>
      <w:r w:rsidRPr="001521F6">
        <w:rPr>
          <w:lang w:val="it-IT"/>
        </w:rPr>
        <w:t>Neni 7</w:t>
      </w:r>
    </w:p>
    <w:p w:rsidR="00920674" w:rsidRPr="001521F6" w:rsidRDefault="00920674" w:rsidP="004A0E2A">
      <w:pPr>
        <w:pStyle w:val="Paragrafi0"/>
        <w:rPr>
          <w:lang w:val="it-IT"/>
        </w:rPr>
      </w:pPr>
    </w:p>
    <w:p w:rsidR="00920674" w:rsidRPr="001521F6" w:rsidRDefault="00920674" w:rsidP="004A0E2A">
      <w:pPr>
        <w:pStyle w:val="Paragrafi0"/>
        <w:rPr>
          <w:lang w:val="it-IT"/>
        </w:rPr>
      </w:pPr>
      <w:r w:rsidRPr="001521F6">
        <w:rPr>
          <w:lang w:val="it-IT"/>
        </w:rPr>
        <w:t xml:space="preserve">Kjo Marrëveshje mund të denoncohet nga çdo palë kontraktuese me anë të njoftimit të denoncimit dhënë me shkrim Qeverisë së Shteteve të Bashkuara të Amerikës, e cila do të njoftojë të gjitha palët e tjera nënshkruese për këtë njoftim. Denoncimi hyn në fuqi një vit pas marrjes së njoftimit nga Qeveria e Shteteve të Bashkuara të Amerikës, por nuk cenon detyrimet tashmë të marra përsipër dhe të drejtat ose privilegjet e përfituara më përpara nga palët nënshkruese sipas dispozitave të kësaj Marrëveshjeje. </w:t>
      </w:r>
    </w:p>
    <w:p w:rsidR="00920674" w:rsidRPr="001521F6" w:rsidRDefault="00920674" w:rsidP="004A0E2A">
      <w:pPr>
        <w:pStyle w:val="Paragrafi0"/>
        <w:rPr>
          <w:lang w:val="it-IT"/>
        </w:rPr>
      </w:pPr>
      <w:r w:rsidRPr="001521F6">
        <w:rPr>
          <w:lang w:val="it-IT"/>
        </w:rPr>
        <w:t>Në dëshmi të kësaj, përfaqësuesit nënshkrues të autorizuar në mënyrën e duhur, kanë nënshkruar këtë Marrëveshje.</w:t>
      </w:r>
    </w:p>
    <w:p w:rsidR="008E236B" w:rsidRPr="001521F6" w:rsidRDefault="008E236B" w:rsidP="004A0E2A">
      <w:pPr>
        <w:pStyle w:val="Paragrafi0"/>
        <w:rPr>
          <w:lang w:val="it-IT"/>
        </w:rPr>
      </w:pPr>
    </w:p>
    <w:p w:rsidR="00920674" w:rsidRPr="001521F6" w:rsidRDefault="00920674" w:rsidP="004A0E2A">
      <w:pPr>
        <w:pStyle w:val="Paragrafi0"/>
        <w:rPr>
          <w:lang w:val="it-IT"/>
        </w:rPr>
      </w:pPr>
      <w:r w:rsidRPr="001521F6">
        <w:rPr>
          <w:lang w:val="it-IT"/>
        </w:rPr>
        <w:t>Bërë në Paris në ditën e 21-të të shtatorit të vitit 1960, në gjuhët angleze dhe frënge, duke qenë të dy tekstet njëlloj autentike, në një kopje të vetme që depozitohet në arkivat e Qeverisë së Shteteve të Bash</w:t>
      </w:r>
      <w:r w:rsidR="008F2FC2" w:rsidRPr="001521F6">
        <w:rPr>
          <w:lang w:val="it-IT"/>
        </w:rPr>
        <w:t>kuara të Amerikës, e cila do t’u</w:t>
      </w:r>
      <w:r w:rsidRPr="001521F6">
        <w:rPr>
          <w:lang w:val="it-IT"/>
        </w:rPr>
        <w:t xml:space="preserve"> përcjelli një kopje të vërtetuar qeverive të palëve të tjera nënshkruese.</w:t>
      </w:r>
    </w:p>
    <w:p w:rsidR="00920674" w:rsidRPr="001521F6" w:rsidRDefault="00920674" w:rsidP="004A0E2A">
      <w:pPr>
        <w:pStyle w:val="Paragrafi0"/>
        <w:rPr>
          <w:lang w:val="it-IT"/>
        </w:rPr>
      </w:pPr>
    </w:p>
    <w:p w:rsidR="008F2FC2" w:rsidRPr="001521F6" w:rsidRDefault="008F2FC2" w:rsidP="004A0E2A">
      <w:pPr>
        <w:pStyle w:val="Akti"/>
        <w:keepNext w:val="0"/>
        <w:jc w:val="left"/>
        <w:rPr>
          <w:lang w:val="it-IT"/>
        </w:rPr>
      </w:pPr>
    </w:p>
    <w:p w:rsidR="002768F6" w:rsidRPr="001521F6" w:rsidRDefault="002768F6" w:rsidP="004A0E2A">
      <w:pPr>
        <w:pStyle w:val="Akti"/>
        <w:keepNext w:val="0"/>
        <w:rPr>
          <w:lang w:val="it-IT"/>
        </w:rPr>
      </w:pPr>
      <w:r w:rsidRPr="001521F6">
        <w:rPr>
          <w:lang w:val="it-IT"/>
        </w:rPr>
        <w:t>LIGJ</w:t>
      </w:r>
    </w:p>
    <w:p w:rsidR="002768F6" w:rsidRPr="001521F6" w:rsidRDefault="008124ED" w:rsidP="004A0E2A">
      <w:pPr>
        <w:pStyle w:val="NumriData"/>
        <w:keepNext w:val="0"/>
        <w:rPr>
          <w:lang w:val="it-IT"/>
        </w:rPr>
      </w:pPr>
      <w:r w:rsidRPr="001521F6">
        <w:rPr>
          <w:lang w:val="it-IT"/>
        </w:rPr>
        <w:t>Nr.</w:t>
      </w:r>
      <w:r w:rsidR="002768F6" w:rsidRPr="001521F6">
        <w:rPr>
          <w:lang w:val="it-IT"/>
        </w:rPr>
        <w:t>10 285, datë 3.6.2010</w:t>
      </w:r>
    </w:p>
    <w:p w:rsidR="002768F6" w:rsidRPr="001521F6" w:rsidRDefault="002768F6" w:rsidP="004A0E2A">
      <w:pPr>
        <w:pStyle w:val="Paragrafi0"/>
        <w:rPr>
          <w:b/>
          <w:lang w:val="it-IT"/>
        </w:rPr>
      </w:pPr>
    </w:p>
    <w:p w:rsidR="002768F6" w:rsidRPr="001521F6" w:rsidRDefault="002768F6" w:rsidP="004A0E2A">
      <w:pPr>
        <w:pStyle w:val="Titulli0"/>
        <w:keepNext w:val="0"/>
        <w:rPr>
          <w:lang w:val="it-IT"/>
        </w:rPr>
      </w:pPr>
      <w:r w:rsidRPr="001521F6">
        <w:rPr>
          <w:lang w:val="it-IT"/>
        </w:rPr>
        <w:t>PËR RATIFIKIMIN E KONVENTËS NDËRMJET KËSHILLIT TË MINISTRAVE TË REPUBLIKËS SË SHQIPËRISË DHE QEVERISË SË REPUBLIKËS SË ESTONISË PËR SHMANGIEN E TATIMIT TË DYFISHTË DHE PARANDALIMIN E EVAZIONT FISKAL NË LIDHJE ME TATIMIN MBI TË ARDHURAT</w:t>
      </w:r>
    </w:p>
    <w:p w:rsidR="002768F6" w:rsidRPr="001521F6" w:rsidRDefault="002768F6" w:rsidP="004A0E2A">
      <w:pPr>
        <w:pStyle w:val="Paragrafi0"/>
        <w:ind w:firstLine="0"/>
        <w:rPr>
          <w:lang w:val="it-IT"/>
        </w:rPr>
      </w:pPr>
    </w:p>
    <w:p w:rsidR="002768F6" w:rsidRPr="001521F6" w:rsidRDefault="002768F6" w:rsidP="004A0E2A">
      <w:pPr>
        <w:pStyle w:val="Paragrafi0"/>
        <w:rPr>
          <w:lang w:val="it-IT"/>
        </w:rPr>
      </w:pPr>
      <w:r w:rsidRPr="001521F6">
        <w:rPr>
          <w:lang w:val="it-IT"/>
        </w:rPr>
        <w:t>Në mbështetje të neneve 78, 83 pika 1 dhe 121 të Kushtetutës, me propozimin e Këshillit të Ministrave,</w:t>
      </w:r>
    </w:p>
    <w:p w:rsidR="002768F6" w:rsidRPr="001521F6" w:rsidRDefault="002768F6" w:rsidP="004A0E2A">
      <w:pPr>
        <w:pStyle w:val="Paragrafi0"/>
        <w:rPr>
          <w:sz w:val="16"/>
          <w:lang w:val="it-IT"/>
        </w:rPr>
      </w:pPr>
    </w:p>
    <w:p w:rsidR="002768F6" w:rsidRPr="001521F6" w:rsidRDefault="002768F6" w:rsidP="004A0E2A">
      <w:pPr>
        <w:pStyle w:val="Institucioni"/>
        <w:keepNext w:val="0"/>
        <w:rPr>
          <w:lang w:val="it-IT"/>
        </w:rPr>
      </w:pPr>
      <w:r w:rsidRPr="001521F6">
        <w:rPr>
          <w:lang w:val="it-IT"/>
        </w:rPr>
        <w:t>KUVENDI</w:t>
      </w:r>
    </w:p>
    <w:p w:rsidR="002768F6" w:rsidRPr="001521F6" w:rsidRDefault="002768F6" w:rsidP="004A0E2A">
      <w:pPr>
        <w:pStyle w:val="Institucioni"/>
        <w:keepNext w:val="0"/>
        <w:rPr>
          <w:lang w:val="it-IT"/>
        </w:rPr>
      </w:pPr>
      <w:r w:rsidRPr="001521F6">
        <w:rPr>
          <w:lang w:val="it-IT"/>
        </w:rPr>
        <w:t>I REPUBLIKËS SË SHQIPËRISË</w:t>
      </w:r>
    </w:p>
    <w:p w:rsidR="002768F6" w:rsidRPr="001521F6" w:rsidRDefault="002768F6" w:rsidP="004A0E2A">
      <w:pPr>
        <w:pStyle w:val="Paragrafi0"/>
        <w:rPr>
          <w:b/>
          <w:lang w:val="it-IT"/>
        </w:rPr>
      </w:pPr>
    </w:p>
    <w:p w:rsidR="002768F6" w:rsidRPr="001521F6" w:rsidRDefault="002768F6" w:rsidP="004A0E2A">
      <w:pPr>
        <w:pStyle w:val="VENDOSI0"/>
        <w:keepNext w:val="0"/>
        <w:rPr>
          <w:lang w:val="it-IT"/>
        </w:rPr>
      </w:pPr>
      <w:r w:rsidRPr="001521F6">
        <w:rPr>
          <w:lang w:val="it-IT"/>
        </w:rPr>
        <w:t>VENDOSI:</w:t>
      </w:r>
    </w:p>
    <w:p w:rsidR="002768F6" w:rsidRPr="001521F6" w:rsidRDefault="002768F6" w:rsidP="004A0E2A">
      <w:pPr>
        <w:pStyle w:val="Paragrafi0"/>
        <w:rPr>
          <w:sz w:val="16"/>
          <w:szCs w:val="28"/>
          <w:lang w:val="it-IT"/>
        </w:rPr>
      </w:pPr>
    </w:p>
    <w:p w:rsidR="002768F6" w:rsidRPr="001521F6" w:rsidRDefault="002768F6" w:rsidP="004A0E2A">
      <w:pPr>
        <w:pStyle w:val="NeniNr"/>
        <w:keepNext w:val="0"/>
        <w:rPr>
          <w:lang w:val="it-IT"/>
        </w:rPr>
      </w:pPr>
      <w:r w:rsidRPr="001521F6">
        <w:rPr>
          <w:lang w:val="it-IT"/>
        </w:rPr>
        <w:t>Neni 1</w:t>
      </w:r>
    </w:p>
    <w:p w:rsidR="002768F6" w:rsidRPr="001521F6" w:rsidRDefault="002768F6" w:rsidP="004A0E2A">
      <w:pPr>
        <w:pStyle w:val="Paragrafi0"/>
        <w:rPr>
          <w:lang w:val="it-IT"/>
        </w:rPr>
      </w:pPr>
    </w:p>
    <w:p w:rsidR="002768F6" w:rsidRPr="001521F6" w:rsidRDefault="002768F6" w:rsidP="004A0E2A">
      <w:pPr>
        <w:pStyle w:val="Paragrafi0"/>
        <w:rPr>
          <w:lang w:val="it-IT"/>
        </w:rPr>
      </w:pPr>
      <w:r w:rsidRPr="001521F6">
        <w:rPr>
          <w:lang w:val="it-IT"/>
        </w:rPr>
        <w:t>Ratifikohet konventa ndërmjet Këshillit të Ministrave të Republikës së Shqipërisë dhe Qeverisë së Republikës së Estonisë për shmangien e tatimit të dyfishtë dhe parandalimin e evazionit fiskal në lidhje me tatimin mbi të ardhurat.</w:t>
      </w:r>
    </w:p>
    <w:p w:rsidR="002768F6" w:rsidRPr="001521F6" w:rsidRDefault="002768F6" w:rsidP="004A0E2A">
      <w:pPr>
        <w:pStyle w:val="Paragrafi0"/>
        <w:rPr>
          <w:sz w:val="16"/>
          <w:lang w:val="it-IT"/>
        </w:rPr>
      </w:pPr>
    </w:p>
    <w:p w:rsidR="002768F6" w:rsidRPr="001521F6" w:rsidRDefault="002768F6" w:rsidP="004A0E2A">
      <w:pPr>
        <w:pStyle w:val="NeniNr"/>
        <w:keepNext w:val="0"/>
        <w:rPr>
          <w:lang w:val="it-IT"/>
        </w:rPr>
      </w:pPr>
      <w:r w:rsidRPr="001521F6">
        <w:rPr>
          <w:lang w:val="it-IT"/>
        </w:rPr>
        <w:t>Neni 2</w:t>
      </w:r>
    </w:p>
    <w:p w:rsidR="002768F6" w:rsidRPr="001521F6" w:rsidRDefault="002768F6" w:rsidP="004A0E2A">
      <w:pPr>
        <w:pStyle w:val="Paragrafi0"/>
        <w:rPr>
          <w:sz w:val="16"/>
          <w:lang w:val="it-IT"/>
        </w:rPr>
      </w:pPr>
    </w:p>
    <w:p w:rsidR="002768F6" w:rsidRPr="001521F6" w:rsidRDefault="002768F6" w:rsidP="004A0E2A">
      <w:pPr>
        <w:pStyle w:val="Paragrafi0"/>
        <w:rPr>
          <w:lang w:val="it-IT"/>
        </w:rPr>
      </w:pPr>
      <w:r w:rsidRPr="001521F6">
        <w:rPr>
          <w:lang w:val="it-IT"/>
        </w:rPr>
        <w:t>Ky ligj hyn në fuqi 15 ditë pas botimit në Fletoren Zyrtare.</w:t>
      </w:r>
    </w:p>
    <w:p w:rsidR="002768F6" w:rsidRPr="001521F6" w:rsidRDefault="002768F6" w:rsidP="004A0E2A">
      <w:pPr>
        <w:pStyle w:val="Paragrafi0"/>
        <w:rPr>
          <w:lang w:val="it-IT"/>
        </w:rPr>
      </w:pPr>
    </w:p>
    <w:p w:rsidR="00EF2FD6" w:rsidRDefault="00EF2FD6" w:rsidP="004A0E2A">
      <w:pPr>
        <w:pStyle w:val="Paragrafi0"/>
        <w:ind w:firstLine="0"/>
        <w:rPr>
          <w:b/>
          <w:sz w:val="23"/>
          <w:szCs w:val="23"/>
          <w:lang w:val="sq-AL"/>
        </w:rPr>
      </w:pPr>
      <w:r>
        <w:rPr>
          <w:b/>
          <w:sz w:val="23"/>
          <w:szCs w:val="23"/>
          <w:lang w:val="sq-AL"/>
        </w:rPr>
        <w:t>Shpallur me dekretin nr.6603, datë 17.6</w:t>
      </w:r>
      <w:r w:rsidRPr="009E6281">
        <w:rPr>
          <w:b/>
          <w:sz w:val="23"/>
          <w:szCs w:val="23"/>
          <w:lang w:val="sq-AL"/>
        </w:rPr>
        <w:t>.2010 të Presidentit të Republikës së Shqipërisë, Bamir Topi</w:t>
      </w:r>
    </w:p>
    <w:p w:rsidR="002768F6" w:rsidRPr="001521F6" w:rsidRDefault="002768F6" w:rsidP="004A0E2A">
      <w:pPr>
        <w:pStyle w:val="Paragrafi0"/>
        <w:rPr>
          <w:lang w:val="it-IT"/>
        </w:rPr>
      </w:pPr>
    </w:p>
    <w:p w:rsidR="0024793C" w:rsidRPr="001521F6" w:rsidRDefault="0024793C" w:rsidP="004A0E2A">
      <w:pPr>
        <w:pStyle w:val="Paragrafi0"/>
        <w:ind w:firstLine="0"/>
        <w:rPr>
          <w:lang w:val="it-IT"/>
        </w:rPr>
      </w:pPr>
    </w:p>
    <w:p w:rsidR="0024793C" w:rsidRPr="001521F6" w:rsidRDefault="0024793C" w:rsidP="004A0E2A">
      <w:pPr>
        <w:pStyle w:val="Titulli0"/>
        <w:keepNext w:val="0"/>
        <w:rPr>
          <w:lang w:val="it-IT"/>
        </w:rPr>
      </w:pPr>
      <w:r w:rsidRPr="001521F6">
        <w:rPr>
          <w:lang w:val="it-IT"/>
        </w:rPr>
        <w:t xml:space="preserve">KONVENTË </w:t>
      </w:r>
    </w:p>
    <w:p w:rsidR="0024793C" w:rsidRPr="001521F6" w:rsidRDefault="0024793C" w:rsidP="004A0E2A">
      <w:pPr>
        <w:pStyle w:val="TitulliTitull"/>
        <w:keepNext w:val="0"/>
        <w:rPr>
          <w:lang w:val="it-IT"/>
        </w:rPr>
      </w:pPr>
      <w:r w:rsidRPr="001521F6">
        <w:rPr>
          <w:lang w:val="it-IT"/>
        </w:rPr>
        <w:t>NDËRMJET KËSHILLIT TË MINISTRAVE TË REPUBLIKËS SË SHQIPËRISË DHE QEVERISË SË REPUBLIKËS SË ESTONISË PËR SHMANGIEN E TATIMIT TË DYFISHTË DHE PARANDALIMIN E EVAZIONIT FISKAL NË LIDHJE ME TATIMIN MBI TË ARDHURAT</w:t>
      </w:r>
    </w:p>
    <w:p w:rsidR="0024793C" w:rsidRPr="001521F6" w:rsidRDefault="0024793C" w:rsidP="004A0E2A">
      <w:pPr>
        <w:pStyle w:val="Paragrafi0"/>
        <w:rPr>
          <w:lang w:val="it-IT"/>
        </w:rPr>
      </w:pPr>
    </w:p>
    <w:p w:rsidR="0024793C" w:rsidRPr="001521F6" w:rsidRDefault="0024793C" w:rsidP="004A0E2A">
      <w:pPr>
        <w:pStyle w:val="Paragrafi0"/>
        <w:rPr>
          <w:lang w:val="it-IT"/>
        </w:rPr>
      </w:pPr>
      <w:r w:rsidRPr="001521F6">
        <w:rPr>
          <w:lang w:val="it-IT"/>
        </w:rPr>
        <w:t xml:space="preserve">Këshilli i Ministrave i Republikës së Shqipërisë dhe Qeveria e Republikës së Estonisë; </w:t>
      </w:r>
    </w:p>
    <w:p w:rsidR="0024793C" w:rsidRPr="001521F6" w:rsidRDefault="0024793C" w:rsidP="004A0E2A">
      <w:pPr>
        <w:pStyle w:val="Paragrafi0"/>
        <w:rPr>
          <w:lang w:val="it-IT"/>
        </w:rPr>
      </w:pPr>
      <w:r w:rsidRPr="001521F6">
        <w:rPr>
          <w:i/>
          <w:lang w:val="it-IT"/>
        </w:rPr>
        <w:t>me dëshirën</w:t>
      </w:r>
      <w:r w:rsidRPr="001521F6">
        <w:rPr>
          <w:lang w:val="it-IT"/>
        </w:rPr>
        <w:t xml:space="preserve">, me qëllim zhvillimin dhe lehtësimin e mëtejshëm të marrëdhënieve ekonomike, për të përfunduar një Konventë për shmangien e tatimit të dyfishtë dhe parandalimin e evazionit fiskal në lidhje me tatimin mbi të ardhurat, </w:t>
      </w:r>
    </w:p>
    <w:p w:rsidR="0024793C" w:rsidRPr="001521F6" w:rsidRDefault="0024793C" w:rsidP="004A0E2A">
      <w:pPr>
        <w:pStyle w:val="Paragrafi0"/>
        <w:rPr>
          <w:lang w:val="it-IT"/>
        </w:rPr>
      </w:pPr>
      <w:r w:rsidRPr="001521F6">
        <w:rPr>
          <w:lang w:val="it-IT"/>
        </w:rPr>
        <w:t xml:space="preserve">kanë rënë dakord si më poshtë: </w:t>
      </w:r>
    </w:p>
    <w:p w:rsidR="0024793C" w:rsidRPr="001521F6" w:rsidRDefault="0024793C" w:rsidP="004A0E2A">
      <w:pPr>
        <w:pStyle w:val="Paragrafi0"/>
        <w:rPr>
          <w:lang w:val="it-IT"/>
        </w:rPr>
      </w:pPr>
    </w:p>
    <w:p w:rsidR="0024793C" w:rsidRPr="001521F6" w:rsidRDefault="0024793C" w:rsidP="004A0E2A">
      <w:pPr>
        <w:pStyle w:val="NeniNr"/>
        <w:keepNext w:val="0"/>
        <w:rPr>
          <w:lang w:val="it-IT"/>
        </w:rPr>
      </w:pPr>
      <w:r w:rsidRPr="001521F6">
        <w:rPr>
          <w:lang w:val="it-IT"/>
        </w:rPr>
        <w:t>Neni 1</w:t>
      </w:r>
    </w:p>
    <w:p w:rsidR="0024793C" w:rsidRPr="001521F6" w:rsidRDefault="0024793C" w:rsidP="004A0E2A">
      <w:pPr>
        <w:pStyle w:val="NeniTitull"/>
        <w:keepNext w:val="0"/>
        <w:rPr>
          <w:lang w:val="it-IT"/>
        </w:rPr>
      </w:pPr>
      <w:r w:rsidRPr="001521F6">
        <w:rPr>
          <w:lang w:val="it-IT"/>
        </w:rPr>
        <w:t>Personat e përfshirë</w:t>
      </w:r>
    </w:p>
    <w:p w:rsidR="0024793C" w:rsidRPr="001521F6" w:rsidRDefault="0024793C" w:rsidP="004A0E2A">
      <w:pPr>
        <w:pStyle w:val="Paragrafi0"/>
        <w:rPr>
          <w:sz w:val="18"/>
          <w:lang w:val="it-IT"/>
        </w:rPr>
      </w:pPr>
    </w:p>
    <w:p w:rsidR="0024793C" w:rsidRPr="001521F6" w:rsidRDefault="0024793C" w:rsidP="004A0E2A">
      <w:pPr>
        <w:pStyle w:val="Paragrafi0"/>
        <w:rPr>
          <w:lang w:val="it-IT"/>
        </w:rPr>
      </w:pPr>
      <w:r w:rsidRPr="001521F6">
        <w:rPr>
          <w:lang w:val="it-IT"/>
        </w:rPr>
        <w:t xml:space="preserve">Kjo Konventë do të zbatohet për persona të cilët janë rezidentë të një ose të dy Shteteve Kontraktuese. </w:t>
      </w:r>
    </w:p>
    <w:p w:rsidR="0024793C" w:rsidRPr="001521F6" w:rsidRDefault="0024793C" w:rsidP="004A0E2A">
      <w:pPr>
        <w:pStyle w:val="NeniNr"/>
        <w:keepNext w:val="0"/>
        <w:rPr>
          <w:lang w:val="it-IT"/>
        </w:rPr>
      </w:pPr>
      <w:r w:rsidRPr="001521F6">
        <w:rPr>
          <w:lang w:val="it-IT"/>
        </w:rPr>
        <w:t>Neni 2</w:t>
      </w:r>
    </w:p>
    <w:p w:rsidR="0024793C" w:rsidRPr="001521F6" w:rsidRDefault="0024793C" w:rsidP="004A0E2A">
      <w:pPr>
        <w:pStyle w:val="NeniTitull"/>
        <w:keepNext w:val="0"/>
        <w:rPr>
          <w:lang w:val="it-IT"/>
        </w:rPr>
      </w:pPr>
      <w:r w:rsidRPr="001521F6">
        <w:rPr>
          <w:lang w:val="it-IT"/>
        </w:rPr>
        <w:t>Tatimet e përfshira</w:t>
      </w:r>
    </w:p>
    <w:p w:rsidR="0024793C" w:rsidRPr="001521F6" w:rsidRDefault="0024793C" w:rsidP="004A0E2A">
      <w:pPr>
        <w:pStyle w:val="Paragrafi0"/>
        <w:rPr>
          <w:sz w:val="16"/>
          <w:lang w:val="it-IT"/>
        </w:rPr>
      </w:pPr>
    </w:p>
    <w:p w:rsidR="0024793C" w:rsidRPr="001521F6" w:rsidRDefault="0024793C" w:rsidP="004A0E2A">
      <w:pPr>
        <w:pStyle w:val="Paragrafi0"/>
        <w:rPr>
          <w:lang w:val="it-IT"/>
        </w:rPr>
      </w:pPr>
      <w:r w:rsidRPr="001521F6">
        <w:rPr>
          <w:lang w:val="it-IT"/>
        </w:rPr>
        <w:t>1. Kjo Konventë zbatohet për tatimet mbi të ardhurat, të vëna në emër të një shteti kontraktues ose të autoriteteve të tij lokale, pavarësisht nga mënyra në të cilën ato vilen.</w:t>
      </w:r>
    </w:p>
    <w:p w:rsidR="0024793C" w:rsidRPr="001521F6" w:rsidRDefault="0024793C" w:rsidP="004A0E2A">
      <w:pPr>
        <w:pStyle w:val="Paragrafi0"/>
        <w:rPr>
          <w:lang w:val="it-IT"/>
        </w:rPr>
      </w:pPr>
      <w:r w:rsidRPr="001521F6">
        <w:rPr>
          <w:lang w:val="it-IT"/>
        </w:rPr>
        <w:t xml:space="preserve">2. Do të konsiderohen tatime mbi të ardhurat të gjitha tatimet e vëna mbi të ardhurat në tërësi ose elemente të të ardhurave, duke përfshirë tatimet mbi fitimet nga tjetërsimi i pasurisë së luajtshme ose të paluajtshme. </w:t>
      </w:r>
    </w:p>
    <w:p w:rsidR="0024793C" w:rsidRPr="001521F6" w:rsidRDefault="0024793C" w:rsidP="004A0E2A">
      <w:pPr>
        <w:pStyle w:val="Paragrafi0"/>
        <w:rPr>
          <w:lang w:val="it-IT"/>
        </w:rPr>
      </w:pPr>
      <w:r w:rsidRPr="001521F6">
        <w:rPr>
          <w:lang w:val="it-IT"/>
        </w:rPr>
        <w:t>3. Tatimet ekzistuese për të cilat zbatohet Konventa, në veçanti janë:</w:t>
      </w:r>
    </w:p>
    <w:p w:rsidR="0024793C" w:rsidRPr="001521F6" w:rsidRDefault="0024793C" w:rsidP="004A0E2A">
      <w:pPr>
        <w:pStyle w:val="Paragrafi0"/>
        <w:rPr>
          <w:lang w:val="it-IT"/>
        </w:rPr>
      </w:pPr>
      <w:r w:rsidRPr="001521F6">
        <w:rPr>
          <w:lang w:val="it-IT"/>
        </w:rPr>
        <w:t xml:space="preserve">a) në Shqipëri: </w:t>
      </w:r>
    </w:p>
    <w:p w:rsidR="0024793C" w:rsidRPr="001521F6" w:rsidRDefault="0024793C" w:rsidP="004A0E2A">
      <w:pPr>
        <w:pStyle w:val="Paragrafi0"/>
        <w:rPr>
          <w:lang w:val="it-IT"/>
        </w:rPr>
      </w:pPr>
      <w:r w:rsidRPr="001521F6">
        <w:rPr>
          <w:lang w:val="it-IT"/>
        </w:rPr>
        <w:t xml:space="preserve">i) tatimi mbi të ardhurat (duke përfshirë tatimet mbi fitimin e personave juridikë dhe tatimet mbi të ardhurat personale); dhe </w:t>
      </w:r>
    </w:p>
    <w:p w:rsidR="0024793C" w:rsidRPr="001521F6" w:rsidRDefault="0024793C" w:rsidP="004A0E2A">
      <w:pPr>
        <w:pStyle w:val="Paragrafi0"/>
        <w:rPr>
          <w:lang w:val="it-IT"/>
        </w:rPr>
      </w:pPr>
      <w:r w:rsidRPr="001521F6">
        <w:rPr>
          <w:lang w:val="it-IT"/>
        </w:rPr>
        <w:t xml:space="preserve">ii) tatimi mbi aktivitetet e biznesit të vogël; </w:t>
      </w:r>
    </w:p>
    <w:p w:rsidR="0024793C" w:rsidRPr="001521F6" w:rsidRDefault="0024793C" w:rsidP="004A0E2A">
      <w:pPr>
        <w:pStyle w:val="Paragrafi0"/>
        <w:rPr>
          <w:lang w:val="it-IT"/>
        </w:rPr>
      </w:pPr>
      <w:r w:rsidRPr="001521F6">
        <w:rPr>
          <w:lang w:val="it-IT"/>
        </w:rPr>
        <w:t xml:space="preserve">b)  në Estoni:  tatimet mbi të ardhurat. </w:t>
      </w:r>
    </w:p>
    <w:p w:rsidR="0024793C" w:rsidRPr="001521F6" w:rsidRDefault="0024793C" w:rsidP="004A0E2A">
      <w:pPr>
        <w:pStyle w:val="Paragrafi0"/>
        <w:rPr>
          <w:lang w:val="it-IT"/>
        </w:rPr>
      </w:pPr>
      <w:r w:rsidRPr="001521F6">
        <w:rPr>
          <w:lang w:val="it-IT"/>
        </w:rPr>
        <w:t xml:space="preserve">4. Konventa zbatohet gjithashtu për çdo tatim të njëjtë ose në thelb të ngjashëm që është vendosur pas datës së nënshkrimit të Konventës, si shtesë ose në vend të tatimeve ekzistuese. Autoritetet kompetente të shteteve kontraktuese njoftojnë njëra-tjetrën në lidhje me çdo ndryshim thelbësor që është bërë në legjislacionin e tyre tatimor. </w:t>
      </w:r>
    </w:p>
    <w:p w:rsidR="0024793C" w:rsidRPr="001521F6" w:rsidRDefault="0024793C" w:rsidP="004A0E2A">
      <w:pPr>
        <w:pStyle w:val="Paragrafi0"/>
        <w:rPr>
          <w:sz w:val="16"/>
          <w:lang w:val="it-IT"/>
        </w:rPr>
      </w:pPr>
    </w:p>
    <w:p w:rsidR="0024793C" w:rsidRPr="001521F6" w:rsidRDefault="0024793C" w:rsidP="004A0E2A">
      <w:pPr>
        <w:pStyle w:val="NeniNr"/>
        <w:keepNext w:val="0"/>
        <w:rPr>
          <w:lang w:val="it-IT"/>
        </w:rPr>
      </w:pPr>
      <w:r w:rsidRPr="001521F6">
        <w:rPr>
          <w:lang w:val="it-IT"/>
        </w:rPr>
        <w:t>Neni 3</w:t>
      </w:r>
    </w:p>
    <w:p w:rsidR="0024793C" w:rsidRPr="001521F6" w:rsidRDefault="0024793C" w:rsidP="004A0E2A">
      <w:pPr>
        <w:pStyle w:val="NeniTitull"/>
        <w:keepNext w:val="0"/>
        <w:rPr>
          <w:lang w:val="it-IT"/>
        </w:rPr>
      </w:pPr>
      <w:r w:rsidRPr="001521F6">
        <w:rPr>
          <w:lang w:val="it-IT"/>
        </w:rPr>
        <w:t>Përkufizime të përgjithshme</w:t>
      </w:r>
    </w:p>
    <w:p w:rsidR="0024793C" w:rsidRPr="001521F6" w:rsidRDefault="0024793C" w:rsidP="004A0E2A">
      <w:pPr>
        <w:pStyle w:val="Paragrafi0"/>
        <w:rPr>
          <w:sz w:val="16"/>
          <w:lang w:val="it-IT"/>
        </w:rPr>
      </w:pPr>
    </w:p>
    <w:p w:rsidR="0024793C" w:rsidRPr="001521F6" w:rsidRDefault="0024793C" w:rsidP="004A0E2A">
      <w:pPr>
        <w:pStyle w:val="Paragrafi0"/>
        <w:rPr>
          <w:lang w:val="it-IT"/>
        </w:rPr>
      </w:pPr>
      <w:r w:rsidRPr="001521F6">
        <w:rPr>
          <w:lang w:val="it-IT"/>
        </w:rPr>
        <w:t xml:space="preserve">1. Për qëllimet e kësaj Konvente, nëse konteksti nuk e kërkon ndryshe: </w:t>
      </w:r>
    </w:p>
    <w:p w:rsidR="0024793C" w:rsidRPr="001521F6" w:rsidRDefault="0024793C" w:rsidP="004A0E2A">
      <w:pPr>
        <w:pStyle w:val="Paragrafi0"/>
        <w:rPr>
          <w:lang w:val="it-IT"/>
        </w:rPr>
      </w:pPr>
      <w:r w:rsidRPr="001521F6">
        <w:rPr>
          <w:lang w:val="it-IT"/>
        </w:rPr>
        <w:t xml:space="preserve">a) Termat “një shtet kontraktues” dhe “shteti tjetër kontraktues” është Shqipëria ose Estonia, siç e kërkon konteksti; </w:t>
      </w:r>
    </w:p>
    <w:p w:rsidR="0024793C" w:rsidRPr="001521F6" w:rsidRDefault="0024793C" w:rsidP="004A0E2A">
      <w:pPr>
        <w:pStyle w:val="Paragrafi0"/>
        <w:rPr>
          <w:lang w:val="it-IT"/>
        </w:rPr>
      </w:pPr>
      <w:r w:rsidRPr="001521F6">
        <w:rPr>
          <w:lang w:val="it-IT"/>
        </w:rPr>
        <w:t>b) Termi “Shqipëri” nënkupton Republikën e Shqipërisë dhe kur përdoret në kuptimin gjeografik, nënkupton territorin e Republikës së Shqipërisë, duke përfshirë ujërat territoriale dhe hapësirën ajrore mbi to, si dhe çdo zonë përtej ujërave territoriale të Republikës së Shqipërisë, e cila sipas ligjeve të saj dhe në pajtim me të drejtën ndërkombëtare, është një zonë brenda së cilës Republika e Shqipërisë mund të ushtrojë të drejtat e saj në lidhje me shtratin e detit, nëntokën dhe burimet e tyre natyrore;</w:t>
      </w:r>
    </w:p>
    <w:p w:rsidR="0024793C" w:rsidRPr="001521F6" w:rsidRDefault="0024793C" w:rsidP="004A0E2A">
      <w:pPr>
        <w:pStyle w:val="Paragrafi0"/>
        <w:rPr>
          <w:lang w:val="it-IT"/>
        </w:rPr>
      </w:pPr>
      <w:r w:rsidRPr="001521F6">
        <w:rPr>
          <w:lang w:val="it-IT"/>
        </w:rPr>
        <w:t xml:space="preserve">c) Termi “Estoni” është Republika e Estonisë dhe kur përdoret në kuptimin gjeografik, përfshin territorin e Estonisë dhe çdo zonë të shtrirë tej kufijve të ujërave territoriale të Estonisë, brenda së cilës, sipas ligjeve të Estonisë dhe në pajtim me të drejtën ndërkombëtare, mund të ushtrohen të drejtat e Estonisë në lidhje me shtratin e detit dhe nëntokën, dhe burimet e tyre natyrore; </w:t>
      </w:r>
    </w:p>
    <w:p w:rsidR="0024793C" w:rsidRPr="001521F6" w:rsidRDefault="0024793C" w:rsidP="004A0E2A">
      <w:pPr>
        <w:pStyle w:val="Paragrafi0"/>
        <w:rPr>
          <w:lang w:val="it-IT"/>
        </w:rPr>
      </w:pPr>
      <w:r w:rsidRPr="001521F6">
        <w:rPr>
          <w:lang w:val="it-IT"/>
        </w:rPr>
        <w:t xml:space="preserve">d) Termi “person” nënkupton një individ, shoqëri dhe çdo grup tjetër personash; </w:t>
      </w:r>
    </w:p>
    <w:p w:rsidR="0024793C" w:rsidRPr="001521F6" w:rsidRDefault="0024793C" w:rsidP="004A0E2A">
      <w:pPr>
        <w:pStyle w:val="Paragrafi0"/>
        <w:rPr>
          <w:lang w:val="it-IT"/>
        </w:rPr>
      </w:pPr>
      <w:r w:rsidRPr="001521F6">
        <w:rPr>
          <w:lang w:val="it-IT"/>
        </w:rPr>
        <w:t xml:space="preserve">e) Termi “shoqëri” nënkupton çdo person juridik ose subjekt që trajtohet si person juridik për qëllime tatimore; </w:t>
      </w:r>
    </w:p>
    <w:p w:rsidR="0024793C" w:rsidRPr="001521F6" w:rsidRDefault="0024793C" w:rsidP="004A0E2A">
      <w:pPr>
        <w:pStyle w:val="Paragrafi0"/>
        <w:rPr>
          <w:lang w:val="it-IT"/>
        </w:rPr>
      </w:pPr>
      <w:r w:rsidRPr="001521F6">
        <w:rPr>
          <w:lang w:val="it-IT"/>
        </w:rPr>
        <w:t xml:space="preserve">f) Termat “ndërmarrje e një shteti kontraktues” dhe “ndërmarrje e shtetit tjetër kontraktues” nënkuptojnë përkatësisht një ndërmarrje të drejtuar nga një rezident i një shteti kontraktues dhe një ndërmarrje të drejtuar nga një rezident i shtetit tjetër kontraktues; </w:t>
      </w:r>
    </w:p>
    <w:p w:rsidR="0024793C" w:rsidRPr="001521F6" w:rsidRDefault="0024793C" w:rsidP="004A0E2A">
      <w:pPr>
        <w:pStyle w:val="Paragrafi0"/>
        <w:rPr>
          <w:lang w:val="it-IT"/>
        </w:rPr>
      </w:pPr>
      <w:r w:rsidRPr="001521F6">
        <w:rPr>
          <w:lang w:val="it-IT"/>
        </w:rPr>
        <w:t xml:space="preserve">g) Termi “trafik ndërkombëtar” nënkupton çdo transport me anije ose avion të operuar nga një ndërmarrje e një shteti kontraktues, përveç kur anija ose avioni operohen vetëm midis vendndodhjeve në shtetin tjetër kontraktues; </w:t>
      </w:r>
    </w:p>
    <w:p w:rsidR="0024793C" w:rsidRPr="001521F6" w:rsidRDefault="0024793C" w:rsidP="004A0E2A">
      <w:pPr>
        <w:pStyle w:val="Paragrafi0"/>
        <w:rPr>
          <w:lang w:val="it-IT"/>
        </w:rPr>
      </w:pPr>
      <w:r w:rsidRPr="001521F6">
        <w:rPr>
          <w:lang w:val="it-IT"/>
        </w:rPr>
        <w:t xml:space="preserve">h) Termi ”autoritet kompetent” nënkupton: </w:t>
      </w:r>
    </w:p>
    <w:p w:rsidR="0024793C" w:rsidRPr="001521F6" w:rsidRDefault="0024793C" w:rsidP="004A0E2A">
      <w:pPr>
        <w:pStyle w:val="Paragrafi0"/>
        <w:rPr>
          <w:lang w:val="it-IT"/>
        </w:rPr>
      </w:pPr>
      <w:r w:rsidRPr="001521F6">
        <w:rPr>
          <w:lang w:val="it-IT"/>
        </w:rPr>
        <w:t xml:space="preserve">i)  në Shqipëri, Ministrinë e Financave; </w:t>
      </w:r>
    </w:p>
    <w:p w:rsidR="0024793C" w:rsidRPr="001521F6" w:rsidRDefault="0024793C" w:rsidP="004A0E2A">
      <w:pPr>
        <w:pStyle w:val="Paragrafi0"/>
        <w:rPr>
          <w:lang w:val="it-IT"/>
        </w:rPr>
      </w:pPr>
      <w:r w:rsidRPr="001521F6">
        <w:rPr>
          <w:lang w:val="it-IT"/>
        </w:rPr>
        <w:t xml:space="preserve">ii) në Estoni, Ministrin e Financave ose përfaqësuesin e tij të autorizuar. </w:t>
      </w:r>
    </w:p>
    <w:p w:rsidR="0024793C" w:rsidRPr="001521F6" w:rsidRDefault="0024793C" w:rsidP="004A0E2A">
      <w:pPr>
        <w:pStyle w:val="Paragrafi0"/>
        <w:rPr>
          <w:lang w:val="it-IT"/>
        </w:rPr>
      </w:pPr>
      <w:r w:rsidRPr="001521F6">
        <w:rPr>
          <w:lang w:val="it-IT"/>
        </w:rPr>
        <w:t>i) Termi "shtetas" nënkupton:</w:t>
      </w:r>
    </w:p>
    <w:p w:rsidR="0024793C" w:rsidRPr="001521F6" w:rsidRDefault="0024793C" w:rsidP="004A0E2A">
      <w:pPr>
        <w:pStyle w:val="Paragrafi0"/>
        <w:rPr>
          <w:lang w:val="it-IT"/>
        </w:rPr>
      </w:pPr>
      <w:r w:rsidRPr="001521F6">
        <w:rPr>
          <w:lang w:val="it-IT"/>
        </w:rPr>
        <w:t xml:space="preserve">i)  çdo individ që ka shtetësinë e një shteti kontraktues; </w:t>
      </w:r>
    </w:p>
    <w:p w:rsidR="0024793C" w:rsidRPr="001521F6" w:rsidRDefault="0024793C" w:rsidP="004A0E2A">
      <w:pPr>
        <w:pStyle w:val="Paragrafi0"/>
        <w:rPr>
          <w:lang w:val="it-IT"/>
        </w:rPr>
      </w:pPr>
      <w:r w:rsidRPr="001521F6">
        <w:rPr>
          <w:lang w:val="it-IT"/>
        </w:rPr>
        <w:t xml:space="preserve">ii)  çdo person juridik, ortakëri ose shoqatë që e marrin statusin si të tillë nga ligjet në fuqi në një shtet kontraktues.  </w:t>
      </w:r>
    </w:p>
    <w:p w:rsidR="0024793C" w:rsidRPr="001521F6" w:rsidRDefault="0024793C" w:rsidP="004A0E2A">
      <w:pPr>
        <w:pStyle w:val="Paragrafi0"/>
        <w:rPr>
          <w:lang w:val="it-IT"/>
        </w:rPr>
      </w:pPr>
      <w:r w:rsidRPr="001521F6">
        <w:rPr>
          <w:lang w:val="it-IT"/>
        </w:rPr>
        <w:t>2. Përsa i përket zbatimit të Konventës në çdo kohë nga një shtet kontraktues, çdo term i papërkufizuar në të, përsa kohë që konteksti nuk e kërkon ndryshe, ka kuptimin që ka pasur në atë kohë sipas ligjit të atij shteti për qëllime tatimore për të cilat zbatohet kjo Konventë. Çdo kuptim sipas ligjeve të zbatueshme tatimore të atij shteti ka përparësi mbi një kuptim  të dhënë  termit sipas ligjeve të tjera të atij shteti.</w:t>
      </w:r>
    </w:p>
    <w:p w:rsidR="0024793C" w:rsidRPr="001521F6" w:rsidRDefault="0024793C" w:rsidP="004A0E2A">
      <w:pPr>
        <w:pStyle w:val="Paragrafi0"/>
        <w:rPr>
          <w:lang w:val="it-IT"/>
        </w:rPr>
      </w:pPr>
    </w:p>
    <w:p w:rsidR="0024793C" w:rsidRPr="001521F6" w:rsidRDefault="0024793C" w:rsidP="004A0E2A">
      <w:pPr>
        <w:pStyle w:val="NeniNr"/>
        <w:keepNext w:val="0"/>
        <w:rPr>
          <w:lang w:val="it-IT"/>
        </w:rPr>
      </w:pPr>
      <w:r w:rsidRPr="001521F6">
        <w:rPr>
          <w:lang w:val="it-IT"/>
        </w:rPr>
        <w:t>Neni 4</w:t>
      </w:r>
    </w:p>
    <w:p w:rsidR="0024793C" w:rsidRPr="001521F6" w:rsidRDefault="0024793C" w:rsidP="004A0E2A">
      <w:pPr>
        <w:pStyle w:val="NeniTitull"/>
        <w:keepNext w:val="0"/>
        <w:rPr>
          <w:lang w:val="it-IT"/>
        </w:rPr>
      </w:pPr>
      <w:r w:rsidRPr="001521F6">
        <w:rPr>
          <w:lang w:val="it-IT"/>
        </w:rPr>
        <w:t>Rezident</w:t>
      </w:r>
    </w:p>
    <w:p w:rsidR="0024793C" w:rsidRPr="001521F6" w:rsidRDefault="0024793C" w:rsidP="004A0E2A">
      <w:pPr>
        <w:pStyle w:val="Paragrafi0"/>
        <w:rPr>
          <w:lang w:val="it-IT"/>
        </w:rPr>
      </w:pPr>
    </w:p>
    <w:p w:rsidR="0024793C" w:rsidRPr="001521F6" w:rsidRDefault="0024793C" w:rsidP="004A0E2A">
      <w:pPr>
        <w:pStyle w:val="Paragrafi0"/>
        <w:rPr>
          <w:lang w:val="it-IT"/>
        </w:rPr>
      </w:pPr>
      <w:r w:rsidRPr="001521F6">
        <w:rPr>
          <w:lang w:val="it-IT"/>
        </w:rPr>
        <w:t xml:space="preserve">1. Për qëllime të kësaj Konvente, termi “rezident i një shteti kontraktues” nënkupton çdo person i cili sipas ligjeve të atij shteti, u nënshtrohet tatimeve përkatëse për shkak të vendbanimit, vendqëndrimit, vendit të menaxhimit, vendit të themelimit, vendit të regjistrimit ose çdo kriteri tjetër të një natyre të ngjashme dhe gjithashtu përfshin atë shtet dhe çdo autoritet lokal të tij. Megjithatë, ky term nuk përfshin asnjë person që i nënshtrohet tatimit në atë shtet në lidhje vetëm me të ardhurat nga burimet në atë shtet. </w:t>
      </w:r>
    </w:p>
    <w:p w:rsidR="0024793C" w:rsidRPr="001521F6" w:rsidRDefault="0024793C" w:rsidP="004A0E2A">
      <w:pPr>
        <w:pStyle w:val="Paragrafi0"/>
        <w:rPr>
          <w:lang w:val="it-IT"/>
        </w:rPr>
      </w:pPr>
      <w:r w:rsidRPr="001521F6">
        <w:rPr>
          <w:lang w:val="it-IT"/>
        </w:rPr>
        <w:t xml:space="preserve">2. Kur për shkak të dispozitave të paragrafit 1, një individ është rezident në të dy shtetet kontraktuese, statusi i tij përcaktohet si më poshtë: </w:t>
      </w:r>
    </w:p>
    <w:p w:rsidR="0024793C" w:rsidRPr="001521F6" w:rsidRDefault="0024793C" w:rsidP="004A0E2A">
      <w:pPr>
        <w:pStyle w:val="Paragrafi0"/>
        <w:rPr>
          <w:lang w:val="it-IT"/>
        </w:rPr>
      </w:pPr>
      <w:r w:rsidRPr="001521F6">
        <w:rPr>
          <w:lang w:val="it-IT"/>
        </w:rPr>
        <w:t xml:space="preserve">a) Ai konsiderohet të jetë rezident vetëm i shtetit  në të cilin ka një banesë të përhershme në dispozicion. </w:t>
      </w:r>
    </w:p>
    <w:p w:rsidR="0024793C" w:rsidRPr="001521F6" w:rsidRDefault="0024793C" w:rsidP="004A0E2A">
      <w:pPr>
        <w:pStyle w:val="Paragrafi0"/>
        <w:rPr>
          <w:lang w:val="it-IT"/>
        </w:rPr>
      </w:pPr>
      <w:r w:rsidRPr="001521F6">
        <w:rPr>
          <w:lang w:val="it-IT"/>
        </w:rPr>
        <w:t xml:space="preserve">b) Nëse ka një banesë të përhershme në dispozicion në të dy shtetet, apo nëse ai nuk ka ndonjë banesë të përhershme në asnjë shtet, ai konsiderohet të jetë rezident vetëm i shtetit me të cilin ka marrëdhënie më të afërta personale dhe ekonomike (qendra e interesave jetikë). </w:t>
      </w:r>
    </w:p>
    <w:p w:rsidR="0024793C" w:rsidRPr="001521F6" w:rsidRDefault="0024793C" w:rsidP="004A0E2A">
      <w:pPr>
        <w:pStyle w:val="Paragrafi0"/>
        <w:rPr>
          <w:lang w:val="it-IT"/>
        </w:rPr>
      </w:pPr>
      <w:r w:rsidRPr="001521F6">
        <w:rPr>
          <w:lang w:val="it-IT"/>
        </w:rPr>
        <w:t>c) Nëse shteti në të cilin ai ka qendrën e interesave të tij jetikë nuk mund të përcaktohet, ai konsiderohet të jetë rezident vetëm i shtetit në të cilin ka një vendqëndrim të zakonshëm.</w:t>
      </w:r>
    </w:p>
    <w:p w:rsidR="0024793C" w:rsidRPr="001521F6" w:rsidRDefault="0024793C" w:rsidP="004A0E2A">
      <w:pPr>
        <w:pStyle w:val="Paragrafi0"/>
        <w:rPr>
          <w:lang w:val="it-IT"/>
        </w:rPr>
      </w:pPr>
      <w:r w:rsidRPr="001521F6">
        <w:rPr>
          <w:lang w:val="it-IT"/>
        </w:rPr>
        <w:t xml:space="preserve">d) Nëse ka vendqëndrim të zakonshëm në të dy shtetet ose në asnjërin prej tyre, ai konsiderohet të jetë rezident vetëm i shtetit shtetas i të cilit ai është. </w:t>
      </w:r>
    </w:p>
    <w:p w:rsidR="0024793C" w:rsidRPr="001521F6" w:rsidRDefault="0024793C" w:rsidP="004A0E2A">
      <w:pPr>
        <w:pStyle w:val="Paragrafi0"/>
        <w:rPr>
          <w:lang w:val="it-IT"/>
        </w:rPr>
      </w:pPr>
      <w:r w:rsidRPr="001521F6">
        <w:rPr>
          <w:lang w:val="it-IT"/>
        </w:rPr>
        <w:t xml:space="preserve">e) Nëse ai është shtetas i të dy shteteve ose i asnjërit prej tyre, autoritetet përgjegjëse të shteteve kontraktuese zgjidhin çështjen me marrëveshje reciproke. </w:t>
      </w:r>
    </w:p>
    <w:p w:rsidR="0024793C" w:rsidRPr="001521F6" w:rsidRDefault="0024793C" w:rsidP="004A0E2A">
      <w:pPr>
        <w:pStyle w:val="Paragrafi0"/>
        <w:rPr>
          <w:lang w:val="it-IT"/>
        </w:rPr>
      </w:pPr>
      <w:r w:rsidRPr="001521F6">
        <w:rPr>
          <w:lang w:val="it-IT"/>
        </w:rPr>
        <w:t xml:space="preserve">3. Kur për shkak të dispozitave të paragrafit 1, një person i ndryshëm nga një individ, është rezident i të dy shteteve kontraktuese, autoritetet kompetente të shteteve kontraktuese e zgjidhin çështjen me marrëveshje të përbashkët. </w:t>
      </w:r>
    </w:p>
    <w:p w:rsidR="0024793C" w:rsidRPr="001521F6" w:rsidRDefault="0024793C" w:rsidP="004A0E2A">
      <w:pPr>
        <w:pStyle w:val="NeniNr"/>
        <w:keepNext w:val="0"/>
        <w:rPr>
          <w:lang w:val="it-IT"/>
        </w:rPr>
      </w:pPr>
      <w:r w:rsidRPr="001521F6">
        <w:rPr>
          <w:lang w:val="it-IT"/>
        </w:rPr>
        <w:t>Neni 5</w:t>
      </w:r>
    </w:p>
    <w:p w:rsidR="0024793C" w:rsidRPr="001521F6" w:rsidRDefault="0024793C" w:rsidP="004A0E2A">
      <w:pPr>
        <w:pStyle w:val="NeniTitull"/>
        <w:keepNext w:val="0"/>
        <w:rPr>
          <w:lang w:val="it-IT"/>
        </w:rPr>
      </w:pPr>
      <w:r w:rsidRPr="001521F6">
        <w:rPr>
          <w:lang w:val="it-IT"/>
        </w:rPr>
        <w:t>Seli e përhershme</w:t>
      </w:r>
    </w:p>
    <w:p w:rsidR="0024793C" w:rsidRPr="001521F6" w:rsidRDefault="0024793C" w:rsidP="004A0E2A">
      <w:pPr>
        <w:pStyle w:val="Paragrafi0"/>
        <w:rPr>
          <w:lang w:val="it-IT"/>
        </w:rPr>
      </w:pPr>
    </w:p>
    <w:p w:rsidR="0024793C" w:rsidRPr="001521F6" w:rsidRDefault="0024793C" w:rsidP="004A0E2A">
      <w:pPr>
        <w:pStyle w:val="Paragrafi0"/>
        <w:rPr>
          <w:lang w:val="it-IT"/>
        </w:rPr>
      </w:pPr>
      <w:r w:rsidRPr="001521F6">
        <w:rPr>
          <w:lang w:val="it-IT"/>
        </w:rPr>
        <w:t>1. Për qëllime të kësaj Konvente, termi “seli e përhershme” nënkupton një vend të qëndrueshëm biznesi, nëpërmjet të cilit zhvillohet biznesi i një ndërmarrjeje në mënyrë të plotë ose të pjesshme.</w:t>
      </w:r>
    </w:p>
    <w:p w:rsidR="0024793C" w:rsidRPr="001521F6" w:rsidRDefault="0024793C" w:rsidP="004A0E2A">
      <w:pPr>
        <w:pStyle w:val="Paragrafi0"/>
        <w:rPr>
          <w:lang w:val="it-IT"/>
        </w:rPr>
      </w:pPr>
      <w:r w:rsidRPr="001521F6">
        <w:rPr>
          <w:lang w:val="it-IT"/>
        </w:rPr>
        <w:t xml:space="preserve">2. Termi “seli e përhershme” përfshin në veçanti: </w:t>
      </w:r>
    </w:p>
    <w:p w:rsidR="0024793C" w:rsidRPr="001521F6" w:rsidRDefault="0024793C" w:rsidP="004A0E2A">
      <w:pPr>
        <w:pStyle w:val="Paragrafi0"/>
        <w:rPr>
          <w:lang w:val="it-IT"/>
        </w:rPr>
      </w:pPr>
      <w:r w:rsidRPr="001521F6">
        <w:rPr>
          <w:lang w:val="it-IT"/>
        </w:rPr>
        <w:t>a) një vend menaxhimi,</w:t>
      </w:r>
    </w:p>
    <w:p w:rsidR="0024793C" w:rsidRPr="001521F6" w:rsidRDefault="0024793C" w:rsidP="004A0E2A">
      <w:pPr>
        <w:pStyle w:val="Paragrafi0"/>
        <w:rPr>
          <w:lang w:val="it-IT"/>
        </w:rPr>
      </w:pPr>
      <w:r w:rsidRPr="001521F6">
        <w:rPr>
          <w:lang w:val="it-IT"/>
        </w:rPr>
        <w:t>b) një degë,</w:t>
      </w:r>
    </w:p>
    <w:p w:rsidR="0024793C" w:rsidRPr="001521F6" w:rsidRDefault="0024793C" w:rsidP="004A0E2A">
      <w:pPr>
        <w:pStyle w:val="Paragrafi0"/>
        <w:rPr>
          <w:lang w:val="it-IT"/>
        </w:rPr>
      </w:pPr>
      <w:r w:rsidRPr="001521F6">
        <w:rPr>
          <w:lang w:val="it-IT"/>
        </w:rPr>
        <w:t>c) një zyrë,</w:t>
      </w:r>
    </w:p>
    <w:p w:rsidR="0024793C" w:rsidRPr="001521F6" w:rsidRDefault="0024793C" w:rsidP="004A0E2A">
      <w:pPr>
        <w:pStyle w:val="Paragrafi0"/>
        <w:rPr>
          <w:lang w:val="it-IT"/>
        </w:rPr>
      </w:pPr>
      <w:r w:rsidRPr="001521F6">
        <w:rPr>
          <w:lang w:val="it-IT"/>
        </w:rPr>
        <w:t>d) një fabrikë,</w:t>
      </w:r>
    </w:p>
    <w:p w:rsidR="0024793C" w:rsidRPr="001521F6" w:rsidRDefault="0024793C" w:rsidP="004A0E2A">
      <w:pPr>
        <w:pStyle w:val="Paragrafi0"/>
        <w:rPr>
          <w:lang w:val="it-IT"/>
        </w:rPr>
      </w:pPr>
      <w:r w:rsidRPr="001521F6">
        <w:rPr>
          <w:lang w:val="it-IT"/>
        </w:rPr>
        <w:t>e) një punishte, dhe</w:t>
      </w:r>
    </w:p>
    <w:p w:rsidR="0024793C" w:rsidRPr="001521F6" w:rsidRDefault="0024793C" w:rsidP="004A0E2A">
      <w:pPr>
        <w:pStyle w:val="Paragrafi0"/>
        <w:rPr>
          <w:lang w:val="it-IT"/>
        </w:rPr>
      </w:pPr>
      <w:r w:rsidRPr="001521F6">
        <w:rPr>
          <w:lang w:val="it-IT"/>
        </w:rPr>
        <w:t>f) një minierë, një pus nafte ose gazi, një gurore ose një vend tjetër të nxjerrjes së burimeve natyrore.</w:t>
      </w:r>
    </w:p>
    <w:p w:rsidR="0024793C" w:rsidRPr="001521F6" w:rsidRDefault="0024793C" w:rsidP="004A0E2A">
      <w:pPr>
        <w:pStyle w:val="Paragrafi0"/>
        <w:rPr>
          <w:lang w:val="it-IT"/>
        </w:rPr>
      </w:pPr>
      <w:r w:rsidRPr="001521F6">
        <w:rPr>
          <w:lang w:val="it-IT"/>
        </w:rPr>
        <w:t xml:space="preserve">3. Termi “seli e përhershme” gjithashtu përfshin: </w:t>
      </w:r>
    </w:p>
    <w:p w:rsidR="0024793C" w:rsidRPr="001521F6" w:rsidRDefault="0024793C" w:rsidP="004A0E2A">
      <w:pPr>
        <w:pStyle w:val="Paragrafi0"/>
        <w:rPr>
          <w:lang w:val="it-IT"/>
        </w:rPr>
      </w:pPr>
      <w:r w:rsidRPr="001521F6">
        <w:rPr>
          <w:lang w:val="it-IT"/>
        </w:rPr>
        <w:t xml:space="preserve">a) një shesh ndërtimi, një projekt ndërtimi, montimi ose instalimi apo aktivitete mbikëqyrëse në lidhje me të, por vetëm kur ky shesh, projekt ose aktivitet vazhdon për një periudhë prej më shumë se nëntë muaj, që fillon ose mbaron në vitin fiskal përkatës; dhe </w:t>
      </w:r>
    </w:p>
    <w:p w:rsidR="0024793C" w:rsidRPr="001521F6" w:rsidRDefault="0024793C" w:rsidP="004A0E2A">
      <w:pPr>
        <w:pStyle w:val="Paragrafi0"/>
        <w:rPr>
          <w:lang w:val="it-IT"/>
        </w:rPr>
      </w:pPr>
      <w:r w:rsidRPr="001521F6">
        <w:rPr>
          <w:lang w:val="it-IT"/>
        </w:rPr>
        <w:t xml:space="preserve">b) dhënien e shërbimeve, duke përfshirë shërbimet e konsulencës nga një ndërmarrje e një shteti kontraktues nëpërmjet punonjësve ose personelit tjetër të angazhuar nga ndërmarrja për këtë qëllim, por vetëm kur aktivitetet e asaj natyre vazhdojnë në shtetin tjetër kontraktues për një periudhë ose periudha që përbëjnë më shumë se gjashtë muaj në çdo periudhë dymbëdhjetëmujore që fillon ose mbaron në vitin fiskal përkatës. </w:t>
      </w:r>
    </w:p>
    <w:p w:rsidR="0024793C" w:rsidRPr="001521F6" w:rsidRDefault="0024793C" w:rsidP="004A0E2A">
      <w:pPr>
        <w:pStyle w:val="Paragrafi0"/>
        <w:rPr>
          <w:lang w:val="it-IT"/>
        </w:rPr>
      </w:pPr>
      <w:r w:rsidRPr="001521F6">
        <w:rPr>
          <w:lang w:val="it-IT"/>
        </w:rPr>
        <w:t xml:space="preserve">4. Pavarësisht nga dispozitat e mësipërme të këtij neni, termi “seli e përhershme” konsiderohet të mos përfshijë: </w:t>
      </w:r>
    </w:p>
    <w:p w:rsidR="0024793C" w:rsidRPr="001521F6" w:rsidRDefault="0024793C" w:rsidP="004A0E2A">
      <w:pPr>
        <w:pStyle w:val="Paragrafi0"/>
        <w:rPr>
          <w:lang w:val="it-IT"/>
        </w:rPr>
      </w:pPr>
      <w:r w:rsidRPr="001521F6">
        <w:rPr>
          <w:lang w:val="it-IT"/>
        </w:rPr>
        <w:t>a) përdorimin e mjediseve vetëm për qëllime magazinimi, ekspozimi ose shpërndarjeje të mallrave që i përkasin ndërmarrjes;</w:t>
      </w:r>
    </w:p>
    <w:p w:rsidR="0024793C" w:rsidRPr="001521F6" w:rsidRDefault="0024793C" w:rsidP="004A0E2A">
      <w:pPr>
        <w:pStyle w:val="Paragrafi0"/>
        <w:rPr>
          <w:lang w:val="it-IT"/>
        </w:rPr>
      </w:pPr>
      <w:r w:rsidRPr="001521F6">
        <w:rPr>
          <w:lang w:val="it-IT"/>
        </w:rPr>
        <w:t>b) mbajtjen e një rezerve mallrash që i përkasin ndërmarrjes vetëm për qëllime magazinimi, ekspozimi ose shpërndarjeje;</w:t>
      </w:r>
    </w:p>
    <w:p w:rsidR="0024793C" w:rsidRPr="001521F6" w:rsidRDefault="0024793C" w:rsidP="004A0E2A">
      <w:pPr>
        <w:pStyle w:val="Paragrafi0"/>
        <w:rPr>
          <w:lang w:val="it-IT"/>
        </w:rPr>
      </w:pPr>
      <w:r w:rsidRPr="001521F6">
        <w:rPr>
          <w:lang w:val="it-IT"/>
        </w:rPr>
        <w:t>c) mbajtjen e një rezerve mallrash që i përkasin ndërmarrjes vetëm për qëllim të përpunimit nga një ndërmarrje tjetër;</w:t>
      </w:r>
    </w:p>
    <w:p w:rsidR="0024793C" w:rsidRPr="001521F6" w:rsidRDefault="0024793C" w:rsidP="004A0E2A">
      <w:pPr>
        <w:pStyle w:val="Paragrafi0"/>
        <w:rPr>
          <w:lang w:val="it-IT"/>
        </w:rPr>
      </w:pPr>
      <w:r w:rsidRPr="001521F6">
        <w:rPr>
          <w:lang w:val="it-IT"/>
        </w:rPr>
        <w:t>d) mbajtjen e një vendi të qëndrueshëm biznesi vetëm për qëllim të blerjes së mallrave ose të mbledhjes së informacionit për ndërmarrjen;</w:t>
      </w:r>
    </w:p>
    <w:p w:rsidR="0024793C" w:rsidRPr="001521F6" w:rsidRDefault="0024793C" w:rsidP="004A0E2A">
      <w:pPr>
        <w:pStyle w:val="Paragrafi0"/>
        <w:rPr>
          <w:lang w:val="it-IT"/>
        </w:rPr>
      </w:pPr>
      <w:r w:rsidRPr="001521F6">
        <w:rPr>
          <w:lang w:val="it-IT"/>
        </w:rPr>
        <w:t>e) mbajtjen e një vendi të qëndrueshëm biznesi vetëm për qëllim të vazhdimit nga ana e ndërmarrjes, të çdo aktiviteti tjetër të një karakteri përgatitor ose ndihmës;</w:t>
      </w:r>
    </w:p>
    <w:p w:rsidR="0024793C" w:rsidRPr="001521F6" w:rsidRDefault="0024793C" w:rsidP="004A0E2A">
      <w:pPr>
        <w:pStyle w:val="Paragrafi0"/>
        <w:rPr>
          <w:lang w:val="it-IT"/>
        </w:rPr>
      </w:pPr>
      <w:r w:rsidRPr="001521F6">
        <w:rPr>
          <w:lang w:val="it-IT"/>
        </w:rPr>
        <w:t xml:space="preserve">f) mbajtjen e një vendi të qëndrueshëm biznesi vetëm për çdo kombinim të aktiviteteve të përmendura në nënparagrafët “a” deri “e”, me kusht që aktiviteti i përgjithshëm i vendit të caktuar të biznesit që rezulton nga ky kombinim, të jetë i një karakteri përgatitor ose ndihmës. </w:t>
      </w:r>
    </w:p>
    <w:p w:rsidR="0024793C" w:rsidRPr="001521F6" w:rsidRDefault="0024793C" w:rsidP="004A0E2A">
      <w:pPr>
        <w:pStyle w:val="Paragrafi0"/>
        <w:rPr>
          <w:lang w:val="it-IT"/>
        </w:rPr>
      </w:pPr>
      <w:r w:rsidRPr="001521F6">
        <w:rPr>
          <w:lang w:val="it-IT"/>
        </w:rPr>
        <w:t>5. Pavarësisht nga dispozitat e paragrafëve 1 dhe 2, kur një person, i ndryshëm nga një agjent me status të pavarur, për të cilin zbatohet paragrafi 6, vepron në emër të një ndërmarrjeje dhe ka dhe ushtron rregullisht në një shtet kontraktues autoritet për të lidhur kontrata në emër të ndërmarrjes, ajo ndërmarrje do të konsiderohet të ketë një seli të përhershme në atë shtet në lidhje me çdo aktivitet që ai person ndërmerr për ndërmarrjen, përveç kur aktivitetet e atij personi janë të kufizuara në ato që përmenden në paragrafin 4, të cilat, nëse ushtrohen nëpërmjet një vendi të caktuar biznesi, nuk do ta bënin këtë të fundit seli të përhershme sipas dispozitave të atij paragrafi.</w:t>
      </w:r>
    </w:p>
    <w:p w:rsidR="0024793C" w:rsidRPr="001521F6" w:rsidRDefault="0024793C" w:rsidP="004A0E2A">
      <w:pPr>
        <w:pStyle w:val="Paragrafi0"/>
        <w:rPr>
          <w:lang w:val="it-IT"/>
        </w:rPr>
      </w:pPr>
      <w:r w:rsidRPr="001521F6">
        <w:rPr>
          <w:lang w:val="it-IT"/>
        </w:rPr>
        <w:t xml:space="preserve">6. Një ndërmarrje nuk do të konsiderohet të ketë seli të përhershme në një shtet kontraktues vetëm ngaqë zhvillon biznesin në atë shtet nëpërmjet një ndërmjetësi, agjenti me autorizim të përgjithshëm ose çdo agjenti tjetër me status të pavarur, me kusht që ata persona të veprojnë sipas rregullave standarde të biznesit të tyre. Megjithatë, nëse aktivitetet e këtij agjenti i dedikohen plotësisht ose pothuaj plotësisht ndërmarrjes, ai nuk konsiderohet të jetë agjent me status të pavarur sipas kuptimit të këtij paragrafi. </w:t>
      </w:r>
    </w:p>
    <w:p w:rsidR="0024793C" w:rsidRPr="001521F6" w:rsidRDefault="0024793C" w:rsidP="004A0E2A">
      <w:pPr>
        <w:pStyle w:val="Paragrafi0"/>
        <w:rPr>
          <w:lang w:val="it-IT"/>
        </w:rPr>
      </w:pPr>
      <w:r w:rsidRPr="001521F6">
        <w:rPr>
          <w:lang w:val="it-IT"/>
        </w:rPr>
        <w:t xml:space="preserve">7. Thjesht fakti që një shoqëri e cila është rezidente e një shteti kontraktues kontrollon ose kontrollohet nga një shoqëri, e cila është rezidente e shtetit tjetër kontraktues ose që zhvillon biznes në atë shtet tjetër (nëpërmjet një selie të përhershme ose ndryshe), nuk tregon që një prej këtyre shoqërive është seli e përhershme e shoqërisë tjetër. </w:t>
      </w:r>
    </w:p>
    <w:p w:rsidR="0024793C" w:rsidRPr="001521F6" w:rsidRDefault="0024793C" w:rsidP="004A0E2A">
      <w:pPr>
        <w:pStyle w:val="Paragrafi0"/>
        <w:rPr>
          <w:lang w:val="it-IT"/>
        </w:rPr>
      </w:pPr>
    </w:p>
    <w:p w:rsidR="0024793C" w:rsidRPr="001521F6" w:rsidRDefault="0024793C" w:rsidP="004A0E2A">
      <w:pPr>
        <w:pStyle w:val="NeniNr"/>
        <w:keepNext w:val="0"/>
        <w:rPr>
          <w:lang w:val="it-IT"/>
        </w:rPr>
      </w:pPr>
      <w:r w:rsidRPr="001521F6">
        <w:rPr>
          <w:lang w:val="it-IT"/>
        </w:rPr>
        <w:t>Neni 6</w:t>
      </w:r>
    </w:p>
    <w:p w:rsidR="0024793C" w:rsidRPr="001521F6" w:rsidRDefault="0024793C" w:rsidP="004A0E2A">
      <w:pPr>
        <w:pStyle w:val="NeniTitull"/>
        <w:keepNext w:val="0"/>
        <w:rPr>
          <w:lang w:val="it-IT"/>
        </w:rPr>
      </w:pPr>
      <w:r w:rsidRPr="001521F6">
        <w:rPr>
          <w:lang w:val="it-IT"/>
        </w:rPr>
        <w:t>Të ardhurat nga pasuritë e paluajtshme</w:t>
      </w:r>
    </w:p>
    <w:p w:rsidR="0024793C" w:rsidRPr="001521F6" w:rsidRDefault="0024793C" w:rsidP="004A0E2A">
      <w:pPr>
        <w:pStyle w:val="Paragrafi0"/>
        <w:rPr>
          <w:lang w:val="it-IT"/>
        </w:rPr>
      </w:pPr>
    </w:p>
    <w:p w:rsidR="0024793C" w:rsidRPr="001521F6" w:rsidRDefault="0024793C" w:rsidP="004A0E2A">
      <w:pPr>
        <w:pStyle w:val="Paragrafi0"/>
        <w:rPr>
          <w:lang w:val="it-IT"/>
        </w:rPr>
      </w:pPr>
      <w:r w:rsidRPr="001521F6">
        <w:rPr>
          <w:lang w:val="it-IT"/>
        </w:rPr>
        <w:t xml:space="preserve">1. Të ardhurat që përftohen nga një rezident i një shteti kontraktues nga pasuritë e paluajtshme (duke përfshirë të ardhurat nga bujqësia ose pylltaria) që gjenden në shtetin tjetër kontraktues, mund të tatohen në atë shtet tjetër. </w:t>
      </w:r>
    </w:p>
    <w:p w:rsidR="0024793C" w:rsidRPr="001521F6" w:rsidRDefault="0024793C" w:rsidP="004A0E2A">
      <w:pPr>
        <w:pStyle w:val="Paragrafi0"/>
        <w:rPr>
          <w:lang w:val="it-IT"/>
        </w:rPr>
      </w:pPr>
      <w:r w:rsidRPr="001521F6">
        <w:rPr>
          <w:lang w:val="it-IT"/>
        </w:rPr>
        <w:t xml:space="preserve">2. Termi “pasuri e paluajtshme” ka kuptimin që ka sipas ligjit të shtetit kontraktues në të cilin ndodhet pasuria në fjalë. Në çdo rast, termi përfshin pasurinë, aksesorë të pasurisë së paluajtshme, çdo të drejtë pretendimi në lidhje me pasurinë e paluajtshme, gjënë e gjallë dhe pajisjet e përdorura në bujqësi dhe pylltari, të drejtat për të cilat zbatohen dispozitat e legjislacionit të përgjithshëm në lidhje me tokën, uzufruktin e pasurisë së paluajtshme dhe të drejtat për pagesa të ndryshueshme ose fikse si shpërblim për punën, ose të drejtën për të punuar, depozitat minerare, burimet dhe burimet e tjera natyrore. Anijet, barkat dhe avionët nuk konsiderohen si pasuri të paluajtshme. </w:t>
      </w:r>
    </w:p>
    <w:p w:rsidR="00BF789F" w:rsidRPr="001521F6" w:rsidRDefault="00BF789F" w:rsidP="004A0E2A">
      <w:pPr>
        <w:pStyle w:val="Paragrafi0"/>
        <w:rPr>
          <w:lang w:val="it-IT"/>
        </w:rPr>
      </w:pPr>
    </w:p>
    <w:p w:rsidR="0024793C" w:rsidRPr="001521F6" w:rsidRDefault="0024793C" w:rsidP="004A0E2A">
      <w:pPr>
        <w:pStyle w:val="Paragrafi0"/>
        <w:rPr>
          <w:lang w:val="it-IT"/>
        </w:rPr>
      </w:pPr>
      <w:r w:rsidRPr="001521F6">
        <w:rPr>
          <w:lang w:val="it-IT"/>
        </w:rPr>
        <w:t xml:space="preserve">3. Dispozitat e paragrafit 1 zbatohen për të ardhurat që rrjedhin nga përdorimi i drejtpërdrejtë, lënia me qira ose përdorimi në çdo formë tjetër i pasurisë së paluajtshme. </w:t>
      </w:r>
    </w:p>
    <w:p w:rsidR="0024793C" w:rsidRPr="001521F6" w:rsidRDefault="0024793C" w:rsidP="004A0E2A">
      <w:pPr>
        <w:pStyle w:val="Paragrafi0"/>
        <w:rPr>
          <w:lang w:val="it-IT"/>
        </w:rPr>
      </w:pPr>
      <w:r w:rsidRPr="001521F6">
        <w:rPr>
          <w:lang w:val="it-IT"/>
        </w:rPr>
        <w:t xml:space="preserve">4. Dispozitat e paragrafëve 1 dhe 3 zbatohen gjithashtu për të ardhurat nga pasuria e paluajtshme e një ndërmarrjeje dhe për të ardhurat nga pasuria e paluajtshme, të përdorura për realizimin e shërbimeve personale të pavarura. </w:t>
      </w:r>
    </w:p>
    <w:p w:rsidR="0024793C" w:rsidRPr="001521F6" w:rsidRDefault="0024793C" w:rsidP="004A0E2A">
      <w:pPr>
        <w:pStyle w:val="Paragrafi0"/>
        <w:rPr>
          <w:lang w:val="it-IT"/>
        </w:rPr>
      </w:pPr>
    </w:p>
    <w:p w:rsidR="0024793C" w:rsidRPr="001521F6" w:rsidRDefault="0024793C" w:rsidP="004A0E2A">
      <w:pPr>
        <w:pStyle w:val="NeniNr"/>
        <w:keepNext w:val="0"/>
        <w:rPr>
          <w:lang w:val="it-IT"/>
        </w:rPr>
      </w:pPr>
      <w:r w:rsidRPr="001521F6">
        <w:rPr>
          <w:lang w:val="it-IT"/>
        </w:rPr>
        <w:t>Neni 7</w:t>
      </w:r>
    </w:p>
    <w:p w:rsidR="0024793C" w:rsidRPr="001521F6" w:rsidRDefault="0024793C" w:rsidP="004A0E2A">
      <w:pPr>
        <w:pStyle w:val="NeniTitull"/>
        <w:keepNext w:val="0"/>
        <w:rPr>
          <w:lang w:val="it-IT"/>
        </w:rPr>
      </w:pPr>
      <w:r w:rsidRPr="001521F6">
        <w:rPr>
          <w:lang w:val="it-IT"/>
        </w:rPr>
        <w:t>Fitimet nga biznesi</w:t>
      </w:r>
    </w:p>
    <w:p w:rsidR="0024793C" w:rsidRPr="001521F6" w:rsidRDefault="0024793C" w:rsidP="004A0E2A">
      <w:pPr>
        <w:pStyle w:val="Paragrafi0"/>
        <w:rPr>
          <w:lang w:val="it-IT"/>
        </w:rPr>
      </w:pPr>
    </w:p>
    <w:p w:rsidR="0024793C" w:rsidRPr="001521F6" w:rsidRDefault="0024793C" w:rsidP="004A0E2A">
      <w:pPr>
        <w:pStyle w:val="Paragrafi0"/>
        <w:rPr>
          <w:lang w:val="it-IT"/>
        </w:rPr>
      </w:pPr>
      <w:r w:rsidRPr="001521F6">
        <w:rPr>
          <w:lang w:val="it-IT"/>
        </w:rPr>
        <w:t>1. Fitimet e një ndërmarrjeje të një shteti kontraktues janë të tatueshme vetëm në atë shtet, përveç rasteve kur ndërmarrja zhvillon biznes në shtetin tjetër kontraktues nëpërmjet një selie të përhershme të vendosur atje. Nëse ndërmarrja zhvillon biznes si më sipër, fitimet e ndërmarrjes mund të tatohen në shtetin tjetër, por vetëm për ato që i takojnë asaj selie të përhershme.</w:t>
      </w:r>
    </w:p>
    <w:p w:rsidR="0024793C" w:rsidRPr="001521F6" w:rsidRDefault="0024793C" w:rsidP="004A0E2A">
      <w:pPr>
        <w:pStyle w:val="Paragrafi0"/>
        <w:rPr>
          <w:lang w:val="it-IT"/>
        </w:rPr>
      </w:pPr>
      <w:r w:rsidRPr="001521F6">
        <w:rPr>
          <w:lang w:val="it-IT"/>
        </w:rPr>
        <w:t>2. Në bazë të dispozitave të paragrafit 3, kur një ndërmarrje e një shteti kontraktues zhvillon biznes në shtetin tjetër kontraktues nëpërmjet një selie të përhershme të vendosur atje, kësaj selie të përhershme në çdo shtet kontraktues do t’i atribuohen fitimet që mund të pritet të nxjerrë nëse do të ishte një ndërmarrje e veçantë dhe e ndarë, e përfshirë në aktivitete të njëjta ose të ngjashme, sipas kushteve të njëjta ose të ngjashme dhe që ka marrëdhënie tërësisht të pavarura me ndërmarrjen, seli e përhershme e së cilës ajo është.</w:t>
      </w:r>
    </w:p>
    <w:p w:rsidR="0024793C" w:rsidRPr="001521F6" w:rsidRDefault="0024793C" w:rsidP="004A0E2A">
      <w:pPr>
        <w:pStyle w:val="Paragrafi0"/>
        <w:rPr>
          <w:lang w:val="it-IT"/>
        </w:rPr>
      </w:pPr>
      <w:r w:rsidRPr="001521F6">
        <w:rPr>
          <w:lang w:val="it-IT"/>
        </w:rPr>
        <w:t xml:space="preserve">3. Në përcaktimin e fitimeve të një selie të përhershme, lejohen si zbritje shpenzimet që janë bërë për qëllime të biznesit të selisë së përhershme, duke përfshirë shpenzimet ekzekutive dhe të përgjithshme administrative të kryera në shtetin ku ndodhet selia e përhershme ose diku tjetër. </w:t>
      </w:r>
    </w:p>
    <w:p w:rsidR="0024793C" w:rsidRPr="001521F6" w:rsidRDefault="0024793C" w:rsidP="004A0E2A">
      <w:pPr>
        <w:pStyle w:val="Paragrafi0"/>
        <w:rPr>
          <w:lang w:val="it-IT"/>
        </w:rPr>
      </w:pPr>
      <w:r w:rsidRPr="001521F6">
        <w:rPr>
          <w:lang w:val="it-IT"/>
        </w:rPr>
        <w:t>4. Për sa kohë që është e zakonshme në një shtet kontraktues të përcaktohen fitimet që i atribuohen një selie të përhershme mbi bazën e një ndarjeje të fitimeve totale të ndërmarrjes në pjesë të ndryshme, asgjë në paragrafin 2 nuk përjashton atë shtet kontraktues nga përcaktimi i fitimeve që do të tatohen nga kjo ndarje, siç mund të jetë e zakonshme; megjithatë, metoda e zbatuar për ndarjet do të jetë e tillë që rezultati të jetë në pajtim me parimet në përmbajtje të këtij neni.</w:t>
      </w:r>
    </w:p>
    <w:p w:rsidR="0024793C" w:rsidRPr="001521F6" w:rsidRDefault="0024793C" w:rsidP="004A0E2A">
      <w:pPr>
        <w:pStyle w:val="Paragrafi0"/>
        <w:rPr>
          <w:lang w:val="it-IT"/>
        </w:rPr>
      </w:pPr>
      <w:r w:rsidRPr="001521F6">
        <w:rPr>
          <w:lang w:val="it-IT"/>
        </w:rPr>
        <w:t xml:space="preserve">5. Asnjë fitim nuk i atribuohet një selie të përhershme për shkak vetëm të blerjes nga ajo seli e përhershme të mallrave për ndërmarrjen. </w:t>
      </w:r>
    </w:p>
    <w:p w:rsidR="0024793C" w:rsidRPr="001521F6" w:rsidRDefault="0024793C" w:rsidP="004A0E2A">
      <w:pPr>
        <w:pStyle w:val="Paragrafi0"/>
        <w:rPr>
          <w:lang w:val="it-IT"/>
        </w:rPr>
      </w:pPr>
      <w:r w:rsidRPr="001521F6">
        <w:rPr>
          <w:lang w:val="it-IT"/>
        </w:rPr>
        <w:t xml:space="preserve">6. Për qëllime të paragrafëve të mësipërm, fitimet që i atribuohen selisë së përhershme përcaktohen me anë të së njëjtës metodë vit pas viti, për sa kohë që nuk ka arsye të fortë dhe të mjaftueshme për të kundërtën. </w:t>
      </w:r>
    </w:p>
    <w:p w:rsidR="0024793C" w:rsidRPr="001521F6" w:rsidRDefault="0024793C" w:rsidP="004A0E2A">
      <w:pPr>
        <w:pStyle w:val="Paragrafi0"/>
        <w:rPr>
          <w:lang w:val="it-IT"/>
        </w:rPr>
      </w:pPr>
      <w:r w:rsidRPr="001521F6">
        <w:rPr>
          <w:lang w:val="it-IT"/>
        </w:rPr>
        <w:t>7. Kur fitimet përfshijnë zërat e të ardhurave që rregullohen veçmas në nenet e tjera të kësaj Konvente, dispozitat e atyre neneve nuk do të cenohen nga dispozitat e këtij neni.</w:t>
      </w:r>
    </w:p>
    <w:p w:rsidR="0024793C" w:rsidRPr="001521F6" w:rsidRDefault="0024793C" w:rsidP="004A0E2A">
      <w:pPr>
        <w:pStyle w:val="Paragrafi0"/>
        <w:rPr>
          <w:lang w:val="it-IT"/>
        </w:rPr>
      </w:pPr>
    </w:p>
    <w:p w:rsidR="0024793C" w:rsidRPr="001521F6" w:rsidRDefault="0024793C" w:rsidP="004A0E2A">
      <w:pPr>
        <w:pStyle w:val="NeniNr"/>
        <w:keepNext w:val="0"/>
        <w:rPr>
          <w:lang w:val="it-IT"/>
        </w:rPr>
      </w:pPr>
      <w:r w:rsidRPr="001521F6">
        <w:rPr>
          <w:lang w:val="it-IT"/>
        </w:rPr>
        <w:t>Neni 8</w:t>
      </w:r>
    </w:p>
    <w:p w:rsidR="0024793C" w:rsidRPr="001521F6" w:rsidRDefault="0024793C" w:rsidP="004A0E2A">
      <w:pPr>
        <w:pStyle w:val="NeniTitull"/>
        <w:keepNext w:val="0"/>
        <w:rPr>
          <w:lang w:val="it-IT"/>
        </w:rPr>
      </w:pPr>
      <w:r w:rsidRPr="001521F6">
        <w:rPr>
          <w:lang w:val="it-IT"/>
        </w:rPr>
        <w:t>Transporti ndërkombëtar</w:t>
      </w:r>
    </w:p>
    <w:p w:rsidR="0024793C" w:rsidRPr="001521F6" w:rsidRDefault="0024793C" w:rsidP="004A0E2A">
      <w:pPr>
        <w:pStyle w:val="Paragrafi0"/>
        <w:rPr>
          <w:lang w:val="it-IT"/>
        </w:rPr>
      </w:pPr>
    </w:p>
    <w:p w:rsidR="0024793C" w:rsidRPr="001521F6" w:rsidRDefault="0024793C" w:rsidP="004A0E2A">
      <w:pPr>
        <w:pStyle w:val="Paragrafi0"/>
        <w:rPr>
          <w:lang w:val="it-IT"/>
        </w:rPr>
      </w:pPr>
      <w:r w:rsidRPr="001521F6">
        <w:rPr>
          <w:lang w:val="it-IT"/>
        </w:rPr>
        <w:t xml:space="preserve">1. Fitimet e një ndërmarrjeje të një shteti kontraktues nga operimi i anijeve dhe avionëve në trafikun ndërkombëtar janë të tatueshme vetëm në atë shtet. </w:t>
      </w:r>
    </w:p>
    <w:p w:rsidR="0024793C" w:rsidRPr="001521F6" w:rsidRDefault="0024793C" w:rsidP="004A0E2A">
      <w:pPr>
        <w:pStyle w:val="Paragrafi0"/>
        <w:rPr>
          <w:lang w:val="it-IT"/>
        </w:rPr>
      </w:pPr>
      <w:r w:rsidRPr="001521F6">
        <w:rPr>
          <w:lang w:val="it-IT"/>
        </w:rPr>
        <w:t xml:space="preserve">2. Dispozitat e paragrafit 1 zbatohen gjithashtu për fitimet nga pjesëmarrja në një ortakëri, biznes të përbashkët ose agjenci operuese ndërkombëtare. </w:t>
      </w:r>
    </w:p>
    <w:p w:rsidR="0024793C" w:rsidRPr="001521F6" w:rsidRDefault="0024793C" w:rsidP="004A0E2A">
      <w:pPr>
        <w:pStyle w:val="Paragrafi0"/>
        <w:rPr>
          <w:lang w:val="it-IT"/>
        </w:rPr>
      </w:pPr>
    </w:p>
    <w:p w:rsidR="0024793C" w:rsidRPr="001521F6" w:rsidRDefault="0024793C" w:rsidP="004A0E2A">
      <w:pPr>
        <w:pStyle w:val="NeniNr"/>
        <w:keepNext w:val="0"/>
        <w:rPr>
          <w:lang w:val="it-IT"/>
        </w:rPr>
      </w:pPr>
      <w:r w:rsidRPr="001521F6">
        <w:rPr>
          <w:lang w:val="it-IT"/>
        </w:rPr>
        <w:t>Neni 9</w:t>
      </w:r>
    </w:p>
    <w:p w:rsidR="0024793C" w:rsidRPr="001521F6" w:rsidRDefault="0024793C" w:rsidP="004A0E2A">
      <w:pPr>
        <w:pStyle w:val="NeniTitull"/>
        <w:keepNext w:val="0"/>
        <w:rPr>
          <w:lang w:val="it-IT"/>
        </w:rPr>
      </w:pPr>
      <w:r w:rsidRPr="001521F6">
        <w:rPr>
          <w:lang w:val="it-IT"/>
        </w:rPr>
        <w:t>Ndërmarrjet e asociuara</w:t>
      </w:r>
    </w:p>
    <w:p w:rsidR="0024793C" w:rsidRPr="001521F6" w:rsidRDefault="0024793C" w:rsidP="004A0E2A">
      <w:pPr>
        <w:pStyle w:val="Paragrafi0"/>
        <w:rPr>
          <w:sz w:val="16"/>
          <w:lang w:val="it-IT"/>
        </w:rPr>
      </w:pPr>
    </w:p>
    <w:p w:rsidR="0024793C" w:rsidRPr="001521F6" w:rsidRDefault="0024793C" w:rsidP="004A0E2A">
      <w:pPr>
        <w:pStyle w:val="Paragrafi0"/>
        <w:rPr>
          <w:lang w:val="it-IT"/>
        </w:rPr>
      </w:pPr>
      <w:r w:rsidRPr="001521F6">
        <w:rPr>
          <w:lang w:val="it-IT"/>
        </w:rPr>
        <w:t>1. Në rastet kur:</w:t>
      </w:r>
    </w:p>
    <w:p w:rsidR="0024793C" w:rsidRPr="001521F6" w:rsidRDefault="0024793C" w:rsidP="004A0E2A">
      <w:pPr>
        <w:pStyle w:val="Paragrafi0"/>
        <w:rPr>
          <w:lang w:val="it-IT"/>
        </w:rPr>
      </w:pPr>
      <w:r w:rsidRPr="001521F6">
        <w:rPr>
          <w:lang w:val="it-IT"/>
        </w:rPr>
        <w:t xml:space="preserve">a) një ndërmarrje e një shteti kontraktues merr pjesë në mënyrë të drejtpërdrejtë ose jo në menaxhimin, kontrollin ose kapitalin e një ndërmarrjeje të shtetit tjetër kontraktues; ose </w:t>
      </w:r>
    </w:p>
    <w:p w:rsidR="0024793C" w:rsidRPr="001521F6" w:rsidRDefault="0024793C" w:rsidP="004A0E2A">
      <w:pPr>
        <w:pStyle w:val="Paragrafi0"/>
        <w:rPr>
          <w:lang w:val="it-IT"/>
        </w:rPr>
      </w:pPr>
      <w:r w:rsidRPr="001521F6">
        <w:rPr>
          <w:lang w:val="it-IT"/>
        </w:rPr>
        <w:t xml:space="preserve">b) të njëjtët persona marrin pjesë në mënyrë të drejtpërdrejtë ose jo në menaxhimin, kontrollin ose kapitalin e një ndërmarrjeje të një shteti kontraktues dhe një ndërmarrjeje të shtetit tjetër kontraktues; </w:t>
      </w:r>
    </w:p>
    <w:p w:rsidR="0024793C" w:rsidRPr="001521F6" w:rsidRDefault="0024793C" w:rsidP="004A0E2A">
      <w:pPr>
        <w:pStyle w:val="Paragrafi0"/>
        <w:rPr>
          <w:lang w:val="it-IT"/>
        </w:rPr>
      </w:pPr>
      <w:r w:rsidRPr="001521F6">
        <w:rPr>
          <w:lang w:val="it-IT"/>
        </w:rPr>
        <w:t xml:space="preserve">c) dhe kur në çdo rast janë caktuar ose vendosur kushte ndërmjet dy ndërmarrjeve në marrëdhëniet e tyre tregtare ose financiare që ndryshojnë nga ato që do të vendoseshin midis ndërmarrjeve të pavarura, atëherë të gjitha fitimet që do të ishin nxjerrë, nëse nuk do të ishin ato kushte, nga një ndërmarrje, por që për shkak të atyre kushteve, nuk janë nxjerrë si të tilla, mund të përfshihen në fitimet e asaj ndërmarrjeje dhe të tatohen rregullisht. </w:t>
      </w:r>
    </w:p>
    <w:p w:rsidR="0024793C" w:rsidRPr="001521F6" w:rsidRDefault="0024793C" w:rsidP="004A0E2A">
      <w:pPr>
        <w:pStyle w:val="Paragrafi0"/>
        <w:rPr>
          <w:lang w:val="it-IT"/>
        </w:rPr>
      </w:pPr>
      <w:r w:rsidRPr="001521F6">
        <w:rPr>
          <w:lang w:val="it-IT"/>
        </w:rPr>
        <w:t xml:space="preserve">2. Kur një shtet kontraktues përfshin në fitimet e një ndërmarrjeje të atij shteti dhe përkatësisht taton fitimet për të cilat një ndërmarrje e shtetit tjetër kontraktues është tatuar në atë shtet tjetër, dhe kur një pjesë e fitimeve të përfshira janë fitime, të cilat do të ishin mbledhur nga ndërmarrja e shtetit të parë të përmendur, nëse kushtet e vendosura midis dy ndërmarrjeve do të kishin qenë ato që do të ishin vendosur midis ndërmarrjeve të pavarura, atëherë shteti tjetër do të bëjë një rregullim të përshtatshëm ndaj sasisë së tatimeve të vëna në të mbi ato fitime. Në përcaktimin e këtij rregullimi, duhet t’u kushtohet vëmendje dispozitave të tjera të kësaj Konvente dhe autoritetet kompetente të shteteve kontraktuese, nëse është e nevojshme, konsultohen me njëra-tjetrën. </w:t>
      </w:r>
    </w:p>
    <w:p w:rsidR="0024793C" w:rsidRPr="001521F6" w:rsidRDefault="0024793C" w:rsidP="004A0E2A">
      <w:pPr>
        <w:pStyle w:val="Paragrafi0"/>
        <w:rPr>
          <w:lang w:val="it-IT"/>
        </w:rPr>
      </w:pPr>
    </w:p>
    <w:p w:rsidR="0024793C" w:rsidRPr="001521F6" w:rsidRDefault="0024793C" w:rsidP="004A0E2A">
      <w:pPr>
        <w:pStyle w:val="NeniNr"/>
        <w:keepNext w:val="0"/>
        <w:rPr>
          <w:lang w:val="it-IT"/>
        </w:rPr>
      </w:pPr>
      <w:r w:rsidRPr="001521F6">
        <w:rPr>
          <w:lang w:val="it-IT"/>
        </w:rPr>
        <w:t>Neni 10</w:t>
      </w:r>
    </w:p>
    <w:p w:rsidR="0024793C" w:rsidRPr="001521F6" w:rsidRDefault="0024793C" w:rsidP="004A0E2A">
      <w:pPr>
        <w:pStyle w:val="NeniTitull"/>
        <w:keepNext w:val="0"/>
        <w:rPr>
          <w:lang w:val="it-IT"/>
        </w:rPr>
      </w:pPr>
      <w:r w:rsidRPr="001521F6">
        <w:rPr>
          <w:lang w:val="it-IT"/>
        </w:rPr>
        <w:t>Dividendët</w:t>
      </w:r>
    </w:p>
    <w:p w:rsidR="0024793C" w:rsidRPr="001521F6" w:rsidRDefault="0024793C" w:rsidP="004A0E2A">
      <w:pPr>
        <w:pStyle w:val="Paragrafi0"/>
        <w:rPr>
          <w:lang w:val="it-IT"/>
        </w:rPr>
      </w:pPr>
    </w:p>
    <w:p w:rsidR="0024793C" w:rsidRPr="001521F6" w:rsidRDefault="0024793C" w:rsidP="004A0E2A">
      <w:pPr>
        <w:pStyle w:val="Paragrafi0"/>
        <w:rPr>
          <w:lang w:val="it-IT"/>
        </w:rPr>
      </w:pPr>
      <w:r w:rsidRPr="001521F6">
        <w:rPr>
          <w:lang w:val="it-IT"/>
        </w:rPr>
        <w:t>1. Dividendët e paguar nga një firmë që është rezidente e një shteti kontraktues një rezidenti të shtetit tjetër kontraktues, mund të tatohen në atë shtet tjetër.</w:t>
      </w:r>
    </w:p>
    <w:p w:rsidR="0024793C" w:rsidRPr="001521F6" w:rsidRDefault="0024793C" w:rsidP="004A0E2A">
      <w:pPr>
        <w:pStyle w:val="Paragrafi0"/>
        <w:rPr>
          <w:lang w:val="it-IT"/>
        </w:rPr>
      </w:pPr>
      <w:r w:rsidRPr="001521F6">
        <w:rPr>
          <w:lang w:val="it-IT"/>
        </w:rPr>
        <w:t xml:space="preserve">2. Megjithatë, këta dividendë mund të tatohen gjithashtu në shtetin kontraktues në të cilin është rezidente firma që paguan dividendët dhe sipas ligjeve të atij shteti, por nëse pronari përfitues i dividendëve është rezident i shtetit tjetër kontraktues, tatimi i vendosur nuk do të tejkalojë: </w:t>
      </w:r>
    </w:p>
    <w:p w:rsidR="0024793C" w:rsidRPr="001521F6" w:rsidRDefault="0024793C" w:rsidP="004A0E2A">
      <w:pPr>
        <w:pStyle w:val="Paragrafi0"/>
        <w:rPr>
          <w:lang w:val="it-IT"/>
        </w:rPr>
      </w:pPr>
      <w:r w:rsidRPr="001521F6">
        <w:rPr>
          <w:lang w:val="it-IT"/>
        </w:rPr>
        <w:t xml:space="preserve">a)  5 për qind të shumës bruto të dividendëve, nëse pronari përfitues është një shoqëri (e ndryshme nga ortakëri) që ka drejtpërdrejt të paktën 10 për qind të kapitalit të shoqërisë që paguan dividendët; </w:t>
      </w:r>
    </w:p>
    <w:p w:rsidR="0024793C" w:rsidRPr="001521F6" w:rsidRDefault="0024793C" w:rsidP="004A0E2A">
      <w:pPr>
        <w:pStyle w:val="Paragrafi0"/>
        <w:rPr>
          <w:lang w:val="it-IT"/>
        </w:rPr>
      </w:pPr>
      <w:r w:rsidRPr="001521F6">
        <w:rPr>
          <w:lang w:val="it-IT"/>
        </w:rPr>
        <w:t xml:space="preserve">b) 10 për qind të shumës bruto të dividendëve në të gjitha rastet e tjera. </w:t>
      </w:r>
    </w:p>
    <w:p w:rsidR="0024793C" w:rsidRPr="001521F6" w:rsidRDefault="0024793C" w:rsidP="004A0E2A">
      <w:pPr>
        <w:pStyle w:val="Paragrafi0"/>
        <w:rPr>
          <w:lang w:val="it-IT"/>
        </w:rPr>
      </w:pPr>
      <w:r w:rsidRPr="001521F6">
        <w:rPr>
          <w:lang w:val="it-IT"/>
        </w:rPr>
        <w:t xml:space="preserve">Ky paragraf nuk cenon tatimin e shoqërisë në lidhje me fitimet nga të cilat paguhen dividendët. </w:t>
      </w:r>
    </w:p>
    <w:p w:rsidR="0024793C" w:rsidRPr="001521F6" w:rsidRDefault="0024793C" w:rsidP="004A0E2A">
      <w:pPr>
        <w:pStyle w:val="Paragrafi0"/>
        <w:rPr>
          <w:lang w:val="it-IT"/>
        </w:rPr>
      </w:pPr>
      <w:r w:rsidRPr="001521F6">
        <w:rPr>
          <w:lang w:val="it-IT"/>
        </w:rPr>
        <w:t xml:space="preserve">3. Termi “dividendë” siç përdoret në këtë nen nënkupton të ardhurat nga aksionet e çdo lloji ose të drejta të tjera, që nuk janë detyrime borxhi, që marrin pjesë në fitime, si dhe të ardhura nga të drejta të tjera të shoqërisë, të cilat i nënshtrohen të njëjtit trajtim tatimor si të ardhurat nga aksionet sipas ligjeve të shtetit në të cilin firma që bën shpërndarjen, është rezidente. </w:t>
      </w:r>
    </w:p>
    <w:p w:rsidR="0024793C" w:rsidRPr="001521F6" w:rsidRDefault="0024793C" w:rsidP="004A0E2A">
      <w:pPr>
        <w:pStyle w:val="Paragrafi0"/>
        <w:rPr>
          <w:lang w:val="it-IT"/>
        </w:rPr>
      </w:pPr>
      <w:r w:rsidRPr="001521F6">
        <w:rPr>
          <w:lang w:val="it-IT"/>
        </w:rPr>
        <w:t>4. Dispozitat e paragrafëve 1 dhe 2 nuk zbatohen nëse pronari përfitues i dividendëve, duke qenë rezident i një shteti kontraktues, zhvillon biznesin në shtetin tjetër kontraktues në të cilin shoqëria që paguan dividendët është rezidente, nëpërmjet një selie të përhershme të vendosur në të ose kryen në atë shtet shërbime personale të pavarura nga një bazë fikse e vendosur në të dhe që pjesëmarrja në lidhje me të cilën paguhen dividendët është efektivisht e lidhur me këtë seli të përhershme ose bazën fikse. Në këtë rast, zbatohen, sipas rastit, dispozitat e nenit 7 ose 14.</w:t>
      </w:r>
    </w:p>
    <w:p w:rsidR="0024793C" w:rsidRPr="001521F6" w:rsidRDefault="0024793C" w:rsidP="004A0E2A">
      <w:pPr>
        <w:pStyle w:val="Paragrafi0"/>
        <w:rPr>
          <w:lang w:val="it-IT"/>
        </w:rPr>
      </w:pPr>
      <w:r w:rsidRPr="001521F6">
        <w:rPr>
          <w:lang w:val="it-IT"/>
        </w:rPr>
        <w:t xml:space="preserve">5. Kur një shoqëri e cila është rezidente e një Shteti Kontraktues nxjerr fitime ose të ardhura nga shteti tjetër kontraktues, ai shtet tjetër nuk mund të vendosë ndonjë tatim mbi dividendët e paguar nga firma, përveç rasteve kur këta dividendë i paguhen një rezidenti të atij shteti tjetër ose për sa kohë që pjesëmarrja në lidhje me të cilën paguhen dividendët, është efektivisht e lidhur me selinë e përhershme ose një bazë fikse të vendosur në atë shtet tjetër, dhe as nuk do t’i nënshtrojë fitimet e pashpërndara të shoqërisë një tatimi mbi fitimet e pashpërndara të shoqërisë, edhe nëse dividendët e paguar ose fitimet e pashpërndara përbëhen tërësisht ose pjesërisht prej fitimeve ose të ardhurave të nxjerra në atë shtet tjetër. </w:t>
      </w:r>
    </w:p>
    <w:p w:rsidR="0024793C" w:rsidRPr="001521F6" w:rsidRDefault="0024793C" w:rsidP="004A0E2A">
      <w:pPr>
        <w:pStyle w:val="Paragrafi0"/>
        <w:rPr>
          <w:lang w:val="it-IT"/>
        </w:rPr>
      </w:pPr>
    </w:p>
    <w:p w:rsidR="00E92DC0" w:rsidRPr="001521F6" w:rsidRDefault="00E92DC0" w:rsidP="004A0E2A">
      <w:pPr>
        <w:pStyle w:val="Paragrafi0"/>
        <w:rPr>
          <w:lang w:val="it-IT"/>
        </w:rPr>
      </w:pPr>
    </w:p>
    <w:p w:rsidR="00E92DC0" w:rsidRPr="001521F6" w:rsidRDefault="00E92DC0" w:rsidP="004A0E2A">
      <w:pPr>
        <w:pStyle w:val="Paragrafi0"/>
        <w:rPr>
          <w:lang w:val="it-IT"/>
        </w:rPr>
      </w:pPr>
    </w:p>
    <w:p w:rsidR="00E92DC0" w:rsidRPr="001521F6" w:rsidRDefault="00E92DC0" w:rsidP="004A0E2A">
      <w:pPr>
        <w:pStyle w:val="Paragrafi0"/>
        <w:rPr>
          <w:lang w:val="it-IT"/>
        </w:rPr>
      </w:pPr>
    </w:p>
    <w:p w:rsidR="0024793C" w:rsidRPr="001521F6" w:rsidRDefault="0024793C" w:rsidP="004A0E2A">
      <w:pPr>
        <w:pStyle w:val="NeniNr"/>
        <w:keepNext w:val="0"/>
        <w:rPr>
          <w:lang w:val="it-IT"/>
        </w:rPr>
      </w:pPr>
      <w:r w:rsidRPr="001521F6">
        <w:rPr>
          <w:lang w:val="it-IT"/>
        </w:rPr>
        <w:t>Neni 11</w:t>
      </w:r>
    </w:p>
    <w:p w:rsidR="0024793C" w:rsidRPr="001521F6" w:rsidRDefault="0024793C" w:rsidP="004A0E2A">
      <w:pPr>
        <w:pStyle w:val="NeniTitull"/>
        <w:keepNext w:val="0"/>
        <w:rPr>
          <w:lang w:val="it-IT"/>
        </w:rPr>
      </w:pPr>
      <w:r w:rsidRPr="001521F6">
        <w:rPr>
          <w:lang w:val="it-IT"/>
        </w:rPr>
        <w:t>Interesi</w:t>
      </w:r>
    </w:p>
    <w:p w:rsidR="0024793C" w:rsidRPr="001521F6" w:rsidRDefault="0024793C" w:rsidP="004A0E2A">
      <w:pPr>
        <w:pStyle w:val="Paragrafi0"/>
        <w:rPr>
          <w:lang w:val="it-IT"/>
        </w:rPr>
      </w:pPr>
    </w:p>
    <w:p w:rsidR="0024793C" w:rsidRPr="001521F6" w:rsidRDefault="0024793C" w:rsidP="004A0E2A">
      <w:pPr>
        <w:pStyle w:val="Paragrafi0"/>
        <w:rPr>
          <w:lang w:val="it-IT"/>
        </w:rPr>
      </w:pPr>
      <w:r w:rsidRPr="001521F6">
        <w:rPr>
          <w:lang w:val="it-IT"/>
        </w:rPr>
        <w:t>1. Interesi i nxjerrë në një shtet kontraktues dhe që i paguhet një rezidenti të shtetit tjetër kontraktues, mund të tatohet në shtetin tjetër.</w:t>
      </w:r>
    </w:p>
    <w:p w:rsidR="0024793C" w:rsidRPr="001521F6" w:rsidRDefault="0024793C" w:rsidP="004A0E2A">
      <w:pPr>
        <w:pStyle w:val="Paragrafi0"/>
        <w:rPr>
          <w:lang w:val="it-IT"/>
        </w:rPr>
      </w:pPr>
      <w:r w:rsidRPr="001521F6">
        <w:rPr>
          <w:lang w:val="it-IT"/>
        </w:rPr>
        <w:t xml:space="preserve">2. Megjithatë, ky interes mund të tatohet në shtetin kontraktues në të cilin ai lind dhe sipas ligjeve të atij shteti, por nëse pronari përfitues i interesit është rezident i shtetit tjetër kontraktues, tatimi i vendosur nuk do të tejkalojë 5 për qind të shumës bruto të interesit. </w:t>
      </w:r>
    </w:p>
    <w:p w:rsidR="0024793C" w:rsidRPr="001521F6" w:rsidRDefault="0024793C" w:rsidP="004A0E2A">
      <w:pPr>
        <w:pStyle w:val="Paragrafi0"/>
        <w:rPr>
          <w:lang w:val="it-IT"/>
        </w:rPr>
      </w:pPr>
      <w:r w:rsidRPr="001521F6">
        <w:rPr>
          <w:lang w:val="it-IT"/>
        </w:rPr>
        <w:t xml:space="preserve">3. Pavarësisht nga dispozitat e paragrafit 2, çdo interes i përmendur në paragrafin 1 tatohet vetëm në shtetin kontraktues, ku pronari përfitues i interesit është rezident nëse ky interes paguhet: </w:t>
      </w:r>
    </w:p>
    <w:p w:rsidR="0024793C" w:rsidRPr="001521F6" w:rsidRDefault="0024793C" w:rsidP="004A0E2A">
      <w:pPr>
        <w:pStyle w:val="Paragrafi0"/>
        <w:rPr>
          <w:lang w:val="it-IT"/>
        </w:rPr>
      </w:pPr>
      <w:r w:rsidRPr="001521F6">
        <w:rPr>
          <w:lang w:val="it-IT"/>
        </w:rPr>
        <w:t xml:space="preserve">a) në favor të ose nga qeveria e një shteti kontraktues, autoritet i tij lokal ose banka qendrore; </w:t>
      </w:r>
    </w:p>
    <w:p w:rsidR="0024793C" w:rsidRPr="001521F6" w:rsidRDefault="0024793C" w:rsidP="004A0E2A">
      <w:pPr>
        <w:pStyle w:val="Paragrafi0"/>
        <w:rPr>
          <w:lang w:val="it-IT"/>
        </w:rPr>
      </w:pPr>
      <w:r w:rsidRPr="001521F6">
        <w:rPr>
          <w:lang w:val="it-IT"/>
        </w:rPr>
        <w:t xml:space="preserve">b) për një hua të çdo lloji të dhënë, siguruar ose garantuar nga qeveria e një shteti kontraktues, autoritet i tij lokal ose banka qendrore. </w:t>
      </w:r>
    </w:p>
    <w:p w:rsidR="0024793C" w:rsidRPr="001521F6" w:rsidRDefault="0024793C" w:rsidP="004A0E2A">
      <w:pPr>
        <w:pStyle w:val="Paragrafi0"/>
        <w:rPr>
          <w:lang w:val="it-IT"/>
        </w:rPr>
      </w:pPr>
      <w:r w:rsidRPr="001521F6">
        <w:rPr>
          <w:lang w:val="it-IT"/>
        </w:rPr>
        <w:t>4. Termi “interes” siç përdoret në këtë nen, nënkupton të ardhurat nga detyrimet e borxhit të çdo lloji, i siguruar apo jo me hipotekë dhe nëse ka apo jo të drejtë për të marrë pjesë në fitimet e debitorit, dhe në veçanti, të ardhurat nga letrat me vlerë qeveritare dhe të ardhurat nga obligacionet ose dëftesat e borxhit, duke përfshirë premiet dhe çmimet që u bashkëngjiten këtyre letrave me vlerë, obligacioneve dhe dëftesave të borxhit. Termi “interes” nuk përfshin asnjë të ardhur që trajtohet si dividend në bazë të dispozitave të nenit 10. Gjobat për vonesat në pagesa nuk llogariten si interes për qëllim të këtij neni.</w:t>
      </w:r>
    </w:p>
    <w:p w:rsidR="0024793C" w:rsidRPr="001521F6" w:rsidRDefault="0024793C" w:rsidP="004A0E2A">
      <w:pPr>
        <w:pStyle w:val="Paragrafi0"/>
        <w:rPr>
          <w:lang w:val="it-IT"/>
        </w:rPr>
      </w:pPr>
      <w:r w:rsidRPr="001521F6">
        <w:rPr>
          <w:lang w:val="it-IT"/>
        </w:rPr>
        <w:t xml:space="preserve">5. Dispozitat e paragrafëve 1 dhe 2 nuk zbatohen nëse pronari përfitues i interesit, duke qenë rezident i një shteti kontraktues, zhvillon biznesin në shtetin tjetër kontraktues në të cilin lind interesi, nëpërmjet një selie të përhershme të vendosur në të ose kryen në atë shtet tjetër shërbime personale të pavarura nga një bazë fikse të vendosur në të dhe detyrimi i borxhit në lidhje me të cilin është paguar interesi, është efektivisht i lidhur me këtë seli të përhershme ose bazë fikse. Në këtë rast, zbatohen sipas rastit dispozitat e nenit 7 ose 14.  </w:t>
      </w:r>
    </w:p>
    <w:p w:rsidR="0024793C" w:rsidRPr="001521F6" w:rsidRDefault="0024793C" w:rsidP="004A0E2A">
      <w:pPr>
        <w:pStyle w:val="Paragrafi0"/>
        <w:rPr>
          <w:lang w:val="it-IT"/>
        </w:rPr>
      </w:pPr>
      <w:r w:rsidRPr="001521F6">
        <w:rPr>
          <w:lang w:val="it-IT"/>
        </w:rPr>
        <w:t>6. Interesi konsiderohet të lindë në një shtet kontraktues kur paguesi është vetë shteti, një autoritet lokal i tij ose një rezident i atij shteti. Megjithatë, kur një person që paguan interesin, qoftë rezident i shtetit kontraktues apo jo, ka në një shtet kontraktues një seli të përhershme ose bazë fikse në lidhje me të cilën ka ndodhur mbetja e borxhit mbi të cilën është paguar interesi dhe ky interes përballohet nga kjo seli e përhershme ose bazë fikse, atëherë interesi konsiderohet të lindë në shtetin në të cilin ndodhet selia e përhershme ose baza fikse.</w:t>
      </w:r>
    </w:p>
    <w:p w:rsidR="0024793C" w:rsidRPr="001521F6" w:rsidRDefault="0024793C" w:rsidP="004A0E2A">
      <w:pPr>
        <w:pStyle w:val="Paragrafi0"/>
        <w:rPr>
          <w:lang w:val="it-IT"/>
        </w:rPr>
      </w:pPr>
      <w:r w:rsidRPr="001521F6">
        <w:rPr>
          <w:lang w:val="it-IT"/>
        </w:rPr>
        <w:t>7. Kur për shkak të një marrëdhënieje të veçantë ndërmjet paguesit dhe pronarit përfitues ose ndërmjet të dyve dhe një personi tjetër, shuma e interesit, duke marrë parasysh detyrimin e borxhit për të cilin paguhet, tejkalon shumën e cila do të ishte rënë dakord nga paguesi dhe pronari përfitues në mungesë të kësaj marrëdhënie, do të zbatohen dispozitat e këtij neni vetëm për shumën e përmendur së fundi. Në këtë rast, pjesa e tepërt e pagesave do të mbetet e tatueshme sipas ligjeve të secilit shtet kontraktues, duke u kushtuar vëmendjen e duhur dispozitave të tjera të kësaj Konvente.</w:t>
      </w:r>
    </w:p>
    <w:p w:rsidR="0024793C" w:rsidRPr="001521F6" w:rsidRDefault="0024793C" w:rsidP="004A0E2A">
      <w:pPr>
        <w:pStyle w:val="Paragrafi0"/>
        <w:rPr>
          <w:lang w:val="it-IT"/>
        </w:rPr>
      </w:pPr>
    </w:p>
    <w:p w:rsidR="0024793C" w:rsidRPr="001521F6" w:rsidRDefault="0024793C" w:rsidP="004A0E2A">
      <w:pPr>
        <w:pStyle w:val="NeniNr"/>
        <w:keepNext w:val="0"/>
        <w:rPr>
          <w:lang w:val="it-IT"/>
        </w:rPr>
      </w:pPr>
      <w:r w:rsidRPr="001521F6">
        <w:rPr>
          <w:lang w:val="it-IT"/>
        </w:rPr>
        <w:t>Neni 12</w:t>
      </w:r>
    </w:p>
    <w:p w:rsidR="0024793C" w:rsidRPr="001521F6" w:rsidRDefault="0024793C" w:rsidP="004A0E2A">
      <w:pPr>
        <w:pStyle w:val="NeniTitull"/>
        <w:keepNext w:val="0"/>
        <w:rPr>
          <w:lang w:val="it-IT"/>
        </w:rPr>
      </w:pPr>
      <w:r w:rsidRPr="001521F6">
        <w:rPr>
          <w:lang w:val="it-IT"/>
        </w:rPr>
        <w:t>Tarifat e licencave</w:t>
      </w:r>
    </w:p>
    <w:p w:rsidR="0024793C" w:rsidRPr="001521F6" w:rsidRDefault="0024793C" w:rsidP="004A0E2A">
      <w:pPr>
        <w:pStyle w:val="Paragrafi0"/>
        <w:rPr>
          <w:lang w:val="it-IT"/>
        </w:rPr>
      </w:pPr>
    </w:p>
    <w:p w:rsidR="0024793C" w:rsidRPr="001521F6" w:rsidRDefault="0024793C" w:rsidP="004A0E2A">
      <w:pPr>
        <w:pStyle w:val="Paragrafi0"/>
        <w:rPr>
          <w:lang w:val="it-IT"/>
        </w:rPr>
      </w:pPr>
      <w:r w:rsidRPr="001521F6">
        <w:rPr>
          <w:lang w:val="it-IT"/>
        </w:rPr>
        <w:t>1. Tarifat e licencave që lindin në një shtet kontraktues dhe që i paguhen një rezidenti të shtetit tjetër kontraktues, mund të tatohen në atë shtet tjetër.</w:t>
      </w:r>
    </w:p>
    <w:p w:rsidR="0024793C" w:rsidRPr="001521F6" w:rsidRDefault="0024793C" w:rsidP="004A0E2A">
      <w:pPr>
        <w:pStyle w:val="Paragrafi0"/>
        <w:rPr>
          <w:lang w:val="it-IT"/>
        </w:rPr>
      </w:pPr>
      <w:r w:rsidRPr="001521F6">
        <w:rPr>
          <w:lang w:val="it-IT"/>
        </w:rPr>
        <w:t xml:space="preserve">2. Megjithatë, këto tarifa të licencave mund të tatohen gjithashtu në shtetin kontraktues në të cilin ato lindin dhe sipas ligjeve të atij shteti, por nëse pronari përfitues i tarifave të licencave është rezident i shtetit tjetër kontraktues, tatimi i vendosur nuk do të tejkalojë 5 për qind të shumës bruto të tarifave të licencave. </w:t>
      </w:r>
    </w:p>
    <w:p w:rsidR="0024793C" w:rsidRPr="001521F6" w:rsidRDefault="0024793C" w:rsidP="004A0E2A">
      <w:pPr>
        <w:pStyle w:val="Paragrafi0"/>
        <w:rPr>
          <w:lang w:val="it-IT"/>
        </w:rPr>
      </w:pPr>
      <w:r w:rsidRPr="001521F6">
        <w:rPr>
          <w:lang w:val="it-IT"/>
        </w:rPr>
        <w:t>3. Termi “tarifat e licencave” siç përdoret në këtë nen, nënkupton pagesat e çdo lloji të marra si shpërblim për përdorimin ose të drejtën e përdorimit të çdo të drejte autori të veprës letrare, artistike ose shkencore, çdo patentë, markë tregtare, disenjo ose model, plan, formulë sekrete ose proces, ose për informacion në lidhje me përvojën industriale, tregtare ose shkencore.</w:t>
      </w:r>
    </w:p>
    <w:p w:rsidR="0024793C" w:rsidRPr="001521F6" w:rsidRDefault="0024793C" w:rsidP="004A0E2A">
      <w:pPr>
        <w:pStyle w:val="Paragrafi0"/>
        <w:rPr>
          <w:lang w:val="it-IT"/>
        </w:rPr>
      </w:pPr>
      <w:r w:rsidRPr="001521F6">
        <w:rPr>
          <w:lang w:val="it-IT"/>
        </w:rPr>
        <w:t>4. Dispozitat e paragrafëve 1 dhe 2 nuk zbatohen nëse pronari përfitues i tarifave të licencave, duke qenë rezident i një shteti kontraktues, zhvillon biznesin në shtetin tjetër kontraktues në të cilin lindin tarifat e licencave, nëpërmjet një selie të përhershme të vendosur në të ose kryen në atë shtet tjetër shërbime personale të pavarura nga një bazë fikse të vendosur në të dhe e drejta ose pasuri në lidhje me të cilat paguhen tarifat e licencave, është e  lidhur efektivisht me këtë seli të përhershme ose bazë fikse. Në këtë rast, zbatohen sipas rastit dispozitat e nenit 7 ose nenit 14.</w:t>
      </w:r>
    </w:p>
    <w:p w:rsidR="0024793C" w:rsidRPr="001521F6" w:rsidRDefault="0024793C" w:rsidP="004A0E2A">
      <w:pPr>
        <w:pStyle w:val="Paragrafi0"/>
        <w:rPr>
          <w:lang w:val="it-IT"/>
        </w:rPr>
      </w:pPr>
      <w:r w:rsidRPr="001521F6">
        <w:rPr>
          <w:lang w:val="it-IT"/>
        </w:rPr>
        <w:t xml:space="preserve">5. Tarifat e licencave konsiderohen të lindin në një shtet kontraktues kur paguesi është rezident i atij shteti. Megjithatë, kur personi që paguan tarifat e licencave, rezident i shtetit kontraktues apo jo, ka në një shtet kontraktues një seli të përhershme ose bazë fikse në lidhje me të cilën është shkaktuar detyrimi për të paguar tarifat e licencave dhe këto tarifa përballohen nga kjo seli e përhershme ose vend fiks, atëherë këto tarifa do të konsiderohen të lindin në shtetin në të cilin është vendosur selia e përhershme ose baza fikse. </w:t>
      </w:r>
    </w:p>
    <w:p w:rsidR="0024793C" w:rsidRPr="001521F6" w:rsidRDefault="0024793C" w:rsidP="004A0E2A">
      <w:pPr>
        <w:pStyle w:val="Paragrafi0"/>
        <w:rPr>
          <w:lang w:val="it-IT"/>
        </w:rPr>
      </w:pPr>
      <w:r w:rsidRPr="001521F6">
        <w:rPr>
          <w:lang w:val="it-IT"/>
        </w:rPr>
        <w:t xml:space="preserve">6. Kur për shkak të një marrëdhënieje të veçantë ndërmjet paguesit dhe pronarit përfitues ose ndërmjet të dyve dhe një personi tjetër, shuma e tarifave të licencave, duke marrë në konsideratë përdorimin, të drejtën ose informacionin për të cilin ato janë paguar, tejkalon shumën e cila do të ishte rënë dakord nga paguesi dhe pronari përfitues në mungesë të kësaj marrëdhënieje, zbatohen dispozitat e këtij neni vetëm për shumën e përmendur së fundi. Në këtë rast, pjesa e tepërt e pagesave mbetet e tatueshme sipas ligjeve të secilit shtet kontraktues, duke u kushtuar vëmendjen e duhur dispozitave të tjera të kësaj Konvente. </w:t>
      </w:r>
    </w:p>
    <w:p w:rsidR="0024793C" w:rsidRPr="001521F6" w:rsidRDefault="0024793C" w:rsidP="004A0E2A">
      <w:pPr>
        <w:pStyle w:val="Paragrafi0"/>
        <w:rPr>
          <w:lang w:val="it-IT"/>
        </w:rPr>
      </w:pPr>
    </w:p>
    <w:p w:rsidR="0024793C" w:rsidRPr="001521F6" w:rsidRDefault="0024793C" w:rsidP="004A0E2A">
      <w:pPr>
        <w:pStyle w:val="NeniNr"/>
        <w:keepNext w:val="0"/>
        <w:rPr>
          <w:lang w:val="it-IT"/>
        </w:rPr>
      </w:pPr>
      <w:r w:rsidRPr="001521F6">
        <w:rPr>
          <w:lang w:val="it-IT"/>
        </w:rPr>
        <w:t>Neni 13</w:t>
      </w:r>
    </w:p>
    <w:p w:rsidR="0024793C" w:rsidRPr="001521F6" w:rsidRDefault="0024793C" w:rsidP="004A0E2A">
      <w:pPr>
        <w:pStyle w:val="NeniTitull"/>
        <w:keepNext w:val="0"/>
        <w:rPr>
          <w:lang w:val="it-IT"/>
        </w:rPr>
      </w:pPr>
      <w:r w:rsidRPr="001521F6">
        <w:rPr>
          <w:lang w:val="it-IT"/>
        </w:rPr>
        <w:t>Fitimet e kapitalit</w:t>
      </w:r>
    </w:p>
    <w:p w:rsidR="0024793C" w:rsidRPr="001521F6" w:rsidRDefault="0024793C" w:rsidP="004A0E2A">
      <w:pPr>
        <w:pStyle w:val="Paragrafi0"/>
        <w:rPr>
          <w:lang w:val="it-IT"/>
        </w:rPr>
      </w:pPr>
    </w:p>
    <w:p w:rsidR="0024793C" w:rsidRPr="001521F6" w:rsidRDefault="0024793C" w:rsidP="004A0E2A">
      <w:pPr>
        <w:pStyle w:val="Paragrafi0"/>
        <w:rPr>
          <w:lang w:val="it-IT"/>
        </w:rPr>
      </w:pPr>
      <w:r w:rsidRPr="001521F6">
        <w:rPr>
          <w:lang w:val="it-IT"/>
        </w:rPr>
        <w:t>1. Fitimet e nxjerra nga një rezident i një shteti kontraktues nga tjetërsimi i pasurisë së paluajtshme të përmendur në nenin 6 dhe të ndodhur në shtetin tjetër kontraktues, mund të tatohen në atë shtet tjetër.</w:t>
      </w:r>
    </w:p>
    <w:p w:rsidR="0024793C" w:rsidRPr="001521F6" w:rsidRDefault="0024793C" w:rsidP="004A0E2A">
      <w:pPr>
        <w:pStyle w:val="Paragrafi0"/>
        <w:rPr>
          <w:lang w:val="it-IT"/>
        </w:rPr>
      </w:pPr>
      <w:r w:rsidRPr="001521F6">
        <w:rPr>
          <w:lang w:val="it-IT"/>
        </w:rPr>
        <w:t xml:space="preserve">2. Fitimet e përftuara nga një rezident i një shteti kontraktues nga tjetërsimi i aksioneve ose interesave të krahasueshme, që marrin më shumë se 50 për qind të vlerës së tyre drejtpërdrejt ose jo nga pasuria e paluajtshme që gjendet në shtetin tjetër kontraktues, mund të tatohen në atë shtet tjetër. </w:t>
      </w:r>
    </w:p>
    <w:p w:rsidR="0024793C" w:rsidRPr="001521F6" w:rsidRDefault="0024793C" w:rsidP="004A0E2A">
      <w:pPr>
        <w:pStyle w:val="Paragrafi0"/>
        <w:rPr>
          <w:lang w:val="it-IT"/>
        </w:rPr>
      </w:pPr>
      <w:r w:rsidRPr="001521F6">
        <w:rPr>
          <w:lang w:val="it-IT"/>
        </w:rPr>
        <w:t>3. Fitimet nga tjetërsimi i pasurisë së luajtshme që përbëjnë pjesë të pasurisë së biznesit të një selie të përhershme që një ndërmarrje e një shteti kontraktues ka në shtetin tjetër kontraktues ose të pasurisë së luajtshme që i përket një baze fikse në dispozicion të një rezidenti të një shteti kontraktues në shtetin tjetër kontraktues për qëllim të kryerjes së shërbimeve personale të pavarura, duke përfshirë fitimet nga tjetërsimi i kësaj selie të përhershme ose të kësaj baze fikse, mund të tatohen në atë shtet tjetër.</w:t>
      </w:r>
    </w:p>
    <w:p w:rsidR="0024793C" w:rsidRPr="001521F6" w:rsidRDefault="0024793C" w:rsidP="004A0E2A">
      <w:pPr>
        <w:pStyle w:val="Paragrafi0"/>
        <w:rPr>
          <w:lang w:val="it-IT"/>
        </w:rPr>
      </w:pPr>
      <w:r w:rsidRPr="001521F6">
        <w:rPr>
          <w:lang w:val="it-IT"/>
        </w:rPr>
        <w:t xml:space="preserve">4. Fitimet e përftuara nga një ndërmarrje e një shteti kontraktues që përdor anije ose avionë në trafikun ndërkombëtar nga tjetërsimi i anijeve ose avionëve që operojnë në trafikun ndërkombëtar ose pasurisë së luajtshme që i përkasin veprimtarisë së këtyre anijeve ose avionëve, do të tatohen vetëm në atë shtet. </w:t>
      </w:r>
    </w:p>
    <w:p w:rsidR="0024793C" w:rsidRPr="001521F6" w:rsidRDefault="0024793C" w:rsidP="004A0E2A">
      <w:pPr>
        <w:pStyle w:val="Paragrafi0"/>
        <w:rPr>
          <w:lang w:val="it-IT"/>
        </w:rPr>
      </w:pPr>
      <w:r w:rsidRPr="001521F6">
        <w:rPr>
          <w:lang w:val="it-IT"/>
        </w:rPr>
        <w:t>5. Fitimet nga tjetërsimi i çdo pasurie, të ndryshme nga ajo e përmendur në paragrafët e mësipërm të këtij neni, janë të tatueshme vetëm në shtetin kontraktues, rezident i të cilit është tjetërsuesi.</w:t>
      </w:r>
    </w:p>
    <w:p w:rsidR="0024793C" w:rsidRPr="001521F6" w:rsidRDefault="0024793C" w:rsidP="004A0E2A">
      <w:pPr>
        <w:pStyle w:val="Paragrafi0"/>
        <w:rPr>
          <w:lang w:val="it-IT"/>
        </w:rPr>
      </w:pPr>
    </w:p>
    <w:p w:rsidR="0024793C" w:rsidRPr="001521F6" w:rsidRDefault="0024793C" w:rsidP="004A0E2A">
      <w:pPr>
        <w:pStyle w:val="NeniNr"/>
        <w:keepNext w:val="0"/>
        <w:rPr>
          <w:lang w:val="it-IT"/>
        </w:rPr>
      </w:pPr>
      <w:r w:rsidRPr="001521F6">
        <w:rPr>
          <w:lang w:val="it-IT"/>
        </w:rPr>
        <w:t>Neni 14</w:t>
      </w:r>
    </w:p>
    <w:p w:rsidR="0024793C" w:rsidRPr="001521F6" w:rsidRDefault="0024793C" w:rsidP="004A0E2A">
      <w:pPr>
        <w:pStyle w:val="NeniTitull"/>
        <w:keepNext w:val="0"/>
        <w:rPr>
          <w:lang w:val="it-IT"/>
        </w:rPr>
      </w:pPr>
      <w:r w:rsidRPr="001521F6">
        <w:rPr>
          <w:lang w:val="it-IT"/>
        </w:rPr>
        <w:t>Shërbimet personale të pavarura</w:t>
      </w:r>
    </w:p>
    <w:p w:rsidR="0024793C" w:rsidRPr="001521F6" w:rsidRDefault="0024793C" w:rsidP="004A0E2A">
      <w:pPr>
        <w:pStyle w:val="Paragrafi0"/>
        <w:rPr>
          <w:lang w:val="it-IT"/>
        </w:rPr>
      </w:pPr>
    </w:p>
    <w:p w:rsidR="0024793C" w:rsidRPr="001521F6" w:rsidRDefault="0024793C" w:rsidP="004A0E2A">
      <w:pPr>
        <w:pStyle w:val="Paragrafi0"/>
        <w:rPr>
          <w:lang w:val="it-IT"/>
        </w:rPr>
      </w:pPr>
      <w:r w:rsidRPr="001521F6">
        <w:rPr>
          <w:lang w:val="it-IT"/>
        </w:rPr>
        <w:t>1. Të ardhurat që përftohen nga një individ, i cili është rezident i një shteti kontraktues në lidhje me shërbimet profesionale ose aktivitete të tjera të një karakteri të pavarur, janë të tatueshme vetëm në atë shtet, përveç rrethanave të mëposhtme kur këto të ardhura mund të tatohen edhe në shtetin tjetër kontraktues:</w:t>
      </w:r>
    </w:p>
    <w:p w:rsidR="0024793C" w:rsidRPr="00FB5CD5" w:rsidRDefault="0024793C" w:rsidP="004A0E2A">
      <w:pPr>
        <w:pStyle w:val="Paragrafi0"/>
      </w:pPr>
      <w:r>
        <w:t xml:space="preserve">a) </w:t>
      </w:r>
      <w:r w:rsidRPr="00FB5CD5">
        <w:t>nëse ai ka një bazë fikse që i vihet atij</w:t>
      </w:r>
      <w:r>
        <w:t xml:space="preserve"> rregullisht në dispozicion në shtetin tjetër k</w:t>
      </w:r>
      <w:r w:rsidRPr="00FB5CD5">
        <w:t xml:space="preserve">ontraktues për qëllim të kryerjes së aktiviteteve të tij; në atë rast, vetëm ajo pjesë e të ardhurave që i atribuohet asaj baze fikse mund të tatohet në atë shtet tjetër; ose </w:t>
      </w:r>
    </w:p>
    <w:p w:rsidR="0024793C" w:rsidRPr="00FB5CD5" w:rsidRDefault="0024793C" w:rsidP="004A0E2A">
      <w:pPr>
        <w:pStyle w:val="Paragrafi0"/>
      </w:pPr>
      <w:r>
        <w:t>b) nëse qëndrimi i tij në s</w:t>
      </w:r>
      <w:r w:rsidRPr="00FB5CD5">
        <w:t>htetin tjetër është për një periudhë ose periudha që tejkalojnë në to</w:t>
      </w:r>
      <w:r>
        <w:t>tal 183 ditë në çdo periudhë 12-</w:t>
      </w:r>
      <w:r w:rsidRPr="00FB5CD5">
        <w:t>mujore që fillon ose përfundon në vitin kalendarik përkatës; në atë rast, vetëm ajo sasi të ardhurash që rrjedh nga akti</w:t>
      </w:r>
      <w:r>
        <w:t>vitetet e tij të kryera në atë s</w:t>
      </w:r>
      <w:r w:rsidRPr="00FB5CD5">
        <w:t xml:space="preserve">htet </w:t>
      </w:r>
      <w:r>
        <w:t>tjetër, mund të tatohet në atë s</w:t>
      </w:r>
      <w:r w:rsidRPr="00FB5CD5">
        <w:t>htet tjetër.</w:t>
      </w:r>
    </w:p>
    <w:p w:rsidR="0024793C" w:rsidRPr="00FB5CD5" w:rsidRDefault="0024793C" w:rsidP="004A0E2A">
      <w:pPr>
        <w:pStyle w:val="Paragrafi0"/>
      </w:pPr>
      <w:r>
        <w:t xml:space="preserve">2. </w:t>
      </w:r>
      <w:r w:rsidRPr="00FB5CD5">
        <w:t xml:space="preserve">Termi “shërbime profesionale” përfshin veçanërisht aktivitetet e pavarura shkencore, letrare, artistike, arsimore ose didaktike, si dhe aktivitetet e pavarura të mjekëve, dentistëve, avokatëve, inxhinierëve, arkitektëve, auditëve dhe kontabilistëve. </w:t>
      </w:r>
    </w:p>
    <w:p w:rsidR="0024793C" w:rsidRPr="00FB5CD5" w:rsidRDefault="0024793C" w:rsidP="004A0E2A">
      <w:pPr>
        <w:pStyle w:val="Paragrafi0"/>
      </w:pPr>
    </w:p>
    <w:p w:rsidR="0024793C" w:rsidRPr="00FB5CD5" w:rsidRDefault="0024793C" w:rsidP="004A0E2A">
      <w:pPr>
        <w:pStyle w:val="NeniNr"/>
        <w:keepNext w:val="0"/>
      </w:pPr>
      <w:r w:rsidRPr="00FB5CD5">
        <w:t>Neni 15</w:t>
      </w:r>
    </w:p>
    <w:p w:rsidR="0024793C" w:rsidRPr="00FB5CD5" w:rsidRDefault="0024793C" w:rsidP="004A0E2A">
      <w:pPr>
        <w:pStyle w:val="NeniTitull"/>
        <w:keepNext w:val="0"/>
      </w:pPr>
      <w:r w:rsidRPr="00FB5CD5">
        <w:t>Shërbimet personale të varura</w:t>
      </w:r>
    </w:p>
    <w:p w:rsidR="0024793C" w:rsidRPr="00FB5CD5" w:rsidRDefault="0024793C" w:rsidP="004A0E2A">
      <w:pPr>
        <w:pStyle w:val="Paragrafi0"/>
      </w:pPr>
    </w:p>
    <w:p w:rsidR="0024793C" w:rsidRPr="00FB5CD5" w:rsidRDefault="0024793C" w:rsidP="004A0E2A">
      <w:pPr>
        <w:pStyle w:val="Paragrafi0"/>
      </w:pPr>
      <w:r>
        <w:t>1. Në bazë të dispozitave të n</w:t>
      </w:r>
      <w:r w:rsidRPr="00FB5CD5">
        <w:t xml:space="preserve">enit 16, 18 dhe 19, rrogat, pagat dhe shpërblimet e tjera të ngjashme që përftohen nga një rezident i një </w:t>
      </w:r>
      <w:r>
        <w:t>shteti k</w:t>
      </w:r>
      <w:r w:rsidRPr="00FB5CD5">
        <w:t xml:space="preserve">ontraktues në lidhje me një punësim, do të </w:t>
      </w:r>
      <w:r>
        <w:t>jenë të tatueshme vetëm në atë s</w:t>
      </w:r>
      <w:r w:rsidRPr="00FB5CD5">
        <w:t xml:space="preserve">htet, </w:t>
      </w:r>
      <w:r>
        <w:t>nëse punësimi nuk ushtrohet në shtetin tjetër k</w:t>
      </w:r>
      <w:r w:rsidRPr="00FB5CD5">
        <w:t>ontraktues. Nëse punësimi ushtrohet në këtë mënyrë, ky shpërblim që përftoh</w:t>
      </w:r>
      <w:r>
        <w:t>et atje mund të tatohet në atë s</w:t>
      </w:r>
      <w:r w:rsidRPr="00FB5CD5">
        <w:t>htet tjetër.</w:t>
      </w:r>
    </w:p>
    <w:p w:rsidR="0024793C" w:rsidRPr="00FB5CD5" w:rsidRDefault="0024793C" w:rsidP="004A0E2A">
      <w:pPr>
        <w:pStyle w:val="Paragrafi0"/>
      </w:pPr>
      <w:r>
        <w:t xml:space="preserve">2. </w:t>
      </w:r>
      <w:r w:rsidRPr="00FB5CD5">
        <w:t>Pavarësisht nga dispozitat e paragrafit 1, shpërblimi i përftuar</w:t>
      </w:r>
      <w:r>
        <w:t xml:space="preserve"> nga një rezident i një shteti k</w:t>
      </w:r>
      <w:r w:rsidRPr="00FB5CD5">
        <w:t>ontraktues në lidhje</w:t>
      </w:r>
      <w:r>
        <w:t xml:space="preserve"> me një punësim të ushtruar në shtetin tjetër k</w:t>
      </w:r>
      <w:r w:rsidRPr="00FB5CD5">
        <w:t>ontraktues, d</w:t>
      </w:r>
      <w:r>
        <w:t>o të jetë i tatueshëm vetëm në s</w:t>
      </w:r>
      <w:r w:rsidRPr="00FB5CD5">
        <w:t xml:space="preserve">htetin e përmendur më parë, nëse përmbushen të gjitha kushtet e mëposhtme: </w:t>
      </w:r>
    </w:p>
    <w:p w:rsidR="0024793C" w:rsidRPr="00FB5CD5" w:rsidRDefault="0024793C" w:rsidP="004A0E2A">
      <w:pPr>
        <w:pStyle w:val="Paragrafi0"/>
      </w:pPr>
      <w:r w:rsidRPr="00FB5CD5">
        <w:t>a</w:t>
      </w:r>
      <w:r>
        <w:t>) marrësi është i pranishëm në s</w:t>
      </w:r>
      <w:r w:rsidRPr="00FB5CD5">
        <w:t xml:space="preserve">htetin tjetër për një periudhë ose periudha që nuk i tejkalojnë në total 183 ditë në çdo periudhë dymbëdhjetëmujore, e cila fillon ose përfundon </w:t>
      </w:r>
      <w:r>
        <w:t>në vitin fiskal përkatës;</w:t>
      </w:r>
      <w:r w:rsidRPr="00FB5CD5">
        <w:t xml:space="preserve"> </w:t>
      </w:r>
    </w:p>
    <w:p w:rsidR="0024793C" w:rsidRPr="00FB5CD5" w:rsidRDefault="0024793C" w:rsidP="004A0E2A">
      <w:pPr>
        <w:pStyle w:val="Paragrafi0"/>
      </w:pPr>
      <w:r w:rsidRPr="00FB5CD5">
        <w:t>b) shpërblimi paguhet nga ose në emër të një punëdhënës</w:t>
      </w:r>
      <w:r>
        <w:t>i, i cili nuk është rezident i shtetit tjetër;</w:t>
      </w:r>
      <w:r w:rsidRPr="00FB5CD5">
        <w:t xml:space="preserve">  </w:t>
      </w:r>
    </w:p>
    <w:p w:rsidR="0024793C" w:rsidRPr="00FB5CD5" w:rsidRDefault="0024793C" w:rsidP="004A0E2A">
      <w:pPr>
        <w:pStyle w:val="Paragrafi0"/>
      </w:pPr>
      <w:r>
        <w:t xml:space="preserve">c) </w:t>
      </w:r>
      <w:r w:rsidRPr="00FB5CD5">
        <w:t xml:space="preserve">shpërblimi nuk përballohet nga një vendqëndrim i përhershëm ose bazë fikse, të cilën punëdhënësi ka në </w:t>
      </w:r>
      <w:r>
        <w:t>s</w:t>
      </w:r>
      <w:r w:rsidRPr="00FB5CD5">
        <w:t xml:space="preserve">htetin tjetër. </w:t>
      </w:r>
    </w:p>
    <w:p w:rsidR="0024793C" w:rsidRPr="00FB5CD5" w:rsidRDefault="0024793C" w:rsidP="004A0E2A">
      <w:pPr>
        <w:pStyle w:val="Paragrafi0"/>
      </w:pPr>
      <w:r>
        <w:t xml:space="preserve">3. </w:t>
      </w:r>
      <w:r w:rsidRPr="00FB5CD5">
        <w:t>Pavarësisht dis</w:t>
      </w:r>
      <w:r>
        <w:t>pozitave të mësipërme të këtij n</w:t>
      </w:r>
      <w:r w:rsidRPr="00FB5CD5">
        <w:t>eni, shpërblimi i përftuar në lidhje me një punësim të ushtruar në bordin e një anijeje ose avioni të operuar në trafikun ndërkom</w:t>
      </w:r>
      <w:r>
        <w:t>bëtar nga një ndërmarrje e një shteti k</w:t>
      </w:r>
      <w:r w:rsidRPr="00FB5CD5">
        <w:t>ont</w:t>
      </w:r>
      <w:r>
        <w:t>raktues mund të tatohet në atë s</w:t>
      </w:r>
      <w:r w:rsidRPr="00FB5CD5">
        <w:t xml:space="preserve">htet. </w:t>
      </w:r>
    </w:p>
    <w:p w:rsidR="0024793C" w:rsidRPr="00FB5CD5" w:rsidRDefault="0024793C" w:rsidP="004A0E2A">
      <w:pPr>
        <w:pStyle w:val="Paragrafi0"/>
      </w:pPr>
    </w:p>
    <w:p w:rsidR="0024793C" w:rsidRPr="00FB5CD5" w:rsidRDefault="0024793C" w:rsidP="004A0E2A">
      <w:pPr>
        <w:pStyle w:val="NeniNr"/>
        <w:keepNext w:val="0"/>
      </w:pPr>
      <w:r w:rsidRPr="00FB5CD5">
        <w:t>Neni 16</w:t>
      </w:r>
    </w:p>
    <w:p w:rsidR="0024793C" w:rsidRPr="00FB5CD5" w:rsidRDefault="0024793C" w:rsidP="004A0E2A">
      <w:pPr>
        <w:pStyle w:val="NeniTitull"/>
        <w:keepNext w:val="0"/>
      </w:pPr>
      <w:r w:rsidRPr="00FB5CD5">
        <w:t>Tarifat e drejtuesve</w:t>
      </w:r>
    </w:p>
    <w:p w:rsidR="0024793C" w:rsidRPr="00FB5CD5" w:rsidRDefault="0024793C" w:rsidP="004A0E2A">
      <w:pPr>
        <w:pStyle w:val="Paragrafi0"/>
      </w:pPr>
    </w:p>
    <w:p w:rsidR="0024793C" w:rsidRPr="00FB5CD5" w:rsidRDefault="0024793C" w:rsidP="004A0E2A">
      <w:pPr>
        <w:pStyle w:val="Paragrafi0"/>
      </w:pPr>
      <w:r w:rsidRPr="00FB5CD5">
        <w:t>Tarifat e drejtuesve dhe pagesa të tjera të ngjashme që pë</w:t>
      </w:r>
      <w:r>
        <w:t>rftohen nga një rezident i një shteti k</w:t>
      </w:r>
      <w:r w:rsidRPr="00FB5CD5">
        <w:t>ontraktues në cilësinë e tij si anëtar i bordit të drejtuesve të një shoqërie</w:t>
      </w:r>
      <w:r>
        <w:t>,</w:t>
      </w:r>
      <w:r w:rsidRPr="00FB5CD5">
        <w:t xml:space="preserve"> e cila është rezidente e </w:t>
      </w:r>
      <w:r>
        <w:t>shtetit tjetër k</w:t>
      </w:r>
      <w:r w:rsidRPr="00FB5CD5">
        <w:t>ontrakt</w:t>
      </w:r>
      <w:r>
        <w:t>ues, mund të tatohen në atë s</w:t>
      </w:r>
      <w:r w:rsidRPr="00FB5CD5">
        <w:t>htet tjetër.</w:t>
      </w:r>
    </w:p>
    <w:p w:rsidR="0024793C" w:rsidRPr="000A5A75" w:rsidRDefault="0024793C" w:rsidP="004A0E2A">
      <w:pPr>
        <w:pStyle w:val="Paragrafi0"/>
        <w:rPr>
          <w:sz w:val="16"/>
        </w:rPr>
      </w:pPr>
    </w:p>
    <w:p w:rsidR="0024793C" w:rsidRPr="00FB5CD5" w:rsidRDefault="0024793C" w:rsidP="004A0E2A">
      <w:pPr>
        <w:pStyle w:val="NeniNr"/>
        <w:keepNext w:val="0"/>
      </w:pPr>
      <w:r w:rsidRPr="00FB5CD5">
        <w:t>Neni 17</w:t>
      </w:r>
    </w:p>
    <w:p w:rsidR="0024793C" w:rsidRPr="00FB5CD5" w:rsidRDefault="0024793C" w:rsidP="004A0E2A">
      <w:pPr>
        <w:pStyle w:val="NeniTitull"/>
        <w:keepNext w:val="0"/>
      </w:pPr>
      <w:r w:rsidRPr="00FB5CD5">
        <w:t>Artistët dhe sportistët</w:t>
      </w:r>
    </w:p>
    <w:p w:rsidR="0024793C" w:rsidRPr="00FB5CD5" w:rsidRDefault="0024793C" w:rsidP="004A0E2A">
      <w:pPr>
        <w:pStyle w:val="Paragrafi0"/>
      </w:pPr>
    </w:p>
    <w:p w:rsidR="0024793C" w:rsidRPr="00FB5CD5" w:rsidRDefault="0024793C" w:rsidP="004A0E2A">
      <w:pPr>
        <w:pStyle w:val="Paragrafi0"/>
      </w:pPr>
      <w:r>
        <w:t>1. Pavarësisht nga dispozitat e n</w:t>
      </w:r>
      <w:r w:rsidRPr="00FB5CD5">
        <w:t>eneve 7, 14 dhe 15, të ardhurat që pë</w:t>
      </w:r>
      <w:r>
        <w:t>rftohen nga një rezident i një shteti kontraktues si një</w:t>
      </w:r>
      <w:r w:rsidRPr="00FB5CD5">
        <w:t xml:space="preserve"> argëtues, artist teatri, filmi, radioje ose televizioni, muzikant apo sportist, në veprimtarinë </w:t>
      </w:r>
      <w:r>
        <w:t>e tij personale të ushtruar në shtetin tjetër kontraktues, mund të tatohen në s</w:t>
      </w:r>
      <w:r w:rsidRPr="00FB5CD5">
        <w:t xml:space="preserve">htetin tjetër. </w:t>
      </w:r>
    </w:p>
    <w:p w:rsidR="0024793C" w:rsidRPr="00FB5CD5" w:rsidRDefault="0024793C" w:rsidP="004A0E2A">
      <w:pPr>
        <w:pStyle w:val="Paragrafi0"/>
      </w:pPr>
      <w:r>
        <w:t xml:space="preserve">2. </w:t>
      </w:r>
      <w:r w:rsidRPr="00FB5CD5">
        <w:t>Kur të ardhurat në lidhje me aktivitetet person</w:t>
      </w:r>
      <w:r>
        <w:t>ale të ushtruara nga një</w:t>
      </w:r>
      <w:r w:rsidRPr="00FB5CD5">
        <w:t xml:space="preserve"> argëtues ose sportist në cilësinë e tij si t</w:t>
      </w:r>
      <w:r>
        <w:t>ë</w:t>
      </w:r>
      <w:r w:rsidRPr="00FB5CD5">
        <w:t xml:space="preserve"> tillë nuk përftohen nga subjekti argëtues ose sportisti</w:t>
      </w:r>
      <w:r>
        <w:t>,</w:t>
      </w:r>
      <w:r w:rsidRPr="00FB5CD5">
        <w:t xml:space="preserve"> por nga një person tjetër, ato të ardhura</w:t>
      </w:r>
      <w:r>
        <w:t>, pavarësisht nga dispozitat e n</w:t>
      </w:r>
      <w:r w:rsidRPr="00FB5CD5">
        <w:t>eneve 7,</w:t>
      </w:r>
      <w:r>
        <w:t xml:space="preserve"> 14 dhe 15, mund të tatohen në shtetin k</w:t>
      </w:r>
      <w:r w:rsidRPr="00FB5CD5">
        <w:t>ontraktues në të cilin u</w:t>
      </w:r>
      <w:r>
        <w:t>shtrohen aktivitetet e</w:t>
      </w:r>
      <w:r w:rsidRPr="00FB5CD5">
        <w:t xml:space="preserve"> argëtues</w:t>
      </w:r>
      <w:r>
        <w:t>it</w:t>
      </w:r>
      <w:r w:rsidRPr="00FB5CD5">
        <w:t xml:space="preserve"> apo sportistit.</w:t>
      </w:r>
    </w:p>
    <w:p w:rsidR="0024793C" w:rsidRPr="00FB5CD5" w:rsidRDefault="0024793C" w:rsidP="004A0E2A">
      <w:pPr>
        <w:pStyle w:val="Paragrafi0"/>
      </w:pPr>
      <w:r>
        <w:t xml:space="preserve">3. </w:t>
      </w:r>
      <w:r w:rsidRPr="00FB5CD5">
        <w:t xml:space="preserve">Dispozitat e paragrafëve 1 dhe 2 nuk zbatohen për të ardhurat që rrjedhin nga </w:t>
      </w:r>
      <w:r>
        <w:t>aktivitetet e ushtruara në një shtet k</w:t>
      </w:r>
      <w:r w:rsidRPr="00FB5CD5">
        <w:t>ontraktues nga një artist o</w:t>
      </w:r>
      <w:r>
        <w:t>se sportist nëse vizita në atë shtet k</w:t>
      </w:r>
      <w:r w:rsidRPr="00FB5CD5">
        <w:t>ontraktues është tërësisht ose pjesërisht e mbështetur nga f</w:t>
      </w:r>
      <w:r>
        <w:t>ondet publike të një ose të dy shteteve k</w:t>
      </w:r>
      <w:r w:rsidRPr="00FB5CD5">
        <w:t>ontraktues</w:t>
      </w:r>
      <w:r>
        <w:t>e</w:t>
      </w:r>
      <w:r w:rsidRPr="00FB5CD5">
        <w:t xml:space="preserve"> ose autoritetet lokale të tij. Në këtë rast, të ardhurat tatohen në shtetin kontraktues në të cilin është rezident artisti ose sportisti. </w:t>
      </w:r>
    </w:p>
    <w:p w:rsidR="0024793C" w:rsidRDefault="0024793C" w:rsidP="004A0E2A">
      <w:pPr>
        <w:pStyle w:val="Paragrafi0"/>
      </w:pPr>
    </w:p>
    <w:p w:rsidR="0024793C" w:rsidRPr="00FB5CD5" w:rsidRDefault="0024793C" w:rsidP="004A0E2A">
      <w:pPr>
        <w:pStyle w:val="NeniNr"/>
        <w:keepNext w:val="0"/>
      </w:pPr>
      <w:r w:rsidRPr="00FB5CD5">
        <w:t>Neni 18</w:t>
      </w:r>
    </w:p>
    <w:p w:rsidR="0024793C" w:rsidRPr="00FB5CD5" w:rsidRDefault="0024793C" w:rsidP="004A0E2A">
      <w:pPr>
        <w:pStyle w:val="NeniTitull"/>
        <w:keepNext w:val="0"/>
      </w:pPr>
      <w:r w:rsidRPr="00FB5CD5">
        <w:t>Pensionet</w:t>
      </w:r>
    </w:p>
    <w:p w:rsidR="0024793C" w:rsidRPr="00FB5CD5" w:rsidRDefault="0024793C" w:rsidP="004A0E2A">
      <w:pPr>
        <w:pStyle w:val="Paragrafi0"/>
      </w:pPr>
    </w:p>
    <w:p w:rsidR="0024793C" w:rsidRPr="00FB5CD5" w:rsidRDefault="0024793C" w:rsidP="004A0E2A">
      <w:pPr>
        <w:pStyle w:val="Paragrafi0"/>
      </w:pPr>
      <w:r w:rsidRPr="00FB5CD5">
        <w:t>Pensionet dhe shpërblime të ngjashme t</w:t>
      </w:r>
      <w:r>
        <w:t>ë paguara një rezidenti të një shteti tjetër k</w:t>
      </w:r>
      <w:r w:rsidRPr="00FB5CD5">
        <w:t xml:space="preserve">ontraktues do të </w:t>
      </w:r>
      <w:r>
        <w:t>jenë të tatueshme vetëm në atë s</w:t>
      </w:r>
      <w:r w:rsidRPr="00FB5CD5">
        <w:t xml:space="preserve">htet. </w:t>
      </w:r>
    </w:p>
    <w:p w:rsidR="0024793C" w:rsidRDefault="0024793C" w:rsidP="004A0E2A">
      <w:pPr>
        <w:pStyle w:val="NeniNr"/>
        <w:keepNext w:val="0"/>
      </w:pPr>
    </w:p>
    <w:p w:rsidR="0024793C" w:rsidRPr="00FB5CD5" w:rsidRDefault="0024793C" w:rsidP="004A0E2A">
      <w:pPr>
        <w:pStyle w:val="NeniNr"/>
        <w:keepNext w:val="0"/>
      </w:pPr>
      <w:r w:rsidRPr="00FB5CD5">
        <w:t>Neni 19</w:t>
      </w:r>
    </w:p>
    <w:p w:rsidR="0024793C" w:rsidRPr="00FB5CD5" w:rsidRDefault="0024793C" w:rsidP="004A0E2A">
      <w:pPr>
        <w:pStyle w:val="NeniTitull"/>
        <w:keepNext w:val="0"/>
      </w:pPr>
      <w:r w:rsidRPr="00FB5CD5">
        <w:t>Shërbimi qeveritar</w:t>
      </w:r>
    </w:p>
    <w:p w:rsidR="0024793C" w:rsidRPr="00FB5CD5" w:rsidRDefault="0024793C" w:rsidP="004A0E2A">
      <w:pPr>
        <w:pStyle w:val="Paragrafi0"/>
      </w:pPr>
    </w:p>
    <w:p w:rsidR="0024793C" w:rsidRPr="00FB5CD5" w:rsidRDefault="0024793C" w:rsidP="004A0E2A">
      <w:pPr>
        <w:pStyle w:val="Paragrafi0"/>
      </w:pPr>
      <w:r>
        <w:t xml:space="preserve">1. a) </w:t>
      </w:r>
      <w:r w:rsidRPr="00FB5CD5">
        <w:t>Rrogat, pagat dhe shpërblime të tjera të ngja</w:t>
      </w:r>
      <w:r>
        <w:t>shme, përveç pensionit, që një shtet k</w:t>
      </w:r>
      <w:r w:rsidRPr="00FB5CD5">
        <w:t>ontraktues apo autoritet vendor i paguan një individi në lidhje me shërbimet që i janë bërë atij shteti apo au</w:t>
      </w:r>
      <w:r>
        <w:t>toriteti, tatohen vetëm në atë s</w:t>
      </w:r>
      <w:r w:rsidRPr="00FB5CD5">
        <w:t xml:space="preserve">htet. </w:t>
      </w:r>
    </w:p>
    <w:p w:rsidR="0024793C" w:rsidRPr="00FB5CD5" w:rsidRDefault="0024793C" w:rsidP="004A0E2A">
      <w:pPr>
        <w:pStyle w:val="Paragrafi0"/>
      </w:pPr>
      <w:r>
        <w:t>b) Megjithatë, këto paga</w:t>
      </w:r>
      <w:r w:rsidRPr="00FB5CD5">
        <w:t xml:space="preserve"> ose shpërblime të tjera të ngjashme do</w:t>
      </w:r>
      <w:r>
        <w:t xml:space="preserve"> të jenë të tatueshme vetëm në shtetin tjetër k</w:t>
      </w:r>
      <w:r w:rsidRPr="00FB5CD5">
        <w:t>ontraktues, nëse shërbimet kr</w:t>
      </w:r>
      <w:r>
        <w:t>yhen në atë s</w:t>
      </w:r>
      <w:r w:rsidRPr="00FB5CD5">
        <w:t xml:space="preserve">htet dhe nëse </w:t>
      </w:r>
      <w:r>
        <w:t>individi është rezident i atij s</w:t>
      </w:r>
      <w:r w:rsidRPr="00FB5CD5">
        <w:t xml:space="preserve">hteti dhe që: </w:t>
      </w:r>
    </w:p>
    <w:p w:rsidR="0024793C" w:rsidRPr="00FB5CD5" w:rsidRDefault="0024793C" w:rsidP="004A0E2A">
      <w:pPr>
        <w:pStyle w:val="Paragrafi0"/>
      </w:pPr>
      <w:r>
        <w:t>i) është shtetas i atij shteti;</w:t>
      </w:r>
      <w:r w:rsidRPr="00FB5CD5">
        <w:t xml:space="preserve"> ose </w:t>
      </w:r>
    </w:p>
    <w:p w:rsidR="0024793C" w:rsidRPr="00FB5CD5" w:rsidRDefault="0024793C" w:rsidP="004A0E2A">
      <w:pPr>
        <w:pStyle w:val="Paragrafi0"/>
      </w:pPr>
      <w:r>
        <w:t>ii) nuk është bërë rezident i atij s</w:t>
      </w:r>
      <w:r w:rsidRPr="00FB5CD5">
        <w:t>hteti vetëm për qëllim të kryerjes së shërbimeve.</w:t>
      </w:r>
    </w:p>
    <w:p w:rsidR="0024793C" w:rsidRPr="00FB5CD5" w:rsidRDefault="0024793C" w:rsidP="004A0E2A">
      <w:pPr>
        <w:pStyle w:val="Paragrafi0"/>
      </w:pPr>
      <w:r>
        <w:t>2. Dispozitat e neneve 14, 15, 16</w:t>
      </w:r>
      <w:r w:rsidRPr="00FB5CD5">
        <w:t xml:space="preserve"> dhe 17</w:t>
      </w:r>
      <w:r>
        <w:t xml:space="preserve"> do të</w:t>
      </w:r>
      <w:r w:rsidRPr="00FB5CD5">
        <w:t xml:space="preserve"> zbatohen për rrogat, pagat, dhe shpërblime të tjera të ngjashme, në lidhje me shërbimet e kryera për n</w:t>
      </w:r>
      <w:r>
        <w:t>jë biznes të zhvilluar nga një shtet k</w:t>
      </w:r>
      <w:r w:rsidRPr="00FB5CD5">
        <w:t xml:space="preserve">ontraktues ose autoritet lokal i tij. </w:t>
      </w:r>
    </w:p>
    <w:p w:rsidR="0024793C" w:rsidRDefault="0024793C" w:rsidP="004A0E2A">
      <w:pPr>
        <w:pStyle w:val="Paragrafi0"/>
      </w:pPr>
    </w:p>
    <w:p w:rsidR="0024793C" w:rsidRPr="00FB5CD5" w:rsidRDefault="0024793C" w:rsidP="004A0E2A">
      <w:pPr>
        <w:pStyle w:val="NeniNr"/>
        <w:keepNext w:val="0"/>
      </w:pPr>
      <w:r w:rsidRPr="00FB5CD5">
        <w:t>Neni 20</w:t>
      </w:r>
    </w:p>
    <w:p w:rsidR="0024793C" w:rsidRPr="00FB5CD5" w:rsidRDefault="0024793C" w:rsidP="004A0E2A">
      <w:pPr>
        <w:pStyle w:val="NeniTitull"/>
        <w:keepNext w:val="0"/>
      </w:pPr>
      <w:r w:rsidRPr="00FB5CD5">
        <w:t>Studentët</w:t>
      </w:r>
    </w:p>
    <w:p w:rsidR="0024793C" w:rsidRPr="00FB5CD5" w:rsidRDefault="0024793C" w:rsidP="004A0E2A">
      <w:pPr>
        <w:pStyle w:val="Paragrafi0"/>
      </w:pPr>
    </w:p>
    <w:p w:rsidR="0024793C" w:rsidRPr="00FB5CD5" w:rsidRDefault="0024793C" w:rsidP="004A0E2A">
      <w:pPr>
        <w:pStyle w:val="Paragrafi0"/>
      </w:pPr>
      <w:r w:rsidRPr="00FB5CD5">
        <w:t xml:space="preserve">Pagesat që merr një student, nxënës ose stazhier, i cili është ose ka qenë menjëherë para vizitës në shtetin kontraktues, rezident i shtetit tjetër kontraktues </w:t>
      </w:r>
      <w:r>
        <w:t>dhe që është i pranishëm në s</w:t>
      </w:r>
      <w:r w:rsidRPr="00FB5CD5">
        <w:t xml:space="preserve">htetin e parë vetëm për qëllime të edukimit ose trajnimit të tij, që merren për qëllimet e mbështetjes ekonomike, edukimit ose trajnimit të tij nuk do të tatohen në atë shtet, me kusht që këto pagesa të lindin nga burime jashtë atij shteti. </w:t>
      </w:r>
    </w:p>
    <w:p w:rsidR="0024793C" w:rsidRDefault="0024793C" w:rsidP="004A0E2A">
      <w:pPr>
        <w:pStyle w:val="Paragrafi0"/>
      </w:pPr>
    </w:p>
    <w:p w:rsidR="0024793C" w:rsidRPr="00FB5CD5" w:rsidRDefault="0024793C" w:rsidP="004A0E2A">
      <w:pPr>
        <w:pStyle w:val="NeniNr"/>
        <w:keepNext w:val="0"/>
      </w:pPr>
      <w:r w:rsidRPr="00FB5CD5">
        <w:t>Neni 21</w:t>
      </w:r>
    </w:p>
    <w:p w:rsidR="0024793C" w:rsidRPr="00FB5CD5" w:rsidRDefault="0024793C" w:rsidP="004A0E2A">
      <w:pPr>
        <w:pStyle w:val="NeniTitull"/>
        <w:keepNext w:val="0"/>
      </w:pPr>
      <w:r w:rsidRPr="00FB5CD5">
        <w:t>Të ardhura të tjera</w:t>
      </w:r>
    </w:p>
    <w:p w:rsidR="0024793C" w:rsidRPr="00FB5CD5" w:rsidRDefault="0024793C" w:rsidP="004A0E2A">
      <w:pPr>
        <w:pStyle w:val="Paragrafi0"/>
      </w:pPr>
    </w:p>
    <w:p w:rsidR="0024793C" w:rsidRPr="00FB5CD5" w:rsidRDefault="0024793C" w:rsidP="004A0E2A">
      <w:pPr>
        <w:pStyle w:val="Paragrafi0"/>
      </w:pPr>
      <w:r>
        <w:t xml:space="preserve">1. </w:t>
      </w:r>
      <w:r w:rsidRPr="00FB5CD5">
        <w:t>Zërat e të ardhurave të një rezidenti të një shteti kontraktues, në çdo kohë që</w:t>
      </w:r>
      <w:r>
        <w:t xml:space="preserve"> ato lindin, të patrajtuara në n</w:t>
      </w:r>
      <w:r w:rsidRPr="00FB5CD5">
        <w:t>enet e mësipërm</w:t>
      </w:r>
      <w:r>
        <w:t>e</w:t>
      </w:r>
      <w:r w:rsidRPr="00FB5CD5">
        <w:t xml:space="preserve"> të kësaj Konvente, do të tatohen vetëm në atë shtet.</w:t>
      </w:r>
    </w:p>
    <w:p w:rsidR="0024793C" w:rsidRPr="00FB5CD5" w:rsidRDefault="0024793C" w:rsidP="004A0E2A">
      <w:pPr>
        <w:pStyle w:val="Paragrafi0"/>
      </w:pPr>
      <w:r>
        <w:t xml:space="preserve">2. </w:t>
      </w:r>
      <w:r w:rsidRPr="00FB5CD5">
        <w:t xml:space="preserve">Dispozitat e paragrafit 1 nuk zbatohen për të ardhurat e ndryshme nga të ardhurat nga pasuria e paluajtshme, siç </w:t>
      </w:r>
      <w:r>
        <w:t>përcaktohet në paragrafin 2 të n</w:t>
      </w:r>
      <w:r w:rsidRPr="00FB5CD5">
        <w:t>enit 6, nëse marrësi i këtyre të ardhurave, duke qenë rezident i një shteti kontraktues, zhvillon biznesin në shtetin tjetër kontraktues nëpërmjet një selie të përhershme të vendosur në të ose kryen në atë shtet tjetër shërbime personale të pavarura nga një bazë fikse të vendosur në të dhe e drejta ose pasuria në lidhje me të cilat paguhen të ardhurat është efektivisht e lidhur me atë seli të përhershme ose bazë fikse. Në këtë rast, zbat</w:t>
      </w:r>
      <w:r>
        <w:t>ohen sipas rastit dispozitat e nenit 7 ose n</w:t>
      </w:r>
      <w:r w:rsidRPr="00FB5CD5">
        <w:t>enit 14.</w:t>
      </w:r>
    </w:p>
    <w:p w:rsidR="0024793C" w:rsidRDefault="0024793C" w:rsidP="004A0E2A">
      <w:pPr>
        <w:pStyle w:val="Paragrafi0"/>
      </w:pPr>
    </w:p>
    <w:p w:rsidR="009D0564" w:rsidRDefault="009D0564" w:rsidP="004A0E2A">
      <w:pPr>
        <w:pStyle w:val="Paragrafi0"/>
      </w:pPr>
    </w:p>
    <w:p w:rsidR="009D0564" w:rsidRDefault="009D0564" w:rsidP="004A0E2A">
      <w:pPr>
        <w:pStyle w:val="Paragrafi0"/>
      </w:pPr>
    </w:p>
    <w:p w:rsidR="0024793C" w:rsidRPr="00FB5CD5" w:rsidRDefault="0024793C" w:rsidP="004A0E2A">
      <w:pPr>
        <w:pStyle w:val="NeniNr"/>
        <w:keepNext w:val="0"/>
      </w:pPr>
      <w:r w:rsidRPr="00FB5CD5">
        <w:t>Neni 22</w:t>
      </w:r>
    </w:p>
    <w:p w:rsidR="0024793C" w:rsidRPr="00FB5CD5" w:rsidRDefault="0024793C" w:rsidP="004A0E2A">
      <w:pPr>
        <w:pStyle w:val="NeniTitull"/>
        <w:keepNext w:val="0"/>
      </w:pPr>
      <w:r>
        <w:t>Eli</w:t>
      </w:r>
      <w:r w:rsidRPr="00FB5CD5">
        <w:t>minimi i tatimit të dyfishtë</w:t>
      </w:r>
    </w:p>
    <w:p w:rsidR="0024793C" w:rsidRPr="00FB5CD5" w:rsidRDefault="0024793C" w:rsidP="004A0E2A">
      <w:pPr>
        <w:pStyle w:val="Paragrafi0"/>
      </w:pPr>
    </w:p>
    <w:p w:rsidR="0024793C" w:rsidRPr="00FB5CD5" w:rsidRDefault="0024793C" w:rsidP="004A0E2A">
      <w:pPr>
        <w:pStyle w:val="Paragrafi0"/>
      </w:pPr>
      <w:r>
        <w:t>Tatimi i dyfishtë eli</w:t>
      </w:r>
      <w:r w:rsidRPr="00FB5CD5">
        <w:t>minohet si më poshtë:</w:t>
      </w:r>
    </w:p>
    <w:p w:rsidR="0024793C" w:rsidRPr="00FB5CD5" w:rsidRDefault="0024793C" w:rsidP="004A0E2A">
      <w:pPr>
        <w:pStyle w:val="Paragrafi0"/>
      </w:pPr>
      <w:r w:rsidRPr="00FB5CD5">
        <w:t xml:space="preserve"> </w:t>
      </w:r>
      <w:r>
        <w:t xml:space="preserve">1. </w:t>
      </w:r>
      <w:r w:rsidRPr="00FB5CD5">
        <w:t xml:space="preserve">Në Shqipëri: </w:t>
      </w:r>
    </w:p>
    <w:p w:rsidR="0024793C" w:rsidRPr="00FB5CD5" w:rsidRDefault="0024793C" w:rsidP="004A0E2A">
      <w:pPr>
        <w:pStyle w:val="Paragrafi0"/>
      </w:pPr>
      <w:r w:rsidRPr="00FB5CD5">
        <w:t xml:space="preserve">Nëse një rezident i Shqipërisë përfton të ardhura që, në pajtim me dispozitat e kësaj Konvente, mund të tatohen në Estoni, Shqipëria lejon si zbritje nga tatimi shqiptar mbi të ardhurat e atij rezidenti një shumë të barabartë me tatimin mbi të ardhurat të paguar në Estoni. Megjithatë kjo zbritje nuk tejkalon atë pjesë të tatimit shqiptar mbi të ardhurat që llogariten para se të bëhet zbritja që, sipas rastit, i përket të ardhurave që mund të tatohen në Estoni. </w:t>
      </w:r>
    </w:p>
    <w:p w:rsidR="0024793C" w:rsidRPr="00FB5CD5" w:rsidRDefault="0024793C" w:rsidP="004A0E2A">
      <w:pPr>
        <w:pStyle w:val="Paragrafi0"/>
      </w:pPr>
      <w:r>
        <w:t xml:space="preserve">2. </w:t>
      </w:r>
      <w:r w:rsidRPr="00FB5CD5">
        <w:t xml:space="preserve">Në Estoni: </w:t>
      </w:r>
    </w:p>
    <w:p w:rsidR="0024793C" w:rsidRPr="00FB5CD5" w:rsidRDefault="0024793C" w:rsidP="004A0E2A">
      <w:pPr>
        <w:pStyle w:val="Paragrafi0"/>
      </w:pPr>
      <w:r>
        <w:t xml:space="preserve">a) </w:t>
      </w:r>
      <w:r w:rsidRPr="00FB5CD5">
        <w:t xml:space="preserve">Nëse një rezident i Estonisë përfton të ardhura, që në pajtim me dispozitat e kësaj Konvente, tatohen në </w:t>
      </w:r>
      <w:smartTag w:uri="urn:schemas-microsoft-com:office:smarttags" w:element="place">
        <w:smartTag w:uri="urn:schemas-microsoft-com:office:smarttags" w:element="City">
          <w:r w:rsidRPr="00FB5CD5">
            <w:t>Shqipëri</w:t>
          </w:r>
        </w:smartTag>
        <w:r w:rsidRPr="00FB5CD5">
          <w:t xml:space="preserve">, </w:t>
        </w:r>
        <w:smartTag w:uri="urn:schemas-microsoft-com:office:smarttags" w:element="country-region">
          <w:r w:rsidRPr="00FB5CD5">
            <w:t>Estonia</w:t>
          </w:r>
        </w:smartTag>
      </w:smartTag>
      <w:r>
        <w:t>, në pajtim me dispozitat e nën</w:t>
      </w:r>
      <w:r w:rsidRPr="00FB5CD5">
        <w:t xml:space="preserve">paragrafëve </w:t>
      </w:r>
      <w:r>
        <w:t>“b”</w:t>
      </w:r>
      <w:r w:rsidRPr="00FB5CD5">
        <w:t xml:space="preserve"> dhe paragrafin 3, i përjashton këto të ardhura nga tatimi. </w:t>
      </w:r>
    </w:p>
    <w:p w:rsidR="0024793C" w:rsidRPr="00FB5CD5" w:rsidRDefault="0024793C" w:rsidP="004A0E2A">
      <w:pPr>
        <w:pStyle w:val="Paragrafi0"/>
      </w:pPr>
      <w:r>
        <w:t xml:space="preserve">b)  </w:t>
      </w:r>
      <w:r w:rsidRPr="00FB5CD5">
        <w:t>Nëse një rezident i Estonisë merr të ardhura që në pajtim me dispozitat e:</w:t>
      </w:r>
    </w:p>
    <w:p w:rsidR="0024793C" w:rsidRPr="00FB5CD5" w:rsidRDefault="0024793C" w:rsidP="004A0E2A">
      <w:pPr>
        <w:pStyle w:val="Paragrafi0"/>
      </w:pPr>
      <w:r>
        <w:t>i)  nënparagrafit “b” të paragrafi 2 të n</w:t>
      </w:r>
      <w:r w:rsidRPr="00FB5CD5">
        <w:t xml:space="preserve">enit 10; ose </w:t>
      </w:r>
    </w:p>
    <w:p w:rsidR="0024793C" w:rsidRPr="00FB5CD5" w:rsidRDefault="0024793C" w:rsidP="004A0E2A">
      <w:pPr>
        <w:pStyle w:val="Paragrafi0"/>
      </w:pPr>
      <w:r>
        <w:t>ii)  paragrafit 2 të nenit</w:t>
      </w:r>
      <w:r w:rsidRPr="00FB5CD5">
        <w:t xml:space="preserve"> 11 ose 12; </w:t>
      </w:r>
    </w:p>
    <w:p w:rsidR="0024793C" w:rsidRPr="00FB5CD5" w:rsidRDefault="0024793C" w:rsidP="004A0E2A">
      <w:pPr>
        <w:pStyle w:val="Paragrafi0"/>
      </w:pPr>
      <w:r>
        <w:t xml:space="preserve">- </w:t>
      </w:r>
      <w:r w:rsidRPr="00FB5CD5">
        <w:t xml:space="preserve">mund të tatohen në </w:t>
      </w:r>
      <w:smartTag w:uri="urn:schemas-microsoft-com:office:smarttags" w:element="place">
        <w:smartTag w:uri="urn:schemas-microsoft-com:office:smarttags" w:element="City">
          <w:r w:rsidRPr="00FB5CD5">
            <w:t>Shqipëri</w:t>
          </w:r>
        </w:smartTag>
        <w:r w:rsidRPr="00FB5CD5">
          <w:t xml:space="preserve">, </w:t>
        </w:r>
        <w:smartTag w:uri="urn:schemas-microsoft-com:office:smarttags" w:element="country-region">
          <w:r w:rsidRPr="00FB5CD5">
            <w:t>Estonia</w:t>
          </w:r>
        </w:smartTag>
      </w:smartTag>
      <w:r w:rsidRPr="00FB5CD5">
        <w:t xml:space="preserve"> lejon si</w:t>
      </w:r>
      <w:r>
        <w:t xml:space="preserve"> një</w:t>
      </w:r>
      <w:r w:rsidRPr="00FB5CD5">
        <w:t xml:space="preserve"> zbritje nga tatimi mbi të ardhurat e atij rezidenti një shumë të barabar</w:t>
      </w:r>
      <w:r>
        <w:t>të me tatimin mbi të ardhurat e</w:t>
      </w:r>
      <w:r w:rsidRPr="00FB5CD5">
        <w:t xml:space="preserve"> paguar</w:t>
      </w:r>
      <w:r>
        <w:t>a</w:t>
      </w:r>
      <w:r w:rsidRPr="00FB5CD5">
        <w:t xml:space="preserve"> në Shqipëri. Megjithatë kjo zbritje nuk tejkalon atë pjesë të tatimit mbi të ardhurat në Estoni që llogariten para se të bëhet zbritja, që i përket të ardhurave që mund të tatohen në Shqipëri.</w:t>
      </w:r>
    </w:p>
    <w:p w:rsidR="0024793C" w:rsidRPr="00FB5CD5" w:rsidRDefault="0024793C" w:rsidP="004A0E2A">
      <w:pPr>
        <w:pStyle w:val="Paragrafi0"/>
      </w:pPr>
      <w:r>
        <w:t xml:space="preserve">3. </w:t>
      </w:r>
      <w:r w:rsidRPr="00FB5CD5">
        <w:t>Nëse në pajtim me një dispozitë të Konventës, të ardhurat e pë</w:t>
      </w:r>
      <w:r>
        <w:t>rftuara nga një rezident i një shteti k</w:t>
      </w:r>
      <w:r w:rsidRPr="00FB5CD5">
        <w:t>ontraktues p</w:t>
      </w:r>
      <w:r>
        <w:t>ërjashtohen nga tatimet në atë s</w:t>
      </w:r>
      <w:r w:rsidRPr="00FB5CD5">
        <w:t xml:space="preserve">htet, në llogaritjen e shumës së tatimit mbi të ardhurat e mbetura të këtij rezidenti, ai megjithatë merr parasysh të ardhurat e përjashtuara. </w:t>
      </w:r>
    </w:p>
    <w:p w:rsidR="0024793C" w:rsidRPr="00FB5CD5" w:rsidRDefault="0024793C" w:rsidP="004A0E2A">
      <w:pPr>
        <w:pStyle w:val="Paragrafi0"/>
      </w:pPr>
      <w:r>
        <w:t xml:space="preserve">4. </w:t>
      </w:r>
      <w:r w:rsidRPr="00FB5CD5">
        <w:t xml:space="preserve">Nëse, në pajtim me të drejtën e një shteti kontraktues, përjashtimi nga ose ulja e tatimeve që mbulohen nga kjo Konventë jepet për të </w:t>
      </w:r>
      <w:r>
        <w:t xml:space="preserve">inkurajuar </w:t>
      </w:r>
      <w:r w:rsidRPr="00FB5CD5">
        <w:t>zhvillimin ekonomik të atij shteti kontraktues, ky tatim konsiderohet të jetë paguar për qëllimet e pa</w:t>
      </w:r>
      <w:r>
        <w:t>ragrafëve të mësipërm të këtij neni. Autoritetet k</w:t>
      </w:r>
      <w:r w:rsidRPr="00FB5CD5">
        <w:t xml:space="preserve">ompetente njoftojnë njëra-tjetrën për këto përjashtime ose lehtësime apo ndryshimet në to. </w:t>
      </w:r>
    </w:p>
    <w:p w:rsidR="0024793C" w:rsidRPr="00545AFF" w:rsidRDefault="0024793C" w:rsidP="004A0E2A">
      <w:pPr>
        <w:pStyle w:val="Paragrafi0"/>
        <w:rPr>
          <w:sz w:val="18"/>
        </w:rPr>
      </w:pPr>
    </w:p>
    <w:p w:rsidR="0024793C" w:rsidRPr="00FB5CD5" w:rsidRDefault="0024793C" w:rsidP="004A0E2A">
      <w:pPr>
        <w:pStyle w:val="NeniNr"/>
        <w:keepNext w:val="0"/>
      </w:pPr>
      <w:r w:rsidRPr="00FB5CD5">
        <w:t>Neni 23</w:t>
      </w:r>
    </w:p>
    <w:p w:rsidR="0024793C" w:rsidRPr="00FB5CD5" w:rsidRDefault="0024793C" w:rsidP="004A0E2A">
      <w:pPr>
        <w:pStyle w:val="NeniTitull"/>
        <w:keepNext w:val="0"/>
      </w:pPr>
      <w:r>
        <w:t>Mos</w:t>
      </w:r>
      <w:r w:rsidRPr="00FB5CD5">
        <w:t>diskriminimi</w:t>
      </w:r>
    </w:p>
    <w:p w:rsidR="0024793C" w:rsidRPr="00FB5CD5" w:rsidRDefault="0024793C" w:rsidP="004A0E2A">
      <w:pPr>
        <w:pStyle w:val="Paragrafi0"/>
      </w:pPr>
    </w:p>
    <w:p w:rsidR="0024793C" w:rsidRPr="00FB5CD5" w:rsidRDefault="0024793C" w:rsidP="004A0E2A">
      <w:pPr>
        <w:pStyle w:val="Paragrafi0"/>
      </w:pPr>
      <w:r>
        <w:t xml:space="preserve">1. </w:t>
      </w:r>
      <w:r w:rsidRPr="00FB5CD5">
        <w:t xml:space="preserve">Shtetasit e një shteti kontraktues nuk i nënshtrohen në shtetin tjetër kontraktues asnjë tatimi apo kërkese që lidhet me të, që është e ndryshme ose më e rëndë sesa tatimi dhe kërkesat në lidhje me të, të cilat u nënshtrohen apo mund t’u nënshtrohen shtetasit e shtetit </w:t>
      </w:r>
      <w:r>
        <w:t>tjetër në të njëjtat rrethana, sidomos</w:t>
      </w:r>
      <w:r w:rsidRPr="00FB5CD5">
        <w:t xml:space="preserve"> në lidhje me rezidencën. </w:t>
      </w:r>
    </w:p>
    <w:p w:rsidR="0024793C" w:rsidRPr="00FB5CD5" w:rsidRDefault="0024793C" w:rsidP="004A0E2A">
      <w:pPr>
        <w:pStyle w:val="Paragrafi0"/>
      </w:pPr>
      <w:r>
        <w:t xml:space="preserve">2. </w:t>
      </w:r>
      <w:r w:rsidRPr="00FB5CD5">
        <w:t xml:space="preserve">Tatimi mbi një seli të përhershme që një ndërmarrje </w:t>
      </w:r>
      <w:r>
        <w:t>e një shteti kontraktues ka në shtetin tjetër k</w:t>
      </w:r>
      <w:r w:rsidRPr="00FB5CD5">
        <w:t>ontraktues, nuk do të vendoset në mën</w:t>
      </w:r>
      <w:r>
        <w:t>yrë më pak të favorshme në atë s</w:t>
      </w:r>
      <w:r w:rsidRPr="00FB5CD5">
        <w:t>htet tjetër sesa tatimi i v</w:t>
      </w:r>
      <w:r>
        <w:t>endosur mbi ndërmarrjet e atij s</w:t>
      </w:r>
      <w:r w:rsidRPr="00FB5CD5">
        <w:t xml:space="preserve">hteti tjetër që zhvillon të njëjtat aktivitete. </w:t>
      </w:r>
    </w:p>
    <w:p w:rsidR="0024793C" w:rsidRPr="00FB5CD5" w:rsidRDefault="0024793C" w:rsidP="004A0E2A">
      <w:pPr>
        <w:pStyle w:val="Paragrafi0"/>
      </w:pPr>
      <w:r>
        <w:t xml:space="preserve">3. </w:t>
      </w:r>
      <w:r w:rsidRPr="00FB5CD5">
        <w:t>Përveç rasteve kur zbatohe</w:t>
      </w:r>
      <w:r>
        <w:t>n dispozitat e paragrafit 1 të nenit 9, të paragrafit 7 të nenit 11 ose të paragrafit 6 të nenit 12, interesi, tarifat e lic</w:t>
      </w:r>
      <w:r w:rsidRPr="00FB5CD5">
        <w:t>encave dhe disbursime të tjera të paguara nga një ndërm</w:t>
      </w:r>
      <w:r>
        <w:t>arrje e një s</w:t>
      </w:r>
      <w:r w:rsidRPr="00FB5CD5">
        <w:t>htet</w:t>
      </w:r>
      <w:r>
        <w:t>i kontraktues një rezidenti të shtetit tjetër k</w:t>
      </w:r>
      <w:r w:rsidRPr="00FB5CD5">
        <w:t>ontraktues, për qëllim të përcaktimit të fitimeve të tatueshme të kësaj ndërmarrjeje, do të jenë të zbritshme sipas të njëjtave kushte sikur t’i</w:t>
      </w:r>
      <w:r>
        <w:t xml:space="preserve"> ishin paguar një rezidenti të s</w:t>
      </w:r>
      <w:r w:rsidRPr="00FB5CD5">
        <w:t xml:space="preserve">htetit të përmendur më parë. </w:t>
      </w:r>
    </w:p>
    <w:p w:rsidR="0024793C" w:rsidRPr="00FB5CD5" w:rsidRDefault="0024793C" w:rsidP="004A0E2A">
      <w:pPr>
        <w:pStyle w:val="Paragrafi0"/>
      </w:pPr>
      <w:r>
        <w:t>4. Ndërmarrjet e një shteti k</w:t>
      </w:r>
      <w:r w:rsidRPr="00FB5CD5">
        <w:t>ontraktues, kapitali i të cilave është në pronësi ose zotërohet tërësisht ose pjesërisht, në mënyrë të drejtpërdrejtë apo jo nga një ose më shu</w:t>
      </w:r>
      <w:r>
        <w:t>më rezidentë të shtetit tjetër k</w:t>
      </w:r>
      <w:r w:rsidRPr="00FB5CD5">
        <w:t>ontraktues, nuk i nënshtrohet asnjë ta</w:t>
      </w:r>
      <w:r>
        <w:t>timi në s</w:t>
      </w:r>
      <w:r w:rsidRPr="00FB5CD5">
        <w:t>htetin e përmendur më parë dhe asnjë kërkese në lidhje me të, që është e ndryshme ose më e rëndë se tatimi dhe kërkes</w:t>
      </w:r>
      <w:r>
        <w:t>at e ngjashme të cilave mund t’u</w:t>
      </w:r>
      <w:r w:rsidRPr="00FB5CD5">
        <w:t xml:space="preserve"> nënshtrohen ndër</w:t>
      </w:r>
      <w:r>
        <w:t>marrje të tjera të ngjashme të s</w:t>
      </w:r>
      <w:r w:rsidRPr="00FB5CD5">
        <w:t>htetit të përmendur më parë.</w:t>
      </w:r>
    </w:p>
    <w:p w:rsidR="0024793C" w:rsidRPr="00FB5CD5" w:rsidRDefault="0024793C" w:rsidP="004A0E2A">
      <w:pPr>
        <w:pStyle w:val="Paragrafi0"/>
      </w:pPr>
      <w:r>
        <w:t xml:space="preserve">5. </w:t>
      </w:r>
      <w:r w:rsidRPr="00FB5CD5">
        <w:t>Dispozitat e këti</w:t>
      </w:r>
      <w:r>
        <w:t>j n</w:t>
      </w:r>
      <w:r w:rsidRPr="00FB5CD5">
        <w:t>eni nuk in</w:t>
      </w:r>
      <w:r>
        <w:t>terpretohen si detyrim për një shtet k</w:t>
      </w:r>
      <w:r w:rsidRPr="00FB5CD5">
        <w:t>ontraktue</w:t>
      </w:r>
      <w:r>
        <w:t>s për t’u dhënë rezidentëve të shtetit tjetër k</w:t>
      </w:r>
      <w:r w:rsidRPr="00FB5CD5">
        <w:t xml:space="preserve">ontraktues honorare, lehtësime dhe ulje personale për qëllime tatimore për shkak të gjendjes civile ose përgjegjësive familjare që u jep rezidentëve të tij. </w:t>
      </w:r>
    </w:p>
    <w:p w:rsidR="0024793C" w:rsidRPr="00FB5CD5" w:rsidRDefault="0024793C" w:rsidP="004A0E2A">
      <w:pPr>
        <w:pStyle w:val="Paragrafi0"/>
      </w:pPr>
      <w:r>
        <w:t>6. Dispozitat e këtij n</w:t>
      </w:r>
      <w:r w:rsidRPr="00FB5CD5">
        <w:t>e</w:t>
      </w:r>
      <w:r>
        <w:t>ni, pavarësisht dispozitave të nenit 2, nuk zbatohen për tatime q</w:t>
      </w:r>
      <w:r w:rsidRPr="00FB5CD5">
        <w:t>ë</w:t>
      </w:r>
      <w:r>
        <w:t xml:space="preserve"> i nënshtrohen kësaj konvente</w:t>
      </w:r>
      <w:r w:rsidRPr="00FB5CD5">
        <w:t xml:space="preserve">. </w:t>
      </w:r>
    </w:p>
    <w:p w:rsidR="0024793C" w:rsidRPr="00FB5CD5" w:rsidRDefault="0024793C" w:rsidP="004A0E2A">
      <w:pPr>
        <w:pStyle w:val="Paragrafi0"/>
      </w:pPr>
    </w:p>
    <w:p w:rsidR="0024793C" w:rsidRPr="00FB5CD5" w:rsidRDefault="0024793C" w:rsidP="004A0E2A">
      <w:pPr>
        <w:pStyle w:val="NeniNr"/>
        <w:keepNext w:val="0"/>
      </w:pPr>
      <w:r w:rsidRPr="00FB5CD5">
        <w:t>Neni 24</w:t>
      </w:r>
    </w:p>
    <w:p w:rsidR="0024793C" w:rsidRPr="00FB5CD5" w:rsidRDefault="0024793C" w:rsidP="004A0E2A">
      <w:pPr>
        <w:pStyle w:val="NeniTitull"/>
        <w:keepNext w:val="0"/>
      </w:pPr>
      <w:r w:rsidRPr="00FB5CD5">
        <w:t>Proce</w:t>
      </w:r>
      <w:r>
        <w:t>dura e marrëveshjes së ndërsjell</w:t>
      </w:r>
      <w:r w:rsidRPr="00FB5CD5">
        <w:t>ë</w:t>
      </w:r>
    </w:p>
    <w:p w:rsidR="0024793C" w:rsidRPr="00FB5CD5" w:rsidRDefault="0024793C" w:rsidP="004A0E2A">
      <w:pPr>
        <w:pStyle w:val="Paragrafi0"/>
      </w:pPr>
    </w:p>
    <w:p w:rsidR="0024793C" w:rsidRPr="00FB5CD5" w:rsidRDefault="0024793C" w:rsidP="004A0E2A">
      <w:pPr>
        <w:pStyle w:val="Paragrafi0"/>
      </w:pPr>
      <w:r>
        <w:t xml:space="preserve">1. </w:t>
      </w:r>
      <w:r w:rsidRPr="00FB5CD5">
        <w:t>Kur një person konsideron se veprimet e një ose të dy shteteve kontraktues</w:t>
      </w:r>
      <w:r>
        <w:t>e</w:t>
      </w:r>
      <w:r w:rsidRPr="00FB5CD5">
        <w:t xml:space="preserve"> rezultojnë ose do të rezultojnë për të në tatim në mospajtim me dispozitat e kësaj Konvente, pavarësisht nga mjetet e parashikuara nga legjislacioni i brendshëm i atyre shteteve, ai mund t’ia paraqesë çështjen e tij autoritetit kompetent të shtetit kontraktues në të cilin është rezident ose nëse çështja e ti</w:t>
      </w:r>
      <w:r>
        <w:t>j trajtohet në paragrafin 1 të n</w:t>
      </w:r>
      <w:r w:rsidRPr="00FB5CD5">
        <w:t>enit 23, të shtetit kontraktues në të cilin është shtetas. Çësh</w:t>
      </w:r>
      <w:r>
        <w:t>tja mund të paraqitet brenda tri vjeteve</w:t>
      </w:r>
      <w:r w:rsidRPr="00FB5CD5">
        <w:t xml:space="preserve"> nga njoftimi i parë i veprimit që rezulton në tatimin në mospajtim me dispozitat e Konventës. </w:t>
      </w:r>
    </w:p>
    <w:p w:rsidR="0024793C" w:rsidRPr="00FB5CD5" w:rsidRDefault="0024793C" w:rsidP="004A0E2A">
      <w:pPr>
        <w:pStyle w:val="Paragrafi0"/>
      </w:pPr>
      <w:r>
        <w:t xml:space="preserve">2. </w:t>
      </w:r>
      <w:r w:rsidRPr="00FB5CD5">
        <w:t>Autoriteti kompetent, nëse mendon që kundërshtimi është i bazuar dhe nëse nuk është vetë në gjendje për të arritur një zgjidhje të pranueshme, përpiqet të zgjidhë me a</w:t>
      </w:r>
      <w:r>
        <w:t>në të marrëveshjes së ndërsjellë me autoritetin kompetent të shtetit tjetër k</w:t>
      </w:r>
      <w:r w:rsidRPr="00FB5CD5">
        <w:t xml:space="preserve">ontraktues, me qëllim mënjanimin e tatimit që nuk </w:t>
      </w:r>
      <w:r>
        <w:t>është në pajtim me këtë Konventë</w:t>
      </w:r>
      <w:r w:rsidRPr="00FB5CD5">
        <w:t>. Marrëve</w:t>
      </w:r>
      <w:r>
        <w:t>shja lidhet për një periudhë dy</w:t>
      </w:r>
      <w:r w:rsidRPr="00FB5CD5">
        <w:t>vjeçare pas ngritjes së çështjes formalisht nga autoriteti kompetent dhe marrëveshja e arritur zbatohet pavarësisht afateve k</w:t>
      </w:r>
      <w:r>
        <w:t>ohore në ligjin e brendshëm të shteteve k</w:t>
      </w:r>
      <w:r w:rsidRPr="00FB5CD5">
        <w:t>ontraktues</w:t>
      </w:r>
      <w:r>
        <w:t>e</w:t>
      </w:r>
      <w:r w:rsidRPr="00FB5CD5">
        <w:t>.</w:t>
      </w:r>
    </w:p>
    <w:p w:rsidR="0024793C" w:rsidRPr="00FB5CD5" w:rsidRDefault="0024793C" w:rsidP="004A0E2A">
      <w:pPr>
        <w:pStyle w:val="Paragrafi0"/>
      </w:pPr>
      <w:r>
        <w:t>3. Autoritetet kompetente të shteteve k</w:t>
      </w:r>
      <w:r w:rsidRPr="00FB5CD5">
        <w:t>ontraktues</w:t>
      </w:r>
      <w:r>
        <w:t>e</w:t>
      </w:r>
      <w:r w:rsidRPr="00FB5CD5">
        <w:t xml:space="preserve"> përpiqen të zgjidhin me a</w:t>
      </w:r>
      <w:r>
        <w:t>në të marrëveshjes së ndërsjell</w:t>
      </w:r>
      <w:r w:rsidRPr="00FB5CD5">
        <w:t>ë çdo vështirësi ose dyshim që lind në lidhje me interpretim</w:t>
      </w:r>
      <w:r>
        <w:t>in ose zbatimin e Konventës. Ato</w:t>
      </w:r>
      <w:r w:rsidRPr="00FB5CD5">
        <w:t xml:space="preserve"> gjithashtu mund të konsultohen së bashku për eliminimin e tatimit të dyfishtë në rastet të cilat nuk janë parashikuar në Konventë. </w:t>
      </w:r>
    </w:p>
    <w:p w:rsidR="0024793C" w:rsidRPr="00FB5CD5" w:rsidRDefault="0024793C" w:rsidP="004A0E2A">
      <w:pPr>
        <w:pStyle w:val="Paragrafi0"/>
      </w:pPr>
      <w:r>
        <w:t>4. Autoritetet kompetente të shteteve k</w:t>
      </w:r>
      <w:r w:rsidRPr="00FB5CD5">
        <w:t>ontraktues</w:t>
      </w:r>
      <w:r>
        <w:t>e mund të komunikojnë me njëra-tjetrë</w:t>
      </w:r>
      <w:r w:rsidRPr="00FB5CD5">
        <w:t>n në mënyrë të drejtpërdrejtë, për qëllim të arritjes së një marrëveshjeje në kuptimin e  paragrafëve të mësipërm.</w:t>
      </w:r>
    </w:p>
    <w:p w:rsidR="0024793C" w:rsidRDefault="0024793C" w:rsidP="004A0E2A">
      <w:pPr>
        <w:pStyle w:val="Paragrafi0"/>
      </w:pPr>
    </w:p>
    <w:p w:rsidR="0024793C" w:rsidRPr="00FB5CD5" w:rsidRDefault="0024793C" w:rsidP="004A0E2A">
      <w:pPr>
        <w:pStyle w:val="NeniNr"/>
        <w:keepNext w:val="0"/>
      </w:pPr>
      <w:r w:rsidRPr="00FB5CD5">
        <w:t>Neni 25</w:t>
      </w:r>
    </w:p>
    <w:p w:rsidR="0024793C" w:rsidRPr="00FB5CD5" w:rsidRDefault="0024793C" w:rsidP="004A0E2A">
      <w:pPr>
        <w:pStyle w:val="NeniTitull"/>
        <w:keepNext w:val="0"/>
      </w:pPr>
      <w:r w:rsidRPr="00FB5CD5">
        <w:t>Shkëmbimi i informacionit</w:t>
      </w:r>
    </w:p>
    <w:p w:rsidR="0024793C" w:rsidRPr="00FB5CD5" w:rsidRDefault="0024793C" w:rsidP="004A0E2A">
      <w:pPr>
        <w:pStyle w:val="Paragrafi0"/>
      </w:pPr>
    </w:p>
    <w:p w:rsidR="0024793C" w:rsidRPr="00FB5CD5" w:rsidRDefault="0024793C" w:rsidP="004A0E2A">
      <w:pPr>
        <w:pStyle w:val="Paragrafi0"/>
      </w:pPr>
      <w:r w:rsidRPr="00FB5CD5">
        <w:t>1. Autoritetet kompetente të shteteve kontraktues</w:t>
      </w:r>
      <w:r>
        <w:t>e</w:t>
      </w:r>
      <w:r w:rsidRPr="00FB5CD5">
        <w:t xml:space="preserve"> shkëmbejnë informacionin e nevojshëm për zbatimin e dispozitave të kësaj Konvente ose për administrimin ose zbatimin e ligjeve të brendshme në lidhje me tatimet e çdo lloji dhe përshkrimi të vendosur në emër të shteteve kontraktuese ose autoriteteve lokale, në masën që tatimi sipas tyre nuk është në kundërshtim me Konventën. Shkëmbimi i inform</w:t>
      </w:r>
      <w:r>
        <w:t>acionit nuk kufizohet nga n</w:t>
      </w:r>
      <w:r w:rsidRPr="00FB5CD5">
        <w:t>enet 1 dhe 2.</w:t>
      </w:r>
    </w:p>
    <w:p w:rsidR="0024793C" w:rsidRPr="00FB5CD5" w:rsidRDefault="0024793C" w:rsidP="004A0E2A">
      <w:pPr>
        <w:pStyle w:val="Paragrafi0"/>
      </w:pPr>
      <w:r w:rsidRPr="00FB5CD5">
        <w:t>2. Çdo informacion i marrë sipas paragrafit 1 nga një shtet kontraktues trajtohet si konfidencial në të njëjtën mënyrë si informacioni i përftuar sipa</w:t>
      </w:r>
      <w:r>
        <w:t>s ligjeve të brendshme të atij s</w:t>
      </w:r>
      <w:r w:rsidRPr="00FB5CD5">
        <w:t xml:space="preserve">hteti dhe u deklarohet vetëm personave ose autoriteteve (duke përfshirë gjykatat dhe organet administrative) që merren me vlerësimin ose mbledhjen, zbatimin ose procedimin në lidhje me ose përcaktimin e ankimeve në lidhje me tatimet e përmendura në paragrafin 1, ose mbikëqyrjen sa më sipër. Këta persona ose autoritete e përdorin informacionin vetëm për këto qëllime. Ata mund ta deklarojnë informacionin në gjykime me dyer të hapura ose vendime gjyqësore. </w:t>
      </w:r>
    </w:p>
    <w:p w:rsidR="0024793C" w:rsidRPr="00FB5CD5" w:rsidRDefault="0024793C" w:rsidP="004A0E2A">
      <w:pPr>
        <w:pStyle w:val="Paragrafi0"/>
      </w:pPr>
      <w:r w:rsidRPr="00FB5CD5">
        <w:t>3. Në asn</w:t>
      </w:r>
      <w:r>
        <w:t>jë rast, dispozitat e paragrafëve</w:t>
      </w:r>
      <w:r w:rsidRPr="00FB5CD5">
        <w:t xml:space="preserve"> 1 dhe 2 nuk interpretohen sikur vendosin mbi një shtet kontraktues detyrimin: </w:t>
      </w:r>
    </w:p>
    <w:p w:rsidR="0024793C" w:rsidRPr="00FB5CD5" w:rsidRDefault="0024793C" w:rsidP="004A0E2A">
      <w:pPr>
        <w:pStyle w:val="Paragrafi0"/>
      </w:pPr>
      <w:r w:rsidRPr="00FB5CD5">
        <w:t xml:space="preserve">a) për të realizuar masa administrative në mospajtim me ligjet dhe praktikën administrative të atij ose të shtetit tjetër kontraktues; </w:t>
      </w:r>
    </w:p>
    <w:p w:rsidR="0024793C" w:rsidRPr="00FB5CD5" w:rsidRDefault="0024793C" w:rsidP="004A0E2A">
      <w:pPr>
        <w:pStyle w:val="Paragrafi0"/>
      </w:pPr>
      <w:r w:rsidRPr="00FB5CD5">
        <w:t xml:space="preserve">b) për të siguruar informacion që nuk mund të merret sipas ligjeve ose në rrugën normale të administratës së tij ose të shtetit tjetër kontraktues; </w:t>
      </w:r>
    </w:p>
    <w:p w:rsidR="0024793C" w:rsidRPr="00FB5CD5" w:rsidRDefault="0024793C" w:rsidP="004A0E2A">
      <w:pPr>
        <w:pStyle w:val="Paragrafi0"/>
      </w:pPr>
      <w:r w:rsidRPr="00FB5CD5">
        <w:t xml:space="preserve">c) të japin informacion që do të zbulonte çdo sekret tregtar, biznesi, industrial ose profesional ose proces tregtar apo informacion, zbulimi i të cilit do të ishte në kundërshtim me politikën publike (rendin publik). </w:t>
      </w:r>
    </w:p>
    <w:p w:rsidR="0024793C" w:rsidRPr="00FB5CD5" w:rsidRDefault="0024793C" w:rsidP="004A0E2A">
      <w:pPr>
        <w:pStyle w:val="Paragrafi0"/>
      </w:pPr>
      <w:r w:rsidRPr="00FB5CD5">
        <w:t>4. Nëse</w:t>
      </w:r>
      <w:r>
        <w:t xml:space="preserve"> informacioni kërkohet nga një s</w:t>
      </w:r>
      <w:r w:rsidRPr="00FB5CD5">
        <w:t>htet</w:t>
      </w:r>
      <w:r>
        <w:t xml:space="preserve"> kontraktues në pajtim me këtë nen, s</w:t>
      </w:r>
      <w:r w:rsidRPr="00FB5CD5">
        <w:t>hteti tjetër kontraktues zbaton masat për mbledhjen e informacio</w:t>
      </w:r>
      <w:r>
        <w:t>nit të kërkuar edhe nëse këtij s</w:t>
      </w:r>
      <w:r w:rsidRPr="00FB5CD5">
        <w:t>hteti nuk i duhet ky informacion për qëllimet e veta tatimore. Detyrimi i parashikuar në fjalinë e mësipërme i nënshtrohet kufizimit të paragrafit 3, por në asnjë rast këto kufizime nuk i</w:t>
      </w:r>
      <w:r>
        <w:t>nterpretohen sikur lejojnë një shtet k</w:t>
      </w:r>
      <w:r w:rsidRPr="00FB5CD5">
        <w:t xml:space="preserve">ontraktues të mos japë informacion vetëm pasi ai nuk ka interes të brendshëm për këtë informacion. </w:t>
      </w:r>
    </w:p>
    <w:p w:rsidR="0024793C" w:rsidRPr="00FB5CD5" w:rsidRDefault="0024793C" w:rsidP="004A0E2A">
      <w:pPr>
        <w:pStyle w:val="Paragrafi0"/>
      </w:pPr>
      <w:r w:rsidRPr="00FB5CD5">
        <w:t>5. Në asnjë rast dispozita e paragrafit 3 nuk</w:t>
      </w:r>
      <w:r>
        <w:t xml:space="preserve"> interpretohet sikur lejon një shtet k</w:t>
      </w:r>
      <w:r w:rsidRPr="00FB5CD5">
        <w:t xml:space="preserve">ontraktues të mos japë informacion vetëm pasi informacioni zotërohet nga një bankë, institucion tjetër financiar, i emëruar ose person që vepron në një agjenci ose në cilësi mirëbesimi ose për shkak se ka të bëjë me interesa pronësie të një personi. </w:t>
      </w:r>
    </w:p>
    <w:p w:rsidR="0024793C" w:rsidRPr="00E8548D" w:rsidRDefault="0024793C" w:rsidP="004A0E2A">
      <w:pPr>
        <w:pStyle w:val="Paragrafi0"/>
        <w:rPr>
          <w:sz w:val="16"/>
        </w:rPr>
      </w:pPr>
    </w:p>
    <w:p w:rsidR="0024793C" w:rsidRPr="00FB5CD5" w:rsidRDefault="0024793C" w:rsidP="004A0E2A">
      <w:pPr>
        <w:pStyle w:val="NeniNr"/>
        <w:keepNext w:val="0"/>
      </w:pPr>
      <w:r w:rsidRPr="00FB5CD5">
        <w:t>Neni 26</w:t>
      </w:r>
    </w:p>
    <w:p w:rsidR="0024793C" w:rsidRPr="00FB5CD5" w:rsidRDefault="0024793C" w:rsidP="004A0E2A">
      <w:pPr>
        <w:pStyle w:val="NeniTitull"/>
        <w:keepNext w:val="0"/>
      </w:pPr>
      <w:r w:rsidRPr="00FB5CD5">
        <w:t>Asistenca në mbledhjen e tatimeve</w:t>
      </w:r>
    </w:p>
    <w:p w:rsidR="0024793C" w:rsidRPr="00E8548D" w:rsidRDefault="0024793C" w:rsidP="004A0E2A">
      <w:pPr>
        <w:pStyle w:val="Paragrafi0"/>
        <w:rPr>
          <w:sz w:val="14"/>
        </w:rPr>
      </w:pPr>
    </w:p>
    <w:p w:rsidR="0024793C" w:rsidRPr="00FB5CD5" w:rsidRDefault="0024793C" w:rsidP="004A0E2A">
      <w:pPr>
        <w:pStyle w:val="Paragrafi0"/>
      </w:pPr>
      <w:r>
        <w:t>1. Shtetet k</w:t>
      </w:r>
      <w:r w:rsidRPr="00FB5CD5">
        <w:t>ontraktues</w:t>
      </w:r>
      <w:r>
        <w:t>e i japin njëra-tjetrës</w:t>
      </w:r>
      <w:r w:rsidRPr="00FB5CD5">
        <w:t xml:space="preserve"> asistencë në mbledhjen e pretendimeve të të ardhurave. Kjo asistencë nuk </w:t>
      </w:r>
      <w:r>
        <w:t>kufizohet nga n</w:t>
      </w:r>
      <w:r w:rsidRPr="00FB5CD5">
        <w:t>enet 1 dh</w:t>
      </w:r>
      <w:r>
        <w:t>e 2. Autoritetet kompetente të shteteve k</w:t>
      </w:r>
      <w:r w:rsidRPr="00FB5CD5">
        <w:t>ontraktuese mund të zgjidhin me marrëveshje recipro</w:t>
      </w:r>
      <w:r>
        <w:t>ke mënyrën e zbatimit të këtij n</w:t>
      </w:r>
      <w:r w:rsidRPr="00FB5CD5">
        <w:t xml:space="preserve">eni. </w:t>
      </w:r>
    </w:p>
    <w:p w:rsidR="0024793C" w:rsidRPr="00FB5CD5" w:rsidRDefault="0024793C" w:rsidP="004A0E2A">
      <w:pPr>
        <w:pStyle w:val="Paragrafi0"/>
      </w:pPr>
      <w:r w:rsidRPr="00FB5CD5">
        <w:t xml:space="preserve">2. Termi “pretendim për </w:t>
      </w:r>
      <w:r>
        <w:t>të ardhura” i përdorur në këtë n</w:t>
      </w:r>
      <w:r w:rsidRPr="00FB5CD5">
        <w:t>en është shuma që duhet të paguhet në lidhje me tatimet e çdo lloji dhe pë</w:t>
      </w:r>
      <w:r>
        <w:t>rshkrimi të caktuar në emër të shteteve k</w:t>
      </w:r>
      <w:r w:rsidRPr="00FB5CD5">
        <w:t xml:space="preserve">ontraktuese ose autoriteteve lokale, nëse tatimi sipas tyre nuk është në kundërshtim me këtë Konventë ose </w:t>
      </w:r>
      <w:r>
        <w:t>një instrument ku janë palë dy shtetet k</w:t>
      </w:r>
      <w:r w:rsidRPr="00FB5CD5">
        <w:t>ontraktuese, si dhe interesat, gjobat administrati</w:t>
      </w:r>
      <w:r>
        <w:t>ve dhe shpenzimet e mbledhjes dh</w:t>
      </w:r>
      <w:r w:rsidRPr="00FB5CD5">
        <w:t xml:space="preserve">e ruajtjes së një shume të tillë. </w:t>
      </w:r>
    </w:p>
    <w:p w:rsidR="0024793C" w:rsidRPr="00FB5CD5" w:rsidRDefault="0024793C" w:rsidP="004A0E2A">
      <w:pPr>
        <w:pStyle w:val="Paragrafi0"/>
      </w:pPr>
      <w:r w:rsidRPr="00FB5CD5">
        <w:t xml:space="preserve">3. Nëse një </w:t>
      </w:r>
      <w:r>
        <w:t>pretendim për të ardhura i një shteti k</w:t>
      </w:r>
      <w:r w:rsidRPr="00FB5CD5">
        <w:t>ontraktues është i ekzek</w:t>
      </w:r>
      <w:r>
        <w:t>utueshëm sipas ligjeve të atij s</w:t>
      </w:r>
      <w:r w:rsidRPr="00FB5CD5">
        <w:t>hteti dhe është në pronësi të një personi që, për momentin, sipas ligjeve</w:t>
      </w:r>
      <w:r>
        <w:t xml:space="preserve"> të atij s</w:t>
      </w:r>
      <w:r w:rsidRPr="00FB5CD5">
        <w:t>hteti, nuk mund të pengojë vjeljen e tij, ai pretendim për të ardhura, me kërkesë të</w:t>
      </w:r>
      <w:r>
        <w:t xml:space="preserve"> autoritetit kompetent të atij s</w:t>
      </w:r>
      <w:r w:rsidRPr="00FB5CD5">
        <w:t>hteti, mund të pranohet për qëllimet e mbledh</w:t>
      </w:r>
      <w:r>
        <w:t>jes nga autoriteti kompetent i shtetit tjetër k</w:t>
      </w:r>
      <w:r w:rsidRPr="00FB5CD5">
        <w:t xml:space="preserve">ontraktues. Pretendimi për të ardhura </w:t>
      </w:r>
      <w:r>
        <w:t>realizohet nga s</w:t>
      </w:r>
      <w:r w:rsidRPr="00FB5CD5">
        <w:t>hteti tjetër në pajtim me dispozitat e ligjit të tij që zbatohen për zbatimin dhe mbledhjen e tatimeve të veta sikur pretendimi për të ard</w:t>
      </w:r>
      <w:r>
        <w:t>hura të ishte pretendim i atij s</w:t>
      </w:r>
      <w:r w:rsidRPr="00FB5CD5">
        <w:t xml:space="preserve">hteti tjetër. </w:t>
      </w:r>
    </w:p>
    <w:p w:rsidR="0024793C" w:rsidRPr="00FB5CD5" w:rsidRDefault="0024793C" w:rsidP="004A0E2A">
      <w:pPr>
        <w:pStyle w:val="Paragrafi0"/>
      </w:pPr>
      <w:r w:rsidRPr="00FB5CD5">
        <w:t xml:space="preserve">4. Nëse një </w:t>
      </w:r>
      <w:r>
        <w:t>pretendim për të ardhura i një shteti k</w:t>
      </w:r>
      <w:r w:rsidRPr="00FB5CD5">
        <w:t>ontraktues është një pret</w:t>
      </w:r>
      <w:r>
        <w:t>endim në lidhje me të cilin ai s</w:t>
      </w:r>
      <w:r w:rsidRPr="00FB5CD5">
        <w:t>htet, në bazë të ligjeve të tij, mund të marrë masa ruajtjeje për të siguruar vjeljen, ai pretendim për të ardhura, me kërkesë të</w:t>
      </w:r>
      <w:r>
        <w:t xml:space="preserve"> autoritetit kompetent të atij s</w:t>
      </w:r>
      <w:r w:rsidRPr="00FB5CD5">
        <w:t>hteti, pranohet për qëllimet e marrjes së masave të ruajt</w:t>
      </w:r>
      <w:r>
        <w:t>jes nga autoriteti kompetent i shtetit tjetër kontraktues. Shteti tjetër k</w:t>
      </w:r>
      <w:r w:rsidRPr="00FB5CD5">
        <w:t>ontraktues merr masa për ruajtjen në lidhje me atë pretendim për të ardhura në pajtim me dispozitat e ligjeve të tij sikur pretendimi për të ardhura të ishte një prete</w:t>
      </w:r>
      <w:r>
        <w:t>ndim i atij s</w:t>
      </w:r>
      <w:r w:rsidRPr="00FB5CD5">
        <w:t>hteti tjetër edhe nëse, në momentin kur zbatohet një masë e tillë, pretendimi për të ard</w:t>
      </w:r>
      <w:r>
        <w:t>hura nuk është i zbatueshëm në s</w:t>
      </w:r>
      <w:r w:rsidRPr="00FB5CD5">
        <w:t xml:space="preserve">htetin e parë ose duhet të paguhet nga një person që ka të drejtë të pengojë vjeljen. </w:t>
      </w:r>
    </w:p>
    <w:p w:rsidR="0024793C" w:rsidRPr="00FB5CD5" w:rsidRDefault="0024793C" w:rsidP="004A0E2A">
      <w:pPr>
        <w:pStyle w:val="Paragrafi0"/>
      </w:pPr>
      <w:r w:rsidRPr="00FB5CD5">
        <w:t>5. Pavarësisht dispozitave të paragrafëve 3 dhe 4, një pretendim për të ardhura që pranohet nga një shtet kontraktues për qëllime</w:t>
      </w:r>
      <w:r>
        <w:t>t e paragrafit 3 ose 4, në atë shtet, nuk u</w:t>
      </w:r>
      <w:r w:rsidRPr="00FB5CD5">
        <w:t xml:space="preserve"> nënshtrohet kufijve kohorë apo t’i jepet ndonjë prioritet që zbatohet për pretendimin e të ardhurave sipas ligjeve të a</w:t>
      </w:r>
      <w:r>
        <w:t>tij s</w:t>
      </w:r>
      <w:r w:rsidRPr="00FB5CD5">
        <w:t>hteti për shkak të natyrës së tij si i tillë. Përveç kësaj, një pretendim për të ardhura i pranuar nga një shteti kontraktues për qëllimet</w:t>
      </w:r>
      <w:r>
        <w:t xml:space="preserve"> e paragrafëve 3 ose 4, në atë s</w:t>
      </w:r>
      <w:r w:rsidRPr="00FB5CD5">
        <w:t>htet, nuk ka prioritet të zbatueshëm për atë pretendim të ardhurash sipas ligjeve</w:t>
      </w:r>
      <w:r>
        <w:t xml:space="preserve"> të shtetit tjetër k</w:t>
      </w:r>
      <w:r w:rsidRPr="00FB5CD5">
        <w:t xml:space="preserve">ontraktues. </w:t>
      </w:r>
    </w:p>
    <w:p w:rsidR="0024793C" w:rsidRPr="00FB5CD5" w:rsidRDefault="0024793C" w:rsidP="004A0E2A">
      <w:pPr>
        <w:pStyle w:val="Paragrafi0"/>
      </w:pPr>
      <w:r>
        <w:t>6. Çështjet</w:t>
      </w:r>
      <w:r w:rsidRPr="00FB5CD5">
        <w:t xml:space="preserve"> në lidhje me ekzistencën, vlefshmërinë ose shumën e një pretendimi për të ardhura të një shteti kontraktues nuk sillen para gjykatave </w:t>
      </w:r>
      <w:r>
        <w:t>ose organeve administrative të shtetit tjetër k</w:t>
      </w:r>
      <w:r w:rsidRPr="00FB5CD5">
        <w:t xml:space="preserve">ontraktues. </w:t>
      </w:r>
    </w:p>
    <w:p w:rsidR="0024793C" w:rsidRPr="00FB5CD5" w:rsidRDefault="0024793C" w:rsidP="004A0E2A">
      <w:pPr>
        <w:pStyle w:val="Paragrafi0"/>
      </w:pPr>
      <w:r w:rsidRPr="00FB5CD5">
        <w:t>7. Nëse në një moment</w:t>
      </w:r>
      <w:r>
        <w:t>,</w:t>
      </w:r>
      <w:r w:rsidRPr="00FB5CD5">
        <w:t xml:space="preserve"> pasi është bërë një kërkesë nga një shtet kontraktues sipas </w:t>
      </w:r>
      <w:r>
        <w:t>paragrafit 3 ose 4 ose para se shteti tjetër k</w:t>
      </w:r>
      <w:r w:rsidRPr="00FB5CD5">
        <w:t>ontraktues të ketë mbledhur ose dërguar pretend</w:t>
      </w:r>
      <w:r>
        <w:t>imin për të ardhurat përkatëse s</w:t>
      </w:r>
      <w:r w:rsidRPr="00FB5CD5">
        <w:t xml:space="preserve">htetit të parë, pretendimi për të ardhura pushon së ekzistuari: </w:t>
      </w:r>
    </w:p>
    <w:p w:rsidR="0024793C" w:rsidRPr="00FB5CD5" w:rsidRDefault="0024793C" w:rsidP="004A0E2A">
      <w:pPr>
        <w:pStyle w:val="Paragrafi0"/>
      </w:pPr>
      <w:r w:rsidRPr="00FB5CD5">
        <w:t xml:space="preserve">a) në rastin e një kërkese sipas paragrafit 3, </w:t>
      </w:r>
      <w:r>
        <w:t>një pretendim për të ardhura i s</w:t>
      </w:r>
      <w:r w:rsidRPr="00FB5CD5">
        <w:t>htetit të parë që është i zb</w:t>
      </w:r>
      <w:r>
        <w:t>atueshëm sipas ligjeve të atij s</w:t>
      </w:r>
      <w:r w:rsidRPr="00FB5CD5">
        <w:t>hteti dhe është i një personi që, për m</w:t>
      </w:r>
      <w:r>
        <w:t>omentin, sipas ligjeve të atij s</w:t>
      </w:r>
      <w:r w:rsidRPr="00FB5CD5">
        <w:t>hteti, nu</w:t>
      </w:r>
      <w:r>
        <w:t>k mund të pengojë vjeljen e tij;</w:t>
      </w:r>
      <w:r w:rsidRPr="00FB5CD5">
        <w:t xml:space="preserve"> ose </w:t>
      </w:r>
    </w:p>
    <w:p w:rsidR="0024793C" w:rsidRPr="00FB5CD5" w:rsidRDefault="0024793C" w:rsidP="004A0E2A">
      <w:pPr>
        <w:pStyle w:val="Paragrafi0"/>
      </w:pPr>
      <w:r w:rsidRPr="00FB5CD5">
        <w:t xml:space="preserve">b) në rastin e një kërkese sipas paragrafit </w:t>
      </w:r>
      <w:r>
        <w:t>4, pretendimi për të ardhura i s</w:t>
      </w:r>
      <w:r w:rsidRPr="00FB5CD5">
        <w:t>htetit të</w:t>
      </w:r>
      <w:r>
        <w:t xml:space="preserve"> parë në lidhje me të cilin ai s</w:t>
      </w:r>
      <w:r w:rsidRPr="00FB5CD5">
        <w:t>htet, sipas ligjeve të tij mund të marrë masa ruajtjeje me qëllim sigurimin e v</w:t>
      </w:r>
      <w:r>
        <w:t>jeljes, autoriteti kompetent i s</w:t>
      </w:r>
      <w:r w:rsidRPr="00FB5CD5">
        <w:t>htetit të parë njofton menjëherë autoritetin kompetent të Shtetit tjetër për kët</w:t>
      </w:r>
      <w:r>
        <w:t>ë fakt dhe, sipas zgjedhjes së shtetit tjetër, s</w:t>
      </w:r>
      <w:r w:rsidRPr="00FB5CD5">
        <w:t xml:space="preserve">hteti i parë pezullon ose tërheq kërkesën e tij. </w:t>
      </w:r>
    </w:p>
    <w:p w:rsidR="0024793C" w:rsidRPr="00FB5CD5" w:rsidRDefault="0024793C" w:rsidP="004A0E2A">
      <w:pPr>
        <w:pStyle w:val="Paragrafi0"/>
      </w:pPr>
      <w:r w:rsidRPr="00FB5CD5">
        <w:t>8. Në</w:t>
      </w:r>
      <w:r>
        <w:t xml:space="preserve"> asnjë rast dispozitat e këtij n</w:t>
      </w:r>
      <w:r w:rsidRPr="00FB5CD5">
        <w:t>eni nuk in</w:t>
      </w:r>
      <w:r>
        <w:t>terpretohen sikur vendosin një shtet k</w:t>
      </w:r>
      <w:r w:rsidRPr="00FB5CD5">
        <w:t xml:space="preserve">ontraktues para detyrimit: </w:t>
      </w:r>
    </w:p>
    <w:p w:rsidR="0024793C" w:rsidRPr="00FB5CD5" w:rsidRDefault="0024793C" w:rsidP="004A0E2A">
      <w:pPr>
        <w:pStyle w:val="Paragrafi0"/>
      </w:pPr>
      <w:r>
        <w:t xml:space="preserve">a) </w:t>
      </w:r>
      <w:r w:rsidRPr="00FB5CD5">
        <w:t>të zbatojë masa administrative në kundërshtim me ligjet dhe prakt</w:t>
      </w:r>
      <w:r>
        <w:t>ikat administrative të tij ose dhe shtetit tjetër k</w:t>
      </w:r>
      <w:r w:rsidRPr="00FB5CD5">
        <w:t xml:space="preserve">ontraktues; </w:t>
      </w:r>
    </w:p>
    <w:p w:rsidR="0024793C" w:rsidRPr="00FB5CD5" w:rsidRDefault="0024793C" w:rsidP="004A0E2A">
      <w:pPr>
        <w:pStyle w:val="Paragrafi0"/>
      </w:pPr>
      <w:r>
        <w:t xml:space="preserve">b) </w:t>
      </w:r>
      <w:r w:rsidRPr="00FB5CD5">
        <w:t xml:space="preserve">të zbatojë masa që do të ishin në kundërshtim me politikën publike (rendi publik); </w:t>
      </w:r>
    </w:p>
    <w:p w:rsidR="0024793C" w:rsidRPr="00FB5CD5" w:rsidRDefault="0024793C" w:rsidP="004A0E2A">
      <w:pPr>
        <w:pStyle w:val="Paragrafi0"/>
      </w:pPr>
      <w:r>
        <w:t>c) të japë asistencë nëse s</w:t>
      </w:r>
      <w:r w:rsidRPr="00FB5CD5">
        <w:t>h</w:t>
      </w:r>
      <w:r>
        <w:t>teti tjetër k</w:t>
      </w:r>
      <w:r w:rsidRPr="00FB5CD5">
        <w:t>ontraktues nuk ka ndjekur të gjitha masat e arsyeshme për vjeljen ose ruajt</w:t>
      </w:r>
      <w:r>
        <w:t>jen, sipas rastit, të zbatueshme</w:t>
      </w:r>
      <w:r w:rsidRPr="00FB5CD5">
        <w:t xml:space="preserve"> sipas ligjeve ose praktikës administrative të tij; </w:t>
      </w:r>
    </w:p>
    <w:p w:rsidR="0024793C" w:rsidRPr="00FB5CD5" w:rsidRDefault="0024793C" w:rsidP="004A0E2A">
      <w:pPr>
        <w:pStyle w:val="Paragrafi0"/>
      </w:pPr>
      <w:r>
        <w:t xml:space="preserve">d) </w:t>
      </w:r>
      <w:r w:rsidRPr="00FB5CD5">
        <w:t>të japë asistencë në ato raste ku</w:t>
      </w:r>
      <w:r>
        <w:t>r barra administrative për atë s</w:t>
      </w:r>
      <w:r w:rsidRPr="00FB5CD5">
        <w:t>htet është duks</w:t>
      </w:r>
      <w:r>
        <w:t>hëm jo</w:t>
      </w:r>
      <w:r w:rsidRPr="00FB5CD5">
        <w:t>proporcionale kraha</w:t>
      </w:r>
      <w:r>
        <w:t>suar me përfitimin e marrë nga shteti tjetër k</w:t>
      </w:r>
      <w:r w:rsidRPr="00FB5CD5">
        <w:t xml:space="preserve">ontraktues. </w:t>
      </w:r>
    </w:p>
    <w:p w:rsidR="0024793C" w:rsidRPr="00FB5CD5" w:rsidRDefault="0024793C" w:rsidP="004A0E2A">
      <w:pPr>
        <w:pStyle w:val="Paragrafi0"/>
      </w:pPr>
    </w:p>
    <w:p w:rsidR="0024793C" w:rsidRPr="00FB5CD5" w:rsidRDefault="0024793C" w:rsidP="004A0E2A">
      <w:pPr>
        <w:pStyle w:val="NeniNr"/>
        <w:keepNext w:val="0"/>
      </w:pPr>
      <w:r w:rsidRPr="00FB5CD5">
        <w:t>Neni 27</w:t>
      </w:r>
    </w:p>
    <w:p w:rsidR="0024793C" w:rsidRPr="00FB5CD5" w:rsidRDefault="0024793C" w:rsidP="004A0E2A">
      <w:pPr>
        <w:pStyle w:val="NeniTitull"/>
        <w:keepNext w:val="0"/>
      </w:pPr>
      <w:r w:rsidRPr="00FB5CD5">
        <w:t>Anëtarët e misioneve diplomatike dhe posteve konsullore</w:t>
      </w:r>
    </w:p>
    <w:p w:rsidR="0024793C" w:rsidRPr="00FB5CD5" w:rsidRDefault="0024793C" w:rsidP="004A0E2A">
      <w:pPr>
        <w:pStyle w:val="Paragrafi0"/>
      </w:pPr>
    </w:p>
    <w:p w:rsidR="0024793C" w:rsidRPr="00FB5CD5" w:rsidRDefault="0024793C" w:rsidP="004A0E2A">
      <w:pPr>
        <w:pStyle w:val="Paragrafi0"/>
      </w:pPr>
      <w:r w:rsidRPr="00FB5CD5">
        <w:t>Asnjë dispozitë e kësaj Konvente nuk do të ndikojë në privilegjet financiare të anëtarëve të misioneve diplomatike ose posteve konsullore sipas rregullave të përgjithshme të së drejtës ndërkombëtare ose sipas dispozitave të marrëveshjeve të veçanta.</w:t>
      </w:r>
    </w:p>
    <w:p w:rsidR="0024793C" w:rsidRPr="00FB5CD5" w:rsidRDefault="0024793C" w:rsidP="004A0E2A">
      <w:pPr>
        <w:pStyle w:val="Paragrafi0"/>
      </w:pPr>
    </w:p>
    <w:p w:rsidR="0024793C" w:rsidRPr="00FB5CD5" w:rsidRDefault="0024793C" w:rsidP="004A0E2A">
      <w:pPr>
        <w:pStyle w:val="NeniNr"/>
        <w:keepNext w:val="0"/>
      </w:pPr>
      <w:r w:rsidRPr="00FB5CD5">
        <w:t>Neni 28</w:t>
      </w:r>
    </w:p>
    <w:p w:rsidR="0024793C" w:rsidRPr="00FB5CD5" w:rsidRDefault="0024793C" w:rsidP="004A0E2A">
      <w:pPr>
        <w:pStyle w:val="NeniTitull"/>
        <w:keepNext w:val="0"/>
      </w:pPr>
      <w:r w:rsidRPr="00FB5CD5">
        <w:t>Hyrja në fuqi</w:t>
      </w:r>
    </w:p>
    <w:p w:rsidR="0024793C" w:rsidRPr="00FB5CD5" w:rsidRDefault="0024793C" w:rsidP="004A0E2A">
      <w:pPr>
        <w:pStyle w:val="Paragrafi0"/>
      </w:pPr>
    </w:p>
    <w:p w:rsidR="0024793C" w:rsidRPr="00FB5CD5" w:rsidRDefault="0024793C" w:rsidP="004A0E2A">
      <w:pPr>
        <w:pStyle w:val="Paragrafi0"/>
      </w:pPr>
      <w:r>
        <w:t>1. Qeveritë e s</w:t>
      </w:r>
      <w:r w:rsidRPr="00FB5CD5">
        <w:t xml:space="preserve">hteteve </w:t>
      </w:r>
      <w:r>
        <w:t>kontraktuese do ta njoftojnë një</w:t>
      </w:r>
      <w:r w:rsidRPr="00FB5CD5">
        <w:t xml:space="preserve">ra-tjetrën që janë plotësuar procedurat e tyre ligjore për hyrjen në fuqi të kësaj Konvente. </w:t>
      </w:r>
    </w:p>
    <w:p w:rsidR="0024793C" w:rsidRPr="00FB5CD5" w:rsidRDefault="0024793C" w:rsidP="004A0E2A">
      <w:pPr>
        <w:pStyle w:val="Paragrafi0"/>
      </w:pPr>
      <w:r>
        <w:t xml:space="preserve">2. </w:t>
      </w:r>
      <w:r w:rsidRPr="00FB5CD5">
        <w:t xml:space="preserve">Kjo Konventë hyn në fuqi në datën e marrjes së njoftimit të fundit të përmendur në paragrafin 1 dhe dispozitat </w:t>
      </w:r>
      <w:r>
        <w:t>e saj do të kenë fuqi në të dy shtetet k</w:t>
      </w:r>
      <w:r w:rsidRPr="00FB5CD5">
        <w:t xml:space="preserve">ontraktuese: </w:t>
      </w:r>
    </w:p>
    <w:p w:rsidR="0024793C" w:rsidRPr="00FB5CD5" w:rsidRDefault="0024793C" w:rsidP="004A0E2A">
      <w:pPr>
        <w:pStyle w:val="Paragrafi0"/>
      </w:pPr>
      <w:r>
        <w:t xml:space="preserve">a) </w:t>
      </w:r>
      <w:r w:rsidRPr="00FB5CD5">
        <w:t>në lidhje me tatimet e mbajtura në burim, për të ardhurat që përftohen në 1 janar ose pas 1 janarit të vitit</w:t>
      </w:r>
      <w:r>
        <w:t xml:space="preserve"> kalendarik të vitit</w:t>
      </w:r>
      <w:r w:rsidRPr="00FB5CD5">
        <w:t xml:space="preserve"> pasardhës kur ka hyrë në fuqi Konventa; </w:t>
      </w:r>
    </w:p>
    <w:p w:rsidR="0024793C" w:rsidRDefault="0024793C" w:rsidP="004A0E2A">
      <w:pPr>
        <w:pStyle w:val="Paragrafi0"/>
      </w:pPr>
      <w:r>
        <w:t xml:space="preserve">b) </w:t>
      </w:r>
      <w:r w:rsidRPr="00FB5CD5">
        <w:t>në lidhje me tatimet mbi të ardhurat, tatimet e vjelshme për çdo vit fiskal që fillon më ose pas ditës së parë të janarit pas vitit kur hyn në fuqi Konventa.</w:t>
      </w:r>
    </w:p>
    <w:p w:rsidR="0024793C" w:rsidRPr="00FB5CD5" w:rsidRDefault="0024793C" w:rsidP="004A0E2A">
      <w:pPr>
        <w:pStyle w:val="Paragrafi0"/>
      </w:pPr>
      <w:r>
        <w:t>3. Për qëllimet e nenit 25, dispozitat do të kenë efekt nga data në të cilën Konventa do të hyjë në fuqi.</w:t>
      </w:r>
      <w:r w:rsidRPr="00FB5CD5">
        <w:t xml:space="preserve"> </w:t>
      </w:r>
    </w:p>
    <w:p w:rsidR="0024793C" w:rsidRPr="00C13F3F" w:rsidRDefault="0024793C" w:rsidP="004A0E2A">
      <w:pPr>
        <w:pStyle w:val="Paragrafi0"/>
        <w:rPr>
          <w:sz w:val="18"/>
        </w:rPr>
      </w:pPr>
    </w:p>
    <w:p w:rsidR="0024793C" w:rsidRPr="00FB5CD5" w:rsidRDefault="0024793C" w:rsidP="004A0E2A">
      <w:pPr>
        <w:pStyle w:val="NeniNr"/>
        <w:keepNext w:val="0"/>
      </w:pPr>
      <w:r w:rsidRPr="00FB5CD5">
        <w:t>Neni 29</w:t>
      </w:r>
    </w:p>
    <w:p w:rsidR="0024793C" w:rsidRPr="00FB5CD5" w:rsidRDefault="0024793C" w:rsidP="004A0E2A">
      <w:pPr>
        <w:pStyle w:val="NeniTitull"/>
        <w:keepNext w:val="0"/>
      </w:pPr>
      <w:r w:rsidRPr="00FB5CD5">
        <w:t>Përfundimi</w:t>
      </w:r>
    </w:p>
    <w:p w:rsidR="0024793C" w:rsidRPr="00FB5CD5" w:rsidRDefault="0024793C" w:rsidP="004A0E2A">
      <w:pPr>
        <w:pStyle w:val="Paragrafi0"/>
      </w:pPr>
    </w:p>
    <w:p w:rsidR="0024793C" w:rsidRPr="00FB5CD5" w:rsidRDefault="0024793C" w:rsidP="004A0E2A">
      <w:pPr>
        <w:pStyle w:val="Paragrafi0"/>
      </w:pPr>
      <w:r w:rsidRPr="00FB5CD5">
        <w:t>Kjo Konventë mbetet në fuqi derisa të prishet nga një palë kontraktuese. Secila palë kontraktuese mund ta prishë Konventën, nëpërmjet kanaleve diplomatike, duke bërë njoftim me shkrim për prishjen të paktën gjashtë muaj para fundit të çdo viti kalendarik pa</w:t>
      </w:r>
      <w:r>
        <w:t>s skadimit të një periudhe pesë</w:t>
      </w:r>
      <w:r w:rsidRPr="00FB5CD5">
        <w:t xml:space="preserve">vjeçare nga data e hyrjes së saj në fuqi. Në një rast të tillë, Konventa pushon së qeni në fuqi: </w:t>
      </w:r>
    </w:p>
    <w:p w:rsidR="0024793C" w:rsidRPr="00FB5CD5" w:rsidRDefault="0024793C" w:rsidP="004A0E2A">
      <w:pPr>
        <w:pStyle w:val="Paragrafi0"/>
      </w:pPr>
      <w:r>
        <w:t xml:space="preserve">a) </w:t>
      </w:r>
      <w:r w:rsidRPr="00FB5CD5">
        <w:t xml:space="preserve">në lidhje me tatimet e mbajtura në burim, mbi të ardhurat e përftuara në ose pas ditës së parë të janarit që pason vitin në të cilin bëhet njoftimi; </w:t>
      </w:r>
    </w:p>
    <w:p w:rsidR="0024793C" w:rsidRPr="00FB5CD5" w:rsidRDefault="0024793C" w:rsidP="004A0E2A">
      <w:pPr>
        <w:pStyle w:val="Paragrafi0"/>
      </w:pPr>
      <w:r>
        <w:t xml:space="preserve">b) </w:t>
      </w:r>
      <w:r w:rsidRPr="00FB5CD5">
        <w:t xml:space="preserve">në lidhje me tatimet mbi të ardhurat, tatimet e vjelshme për çdo vit fiskal që fillon më ose pas ditës së parë të janarit pas vitit kur bëhet njoftimi. </w:t>
      </w:r>
    </w:p>
    <w:p w:rsidR="0024793C" w:rsidRPr="00FB5CD5" w:rsidRDefault="0024793C" w:rsidP="004A0E2A">
      <w:pPr>
        <w:pStyle w:val="Paragrafi0"/>
      </w:pPr>
      <w:r w:rsidRPr="00FB5CD5">
        <w:t>Në dëshmi sa më sipër,</w:t>
      </w:r>
      <w:r>
        <w:t xml:space="preserve"> të kësaj</w:t>
      </w:r>
      <w:r w:rsidRPr="00FB5CD5">
        <w:t xml:space="preserve"> të poshtëshënuarit, duke qenë rregullisht të autorizuar, kanë nënshkruar këtë Konventë. </w:t>
      </w:r>
    </w:p>
    <w:p w:rsidR="0024793C" w:rsidRDefault="0024793C" w:rsidP="004A0E2A">
      <w:pPr>
        <w:pStyle w:val="Paragrafi0"/>
      </w:pPr>
      <w:r w:rsidRPr="00FB5CD5">
        <w:t>Bërë në dy kopje</w:t>
      </w:r>
      <w:r>
        <w:t xml:space="preserve"> Tiranë,</w:t>
      </w:r>
      <w:r w:rsidRPr="00FB5CD5">
        <w:t xml:space="preserve"> më </w:t>
      </w:r>
      <w:r>
        <w:t xml:space="preserve">5.4.2010 në gjuhën </w:t>
      </w:r>
      <w:r w:rsidRPr="00FB5CD5">
        <w:t>shqipe,</w:t>
      </w:r>
      <w:r>
        <w:t xml:space="preserve"> estoneze dhe angleze,</w:t>
      </w:r>
      <w:r w:rsidRPr="00FB5CD5">
        <w:t xml:space="preserve"> ku të d</w:t>
      </w:r>
      <w:r>
        <w:t>y tekstet janë njëlloj autentike</w:t>
      </w:r>
      <w:r w:rsidRPr="00FB5CD5">
        <w:t xml:space="preserve">. Në rast mospërputhje ndërmjet teksteve, </w:t>
      </w:r>
      <w:r>
        <w:t xml:space="preserve">mbizotëron teksti </w:t>
      </w:r>
      <w:r w:rsidRPr="00FB5CD5">
        <w:t xml:space="preserve">në gjuhën angleze. </w:t>
      </w:r>
    </w:p>
    <w:p w:rsidR="002768F6" w:rsidRDefault="002768F6" w:rsidP="004A0E2A">
      <w:pPr>
        <w:pStyle w:val="Akti"/>
        <w:keepNext w:val="0"/>
      </w:pPr>
      <w:r>
        <w:t>LIGJ</w:t>
      </w:r>
    </w:p>
    <w:p w:rsidR="002768F6" w:rsidRDefault="008124ED" w:rsidP="004A0E2A">
      <w:pPr>
        <w:pStyle w:val="NumriData"/>
        <w:keepNext w:val="0"/>
      </w:pPr>
      <w:r>
        <w:t>Nr.</w:t>
      </w:r>
      <w:r w:rsidR="002768F6">
        <w:t>10 286, datë 3.6.2010</w:t>
      </w:r>
    </w:p>
    <w:p w:rsidR="002768F6" w:rsidRDefault="002768F6" w:rsidP="004A0E2A">
      <w:pPr>
        <w:pStyle w:val="Paragrafi0"/>
        <w:rPr>
          <w:b/>
        </w:rPr>
      </w:pPr>
    </w:p>
    <w:p w:rsidR="002768F6" w:rsidRDefault="002768F6" w:rsidP="004A0E2A">
      <w:pPr>
        <w:pStyle w:val="Titulli0"/>
        <w:keepNext w:val="0"/>
      </w:pPr>
      <w:r>
        <w:t>PËR DISA SHTESA DHE NDRYSHIME NË LIGJIN NR. 8976, DATË 12.12.2002 “PËR AKCIZAT”, TË NDRYSHUAR</w:t>
      </w:r>
    </w:p>
    <w:p w:rsidR="002768F6" w:rsidRDefault="002768F6" w:rsidP="004A0E2A">
      <w:pPr>
        <w:pStyle w:val="Paragrafi0"/>
      </w:pPr>
    </w:p>
    <w:p w:rsidR="002768F6" w:rsidRDefault="002768F6" w:rsidP="004A0E2A">
      <w:pPr>
        <w:pStyle w:val="Paragrafi0"/>
      </w:pPr>
      <w:r>
        <w:t>Në mbështetje të neneve 78, 83 pika 1 dhe 155 të Kushtetutës, me propozimin e Këshillit të Ministrave,</w:t>
      </w:r>
    </w:p>
    <w:p w:rsidR="002768F6" w:rsidRDefault="002768F6" w:rsidP="004A0E2A">
      <w:pPr>
        <w:pStyle w:val="Paragrafi0"/>
      </w:pPr>
    </w:p>
    <w:p w:rsidR="002768F6" w:rsidRDefault="002768F6" w:rsidP="004A0E2A">
      <w:pPr>
        <w:pStyle w:val="Institucioni"/>
        <w:keepNext w:val="0"/>
      </w:pPr>
      <w:r>
        <w:t>KUVENDI</w:t>
      </w:r>
    </w:p>
    <w:p w:rsidR="002768F6" w:rsidRDefault="002768F6" w:rsidP="004A0E2A">
      <w:pPr>
        <w:pStyle w:val="Institucioni"/>
        <w:keepNext w:val="0"/>
      </w:pPr>
      <w:r>
        <w:t>I REPUBLIKËS SË SHQIPËRISË</w:t>
      </w:r>
    </w:p>
    <w:p w:rsidR="002768F6" w:rsidRDefault="002768F6" w:rsidP="004A0E2A">
      <w:pPr>
        <w:pStyle w:val="Paragrafi0"/>
        <w:rPr>
          <w:b/>
        </w:rPr>
      </w:pPr>
    </w:p>
    <w:p w:rsidR="002768F6" w:rsidRDefault="002768F6" w:rsidP="004A0E2A">
      <w:pPr>
        <w:pStyle w:val="VENDOSI0"/>
        <w:keepNext w:val="0"/>
      </w:pPr>
      <w:r>
        <w:t>VENDOSI:</w:t>
      </w:r>
    </w:p>
    <w:p w:rsidR="002768F6" w:rsidRPr="007E04F3" w:rsidRDefault="002768F6" w:rsidP="004A0E2A">
      <w:pPr>
        <w:pStyle w:val="Paragrafi0"/>
      </w:pPr>
    </w:p>
    <w:p w:rsidR="002768F6" w:rsidRPr="007E04F3" w:rsidRDefault="002768F6" w:rsidP="004A0E2A">
      <w:pPr>
        <w:pStyle w:val="Paragrafi0"/>
      </w:pPr>
    </w:p>
    <w:p w:rsidR="002768F6" w:rsidRPr="007E04F3" w:rsidRDefault="002768F6" w:rsidP="004A0E2A">
      <w:pPr>
        <w:pStyle w:val="Paragrafi0"/>
      </w:pPr>
      <w:r w:rsidRPr="007E04F3">
        <w:t>Në ligjin nr. 8976, datë 12.12.2002 “Për akcizat”, të ndryshuar, bëhen këto shtesa dhe ndryshime:</w:t>
      </w:r>
    </w:p>
    <w:p w:rsidR="002768F6" w:rsidRPr="007E04F3" w:rsidRDefault="002768F6" w:rsidP="004A0E2A">
      <w:pPr>
        <w:pStyle w:val="Paragrafi0"/>
      </w:pPr>
    </w:p>
    <w:p w:rsidR="002768F6" w:rsidRPr="007E04F3" w:rsidRDefault="002768F6" w:rsidP="004A0E2A">
      <w:pPr>
        <w:pStyle w:val="NeniNr"/>
        <w:keepNext w:val="0"/>
      </w:pPr>
      <w:r w:rsidRPr="007E04F3">
        <w:t>Neni 1</w:t>
      </w:r>
    </w:p>
    <w:p w:rsidR="002768F6" w:rsidRPr="007E04F3" w:rsidRDefault="002768F6" w:rsidP="004A0E2A">
      <w:pPr>
        <w:pStyle w:val="Paragrafi0"/>
      </w:pPr>
    </w:p>
    <w:p w:rsidR="002768F6" w:rsidRPr="007E04F3" w:rsidRDefault="002768F6" w:rsidP="004A0E2A">
      <w:pPr>
        <w:pStyle w:val="Paragrafi0"/>
      </w:pPr>
      <w:r w:rsidRPr="007E04F3">
        <w:t>Në nenin 19 pika 2 bëhen këto ndryshime:</w:t>
      </w:r>
    </w:p>
    <w:p w:rsidR="002768F6" w:rsidRPr="007E04F3" w:rsidRDefault="002768F6" w:rsidP="004A0E2A">
      <w:pPr>
        <w:pStyle w:val="Paragrafi0"/>
      </w:pPr>
      <w:r w:rsidRPr="007E04F3">
        <w:t>1. Shkronja “d” ndryshohet si më poshtë:</w:t>
      </w:r>
    </w:p>
    <w:p w:rsidR="002768F6" w:rsidRPr="007E04F3" w:rsidRDefault="002768F6" w:rsidP="004A0E2A">
      <w:pPr>
        <w:pStyle w:val="Paragrafi0"/>
      </w:pPr>
      <w:r w:rsidRPr="007E04F3">
        <w:t>“d) për lëndën djegëse të konsumuar në serat me ngrohje, në industrinë e riciklimit, për prodhimin e produkteve industriale dhe agroindustriale, të cilat përdoren për nevoja teknologjike të prodhimit të produkteve në këta sektorë, në përputhje me sasitë e produktit final të shitur me faturë TVSH-je dhe sipas kushteve e procedurave të përcaktuara me vendim të Këshillit të Ministrave</w:t>
      </w:r>
      <w:r>
        <w:t>;”.</w:t>
      </w:r>
    </w:p>
    <w:p w:rsidR="002768F6" w:rsidRPr="007E04F3" w:rsidRDefault="002768F6" w:rsidP="004A0E2A">
      <w:pPr>
        <w:pStyle w:val="Paragrafi0"/>
      </w:pPr>
      <w:r w:rsidRPr="007E04F3">
        <w:t>2. Pas shkronjës “d” shtohet shkronja “dh” me këtë përmbajtje:</w:t>
      </w:r>
    </w:p>
    <w:p w:rsidR="002768F6" w:rsidRPr="007E04F3" w:rsidRDefault="002768F6" w:rsidP="004A0E2A">
      <w:pPr>
        <w:pStyle w:val="Paragrafi0"/>
      </w:pPr>
      <w:r w:rsidRPr="007E04F3">
        <w:t>“dh) për ambalazhet e plastikës, të qelqit dhe ato të përziera, të përdorura si lëndë e parë, industrive vendase të riciklimit të këtyre materialeve u rimbursohet 50 për qind e akcizës së paguar për këto ambalazhe</w:t>
      </w:r>
      <w:r>
        <w:t>,</w:t>
      </w:r>
      <w:r w:rsidRPr="007E04F3">
        <w:t xml:space="preserve"> sipas sasisë, kushteve dhe procedurave të përcaktuara me vendim të Këshillit të Ministrave.”.</w:t>
      </w:r>
    </w:p>
    <w:p w:rsidR="002768F6" w:rsidRPr="007E04F3" w:rsidRDefault="002768F6" w:rsidP="004A0E2A">
      <w:pPr>
        <w:pStyle w:val="Paragrafi0"/>
      </w:pPr>
    </w:p>
    <w:p w:rsidR="002768F6" w:rsidRPr="007E04F3" w:rsidRDefault="002768F6" w:rsidP="004A0E2A">
      <w:pPr>
        <w:pStyle w:val="NeniNr"/>
        <w:keepNext w:val="0"/>
      </w:pPr>
      <w:r w:rsidRPr="007E04F3">
        <w:t>Neni 2</w:t>
      </w:r>
    </w:p>
    <w:p w:rsidR="002768F6" w:rsidRPr="007E04F3" w:rsidRDefault="002768F6" w:rsidP="004A0E2A">
      <w:pPr>
        <w:pStyle w:val="Paragrafi0"/>
      </w:pPr>
    </w:p>
    <w:p w:rsidR="002768F6" w:rsidRPr="007E04F3" w:rsidRDefault="002768F6" w:rsidP="004A0E2A">
      <w:pPr>
        <w:pStyle w:val="Paragrafi0"/>
      </w:pPr>
      <w:r w:rsidRPr="007E04F3">
        <w:t>Në nenin 24 pika 2, pas shkronjës “ë” shtohet shkronja “f” me këtë përmbajtje.</w:t>
      </w:r>
    </w:p>
    <w:p w:rsidR="002768F6" w:rsidRPr="007E04F3" w:rsidRDefault="002768F6" w:rsidP="004A0E2A">
      <w:pPr>
        <w:pStyle w:val="Paragrafi0"/>
      </w:pPr>
      <w:r w:rsidRPr="007E04F3">
        <w:t>“f) detyrimin e vendosjes së çmimit të shitjes me pakicë të produktit në pullën e akcizës.”.</w:t>
      </w:r>
    </w:p>
    <w:p w:rsidR="002768F6" w:rsidRDefault="002768F6" w:rsidP="004A0E2A">
      <w:pPr>
        <w:pStyle w:val="Paragrafi0"/>
        <w:ind w:firstLine="0"/>
      </w:pPr>
    </w:p>
    <w:p w:rsidR="002768F6" w:rsidRPr="007E04F3" w:rsidRDefault="002768F6" w:rsidP="004A0E2A">
      <w:pPr>
        <w:pStyle w:val="NeniNr"/>
        <w:keepNext w:val="0"/>
      </w:pPr>
      <w:r w:rsidRPr="007E04F3">
        <w:t>Neni 3</w:t>
      </w:r>
    </w:p>
    <w:p w:rsidR="002768F6" w:rsidRPr="007E04F3" w:rsidRDefault="002768F6" w:rsidP="004A0E2A">
      <w:pPr>
        <w:pStyle w:val="Paragrafi0"/>
      </w:pPr>
    </w:p>
    <w:p w:rsidR="002768F6" w:rsidRPr="007E04F3" w:rsidRDefault="002768F6" w:rsidP="004A0E2A">
      <w:pPr>
        <w:pStyle w:val="Paragrafi0"/>
      </w:pPr>
      <w:r w:rsidRPr="007E04F3">
        <w:t>Shtojca nr. l, që i bashkëlidhet ligjit në fuqi</w:t>
      </w:r>
      <w:r>
        <w:t>,</w:t>
      </w:r>
      <w:r w:rsidRPr="007E04F3">
        <w:t xml:space="preserve"> zëvendësohet me shtojcën me të njëjtin numër, që i bashkëlidhet këtij ligj.</w:t>
      </w:r>
    </w:p>
    <w:p w:rsidR="002768F6" w:rsidRPr="007E04F3" w:rsidRDefault="002768F6" w:rsidP="004A0E2A">
      <w:pPr>
        <w:pStyle w:val="Paragrafi0"/>
      </w:pPr>
    </w:p>
    <w:p w:rsidR="002768F6" w:rsidRPr="007E04F3" w:rsidRDefault="002768F6" w:rsidP="004A0E2A">
      <w:pPr>
        <w:pStyle w:val="NeniNr"/>
        <w:keepNext w:val="0"/>
      </w:pPr>
      <w:r w:rsidRPr="007E04F3">
        <w:t>Neni 4</w:t>
      </w:r>
    </w:p>
    <w:p w:rsidR="002768F6" w:rsidRPr="007E04F3" w:rsidRDefault="002768F6" w:rsidP="004A0E2A">
      <w:pPr>
        <w:pStyle w:val="Paragrafi0"/>
      </w:pPr>
    </w:p>
    <w:p w:rsidR="002768F6" w:rsidRPr="007E04F3" w:rsidRDefault="002768F6" w:rsidP="004A0E2A">
      <w:pPr>
        <w:pStyle w:val="Paragrafi0"/>
      </w:pPr>
      <w:r w:rsidRPr="007E04F3">
        <w:t>Neni 49 ndryshohet si më poshtë:</w:t>
      </w:r>
    </w:p>
    <w:p w:rsidR="002768F6" w:rsidRPr="0047703B" w:rsidRDefault="002768F6" w:rsidP="004A0E2A">
      <w:pPr>
        <w:pStyle w:val="Paragrafi0"/>
        <w:rPr>
          <w:sz w:val="18"/>
        </w:rPr>
      </w:pPr>
    </w:p>
    <w:p w:rsidR="002768F6" w:rsidRPr="007E04F3" w:rsidRDefault="002768F6" w:rsidP="004A0E2A">
      <w:pPr>
        <w:pStyle w:val="NeniNr"/>
        <w:keepNext w:val="0"/>
      </w:pPr>
      <w:r w:rsidRPr="007E04F3">
        <w:t>“Neni 49</w:t>
      </w:r>
    </w:p>
    <w:p w:rsidR="002768F6" w:rsidRPr="007E04F3" w:rsidRDefault="002768F6" w:rsidP="004A0E2A">
      <w:pPr>
        <w:pStyle w:val="NeniTitull"/>
        <w:keepNext w:val="0"/>
      </w:pPr>
      <w:r w:rsidRPr="007E04F3">
        <w:t>Shkeljet për mbajtjen, transportin ose shitjen e mallrave</w:t>
      </w:r>
    </w:p>
    <w:p w:rsidR="002768F6" w:rsidRPr="007E04F3" w:rsidRDefault="002768F6" w:rsidP="004A0E2A">
      <w:pPr>
        <w:pStyle w:val="NeniTitull"/>
        <w:keepNext w:val="0"/>
      </w:pPr>
      <w:r w:rsidRPr="007E04F3">
        <w:t>të akcizës pa pullë</w:t>
      </w:r>
    </w:p>
    <w:p w:rsidR="002768F6" w:rsidRPr="007E04F3" w:rsidRDefault="002768F6" w:rsidP="004A0E2A">
      <w:pPr>
        <w:pStyle w:val="Paragrafi0"/>
      </w:pPr>
    </w:p>
    <w:p w:rsidR="002768F6" w:rsidRPr="007E04F3" w:rsidRDefault="002768F6" w:rsidP="004A0E2A">
      <w:pPr>
        <w:pStyle w:val="Paragrafi0"/>
      </w:pPr>
      <w:r w:rsidRPr="007E04F3">
        <w:t>1. Çdo mall akcize, për të cilin kërkohet pajisja me pulla akcize, sipas dispozitave të neneve 25 e 27 të këtij ligji, konfiskohet kur:</w:t>
      </w:r>
    </w:p>
    <w:p w:rsidR="002768F6" w:rsidRPr="007E04F3" w:rsidRDefault="002768F6" w:rsidP="004A0E2A">
      <w:pPr>
        <w:pStyle w:val="Paragrafi0"/>
      </w:pPr>
      <w:r w:rsidRPr="007E04F3">
        <w:t>a) gjendet në magazinë, ofrohet për shitje apo tregtohet nga persona,  përpunues, prodhues, importues të mallrave  të akcizës, pa qenë i pajisur me pullë, dhe personi që zotëron mallrat e akcizës dënohet në përputhje me dispozitat e nenit 44 të këtij ligji, si dhe me gjobë të nivelit F të shkallës standarde, sipas nenit 51 të këtij ligji;</w:t>
      </w:r>
    </w:p>
    <w:p w:rsidR="002768F6" w:rsidRPr="007E04F3" w:rsidRDefault="002768F6" w:rsidP="004A0E2A">
      <w:pPr>
        <w:pStyle w:val="Paragrafi0"/>
      </w:pPr>
      <w:r w:rsidRPr="007E04F3">
        <w:t>b) tregtohet nga persona, që janë subjekt i TVSH-së dhe i tatim-fitimit dhe gjenden pa pulla, pavarësisht nga fakti se për to është paguar akciza ose jo dhe tatimpaguesi, që i tregton këto mallra akcize të papajisura me pulla, dënohet me gjobë të nivelit F të shkallës standarde, sipas nenit 51 të këtij ligji;</w:t>
      </w:r>
    </w:p>
    <w:p w:rsidR="002768F6" w:rsidRPr="007E04F3" w:rsidRDefault="002768F6" w:rsidP="004A0E2A">
      <w:pPr>
        <w:pStyle w:val="Paragrafi0"/>
      </w:pPr>
      <w:r w:rsidRPr="007E04F3">
        <w:t>c) tregtohet nga persona, që janë subjekt i ligjit për taksën vendore   të biznesit të vogël  dhe gjenden pa pulla, pavarësisht nga fakti se për to është paguar akciza ose jo, dhe tatimpaguesi, që i tregton  këto mallra  akcize të papajisura me pulla, dënohet me gjobë të nivelit E të shkallës standarde, sipas nenit 51 të këtij ligji.</w:t>
      </w:r>
    </w:p>
    <w:p w:rsidR="002768F6" w:rsidRPr="007E04F3" w:rsidRDefault="002768F6" w:rsidP="004A0E2A">
      <w:pPr>
        <w:pStyle w:val="Paragrafi0"/>
      </w:pPr>
      <w:r w:rsidRPr="007E04F3">
        <w:t>2. Me mallrat e konfiskuara procedohet nga organet tat</w:t>
      </w:r>
      <w:r>
        <w:t xml:space="preserve">imore, duke i shkatërruar ose </w:t>
      </w:r>
      <w:r w:rsidRPr="007E04F3">
        <w:t>administruar, sipas legjislacionit në fuqi.”.</w:t>
      </w:r>
    </w:p>
    <w:p w:rsidR="002768F6" w:rsidRPr="007E04F3" w:rsidRDefault="002768F6" w:rsidP="004A0E2A">
      <w:pPr>
        <w:pStyle w:val="Paragrafi0"/>
      </w:pPr>
    </w:p>
    <w:p w:rsidR="002768F6" w:rsidRPr="007E04F3" w:rsidRDefault="002768F6" w:rsidP="004A0E2A">
      <w:pPr>
        <w:pStyle w:val="NeniNr"/>
        <w:keepNext w:val="0"/>
      </w:pPr>
      <w:r w:rsidRPr="007E04F3">
        <w:t>Neni 5</w:t>
      </w:r>
    </w:p>
    <w:p w:rsidR="002768F6" w:rsidRPr="007E04F3" w:rsidRDefault="002768F6" w:rsidP="004A0E2A">
      <w:pPr>
        <w:pStyle w:val="Paragrafi0"/>
      </w:pPr>
    </w:p>
    <w:p w:rsidR="002768F6" w:rsidRPr="007E04F3" w:rsidRDefault="002768F6" w:rsidP="004A0E2A">
      <w:pPr>
        <w:pStyle w:val="Paragrafi0"/>
      </w:pPr>
      <w:r w:rsidRPr="007E04F3">
        <w:t>Ky ligj hyn në fuqi 15 ditë pas botimit në Fletoren Zyrtare.</w:t>
      </w:r>
    </w:p>
    <w:p w:rsidR="002768F6" w:rsidRPr="007E04F3" w:rsidRDefault="002768F6" w:rsidP="004A0E2A">
      <w:pPr>
        <w:pStyle w:val="Paragrafi0"/>
      </w:pPr>
    </w:p>
    <w:p w:rsidR="00EF2FD6" w:rsidRDefault="00EF2FD6" w:rsidP="004A0E2A">
      <w:pPr>
        <w:pStyle w:val="Paragrafi0"/>
        <w:ind w:firstLine="0"/>
        <w:rPr>
          <w:b/>
          <w:sz w:val="23"/>
          <w:szCs w:val="23"/>
          <w:lang w:val="sq-AL"/>
        </w:rPr>
      </w:pPr>
      <w:r>
        <w:rPr>
          <w:b/>
          <w:sz w:val="23"/>
          <w:szCs w:val="23"/>
          <w:lang w:val="sq-AL"/>
        </w:rPr>
        <w:t>Shpallur me dekretin nr.6604, datë 17.6</w:t>
      </w:r>
      <w:r w:rsidRPr="009E6281">
        <w:rPr>
          <w:b/>
          <w:sz w:val="23"/>
          <w:szCs w:val="23"/>
          <w:lang w:val="sq-AL"/>
        </w:rPr>
        <w:t>.2010 të Presidentit të Republikës së Shqipërisë, Bamir Topi</w:t>
      </w:r>
    </w:p>
    <w:p w:rsidR="002768F6" w:rsidRPr="007E04F3" w:rsidRDefault="002768F6" w:rsidP="004A0E2A">
      <w:pPr>
        <w:pStyle w:val="Paragrafi0"/>
      </w:pPr>
    </w:p>
    <w:p w:rsidR="006C7B02" w:rsidRDefault="006C7B02" w:rsidP="004A0E2A">
      <w:pPr>
        <w:widowControl w:val="0"/>
        <w:autoSpaceDE w:val="0"/>
        <w:autoSpaceDN w:val="0"/>
        <w:adjustRightInd w:val="0"/>
        <w:ind w:firstLine="720"/>
        <w:rPr>
          <w:b/>
          <w:sz w:val="20"/>
          <w:szCs w:val="20"/>
        </w:rPr>
      </w:pPr>
    </w:p>
    <w:p w:rsidR="002768F6" w:rsidRPr="006C7B02" w:rsidRDefault="002768F6" w:rsidP="004A0E2A">
      <w:pPr>
        <w:widowControl w:val="0"/>
        <w:autoSpaceDE w:val="0"/>
        <w:autoSpaceDN w:val="0"/>
        <w:adjustRightInd w:val="0"/>
        <w:ind w:firstLine="720"/>
        <w:rPr>
          <w:rFonts w:ascii="CG Times" w:hAnsi="CG Times"/>
          <w:b/>
          <w:sz w:val="22"/>
          <w:szCs w:val="22"/>
        </w:rPr>
      </w:pPr>
      <w:r w:rsidRPr="006C7B02">
        <w:rPr>
          <w:rFonts w:ascii="CG Times" w:hAnsi="CG Times"/>
          <w:b/>
          <w:sz w:val="22"/>
          <w:szCs w:val="22"/>
        </w:rPr>
        <w:t>SHTOJCA Nr. 1</w:t>
      </w:r>
    </w:p>
    <w:p w:rsidR="002768F6" w:rsidRPr="006C7B02" w:rsidRDefault="002768F6" w:rsidP="004A0E2A">
      <w:pPr>
        <w:widowControl w:val="0"/>
        <w:autoSpaceDE w:val="0"/>
        <w:autoSpaceDN w:val="0"/>
        <w:adjustRightInd w:val="0"/>
        <w:ind w:firstLine="720"/>
        <w:rPr>
          <w:rFonts w:ascii="CG Times" w:hAnsi="CG Times"/>
          <w:b/>
          <w:sz w:val="22"/>
          <w:szCs w:val="22"/>
        </w:rPr>
      </w:pPr>
      <w:r w:rsidRPr="006C7B02">
        <w:rPr>
          <w:rFonts w:ascii="CG Times" w:hAnsi="CG Times"/>
          <w:b/>
          <w:sz w:val="22"/>
          <w:szCs w:val="22"/>
        </w:rPr>
        <w:t>MALLRAT E TATUESHME ME AKCIZË NË REPUBLIKËN E  SHQIPËRISË</w:t>
      </w:r>
    </w:p>
    <w:p w:rsidR="002768F6" w:rsidRPr="00E24BBE" w:rsidRDefault="002768F6" w:rsidP="004A0E2A">
      <w:pPr>
        <w:widowControl w:val="0"/>
        <w:autoSpaceDE w:val="0"/>
        <w:autoSpaceDN w:val="0"/>
        <w:adjustRightInd w:val="0"/>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476"/>
        <w:gridCol w:w="4529"/>
        <w:gridCol w:w="1930"/>
      </w:tblGrid>
      <w:tr w:rsidR="002768F6" w:rsidRPr="0066238A">
        <w:tblPrEx>
          <w:tblCellMar>
            <w:top w:w="0" w:type="dxa"/>
            <w:bottom w:w="0" w:type="dxa"/>
          </w:tblCellMar>
        </w:tblPrEx>
        <w:trPr>
          <w:trHeight w:val="834"/>
          <w:jc w:val="center"/>
        </w:trPr>
        <w:tc>
          <w:tcPr>
            <w:tcW w:w="1476" w:type="dxa"/>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Kodi NK</w:t>
            </w:r>
          </w:p>
        </w:tc>
        <w:tc>
          <w:tcPr>
            <w:tcW w:w="4529" w:type="dxa"/>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Përshkrimi</w:t>
            </w:r>
          </w:p>
        </w:tc>
        <w:tc>
          <w:tcPr>
            <w:tcW w:w="1930" w:type="dxa"/>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Shkalla tatimore</w:t>
            </w:r>
          </w:p>
        </w:tc>
      </w:tr>
      <w:tr w:rsidR="002768F6" w:rsidRPr="0066238A">
        <w:tblPrEx>
          <w:tblCellMar>
            <w:top w:w="0" w:type="dxa"/>
            <w:bottom w:w="0" w:type="dxa"/>
          </w:tblCellMar>
        </w:tblPrEx>
        <w:trPr>
          <w:trHeight w:val="317"/>
          <w:jc w:val="center"/>
        </w:trPr>
        <w:tc>
          <w:tcPr>
            <w:tcW w:w="1476" w:type="dxa"/>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I</w:t>
            </w:r>
          </w:p>
        </w:tc>
        <w:tc>
          <w:tcPr>
            <w:tcW w:w="4529" w:type="dxa"/>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KAFE</w:t>
            </w:r>
          </w:p>
        </w:tc>
        <w:tc>
          <w:tcPr>
            <w:tcW w:w="1930" w:type="dxa"/>
          </w:tcPr>
          <w:p w:rsidR="002768F6" w:rsidRPr="0066238A" w:rsidRDefault="002768F6" w:rsidP="004A0E2A">
            <w:pPr>
              <w:widowControl w:val="0"/>
              <w:autoSpaceDE w:val="0"/>
              <w:autoSpaceDN w:val="0"/>
              <w:adjustRightInd w:val="0"/>
              <w:rPr>
                <w:rFonts w:ascii="CG Times" w:hAnsi="CG Times"/>
                <w:sz w:val="22"/>
                <w:szCs w:val="22"/>
              </w:rPr>
            </w:pPr>
          </w:p>
        </w:tc>
      </w:tr>
      <w:tr w:rsidR="002768F6" w:rsidRPr="0066238A">
        <w:tblPrEx>
          <w:tblCellMar>
            <w:top w:w="0" w:type="dxa"/>
            <w:bottom w:w="0" w:type="dxa"/>
          </w:tblCellMar>
        </w:tblPrEx>
        <w:trPr>
          <w:trHeight w:val="449"/>
          <w:jc w:val="center"/>
        </w:trPr>
        <w:tc>
          <w:tcPr>
            <w:tcW w:w="1476" w:type="dxa"/>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09 01 11 00 09 01 12 00</w:t>
            </w:r>
          </w:p>
        </w:tc>
        <w:tc>
          <w:tcPr>
            <w:tcW w:w="4529" w:type="dxa"/>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Kafe jo e pjekur e dekafeinizuar ose jo</w:t>
            </w:r>
          </w:p>
        </w:tc>
        <w:tc>
          <w:tcPr>
            <w:tcW w:w="1930" w:type="dxa"/>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30 lekë/kg</w:t>
            </w:r>
          </w:p>
        </w:tc>
      </w:tr>
      <w:tr w:rsidR="002768F6" w:rsidRPr="0066238A">
        <w:tblPrEx>
          <w:tblCellMar>
            <w:top w:w="0" w:type="dxa"/>
            <w:bottom w:w="0" w:type="dxa"/>
          </w:tblCellMar>
        </w:tblPrEx>
        <w:trPr>
          <w:trHeight w:val="443"/>
          <w:jc w:val="center"/>
        </w:trPr>
        <w:tc>
          <w:tcPr>
            <w:tcW w:w="1476" w:type="dxa"/>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09 01 21 00 09 01 22 00</w:t>
            </w:r>
          </w:p>
        </w:tc>
        <w:tc>
          <w:tcPr>
            <w:tcW w:w="4529" w:type="dxa"/>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Kafe e pjekur e dekafeinizuar ose jo</w:t>
            </w:r>
          </w:p>
        </w:tc>
        <w:tc>
          <w:tcPr>
            <w:tcW w:w="1930" w:type="dxa"/>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140 lekë/kg</w:t>
            </w:r>
          </w:p>
        </w:tc>
      </w:tr>
      <w:tr w:rsidR="002768F6" w:rsidRPr="0066238A">
        <w:tblPrEx>
          <w:tblCellMar>
            <w:top w:w="0" w:type="dxa"/>
            <w:bottom w:w="0" w:type="dxa"/>
          </w:tblCellMar>
        </w:tblPrEx>
        <w:trPr>
          <w:trHeight w:val="810"/>
          <w:jc w:val="center"/>
        </w:trPr>
        <w:tc>
          <w:tcPr>
            <w:tcW w:w="1476" w:type="dxa"/>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09 01 90</w:t>
            </w:r>
          </w:p>
        </w:tc>
        <w:tc>
          <w:tcPr>
            <w:tcW w:w="4529" w:type="dxa"/>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Lëkura dhe lëvoret e kafesë</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Zëvendësuesit e kafesë që përmbajnë</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kafe</w:t>
            </w:r>
          </w:p>
        </w:tc>
        <w:tc>
          <w:tcPr>
            <w:tcW w:w="1930" w:type="dxa"/>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50 lekë/kg</w:t>
            </w:r>
          </w:p>
        </w:tc>
      </w:tr>
      <w:tr w:rsidR="002768F6" w:rsidRPr="0066238A">
        <w:tblPrEx>
          <w:tblCellMar>
            <w:top w:w="0" w:type="dxa"/>
            <w:bottom w:w="0" w:type="dxa"/>
          </w:tblCellMar>
        </w:tblPrEx>
        <w:trPr>
          <w:trHeight w:val="612"/>
          <w:jc w:val="center"/>
        </w:trPr>
        <w:tc>
          <w:tcPr>
            <w:tcW w:w="1476" w:type="dxa"/>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21 01 11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21 01 12</w:t>
            </w:r>
          </w:p>
        </w:tc>
        <w:tc>
          <w:tcPr>
            <w:tcW w:w="4529" w:type="dxa"/>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Ekstrakte, esenca, koncentrate kafeje dhe përgatitje prej tyre (neskafe etj.)</w:t>
            </w:r>
          </w:p>
        </w:tc>
        <w:tc>
          <w:tcPr>
            <w:tcW w:w="1930" w:type="dxa"/>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250 lekë/kg</w:t>
            </w:r>
          </w:p>
        </w:tc>
      </w:tr>
      <w:tr w:rsidR="002768F6" w:rsidRPr="0066238A">
        <w:tblPrEx>
          <w:tblCellMar>
            <w:top w:w="0" w:type="dxa"/>
            <w:bottom w:w="0" w:type="dxa"/>
          </w:tblCellMar>
        </w:tblPrEx>
        <w:trPr>
          <w:trHeight w:val="612"/>
          <w:jc w:val="center"/>
        </w:trPr>
        <w:tc>
          <w:tcPr>
            <w:tcW w:w="1476" w:type="dxa"/>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II</w:t>
            </w:r>
          </w:p>
        </w:tc>
        <w:tc>
          <w:tcPr>
            <w:tcW w:w="4529" w:type="dxa"/>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BIRRË, VERË, ALKOOL DHE PIJE ALKOOLIKE</w:t>
            </w:r>
          </w:p>
        </w:tc>
        <w:tc>
          <w:tcPr>
            <w:tcW w:w="1930" w:type="dxa"/>
          </w:tcPr>
          <w:p w:rsidR="002768F6" w:rsidRPr="0066238A" w:rsidRDefault="002768F6" w:rsidP="004A0E2A">
            <w:pPr>
              <w:widowControl w:val="0"/>
              <w:autoSpaceDE w:val="0"/>
              <w:autoSpaceDN w:val="0"/>
              <w:adjustRightInd w:val="0"/>
              <w:jc w:val="center"/>
              <w:rPr>
                <w:rFonts w:ascii="CG Times" w:hAnsi="CG Times"/>
                <w:sz w:val="22"/>
                <w:szCs w:val="22"/>
              </w:rPr>
            </w:pPr>
          </w:p>
        </w:tc>
      </w:tr>
      <w:tr w:rsidR="002768F6" w:rsidRPr="0066238A">
        <w:tblPrEx>
          <w:tblCellMar>
            <w:top w:w="0" w:type="dxa"/>
            <w:bottom w:w="0" w:type="dxa"/>
          </w:tblCellMar>
        </w:tblPrEx>
        <w:trPr>
          <w:trHeight w:val="1822"/>
          <w:jc w:val="center"/>
        </w:trPr>
        <w:tc>
          <w:tcPr>
            <w:tcW w:w="1476" w:type="dxa"/>
            <w:tcBorders>
              <w:bottom w:val="single" w:sz="4"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22 03</w:t>
            </w:r>
          </w:p>
        </w:tc>
        <w:tc>
          <w:tcPr>
            <w:tcW w:w="4529" w:type="dxa"/>
            <w:tcBorders>
              <w:bottom w:val="single" w:sz="4"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Birrë e bërë nga malto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 nga prodhues vendas e të huaj me sasi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&lt; = 200 000 hektolitër/vit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 nga prodhues vendas e të huaj me sasi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&gt; 200 000 hektolitër/vit</w:t>
            </w:r>
          </w:p>
        </w:tc>
        <w:tc>
          <w:tcPr>
            <w:tcW w:w="1930" w:type="dxa"/>
            <w:tcBorders>
              <w:bottom w:val="single" w:sz="4"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30 lekë/litri</w:t>
            </w: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40 lekë/litri</w:t>
            </w:r>
          </w:p>
        </w:tc>
      </w:tr>
      <w:tr w:rsidR="002768F6" w:rsidRPr="0066238A">
        <w:tblPrEx>
          <w:tblCellMar>
            <w:top w:w="0" w:type="dxa"/>
            <w:bottom w:w="0" w:type="dxa"/>
          </w:tblCellMar>
        </w:tblPrEx>
        <w:trPr>
          <w:trHeight w:val="1843"/>
          <w:jc w:val="center"/>
        </w:trPr>
        <w:tc>
          <w:tcPr>
            <w:tcW w:w="1476" w:type="dxa"/>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22 04</w:t>
            </w:r>
          </w:p>
        </w:tc>
        <w:tc>
          <w:tcPr>
            <w:tcW w:w="4529" w:type="dxa"/>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Verë dhe verërat e gazuara; shampanjë; musht rrushi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nga prodhues vendas e të huaj me sasi</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&lt; = 10 000 hektolitër/vit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 nga prodhues vendas e të huaj me sasi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&gt; 10 000 hektolitër/vit</w:t>
            </w:r>
          </w:p>
        </w:tc>
        <w:tc>
          <w:tcPr>
            <w:tcW w:w="1930" w:type="dxa"/>
          </w:tcPr>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 lekë/litri</w:t>
            </w: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35 lekë/litri</w:t>
            </w:r>
          </w:p>
        </w:tc>
      </w:tr>
    </w:tbl>
    <w:p w:rsidR="002768F6" w:rsidRDefault="002768F6" w:rsidP="004A0E2A">
      <w:pPr>
        <w:widowControl w:val="0"/>
        <w:autoSpaceDE w:val="0"/>
        <w:autoSpaceDN w:val="0"/>
        <w:adjustRightInd w:val="0"/>
        <w:spacing w:line="1" w:lineRule="exact"/>
        <w:rPr>
          <w:sz w:val="2"/>
          <w:szCs w:val="2"/>
        </w:rPr>
      </w:pPr>
    </w:p>
    <w:tbl>
      <w:tblPr>
        <w:tblW w:w="0" w:type="auto"/>
        <w:jc w:val="center"/>
        <w:tblLayout w:type="fixed"/>
        <w:tblCellMar>
          <w:left w:w="40" w:type="dxa"/>
          <w:right w:w="40" w:type="dxa"/>
        </w:tblCellMar>
        <w:tblLook w:val="0000" w:firstRow="0" w:lastRow="0" w:firstColumn="0" w:lastColumn="0" w:noHBand="0" w:noVBand="0"/>
      </w:tblPr>
      <w:tblGrid>
        <w:gridCol w:w="1462"/>
        <w:gridCol w:w="4550"/>
        <w:gridCol w:w="1930"/>
      </w:tblGrid>
      <w:tr w:rsidR="002768F6" w:rsidRPr="0066238A">
        <w:tblPrEx>
          <w:tblCellMar>
            <w:top w:w="0" w:type="dxa"/>
            <w:bottom w:w="0" w:type="dxa"/>
          </w:tblCellMar>
        </w:tblPrEx>
        <w:trPr>
          <w:trHeight w:val="1538"/>
          <w:jc w:val="center"/>
        </w:trPr>
        <w:tc>
          <w:tcPr>
            <w:tcW w:w="1462" w:type="dxa"/>
            <w:tcBorders>
              <w:top w:val="single" w:sz="4"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22 05</w:t>
            </w:r>
          </w:p>
        </w:tc>
        <w:tc>
          <w:tcPr>
            <w:tcW w:w="4550" w:type="dxa"/>
            <w:tcBorders>
              <w:top w:val="single" w:sz="4"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Vermut e verëra të tjera të përgatitura nga bimë ose substanca aromatizuese</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 - nga prodhues vendas e të huaj me sasi</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 &lt; = 300 hektolitër/vit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 nga prodhues vendas e të huaj me sasi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&gt; 300 hektolitër/vit</w:t>
            </w:r>
          </w:p>
        </w:tc>
        <w:tc>
          <w:tcPr>
            <w:tcW w:w="1930" w:type="dxa"/>
            <w:tcBorders>
              <w:top w:val="single" w:sz="4"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 lekë/litri</w:t>
            </w: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35 lekë/litri</w:t>
            </w:r>
          </w:p>
        </w:tc>
      </w:tr>
      <w:tr w:rsidR="002768F6" w:rsidRPr="0066238A">
        <w:tblPrEx>
          <w:tblCellMar>
            <w:top w:w="0" w:type="dxa"/>
            <w:bottom w:w="0" w:type="dxa"/>
          </w:tblCellMar>
        </w:tblPrEx>
        <w:trPr>
          <w:trHeight w:val="1018"/>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22 06</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Të tjera pije të fermentuara (p.sh. cider, cider dardhe, hydromel); përzierje të pijeve të fermentuara dhe pijeve joalkoolike të papërmendura diku tjetër</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 lekë/litri</w:t>
            </w:r>
          </w:p>
        </w:tc>
      </w:tr>
      <w:tr w:rsidR="002768F6" w:rsidRPr="0066238A">
        <w:tblPrEx>
          <w:tblCellMar>
            <w:top w:w="0" w:type="dxa"/>
            <w:bottom w:w="0" w:type="dxa"/>
          </w:tblCellMar>
        </w:tblPrEx>
        <w:trPr>
          <w:trHeight w:val="496"/>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22 07 10 00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Alkool etilik jo i denatyruar i një force alkoolike ndaj volumit prej 80 për qind ose më tepër</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400 lekë/litri</w:t>
            </w:r>
          </w:p>
        </w:tc>
      </w:tr>
      <w:tr w:rsidR="002768F6" w:rsidRPr="0066238A">
        <w:tblPrEx>
          <w:tblCellMar>
            <w:top w:w="0" w:type="dxa"/>
            <w:bottom w:w="0" w:type="dxa"/>
          </w:tblCellMar>
        </w:tblPrEx>
        <w:trPr>
          <w:trHeight w:val="296"/>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22 07 20 00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Alkool etilik i denatyruar</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0</w:t>
            </w:r>
          </w:p>
        </w:tc>
      </w:tr>
      <w:tr w:rsidR="002768F6" w:rsidRPr="0066238A">
        <w:tblPrEx>
          <w:tblCellMar>
            <w:top w:w="0" w:type="dxa"/>
            <w:bottom w:w="0" w:type="dxa"/>
          </w:tblCellMar>
        </w:tblPrEx>
        <w:trPr>
          <w:trHeight w:val="1619"/>
          <w:jc w:val="center"/>
        </w:trPr>
        <w:tc>
          <w:tcPr>
            <w:tcW w:w="1462" w:type="dxa"/>
            <w:vMerge w:val="restart"/>
            <w:tcBorders>
              <w:top w:val="single" w:sz="6" w:space="0" w:color="auto"/>
              <w:left w:val="single" w:sz="6" w:space="0" w:color="auto"/>
              <w:bottom w:val="nil"/>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22 08</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Pije alkoolike me forcë alkoolike ndaj volumit mbi 12 për qind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 nga prodhues vendas e të huaj me sasi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&lt; = 20 000 hektolitër/vit </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nga prodhues vendas e të huaj me sasi</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&gt; 20 000 hektolitër/vit</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220 lekë/litri</w:t>
            </w: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300 lekë/litri</w:t>
            </w:r>
          </w:p>
        </w:tc>
      </w:tr>
      <w:tr w:rsidR="002768F6" w:rsidRPr="0066238A">
        <w:tblPrEx>
          <w:tblCellMar>
            <w:top w:w="0" w:type="dxa"/>
            <w:bottom w:w="0" w:type="dxa"/>
          </w:tblCellMar>
        </w:tblPrEx>
        <w:trPr>
          <w:trHeight w:val="619"/>
          <w:jc w:val="center"/>
        </w:trPr>
        <w:tc>
          <w:tcPr>
            <w:tcW w:w="1462" w:type="dxa"/>
            <w:vMerge/>
            <w:tcBorders>
              <w:top w:val="nil"/>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p>
          <w:p w:rsidR="002768F6" w:rsidRPr="0066238A" w:rsidRDefault="002768F6" w:rsidP="004A0E2A">
            <w:pPr>
              <w:widowControl w:val="0"/>
              <w:autoSpaceDE w:val="0"/>
              <w:autoSpaceDN w:val="0"/>
              <w:adjustRightInd w:val="0"/>
              <w:rPr>
                <w:rFonts w:ascii="CG Times" w:hAnsi="CG Times"/>
                <w:sz w:val="22"/>
                <w:szCs w:val="22"/>
              </w:rPr>
            </w:pP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Pije alkoolike me forcë alkoolike ndaj volumit deri në 12 për qind</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100 lekë litri</w:t>
            </w:r>
          </w:p>
        </w:tc>
      </w:tr>
      <w:tr w:rsidR="002768F6" w:rsidRPr="0066238A">
        <w:tblPrEx>
          <w:tblCellMar>
            <w:top w:w="0" w:type="dxa"/>
            <w:bottom w:w="0" w:type="dxa"/>
          </w:tblCellMar>
        </w:tblPrEx>
        <w:trPr>
          <w:trHeight w:val="240"/>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22 08 20 29</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Raki</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100 lekë/litri</w:t>
            </w:r>
          </w:p>
        </w:tc>
      </w:tr>
      <w:tr w:rsidR="002768F6" w:rsidRPr="0066238A">
        <w:tblPrEx>
          <w:tblCellMar>
            <w:top w:w="0" w:type="dxa"/>
            <w:bottom w:w="0" w:type="dxa"/>
          </w:tblCellMar>
        </w:tblPrEx>
        <w:trPr>
          <w:trHeight w:val="344"/>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III</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DUHAN DHE NËNPRODUKTET E TIJ</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tc>
      </w:tr>
      <w:tr w:rsidR="002768F6" w:rsidRPr="0066238A">
        <w:tblPrEx>
          <w:tblCellMar>
            <w:top w:w="0" w:type="dxa"/>
            <w:bottom w:w="0" w:type="dxa"/>
          </w:tblCellMar>
        </w:tblPrEx>
        <w:trPr>
          <w:trHeight w:val="496"/>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24 02 10 00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Puro dhe cigarillos që përmbajnë duhan</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2 500 lekë/kg</w:t>
            </w:r>
          </w:p>
        </w:tc>
      </w:tr>
      <w:tr w:rsidR="002768F6" w:rsidRPr="0066238A">
        <w:tblPrEx>
          <w:tblCellMar>
            <w:top w:w="0" w:type="dxa"/>
            <w:bottom w:w="0" w:type="dxa"/>
          </w:tblCellMar>
        </w:tblPrEx>
        <w:trPr>
          <w:trHeight w:val="310"/>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24 02 20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Cigare që përmbajnë duhan</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50 lekë/paketa</w:t>
            </w:r>
          </w:p>
        </w:tc>
      </w:tr>
      <w:tr w:rsidR="002768F6" w:rsidRPr="0066238A">
        <w:tblPrEx>
          <w:tblCellMar>
            <w:top w:w="0" w:type="dxa"/>
            <w:bottom w:w="0" w:type="dxa"/>
          </w:tblCellMar>
        </w:tblPrEx>
        <w:trPr>
          <w:trHeight w:val="612"/>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24 02 90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Puro, cigarillos dhe cigare me zëvendësues duhani</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2 240 lekë/kg</w:t>
            </w:r>
          </w:p>
        </w:tc>
      </w:tr>
      <w:tr w:rsidR="002768F6" w:rsidRPr="0066238A">
        <w:tblPrEx>
          <w:tblCellMar>
            <w:top w:w="0" w:type="dxa"/>
            <w:bottom w:w="0" w:type="dxa"/>
          </w:tblCellMar>
        </w:tblPrEx>
        <w:trPr>
          <w:trHeight w:val="825"/>
          <w:jc w:val="center"/>
        </w:trPr>
        <w:tc>
          <w:tcPr>
            <w:tcW w:w="1462" w:type="dxa"/>
            <w:tcBorders>
              <w:top w:val="single" w:sz="6" w:space="0" w:color="auto"/>
              <w:left w:val="single" w:sz="6" w:space="0" w:color="auto"/>
              <w:bottom w:val="single" w:sz="4"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24 03</w:t>
            </w:r>
          </w:p>
        </w:tc>
        <w:tc>
          <w:tcPr>
            <w:tcW w:w="4550" w:type="dxa"/>
            <w:tcBorders>
              <w:top w:val="single" w:sz="6" w:space="0" w:color="auto"/>
              <w:left w:val="single" w:sz="6" w:space="0" w:color="auto"/>
              <w:bottom w:val="single" w:sz="4"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Duhan tjetër i përpunuar dhe zëvendësuesit e duhanit, duhan i homogjenizuar ose i rindërtuar, ekstrakte dhe esenca prej duhani</w:t>
            </w:r>
          </w:p>
        </w:tc>
        <w:tc>
          <w:tcPr>
            <w:tcW w:w="1930" w:type="dxa"/>
            <w:tcBorders>
              <w:top w:val="single" w:sz="6" w:space="0" w:color="auto"/>
              <w:left w:val="single" w:sz="6" w:space="0" w:color="auto"/>
              <w:bottom w:val="single" w:sz="4"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1 500 lekë/kg</w:t>
            </w:r>
          </w:p>
        </w:tc>
      </w:tr>
      <w:tr w:rsidR="002768F6" w:rsidRPr="0066238A">
        <w:tblPrEx>
          <w:tblCellMar>
            <w:top w:w="0" w:type="dxa"/>
            <w:bottom w:w="0" w:type="dxa"/>
          </w:tblCellMar>
        </w:tblPrEx>
        <w:trPr>
          <w:trHeight w:val="302"/>
          <w:jc w:val="center"/>
        </w:trPr>
        <w:tc>
          <w:tcPr>
            <w:tcW w:w="1462" w:type="dxa"/>
            <w:tcBorders>
              <w:top w:val="single" w:sz="4"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IV</w:t>
            </w:r>
          </w:p>
        </w:tc>
        <w:tc>
          <w:tcPr>
            <w:tcW w:w="4550" w:type="dxa"/>
            <w:tcBorders>
              <w:top w:val="single" w:sz="4"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NËNPRODUKTET E NAFTËS</w:t>
            </w:r>
          </w:p>
        </w:tc>
        <w:tc>
          <w:tcPr>
            <w:tcW w:w="1930" w:type="dxa"/>
            <w:tcBorders>
              <w:top w:val="single" w:sz="4"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p>
        </w:tc>
      </w:tr>
      <w:tr w:rsidR="002768F6" w:rsidRPr="0066238A">
        <w:tblPrEx>
          <w:tblCellMar>
            <w:top w:w="0" w:type="dxa"/>
            <w:bottom w:w="0" w:type="dxa"/>
          </w:tblCellMar>
        </w:tblPrEx>
        <w:trPr>
          <w:trHeight w:val="406"/>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Nafte virgine</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50 lekë/litri</w:t>
            </w:r>
          </w:p>
        </w:tc>
      </w:tr>
      <w:tr w:rsidR="002768F6" w:rsidRPr="0066238A">
        <w:tblPrEx>
          <w:tblCellMar>
            <w:top w:w="0" w:type="dxa"/>
            <w:bottom w:w="0" w:type="dxa"/>
          </w:tblCellMar>
        </w:tblPrEx>
        <w:trPr>
          <w:trHeight w:val="698"/>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p>
          <w:p w:rsidR="002768F6" w:rsidRPr="0066238A" w:rsidRDefault="002768F6" w:rsidP="004A0E2A">
            <w:pPr>
              <w:widowControl w:val="0"/>
              <w:autoSpaceDE w:val="0"/>
              <w:autoSpaceDN w:val="0"/>
              <w:adjustRightInd w:val="0"/>
              <w:rPr>
                <w:rFonts w:ascii="CG Times" w:hAnsi="CG Times"/>
                <w:sz w:val="22"/>
                <w:szCs w:val="22"/>
              </w:rPr>
            </w:pPr>
          </w:p>
          <w:p w:rsidR="002768F6" w:rsidRPr="0066238A" w:rsidRDefault="002768F6" w:rsidP="004A0E2A">
            <w:pPr>
              <w:widowControl w:val="0"/>
              <w:autoSpaceDE w:val="0"/>
              <w:autoSpaceDN w:val="0"/>
              <w:adjustRightInd w:val="0"/>
              <w:rPr>
                <w:rFonts w:ascii="CG Times" w:hAnsi="CG Times"/>
                <w:sz w:val="22"/>
                <w:szCs w:val="22"/>
              </w:rPr>
            </w:pP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27 10 11 41</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27 19 11 45</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27 10 11 49</w:t>
            </w:r>
          </w:p>
          <w:p w:rsidR="002768F6" w:rsidRPr="0066238A" w:rsidRDefault="002768F6" w:rsidP="004A0E2A">
            <w:pPr>
              <w:widowControl w:val="0"/>
              <w:autoSpaceDE w:val="0"/>
              <w:autoSpaceDN w:val="0"/>
              <w:adjustRightInd w:val="0"/>
              <w:rPr>
                <w:rFonts w:ascii="CG Times" w:hAnsi="CG Times"/>
                <w:sz w:val="22"/>
                <w:szCs w:val="22"/>
              </w:rPr>
            </w:pPr>
          </w:p>
          <w:p w:rsidR="002768F6" w:rsidRPr="0066238A" w:rsidRDefault="002768F6" w:rsidP="004A0E2A">
            <w:pPr>
              <w:widowControl w:val="0"/>
              <w:autoSpaceDE w:val="0"/>
              <w:autoSpaceDN w:val="0"/>
              <w:adjustRightInd w:val="0"/>
              <w:rPr>
                <w:rFonts w:ascii="CG Times" w:hAnsi="CG Times"/>
                <w:sz w:val="22"/>
                <w:szCs w:val="22"/>
              </w:rPr>
            </w:pP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27 10 11 51</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27 10 11 59</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Vajra të lehta (benzinë dhe benzol)</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Benzinë dhe benzol pa plumb, me përmbajtje plumbi jo më tepër se 0,013 gr/litër</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Me më pak se 95 oktan</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Me 95-98 oktan</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Me 98 e më shumë oktan</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Benzinë me plumb, me përmbajtje plumbi më tepër se 0,013 gr/litër</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Me më pak se 98 oktan</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Me 98 e më shumë oktan</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37 lekë/litri</w:t>
            </w: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50 lekë/litri</w:t>
            </w:r>
          </w:p>
        </w:tc>
      </w:tr>
      <w:tr w:rsidR="002768F6" w:rsidRPr="0066238A">
        <w:tblPrEx>
          <w:tblCellMar>
            <w:top w:w="0" w:type="dxa"/>
            <w:bottom w:w="0" w:type="dxa"/>
          </w:tblCellMar>
        </w:tblPrEx>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19 11 deri</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27 10 19 29</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27 10 19 21</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Vajguret</w:t>
            </w:r>
          </w:p>
          <w:p w:rsidR="002768F6" w:rsidRPr="0066238A" w:rsidRDefault="002768F6" w:rsidP="004A0E2A">
            <w:pPr>
              <w:widowControl w:val="0"/>
              <w:autoSpaceDE w:val="0"/>
              <w:autoSpaceDN w:val="0"/>
              <w:adjustRightInd w:val="0"/>
              <w:rPr>
                <w:rFonts w:ascii="CG Times" w:hAnsi="CG Times"/>
                <w:sz w:val="22"/>
                <w:szCs w:val="22"/>
              </w:rPr>
            </w:pP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Karburantet, tip vajguri</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 lekë/litri</w:t>
            </w: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 lekë/litri</w:t>
            </w:r>
          </w:p>
        </w:tc>
      </w:tr>
      <w:tr w:rsidR="002768F6" w:rsidRPr="0066238A">
        <w:tblPrEx>
          <w:tblCellMar>
            <w:top w:w="0" w:type="dxa"/>
            <w:bottom w:w="0" w:type="dxa"/>
          </w:tblCellMar>
        </w:tblPrEx>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19 31 deri</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27 10 19 49</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Vajra të rënda (gazoil)</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37 lekë/litri</w:t>
            </w:r>
          </w:p>
        </w:tc>
      </w:tr>
      <w:tr w:rsidR="002768F6" w:rsidRPr="0066238A">
        <w:tblPrEx>
          <w:tblCellMar>
            <w:top w:w="0" w:type="dxa"/>
            <w:bottom w:w="0" w:type="dxa"/>
          </w:tblCellMar>
        </w:tblPrEx>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19 51 deri</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27 10 19 69</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Vajra të rënda si lëndë djegëse (lëndë djegëse, solar, mazut)</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 lekë/kg</w:t>
            </w:r>
          </w:p>
        </w:tc>
      </w:tr>
      <w:tr w:rsidR="002768F6" w:rsidRPr="0066238A">
        <w:tblPrEx>
          <w:tblCellMar>
            <w:top w:w="0" w:type="dxa"/>
            <w:bottom w:w="0" w:type="dxa"/>
          </w:tblCellMar>
        </w:tblPrEx>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19 71 deri</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27 10 19 99</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Vajra lubrifikante dhe vajra të tjera</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40 lekë/kg</w:t>
            </w:r>
          </w:p>
        </w:tc>
      </w:tr>
      <w:tr w:rsidR="002768F6" w:rsidRPr="0066238A">
        <w:tblPrEx>
          <w:tblCellMar>
            <w:top w:w="0" w:type="dxa"/>
            <w:bottom w:w="0" w:type="dxa"/>
          </w:tblCellMar>
        </w:tblPrEx>
        <w:trPr>
          <w:trHeight w:val="715"/>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27 13 11 00</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27 13 12 00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xml:space="preserve">Koks nafte dhe vajra të tjera </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 lek/kg</w:t>
            </w:r>
          </w:p>
        </w:tc>
      </w:tr>
      <w:tr w:rsidR="002768F6" w:rsidRPr="0066238A">
        <w:tblPrEx>
          <w:tblCellMar>
            <w:top w:w="0" w:type="dxa"/>
            <w:bottom w:w="0" w:type="dxa"/>
          </w:tblCellMar>
        </w:tblPrEx>
        <w:trPr>
          <w:trHeight w:val="584"/>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27 13 20 00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Bitum nafte</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5 lekë/kg</w:t>
            </w:r>
          </w:p>
        </w:tc>
      </w:tr>
      <w:tr w:rsidR="002768F6" w:rsidRPr="0066238A">
        <w:tblPrEx>
          <w:tblCellMar>
            <w:top w:w="0" w:type="dxa"/>
            <w:bottom w:w="0" w:type="dxa"/>
          </w:tblCellMar>
        </w:tblPrEx>
        <w:trPr>
          <w:trHeight w:val="689"/>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27 13 90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Mbetje të vajrave të naftës dhe të mineraleve bituminoze (bitumen)</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5 lekë/kg</w:t>
            </w:r>
          </w:p>
        </w:tc>
      </w:tr>
      <w:tr w:rsidR="002768F6" w:rsidRPr="0066238A">
        <w:tblPrEx>
          <w:tblCellMar>
            <w:top w:w="0" w:type="dxa"/>
            <w:bottom w:w="0" w:type="dxa"/>
          </w:tblCellMar>
        </w:tblPrEx>
        <w:trPr>
          <w:trHeight w:val="607"/>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27 14 90 00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 Të tjera (bitum dhe asfalt natyral; asfaltet dhe gurët asfaltikë)</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5 lekë/kg</w:t>
            </w:r>
          </w:p>
        </w:tc>
      </w:tr>
      <w:tr w:rsidR="002768F6" w:rsidRPr="0066238A">
        <w:tblPrEx>
          <w:tblCellMar>
            <w:top w:w="0" w:type="dxa"/>
            <w:bottom w:w="0" w:type="dxa"/>
          </w:tblCellMar>
        </w:tblPrEx>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27 15</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Përzierje bituminoze të bazuara në asfaltin natyror, në bitumen e naftës, në katranin mineral, ose në terpentinën e katranit mineral (masticet bituminoze)</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Vernik Bituminoz</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5 lekë/kg</w:t>
            </w: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5 lekë/kg</w:t>
            </w:r>
          </w:p>
        </w:tc>
      </w:tr>
      <w:tr w:rsidR="002768F6" w:rsidRPr="0066238A">
        <w:tblPrEx>
          <w:tblCellMar>
            <w:top w:w="0" w:type="dxa"/>
            <w:bottom w:w="0" w:type="dxa"/>
          </w:tblCellMar>
        </w:tblPrEx>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29 01</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29 02</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Hidrokarbure aciklike dhe ciklike, përfshirë (etilen, benzen, toluol, ksilol)</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37 lekë/kg</w:t>
            </w:r>
          </w:p>
        </w:tc>
      </w:tr>
      <w:tr w:rsidR="002768F6" w:rsidRPr="0066238A">
        <w:tblPrEx>
          <w:tblCellMar>
            <w:top w:w="0" w:type="dxa"/>
            <w:bottom w:w="0" w:type="dxa"/>
          </w:tblCellMar>
        </w:tblPrEx>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34 03 19 91</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34 03 99 10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Preparate për lubrifikimin e makinerive, pajisjeve dhe automjeteve</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40 lekë/kg</w:t>
            </w:r>
          </w:p>
        </w:tc>
      </w:tr>
      <w:tr w:rsidR="002768F6" w:rsidRPr="0066238A">
        <w:tblPrEx>
          <w:tblCellMar>
            <w:top w:w="0" w:type="dxa"/>
            <w:bottom w:w="0" w:type="dxa"/>
          </w:tblCellMar>
        </w:tblPrEx>
        <w:trPr>
          <w:trHeight w:val="490"/>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V</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FISHEKZJARRËT</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tc>
      </w:tr>
      <w:tr w:rsidR="002768F6" w:rsidRPr="0066238A">
        <w:tblPrEx>
          <w:tblCellMar>
            <w:top w:w="0" w:type="dxa"/>
            <w:bottom w:w="0" w:type="dxa"/>
          </w:tblCellMar>
        </w:tblPrEx>
        <w:trPr>
          <w:trHeight w:val="508"/>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36 04 10 00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Fishekzjarrët</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200 lekë/kg</w:t>
            </w:r>
          </w:p>
        </w:tc>
      </w:tr>
      <w:tr w:rsidR="002768F6" w:rsidRPr="0066238A">
        <w:tblPrEx>
          <w:tblCellMar>
            <w:top w:w="0" w:type="dxa"/>
            <w:bottom w:w="0" w:type="dxa"/>
          </w:tblCellMar>
        </w:tblPrEx>
        <w:trPr>
          <w:trHeight w:val="431"/>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36 04 90 00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Të tjera</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200 lekë/kg</w:t>
            </w:r>
          </w:p>
        </w:tc>
      </w:tr>
      <w:tr w:rsidR="002768F6" w:rsidRPr="0066238A">
        <w:tblPrEx>
          <w:tblCellMar>
            <w:top w:w="0" w:type="dxa"/>
            <w:bottom w:w="0" w:type="dxa"/>
          </w:tblCellMar>
        </w:tblPrEx>
        <w:trPr>
          <w:trHeight w:val="404"/>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VI</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GOMAT</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right"/>
              <w:rPr>
                <w:rFonts w:ascii="CG Times" w:hAnsi="CG Times"/>
                <w:sz w:val="22"/>
                <w:szCs w:val="22"/>
              </w:rPr>
            </w:pPr>
          </w:p>
        </w:tc>
      </w:tr>
      <w:tr w:rsidR="002768F6" w:rsidRPr="0066238A">
        <w:tblPrEx>
          <w:tblCellMar>
            <w:top w:w="0" w:type="dxa"/>
            <w:bottom w:w="0" w:type="dxa"/>
          </w:tblCellMar>
        </w:tblPrEx>
        <w:trPr>
          <w:trHeight w:val="463"/>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40 11</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Goma të reja pneumatike prej gome</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 lekë/kg</w:t>
            </w:r>
          </w:p>
        </w:tc>
      </w:tr>
      <w:tr w:rsidR="002768F6" w:rsidRPr="0066238A">
        <w:tblPrEx>
          <w:tblCellMar>
            <w:top w:w="0" w:type="dxa"/>
            <w:bottom w:w="0" w:type="dxa"/>
          </w:tblCellMar>
        </w:tblPrEx>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40 12</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(përveç</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40 12 20 00)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Goma pneumatike të riveshura; goma mishi apo të zakonshme; veshja e jashtme (pjesa me lule) dhe fashetat e gomës</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40 lekë/kg</w:t>
            </w:r>
          </w:p>
        </w:tc>
      </w:tr>
      <w:tr w:rsidR="002768F6" w:rsidRPr="0066238A">
        <w:tblPrEx>
          <w:tblCellMar>
            <w:top w:w="0" w:type="dxa"/>
            <w:bottom w:w="0" w:type="dxa"/>
          </w:tblCellMar>
        </w:tblPrEx>
        <w:trPr>
          <w:trHeight w:val="541"/>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40 12 20 00</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Goma pneumatike të përdorura</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100 lekë/kg</w:t>
            </w:r>
          </w:p>
        </w:tc>
      </w:tr>
      <w:tr w:rsidR="002768F6" w:rsidRPr="0066238A">
        <w:tblPrEx>
          <w:tblCellMar>
            <w:top w:w="0" w:type="dxa"/>
            <w:bottom w:w="0" w:type="dxa"/>
          </w:tblCellMar>
        </w:tblPrEx>
        <w:trPr>
          <w:trHeight w:val="628"/>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VII</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PILAT DHE BATERITË PRIMARE; AKUMULATORËT ELEKTRIKË</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p>
        </w:tc>
      </w:tr>
      <w:tr w:rsidR="002768F6" w:rsidRPr="0066238A">
        <w:tblPrEx>
          <w:tblCellMar>
            <w:top w:w="0" w:type="dxa"/>
            <w:bottom w:w="0" w:type="dxa"/>
          </w:tblCellMar>
        </w:tblPrEx>
        <w:trPr>
          <w:trHeight w:val="677"/>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85 06</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Pilat dhe bateritë primare</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200 lekë/kg</w:t>
            </w:r>
          </w:p>
        </w:tc>
      </w:tr>
      <w:tr w:rsidR="002768F6" w:rsidRPr="0066238A">
        <w:tblPrEx>
          <w:tblCellMar>
            <w:top w:w="0" w:type="dxa"/>
            <w:bottom w:w="0" w:type="dxa"/>
          </w:tblCellMar>
        </w:tblPrEx>
        <w:trPr>
          <w:trHeight w:val="619"/>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85 07</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Akumulatorët elektrikë, përfshi ndarëset e tyre, nëse janë apo jo drejtkëndëshe (përfshi katrorët)</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 lekë/kg</w:t>
            </w:r>
          </w:p>
        </w:tc>
      </w:tr>
      <w:tr w:rsidR="002768F6" w:rsidRPr="0066238A">
        <w:tblPrEx>
          <w:tblCellMar>
            <w:top w:w="0" w:type="dxa"/>
            <w:bottom w:w="0" w:type="dxa"/>
          </w:tblCellMar>
        </w:tblPrEx>
        <w:trPr>
          <w:trHeight w:val="298"/>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VIII</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AMBALAZHET</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p>
        </w:tc>
      </w:tr>
      <w:tr w:rsidR="002768F6" w:rsidRPr="0066238A">
        <w:tblPrEx>
          <w:tblCellMar>
            <w:top w:w="0" w:type="dxa"/>
            <w:bottom w:w="0" w:type="dxa"/>
          </w:tblCellMar>
        </w:tblPrEx>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AMBALAZHET:</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Ambalazhet e plastikës</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Ambalazhet e qelqit</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Ambalazhi i përzier</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right"/>
              <w:rPr>
                <w:rFonts w:ascii="CG Times" w:hAnsi="CG Times"/>
                <w:sz w:val="22"/>
                <w:szCs w:val="22"/>
              </w:rPr>
            </w:pP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100 lekë/kg</w:t>
            </w: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10  lekë/kg</w:t>
            </w: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20 lekë/kg</w:t>
            </w:r>
          </w:p>
        </w:tc>
      </w:tr>
      <w:tr w:rsidR="002768F6" w:rsidRPr="0066238A">
        <w:tblPrEx>
          <w:tblCellMar>
            <w:top w:w="0" w:type="dxa"/>
            <w:bottom w:w="0" w:type="dxa"/>
          </w:tblCellMar>
        </w:tblPrEx>
        <w:trPr>
          <w:trHeight w:val="399"/>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IX</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b/>
                <w:sz w:val="22"/>
                <w:szCs w:val="22"/>
              </w:rPr>
            </w:pPr>
            <w:r w:rsidRPr="0066238A">
              <w:rPr>
                <w:rFonts w:ascii="CG Times" w:hAnsi="CG Times"/>
                <w:b/>
                <w:sz w:val="22"/>
                <w:szCs w:val="22"/>
              </w:rPr>
              <w:t>LLAMBA INKANDESHENTE</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right"/>
              <w:rPr>
                <w:rFonts w:ascii="CG Times" w:hAnsi="CG Times"/>
                <w:sz w:val="22"/>
                <w:szCs w:val="22"/>
              </w:rPr>
            </w:pPr>
          </w:p>
        </w:tc>
      </w:tr>
      <w:tr w:rsidR="002768F6" w:rsidRPr="0066238A">
        <w:tblPrEx>
          <w:tblCellMar>
            <w:top w:w="0" w:type="dxa"/>
            <w:bottom w:w="0" w:type="dxa"/>
          </w:tblCellMar>
        </w:tblPrEx>
        <w:trPr>
          <w:trHeight w:val="943"/>
          <w:jc w:val="center"/>
        </w:trPr>
        <w:tc>
          <w:tcPr>
            <w:tcW w:w="1462"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85 39 22 10</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85 39 22 90</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85 39 29 92</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85 39 29 98</w:t>
            </w:r>
          </w:p>
        </w:tc>
        <w:tc>
          <w:tcPr>
            <w:tcW w:w="455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Llambat reflektor</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Të tjera</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Më tepër se 100 V</w:t>
            </w:r>
          </w:p>
          <w:p w:rsidR="002768F6" w:rsidRPr="0066238A" w:rsidRDefault="002768F6" w:rsidP="004A0E2A">
            <w:pPr>
              <w:widowControl w:val="0"/>
              <w:autoSpaceDE w:val="0"/>
              <w:autoSpaceDN w:val="0"/>
              <w:adjustRightInd w:val="0"/>
              <w:rPr>
                <w:rFonts w:ascii="CG Times" w:hAnsi="CG Times"/>
                <w:sz w:val="22"/>
                <w:szCs w:val="22"/>
              </w:rPr>
            </w:pPr>
            <w:r w:rsidRPr="0066238A">
              <w:rPr>
                <w:rFonts w:ascii="CG Times" w:hAnsi="CG Times"/>
                <w:sz w:val="22"/>
                <w:szCs w:val="22"/>
              </w:rPr>
              <w:t>Jo më tepër se 100 V</w:t>
            </w:r>
          </w:p>
        </w:tc>
        <w:tc>
          <w:tcPr>
            <w:tcW w:w="1930" w:type="dxa"/>
            <w:tcBorders>
              <w:top w:val="single" w:sz="6" w:space="0" w:color="auto"/>
              <w:left w:val="single" w:sz="6" w:space="0" w:color="auto"/>
              <w:bottom w:val="single" w:sz="6" w:space="0" w:color="auto"/>
              <w:right w:val="single" w:sz="6" w:space="0" w:color="auto"/>
            </w:tcBorders>
          </w:tcPr>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100 lekë/copa</w:t>
            </w: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100 lekë/copa</w:t>
            </w: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100 lekë/copa</w:t>
            </w:r>
          </w:p>
          <w:p w:rsidR="002768F6" w:rsidRPr="0066238A" w:rsidRDefault="002768F6" w:rsidP="004A0E2A">
            <w:pPr>
              <w:widowControl w:val="0"/>
              <w:autoSpaceDE w:val="0"/>
              <w:autoSpaceDN w:val="0"/>
              <w:adjustRightInd w:val="0"/>
              <w:jc w:val="center"/>
              <w:rPr>
                <w:rFonts w:ascii="CG Times" w:hAnsi="CG Times"/>
                <w:sz w:val="22"/>
                <w:szCs w:val="22"/>
              </w:rPr>
            </w:pPr>
            <w:r w:rsidRPr="0066238A">
              <w:rPr>
                <w:rFonts w:ascii="CG Times" w:hAnsi="CG Times"/>
                <w:sz w:val="22"/>
                <w:szCs w:val="22"/>
              </w:rPr>
              <w:t>100 lekë/copa</w:t>
            </w:r>
          </w:p>
        </w:tc>
      </w:tr>
    </w:tbl>
    <w:p w:rsidR="002768F6" w:rsidRDefault="002768F6" w:rsidP="004A0E2A">
      <w:pPr>
        <w:pStyle w:val="Akti"/>
        <w:keepNext w:val="0"/>
        <w:rPr>
          <w:rFonts w:ascii="Times New Roman" w:hAnsi="Times New Roman"/>
          <w:b w:val="0"/>
          <w:caps w:val="0"/>
          <w:color w:val="auto"/>
          <w:sz w:val="24"/>
          <w:szCs w:val="24"/>
          <w:lang w:val="sq-AL"/>
        </w:rPr>
      </w:pPr>
    </w:p>
    <w:p w:rsidR="006205B8" w:rsidRPr="004E294B" w:rsidRDefault="006205B8" w:rsidP="004A0E2A">
      <w:pPr>
        <w:pStyle w:val="Akti"/>
        <w:keepNext w:val="0"/>
      </w:pPr>
      <w:r w:rsidRPr="004E294B">
        <w:t>KËRKESË</w:t>
      </w:r>
    </w:p>
    <w:p w:rsidR="006205B8" w:rsidRPr="0058547A" w:rsidRDefault="006205B8" w:rsidP="004A0E2A">
      <w:pPr>
        <w:pStyle w:val="NumriData"/>
        <w:keepNext w:val="0"/>
      </w:pPr>
      <w:r>
        <w:t>Nr.2801/1, datë 3.6.2010</w:t>
      </w:r>
    </w:p>
    <w:p w:rsidR="006205B8" w:rsidRDefault="006205B8" w:rsidP="004A0E2A">
      <w:pPr>
        <w:pStyle w:val="Akti"/>
        <w:keepNext w:val="0"/>
        <w:jc w:val="left"/>
      </w:pPr>
    </w:p>
    <w:p w:rsidR="006205B8" w:rsidRDefault="006205B8" w:rsidP="004A0E2A">
      <w:pPr>
        <w:pStyle w:val="Akti"/>
        <w:keepNext w:val="0"/>
      </w:pPr>
      <w:r w:rsidRPr="0058547A">
        <w:t>PËR SHPRONËSIM PUBLIK</w:t>
      </w:r>
    </w:p>
    <w:p w:rsidR="006205B8" w:rsidRPr="0058547A" w:rsidRDefault="006205B8" w:rsidP="004A0E2A">
      <w:pPr>
        <w:pStyle w:val="Paragrafi0"/>
      </w:pPr>
      <w:r w:rsidRPr="0058547A">
        <w:t> </w:t>
      </w:r>
    </w:p>
    <w:p w:rsidR="006205B8" w:rsidRPr="0058547A" w:rsidRDefault="006205B8" w:rsidP="004A0E2A">
      <w:pPr>
        <w:pStyle w:val="Paragrafi0"/>
      </w:pPr>
      <w:r w:rsidRPr="0058547A">
        <w:t>Ministria e Punëve Publike dhe Transportit  shpall kërkesën për shpronësim për interes publik të pasurive të paluajtshme pronë private (tokë arë), që preken nga ndërtimi i segmentit rrugor “By Pass Plepa-Kavajë Rrogozhinë” lotet 8, 9, 10, 11, 12.</w:t>
      </w:r>
    </w:p>
    <w:p w:rsidR="006205B8" w:rsidRPr="0058547A" w:rsidRDefault="006205B8" w:rsidP="004A0E2A">
      <w:pPr>
        <w:pStyle w:val="Paragrafi0"/>
      </w:pPr>
      <w:r w:rsidRPr="0058547A">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nr.138, datë 23.03.2000 të Këshillit të Ministrave “Për kriteret teknike të vlerësimit dhe të përllogaritjes së masës së shpërblimit të pasurive që shpronësohen, të pasurive që zhvlerësohen dhe të të drejtave të personave të tretë, për interes publik”, për pronarët sipas listës emërore bashkëlidhur. </w:t>
      </w:r>
    </w:p>
    <w:p w:rsidR="006205B8" w:rsidRPr="0058547A" w:rsidRDefault="006205B8" w:rsidP="004A0E2A">
      <w:pPr>
        <w:pStyle w:val="Paragrafi0"/>
      </w:pPr>
      <w:r w:rsidRPr="0058547A">
        <w:t>Pronarët që kanë emrin në listën emërore dhe personat e tretë, brenda 15 ditëve nga plotësimi i këtij afati për publikim, kanë të drejtë të paraqesin pretendimet e tyre lidhur me çmimin, sipërfaqen</w:t>
      </w:r>
      <w:r>
        <w:t>,</w:t>
      </w:r>
      <w:r w:rsidRPr="0058547A">
        <w:t xml:space="preserve"> titullin e pronësisë, apo llojin e pasurisë që kanë në pronësi, të shoqëru</w:t>
      </w:r>
      <w:r>
        <w:t>ara me dokumentet përkatëse në m</w:t>
      </w:r>
      <w:r w:rsidRPr="0058547A">
        <w:t>inistrinë kompetente (Ministria e Punëve Publike dhe Transportit). </w:t>
      </w:r>
    </w:p>
    <w:p w:rsidR="006205B8" w:rsidRPr="0058547A" w:rsidRDefault="006205B8" w:rsidP="004A0E2A">
      <w:pPr>
        <w:pStyle w:val="Paragrafi0"/>
      </w:pPr>
      <w:r w:rsidRPr="0058547A">
        <w:t>Vlera totale e këtij shpronësimi është 20 794 087 (njëzet milion</w:t>
      </w:r>
      <w:r>
        <w:t>ë e shtatëqind e nëntëdhjetë</w:t>
      </w:r>
      <w:r w:rsidRPr="0058547A">
        <w:t xml:space="preserve"> e katër mijë e tetëdhjetë e shtatë) lekë.</w:t>
      </w:r>
    </w:p>
    <w:p w:rsidR="006205B8" w:rsidRPr="001575C2" w:rsidRDefault="006205B8" w:rsidP="004A0E2A">
      <w:pPr>
        <w:pStyle w:val="ecxmsonormal"/>
        <w:widowControl w:val="0"/>
        <w:spacing w:before="0" w:beforeAutospacing="0" w:after="0" w:afterAutospacing="0"/>
        <w:jc w:val="both"/>
        <w:rPr>
          <w:color w:val="444444"/>
          <w:lang w:val="sq-AL"/>
        </w:rPr>
      </w:pPr>
      <w:r w:rsidRPr="001305D3">
        <w:rPr>
          <w:b/>
          <w:bCs/>
          <w:lang w:val="sq-AL"/>
        </w:rPr>
        <w:t> </w:t>
      </w:r>
      <w:r w:rsidRPr="001305D3">
        <w:rPr>
          <w:lang w:val="sq-AL"/>
        </w:rPr>
        <w:t>                                           </w:t>
      </w:r>
    </w:p>
    <w:p w:rsidR="006205B8" w:rsidRDefault="006205B8" w:rsidP="004A0E2A">
      <w:pPr>
        <w:pStyle w:val="Autoriteti"/>
        <w:keepNext w:val="0"/>
      </w:pPr>
      <w:r w:rsidRPr="001305D3">
        <w:rPr>
          <w:color w:val="444444"/>
          <w:lang w:val="sq-AL"/>
        </w:rPr>
        <w:t> </w:t>
      </w:r>
      <w:r>
        <w:t xml:space="preserve">MINISTRI I PUNËVE PUBLIKE, </w:t>
      </w:r>
    </w:p>
    <w:p w:rsidR="006205B8" w:rsidRDefault="006205B8" w:rsidP="004A0E2A">
      <w:pPr>
        <w:pStyle w:val="Autoriteti"/>
        <w:keepNext w:val="0"/>
      </w:pPr>
      <w:r>
        <w:t>TRANSPORTIT DHE TELEKOMUNIKACIONIT</w:t>
      </w:r>
    </w:p>
    <w:p w:rsidR="006205B8" w:rsidRPr="0052573B" w:rsidRDefault="006205B8" w:rsidP="004A0E2A">
      <w:pPr>
        <w:pStyle w:val="AutoritetiEmer"/>
      </w:pPr>
      <w:r>
        <w:t>Sokol Olldashi</w:t>
      </w:r>
    </w:p>
    <w:p w:rsidR="006205B8" w:rsidRPr="001305D3" w:rsidRDefault="006205B8" w:rsidP="004A0E2A">
      <w:pPr>
        <w:pStyle w:val="AutoritetiEmer"/>
        <w:rPr>
          <w:color w:val="444444"/>
          <w:lang w:val="sq-AL"/>
        </w:rPr>
      </w:pPr>
    </w:p>
    <w:p w:rsidR="006205B8" w:rsidRPr="00C408F3" w:rsidRDefault="006205B8" w:rsidP="004A0E2A">
      <w:pPr>
        <w:pStyle w:val="ecxmsonormal"/>
        <w:widowControl w:val="0"/>
        <w:spacing w:before="0" w:beforeAutospacing="0" w:after="0" w:afterAutospacing="0"/>
        <w:jc w:val="both"/>
        <w:rPr>
          <w:color w:val="444444"/>
          <w:lang w:val="sq-AL"/>
        </w:rPr>
      </w:pPr>
    </w:p>
    <w:p w:rsidR="006205B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DREJTORIA E PËRGJITHSHME E RRUGË</w:t>
      </w:r>
      <w:r w:rsidRPr="00957F40">
        <w:rPr>
          <w:rFonts w:ascii="CG Times" w:eastAsia="Times New Roman" w:hAnsi="CG Times" w:cs="Arial"/>
          <w:b/>
          <w:bCs/>
          <w:sz w:val="18"/>
          <w:szCs w:val="18"/>
        </w:rPr>
        <w:t>VE</w:t>
      </w:r>
    </w:p>
    <w:p w:rsidR="006205B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DREJTORIA E SHPRONË</w:t>
      </w:r>
      <w:r w:rsidRPr="00957F40">
        <w:rPr>
          <w:rFonts w:ascii="CG Times" w:eastAsia="Times New Roman" w:hAnsi="CG Times" w:cs="Arial"/>
          <w:b/>
          <w:bCs/>
          <w:sz w:val="18"/>
          <w:szCs w:val="18"/>
        </w:rPr>
        <w:t>SIMEVE</w:t>
      </w:r>
    </w:p>
    <w:p w:rsidR="006205B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LISTA EMË</w:t>
      </w:r>
      <w:r w:rsidRPr="00957F40">
        <w:rPr>
          <w:rFonts w:ascii="CG Times" w:eastAsia="Times New Roman" w:hAnsi="CG Times" w:cs="Arial"/>
          <w:b/>
          <w:bCs/>
          <w:sz w:val="18"/>
          <w:szCs w:val="18"/>
        </w:rPr>
        <w:t>RORE E PR</w:t>
      </w:r>
      <w:r>
        <w:rPr>
          <w:rFonts w:ascii="CG Times" w:eastAsia="Times New Roman" w:hAnsi="CG Times" w:cs="Arial"/>
          <w:b/>
          <w:bCs/>
          <w:sz w:val="18"/>
          <w:szCs w:val="18"/>
        </w:rPr>
        <w:t>ONARËVE QË SHPRONËSOHEN NGA NDË</w:t>
      </w:r>
      <w:r w:rsidRPr="00957F40">
        <w:rPr>
          <w:rFonts w:ascii="CG Times" w:eastAsia="Times New Roman" w:hAnsi="CG Times" w:cs="Arial"/>
          <w:b/>
          <w:bCs/>
          <w:sz w:val="18"/>
          <w:szCs w:val="18"/>
        </w:rPr>
        <w:t>RTIMI I SEGMENTIT RRUGOR</w:t>
      </w:r>
    </w:p>
    <w:p w:rsidR="006205B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"By-Pass Plepa Rrogozhinë</w:t>
      </w:r>
      <w:r w:rsidRPr="00957F40">
        <w:rPr>
          <w:rFonts w:ascii="CG Times" w:eastAsia="Times New Roman" w:hAnsi="CG Times" w:cs="Arial"/>
          <w:b/>
          <w:bCs/>
          <w:sz w:val="18"/>
          <w:szCs w:val="18"/>
        </w:rPr>
        <w:t xml:space="preserve">"        </w:t>
      </w:r>
    </w:p>
    <w:p w:rsidR="006205B8" w:rsidRPr="00A9058C" w:rsidRDefault="006205B8" w:rsidP="004A0E2A">
      <w:pPr>
        <w:widowControl w:val="0"/>
        <w:rPr>
          <w:rFonts w:ascii="CG Times" w:eastAsia="Times New Roman" w:hAnsi="CG Times" w:cs="Arial"/>
          <w:b/>
          <w:bCs/>
          <w:sz w:val="18"/>
          <w:szCs w:val="18"/>
        </w:rPr>
      </w:pPr>
    </w:p>
    <w:tbl>
      <w:tblPr>
        <w:tblW w:w="4642" w:type="pct"/>
        <w:jc w:val="center"/>
        <w:tblLook w:val="0000" w:firstRow="0" w:lastRow="0" w:firstColumn="0" w:lastColumn="0" w:noHBand="0" w:noVBand="0"/>
      </w:tblPr>
      <w:tblGrid>
        <w:gridCol w:w="429"/>
        <w:gridCol w:w="1793"/>
        <w:gridCol w:w="897"/>
        <w:gridCol w:w="617"/>
        <w:gridCol w:w="728"/>
        <w:gridCol w:w="910"/>
        <w:gridCol w:w="748"/>
        <w:gridCol w:w="848"/>
        <w:gridCol w:w="1652"/>
      </w:tblGrid>
      <w:tr w:rsidR="006205B8" w:rsidRPr="00957F40">
        <w:trPr>
          <w:trHeight w:val="139"/>
          <w:jc w:val="center"/>
        </w:trPr>
        <w:tc>
          <w:tcPr>
            <w:tcW w:w="248" w:type="pct"/>
            <w:tcBorders>
              <w:top w:val="nil"/>
              <w:left w:val="nil"/>
              <w:bottom w:val="nil"/>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p>
        </w:tc>
        <w:tc>
          <w:tcPr>
            <w:tcW w:w="1039" w:type="pct"/>
            <w:tcBorders>
              <w:top w:val="nil"/>
              <w:left w:val="nil"/>
              <w:bottom w:val="nil"/>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p>
        </w:tc>
        <w:tc>
          <w:tcPr>
            <w:tcW w:w="520" w:type="pct"/>
            <w:tcBorders>
              <w:top w:val="nil"/>
              <w:left w:val="nil"/>
              <w:bottom w:val="nil"/>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Loti 8</w:t>
            </w:r>
          </w:p>
        </w:tc>
        <w:tc>
          <w:tcPr>
            <w:tcW w:w="358" w:type="pct"/>
            <w:tcBorders>
              <w:top w:val="nil"/>
              <w:left w:val="nil"/>
              <w:bottom w:val="nil"/>
              <w:right w:val="nil"/>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p>
        </w:tc>
        <w:tc>
          <w:tcPr>
            <w:tcW w:w="422" w:type="pct"/>
            <w:tcBorders>
              <w:top w:val="nil"/>
              <w:left w:val="nil"/>
              <w:bottom w:val="nil"/>
              <w:right w:val="nil"/>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p>
        </w:tc>
        <w:tc>
          <w:tcPr>
            <w:tcW w:w="528" w:type="pct"/>
            <w:tcBorders>
              <w:top w:val="nil"/>
              <w:left w:val="nil"/>
              <w:bottom w:val="nil"/>
              <w:right w:val="nil"/>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p>
        </w:tc>
        <w:tc>
          <w:tcPr>
            <w:tcW w:w="434" w:type="pct"/>
            <w:tcBorders>
              <w:top w:val="nil"/>
              <w:left w:val="nil"/>
              <w:bottom w:val="nil"/>
              <w:right w:val="nil"/>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p>
        </w:tc>
        <w:tc>
          <w:tcPr>
            <w:tcW w:w="492" w:type="pct"/>
            <w:tcBorders>
              <w:top w:val="nil"/>
              <w:left w:val="nil"/>
              <w:bottom w:val="nil"/>
              <w:right w:val="nil"/>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p>
        </w:tc>
        <w:tc>
          <w:tcPr>
            <w:tcW w:w="958" w:type="pct"/>
            <w:tcBorders>
              <w:top w:val="nil"/>
              <w:left w:val="nil"/>
              <w:bottom w:val="nil"/>
              <w:right w:val="nil"/>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p>
        </w:tc>
      </w:tr>
      <w:tr w:rsidR="006205B8" w:rsidRPr="00957F40">
        <w:trPr>
          <w:trHeight w:val="240"/>
          <w:jc w:val="center"/>
        </w:trPr>
        <w:tc>
          <w:tcPr>
            <w:tcW w:w="248" w:type="pct"/>
            <w:tcBorders>
              <w:top w:val="single" w:sz="12" w:space="0" w:color="auto"/>
              <w:left w:val="single" w:sz="12" w:space="0" w:color="auto"/>
              <w:bottom w:val="single" w:sz="12" w:space="0" w:color="auto"/>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 </w:t>
            </w:r>
          </w:p>
        </w:tc>
        <w:tc>
          <w:tcPr>
            <w:tcW w:w="1039" w:type="pct"/>
            <w:tcBorders>
              <w:top w:val="single" w:sz="12" w:space="0" w:color="auto"/>
              <w:left w:val="nil"/>
              <w:bottom w:val="single" w:sz="12" w:space="0" w:color="auto"/>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 </w:t>
            </w:r>
          </w:p>
        </w:tc>
        <w:tc>
          <w:tcPr>
            <w:tcW w:w="520" w:type="pct"/>
            <w:tcBorders>
              <w:top w:val="single" w:sz="12" w:space="0" w:color="auto"/>
              <w:left w:val="nil"/>
              <w:bottom w:val="single" w:sz="12" w:space="0" w:color="auto"/>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 </w:t>
            </w:r>
          </w:p>
        </w:tc>
        <w:tc>
          <w:tcPr>
            <w:tcW w:w="358" w:type="pct"/>
            <w:tcBorders>
              <w:top w:val="single" w:sz="12" w:space="0" w:color="auto"/>
              <w:left w:val="nil"/>
              <w:bottom w:val="single" w:sz="12" w:space="0" w:color="auto"/>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 </w:t>
            </w:r>
          </w:p>
        </w:tc>
        <w:tc>
          <w:tcPr>
            <w:tcW w:w="422" w:type="pct"/>
            <w:tcBorders>
              <w:top w:val="single" w:sz="12" w:space="0" w:color="auto"/>
              <w:left w:val="nil"/>
              <w:bottom w:val="single" w:sz="12" w:space="0" w:color="auto"/>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 </w:t>
            </w:r>
          </w:p>
        </w:tc>
        <w:tc>
          <w:tcPr>
            <w:tcW w:w="962" w:type="pct"/>
            <w:gridSpan w:val="2"/>
            <w:tcBorders>
              <w:top w:val="single" w:sz="12" w:space="0" w:color="auto"/>
              <w:left w:val="single" w:sz="12" w:space="0" w:color="auto"/>
              <w:bottom w:val="single" w:sz="12" w:space="0" w:color="auto"/>
              <w:right w:val="single" w:sz="12" w:space="0" w:color="000000"/>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Lloji pasurisë</w:t>
            </w:r>
          </w:p>
        </w:tc>
        <w:tc>
          <w:tcPr>
            <w:tcW w:w="492" w:type="pct"/>
            <w:tcBorders>
              <w:top w:val="single" w:sz="12" w:space="0" w:color="auto"/>
              <w:left w:val="nil"/>
              <w:bottom w:val="single" w:sz="12" w:space="0" w:color="auto"/>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 xml:space="preserve">       </w:t>
            </w:r>
          </w:p>
        </w:tc>
        <w:tc>
          <w:tcPr>
            <w:tcW w:w="958" w:type="pct"/>
            <w:tcBorders>
              <w:top w:val="single" w:sz="12" w:space="0" w:color="auto"/>
              <w:left w:val="nil"/>
              <w:bottom w:val="single" w:sz="12"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 </w:t>
            </w:r>
          </w:p>
        </w:tc>
      </w:tr>
      <w:tr w:rsidR="006205B8" w:rsidRPr="00957F40">
        <w:trPr>
          <w:trHeight w:val="225"/>
          <w:jc w:val="center"/>
        </w:trPr>
        <w:tc>
          <w:tcPr>
            <w:tcW w:w="248" w:type="pct"/>
            <w:tcBorders>
              <w:top w:val="nil"/>
              <w:left w:val="single" w:sz="12" w:space="0" w:color="auto"/>
              <w:bottom w:val="nil"/>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Nr</w:t>
            </w:r>
          </w:p>
        </w:tc>
        <w:tc>
          <w:tcPr>
            <w:tcW w:w="1039" w:type="pct"/>
            <w:tcBorders>
              <w:top w:val="nil"/>
              <w:left w:val="nil"/>
              <w:bottom w:val="nil"/>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Emri</w:t>
            </w:r>
          </w:p>
        </w:tc>
        <w:tc>
          <w:tcPr>
            <w:tcW w:w="520" w:type="pct"/>
            <w:tcBorders>
              <w:top w:val="nil"/>
              <w:left w:val="nil"/>
              <w:bottom w:val="nil"/>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Mbiemri</w:t>
            </w:r>
          </w:p>
        </w:tc>
        <w:tc>
          <w:tcPr>
            <w:tcW w:w="358" w:type="pct"/>
            <w:tcBorders>
              <w:top w:val="nil"/>
              <w:left w:val="nil"/>
              <w:bottom w:val="nil"/>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Zona</w:t>
            </w:r>
          </w:p>
        </w:tc>
        <w:tc>
          <w:tcPr>
            <w:tcW w:w="422" w:type="pct"/>
            <w:tcBorders>
              <w:top w:val="nil"/>
              <w:left w:val="nil"/>
              <w:bottom w:val="nil"/>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Nr.</w:t>
            </w:r>
          </w:p>
        </w:tc>
        <w:tc>
          <w:tcPr>
            <w:tcW w:w="528" w:type="pct"/>
            <w:tcBorders>
              <w:top w:val="nil"/>
              <w:left w:val="nil"/>
              <w:bottom w:val="single" w:sz="12" w:space="0" w:color="auto"/>
              <w:right w:val="nil"/>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Tokë arë</w:t>
            </w:r>
          </w:p>
        </w:tc>
        <w:tc>
          <w:tcPr>
            <w:tcW w:w="434" w:type="pct"/>
            <w:tcBorders>
              <w:top w:val="nil"/>
              <w:left w:val="nil"/>
              <w:bottom w:val="nil"/>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c>
          <w:tcPr>
            <w:tcW w:w="492" w:type="pct"/>
            <w:tcBorders>
              <w:top w:val="nil"/>
              <w:left w:val="nil"/>
              <w:bottom w:val="nil"/>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c>
          <w:tcPr>
            <w:tcW w:w="958" w:type="pct"/>
            <w:tcBorders>
              <w:top w:val="nil"/>
              <w:left w:val="nil"/>
              <w:bottom w:val="nil"/>
              <w:right w:val="single" w:sz="12"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Shë</w:t>
            </w:r>
            <w:r w:rsidRPr="00957F40">
              <w:rPr>
                <w:rFonts w:ascii="CG Times" w:eastAsia="Times New Roman" w:hAnsi="CG Times" w:cs="Arial"/>
                <w:b/>
                <w:bCs/>
                <w:sz w:val="18"/>
                <w:szCs w:val="18"/>
              </w:rPr>
              <w:t>nime</w:t>
            </w:r>
          </w:p>
        </w:tc>
      </w:tr>
      <w:tr w:rsidR="006205B8" w:rsidRPr="00957F40">
        <w:trPr>
          <w:trHeight w:val="210"/>
          <w:jc w:val="center"/>
        </w:trPr>
        <w:tc>
          <w:tcPr>
            <w:tcW w:w="248" w:type="pct"/>
            <w:tcBorders>
              <w:top w:val="single" w:sz="12" w:space="0" w:color="auto"/>
              <w:left w:val="single" w:sz="12" w:space="0" w:color="auto"/>
              <w:bottom w:val="single" w:sz="8"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c>
          <w:tcPr>
            <w:tcW w:w="1039" w:type="pct"/>
            <w:tcBorders>
              <w:top w:val="single" w:sz="12" w:space="0" w:color="auto"/>
              <w:left w:val="nil"/>
              <w:bottom w:val="single" w:sz="8"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c>
          <w:tcPr>
            <w:tcW w:w="520" w:type="pct"/>
            <w:tcBorders>
              <w:top w:val="single" w:sz="12" w:space="0" w:color="auto"/>
              <w:left w:val="nil"/>
              <w:bottom w:val="single" w:sz="8"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c>
          <w:tcPr>
            <w:tcW w:w="358" w:type="pct"/>
            <w:tcBorders>
              <w:top w:val="single" w:sz="12" w:space="0" w:color="auto"/>
              <w:left w:val="nil"/>
              <w:bottom w:val="single" w:sz="8"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Kad.</w:t>
            </w:r>
          </w:p>
        </w:tc>
        <w:tc>
          <w:tcPr>
            <w:tcW w:w="422" w:type="pct"/>
            <w:tcBorders>
              <w:top w:val="single" w:sz="12" w:space="0" w:color="auto"/>
              <w:left w:val="nil"/>
              <w:bottom w:val="single" w:sz="8"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Pas.</w:t>
            </w:r>
          </w:p>
        </w:tc>
        <w:tc>
          <w:tcPr>
            <w:tcW w:w="528" w:type="pct"/>
            <w:tcBorders>
              <w:top w:val="nil"/>
              <w:left w:val="nil"/>
              <w:bottom w:val="single" w:sz="8"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Sip.</w:t>
            </w:r>
          </w:p>
        </w:tc>
        <w:tc>
          <w:tcPr>
            <w:tcW w:w="434" w:type="pct"/>
            <w:tcBorders>
              <w:top w:val="single" w:sz="12" w:space="0" w:color="auto"/>
              <w:left w:val="nil"/>
              <w:bottom w:val="single" w:sz="8"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Ç</w:t>
            </w:r>
            <w:r w:rsidRPr="00957F40">
              <w:rPr>
                <w:rFonts w:ascii="CG Times" w:eastAsia="Times New Roman" w:hAnsi="CG Times" w:cs="Arial"/>
                <w:b/>
                <w:bCs/>
                <w:sz w:val="18"/>
                <w:szCs w:val="18"/>
              </w:rPr>
              <w:t>mimi</w:t>
            </w:r>
          </w:p>
        </w:tc>
        <w:tc>
          <w:tcPr>
            <w:tcW w:w="492" w:type="pct"/>
            <w:tcBorders>
              <w:top w:val="single" w:sz="12" w:space="0" w:color="auto"/>
              <w:left w:val="nil"/>
              <w:bottom w:val="single" w:sz="8"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Vlera</w:t>
            </w:r>
          </w:p>
        </w:tc>
        <w:tc>
          <w:tcPr>
            <w:tcW w:w="958" w:type="pct"/>
            <w:tcBorders>
              <w:top w:val="single" w:sz="12" w:space="0" w:color="auto"/>
              <w:left w:val="nil"/>
              <w:bottom w:val="single" w:sz="8" w:space="0" w:color="auto"/>
              <w:right w:val="single" w:sz="12"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r>
      <w:tr w:rsidR="006205B8" w:rsidRPr="00957F40">
        <w:trPr>
          <w:trHeight w:val="210"/>
          <w:jc w:val="center"/>
        </w:trPr>
        <w:tc>
          <w:tcPr>
            <w:tcW w:w="248" w:type="pct"/>
            <w:tcBorders>
              <w:top w:val="nil"/>
              <w:left w:val="single" w:sz="12" w:space="0" w:color="auto"/>
              <w:bottom w:val="single" w:sz="12"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c>
          <w:tcPr>
            <w:tcW w:w="1039" w:type="pct"/>
            <w:tcBorders>
              <w:top w:val="nil"/>
              <w:left w:val="nil"/>
              <w:bottom w:val="single" w:sz="12"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c>
          <w:tcPr>
            <w:tcW w:w="520" w:type="pct"/>
            <w:tcBorders>
              <w:top w:val="nil"/>
              <w:left w:val="nil"/>
              <w:bottom w:val="single" w:sz="12"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c>
          <w:tcPr>
            <w:tcW w:w="358" w:type="pct"/>
            <w:tcBorders>
              <w:top w:val="nil"/>
              <w:left w:val="nil"/>
              <w:bottom w:val="single" w:sz="12"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c>
          <w:tcPr>
            <w:tcW w:w="422" w:type="pct"/>
            <w:tcBorders>
              <w:top w:val="nil"/>
              <w:left w:val="nil"/>
              <w:bottom w:val="single" w:sz="12"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c>
          <w:tcPr>
            <w:tcW w:w="528" w:type="pct"/>
            <w:tcBorders>
              <w:top w:val="nil"/>
              <w:left w:val="nil"/>
              <w:bottom w:val="single" w:sz="12"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m2</w:t>
            </w:r>
          </w:p>
        </w:tc>
        <w:tc>
          <w:tcPr>
            <w:tcW w:w="434" w:type="pct"/>
            <w:tcBorders>
              <w:top w:val="nil"/>
              <w:left w:val="nil"/>
              <w:bottom w:val="single" w:sz="12"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lek/m</w:t>
            </w:r>
            <w:r w:rsidRPr="007535ED">
              <w:rPr>
                <w:rFonts w:ascii="CG Times" w:eastAsia="Times New Roman" w:hAnsi="CG Times" w:cs="Arial"/>
                <w:b/>
                <w:bCs/>
                <w:sz w:val="18"/>
                <w:szCs w:val="18"/>
                <w:vertAlign w:val="superscript"/>
              </w:rPr>
              <w:t>2</w:t>
            </w:r>
          </w:p>
        </w:tc>
        <w:tc>
          <w:tcPr>
            <w:tcW w:w="492" w:type="pct"/>
            <w:tcBorders>
              <w:top w:val="nil"/>
              <w:left w:val="nil"/>
              <w:bottom w:val="single" w:sz="12" w:space="0" w:color="auto"/>
              <w:right w:val="single" w:sz="8"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(Lekë</w:t>
            </w:r>
            <w:r w:rsidRPr="00957F40">
              <w:rPr>
                <w:rFonts w:ascii="CG Times" w:eastAsia="Times New Roman" w:hAnsi="CG Times" w:cs="Arial"/>
                <w:b/>
                <w:bCs/>
                <w:sz w:val="18"/>
                <w:szCs w:val="18"/>
              </w:rPr>
              <w:t>)</w:t>
            </w:r>
          </w:p>
        </w:tc>
        <w:tc>
          <w:tcPr>
            <w:tcW w:w="958" w:type="pct"/>
            <w:tcBorders>
              <w:top w:val="nil"/>
              <w:left w:val="nil"/>
              <w:bottom w:val="single" w:sz="12" w:space="0" w:color="auto"/>
              <w:right w:val="single" w:sz="12" w:space="0" w:color="auto"/>
            </w:tcBorders>
            <w:shd w:val="clear" w:color="auto" w:fill="auto"/>
            <w:noWrap/>
            <w:vAlign w:val="center"/>
          </w:tcPr>
          <w:p w:rsidR="006205B8" w:rsidRPr="00957F40" w:rsidRDefault="006205B8" w:rsidP="004A0E2A">
            <w:pPr>
              <w:widowControl w:val="0"/>
              <w:jc w:val="center"/>
              <w:rPr>
                <w:rFonts w:ascii="CG Times" w:eastAsia="Times New Roman" w:hAnsi="CG Times" w:cs="Arial"/>
                <w:b/>
                <w:bCs/>
                <w:sz w:val="18"/>
                <w:szCs w:val="18"/>
              </w:rPr>
            </w:pPr>
          </w:p>
        </w:tc>
      </w:tr>
      <w:tr w:rsidR="006205B8" w:rsidRPr="00957F40">
        <w:trPr>
          <w:trHeight w:val="139"/>
          <w:jc w:val="center"/>
        </w:trPr>
        <w:tc>
          <w:tcPr>
            <w:tcW w:w="248" w:type="pct"/>
            <w:tcBorders>
              <w:top w:val="nil"/>
              <w:left w:val="single" w:sz="12" w:space="0" w:color="auto"/>
              <w:bottom w:val="nil"/>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 </w:t>
            </w:r>
          </w:p>
        </w:tc>
        <w:tc>
          <w:tcPr>
            <w:tcW w:w="1559" w:type="pct"/>
            <w:gridSpan w:val="2"/>
            <w:tcBorders>
              <w:top w:val="nil"/>
              <w:left w:val="nil"/>
              <w:bottom w:val="nil"/>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Fshati Vorrozen</w:t>
            </w:r>
          </w:p>
        </w:tc>
        <w:tc>
          <w:tcPr>
            <w:tcW w:w="358" w:type="pct"/>
            <w:tcBorders>
              <w:top w:val="nil"/>
              <w:left w:val="nil"/>
              <w:bottom w:val="nil"/>
              <w:right w:val="nil"/>
            </w:tcBorders>
            <w:shd w:val="clear" w:color="auto" w:fill="auto"/>
            <w:noWrap/>
            <w:vAlign w:val="bottom"/>
          </w:tcPr>
          <w:p w:rsidR="006205B8" w:rsidRPr="00957F40" w:rsidRDefault="006205B8" w:rsidP="004A0E2A">
            <w:pPr>
              <w:widowControl w:val="0"/>
              <w:jc w:val="center"/>
              <w:rPr>
                <w:rFonts w:ascii="CG Times" w:eastAsia="Times New Roman" w:hAnsi="CG Times" w:cs="Arial"/>
                <w:b/>
                <w:bCs/>
                <w:sz w:val="18"/>
                <w:szCs w:val="18"/>
              </w:rPr>
            </w:pPr>
          </w:p>
        </w:tc>
        <w:tc>
          <w:tcPr>
            <w:tcW w:w="422" w:type="pct"/>
            <w:tcBorders>
              <w:top w:val="nil"/>
              <w:left w:val="nil"/>
              <w:bottom w:val="nil"/>
              <w:right w:val="nil"/>
            </w:tcBorders>
            <w:shd w:val="clear" w:color="auto" w:fill="auto"/>
            <w:noWrap/>
            <w:vAlign w:val="bottom"/>
          </w:tcPr>
          <w:p w:rsidR="006205B8" w:rsidRPr="00957F40" w:rsidRDefault="006205B8" w:rsidP="004A0E2A">
            <w:pPr>
              <w:widowControl w:val="0"/>
              <w:jc w:val="center"/>
              <w:rPr>
                <w:rFonts w:ascii="CG Times" w:eastAsia="Times New Roman" w:hAnsi="CG Times" w:cs="Arial"/>
                <w:b/>
                <w:bCs/>
                <w:sz w:val="18"/>
                <w:szCs w:val="18"/>
              </w:rPr>
            </w:pPr>
          </w:p>
        </w:tc>
        <w:tc>
          <w:tcPr>
            <w:tcW w:w="528" w:type="pct"/>
            <w:tcBorders>
              <w:top w:val="nil"/>
              <w:left w:val="nil"/>
              <w:bottom w:val="nil"/>
              <w:right w:val="nil"/>
            </w:tcBorders>
            <w:shd w:val="clear" w:color="auto" w:fill="auto"/>
            <w:noWrap/>
            <w:vAlign w:val="bottom"/>
          </w:tcPr>
          <w:p w:rsidR="006205B8" w:rsidRPr="00957F40" w:rsidRDefault="006205B8" w:rsidP="004A0E2A">
            <w:pPr>
              <w:widowControl w:val="0"/>
              <w:jc w:val="center"/>
              <w:rPr>
                <w:rFonts w:ascii="CG Times" w:eastAsia="Times New Roman" w:hAnsi="CG Times" w:cs="Arial"/>
                <w:b/>
                <w:bCs/>
                <w:sz w:val="18"/>
                <w:szCs w:val="18"/>
              </w:rPr>
            </w:pPr>
          </w:p>
        </w:tc>
        <w:tc>
          <w:tcPr>
            <w:tcW w:w="434" w:type="pct"/>
            <w:tcBorders>
              <w:top w:val="nil"/>
              <w:left w:val="nil"/>
              <w:bottom w:val="nil"/>
              <w:right w:val="nil"/>
            </w:tcBorders>
            <w:shd w:val="clear" w:color="auto" w:fill="auto"/>
            <w:noWrap/>
            <w:vAlign w:val="bottom"/>
          </w:tcPr>
          <w:p w:rsidR="006205B8" w:rsidRPr="00957F40" w:rsidRDefault="006205B8" w:rsidP="004A0E2A">
            <w:pPr>
              <w:widowControl w:val="0"/>
              <w:jc w:val="center"/>
              <w:rPr>
                <w:rFonts w:ascii="CG Times" w:eastAsia="Times New Roman" w:hAnsi="CG Times" w:cs="Arial"/>
                <w:b/>
                <w:bCs/>
                <w:sz w:val="18"/>
                <w:szCs w:val="18"/>
              </w:rPr>
            </w:pPr>
          </w:p>
        </w:tc>
        <w:tc>
          <w:tcPr>
            <w:tcW w:w="492" w:type="pct"/>
            <w:tcBorders>
              <w:top w:val="nil"/>
              <w:left w:val="nil"/>
              <w:bottom w:val="nil"/>
              <w:right w:val="nil"/>
            </w:tcBorders>
            <w:shd w:val="clear" w:color="auto" w:fill="auto"/>
            <w:noWrap/>
            <w:vAlign w:val="bottom"/>
          </w:tcPr>
          <w:p w:rsidR="006205B8" w:rsidRPr="00957F40" w:rsidRDefault="006205B8" w:rsidP="004A0E2A">
            <w:pPr>
              <w:widowControl w:val="0"/>
              <w:jc w:val="center"/>
              <w:rPr>
                <w:rFonts w:ascii="CG Times" w:eastAsia="Times New Roman" w:hAnsi="CG Times" w:cs="Arial"/>
                <w:b/>
                <w:bCs/>
                <w:sz w:val="18"/>
                <w:szCs w:val="18"/>
              </w:rPr>
            </w:pPr>
          </w:p>
        </w:tc>
        <w:tc>
          <w:tcPr>
            <w:tcW w:w="958" w:type="pct"/>
            <w:tcBorders>
              <w:top w:val="nil"/>
              <w:left w:val="nil"/>
              <w:bottom w:val="nil"/>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 </w:t>
            </w:r>
          </w:p>
        </w:tc>
      </w:tr>
      <w:tr w:rsidR="006205B8" w:rsidRPr="00957F40">
        <w:trPr>
          <w:trHeight w:val="139"/>
          <w:jc w:val="center"/>
        </w:trPr>
        <w:tc>
          <w:tcPr>
            <w:tcW w:w="24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1</w:t>
            </w:r>
          </w:p>
        </w:tc>
        <w:tc>
          <w:tcPr>
            <w:tcW w:w="1039"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xml:space="preserve">Fehemi </w:t>
            </w:r>
          </w:p>
        </w:tc>
        <w:tc>
          <w:tcPr>
            <w:tcW w:w="520"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Hoxha</w:t>
            </w:r>
          </w:p>
        </w:tc>
        <w:tc>
          <w:tcPr>
            <w:tcW w:w="35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14/4</w:t>
            </w:r>
          </w:p>
        </w:tc>
        <w:tc>
          <w:tcPr>
            <w:tcW w:w="52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40</w:t>
            </w:r>
          </w:p>
        </w:tc>
        <w:tc>
          <w:tcPr>
            <w:tcW w:w="434"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15800</w:t>
            </w:r>
          </w:p>
        </w:tc>
        <w:tc>
          <w:tcPr>
            <w:tcW w:w="958" w:type="pct"/>
            <w:tcBorders>
              <w:top w:val="single" w:sz="4" w:space="0" w:color="auto"/>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2</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Rifat</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Cepeli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14/5</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15</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5925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3</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smartTag w:uri="urn:schemas-microsoft-com:office:smarttags" w:element="place">
              <w:smartTag w:uri="urn:schemas-microsoft-com:office:smarttags" w:element="City">
                <w:r w:rsidRPr="00957F40">
                  <w:rPr>
                    <w:rFonts w:ascii="CG Times" w:eastAsia="Times New Roman" w:hAnsi="CG Times" w:cs="Arial"/>
                    <w:sz w:val="18"/>
                    <w:szCs w:val="18"/>
                  </w:rPr>
                  <w:t>Mersin</w:t>
                </w:r>
              </w:smartTag>
            </w:smartTag>
            <w:r w:rsidRPr="00957F40">
              <w:rPr>
                <w:rFonts w:ascii="CG Times" w:eastAsia="Times New Roman" w:hAnsi="CG Times" w:cs="Arial"/>
                <w:sz w:val="18"/>
                <w:szCs w:val="18"/>
              </w:rPr>
              <w:t xml:space="preserve"> </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Cepeli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14/6</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21</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8295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4</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xml:space="preserve">Goni </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Cepeli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14/7</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18</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7110</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5</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Vasip</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Cepeli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14/8</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3950</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6</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xml:space="preserve">Brahim </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Cepeli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14/9</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15</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5925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7</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Ali</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Shehi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14/21</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37</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14615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8</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Ylli</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Kaja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14/29</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43</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16985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9</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Zylyf</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Bogosi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13/15</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147</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58065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10</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Bardhyl</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Tola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14/34</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101</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39895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11</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Irfan</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Hoxha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17/234</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372</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146940</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12</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Shoq Lusha Lsa shpk</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17/194</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75</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29625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13</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Shoq Lusha Lsa shpk</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17/197</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76</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30020</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14</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Fatmir</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Bego</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100/19</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207</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81765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15</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Durim</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Bego</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100/18</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111</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43845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16</w:t>
            </w:r>
          </w:p>
        </w:tc>
        <w:tc>
          <w:tcPr>
            <w:tcW w:w="1039"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Qemal</w:t>
            </w:r>
          </w:p>
        </w:tc>
        <w:tc>
          <w:tcPr>
            <w:tcW w:w="520"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Hoxha</w:t>
            </w:r>
          </w:p>
        </w:tc>
        <w:tc>
          <w:tcPr>
            <w:tcW w:w="35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100/6</w:t>
            </w:r>
          </w:p>
        </w:tc>
        <w:tc>
          <w:tcPr>
            <w:tcW w:w="52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86</w:t>
            </w:r>
          </w:p>
        </w:tc>
        <w:tc>
          <w:tcPr>
            <w:tcW w:w="434"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33970</w:t>
            </w:r>
          </w:p>
        </w:tc>
        <w:tc>
          <w:tcPr>
            <w:tcW w:w="95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17</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Zylyf</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Bogosi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100/7</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79</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31205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18</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Xhevdet</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Hoxha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100/8</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78</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30810</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19</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Agim</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Muzhaqi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101/20</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278</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109810</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20</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Osman</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Hoxha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101/9</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79</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31205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21</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B/P Ymer</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Hoxha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101/10</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73</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28835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22</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Zyber</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Hoxha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101/12</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75</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29625</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12"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23</w:t>
            </w:r>
          </w:p>
        </w:tc>
        <w:tc>
          <w:tcPr>
            <w:tcW w:w="1039"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Albert</w:t>
            </w:r>
          </w:p>
        </w:tc>
        <w:tc>
          <w:tcPr>
            <w:tcW w:w="520"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Telhaj</w:t>
            </w:r>
          </w:p>
        </w:tc>
        <w:tc>
          <w:tcPr>
            <w:tcW w:w="358"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3817</w:t>
            </w:r>
          </w:p>
        </w:tc>
        <w:tc>
          <w:tcPr>
            <w:tcW w:w="422"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101/19</w:t>
            </w:r>
          </w:p>
        </w:tc>
        <w:tc>
          <w:tcPr>
            <w:tcW w:w="528"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108</w:t>
            </w:r>
          </w:p>
        </w:tc>
        <w:tc>
          <w:tcPr>
            <w:tcW w:w="434"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395</w:t>
            </w:r>
          </w:p>
        </w:tc>
        <w:tc>
          <w:tcPr>
            <w:tcW w:w="492"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42660</w:t>
            </w:r>
          </w:p>
        </w:tc>
        <w:tc>
          <w:tcPr>
            <w:tcW w:w="958" w:type="pct"/>
            <w:tcBorders>
              <w:top w:val="nil"/>
              <w:left w:val="nil"/>
              <w:bottom w:val="single" w:sz="12"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Fshati Blerimaj</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 </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 </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 </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 </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 </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24</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Gezim</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Celistani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1212</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162/26</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62</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21204</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25</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Agron</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Ismailati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1212</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162/27</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62</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21204</w:t>
            </w:r>
          </w:p>
        </w:tc>
        <w:tc>
          <w:tcPr>
            <w:tcW w:w="9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26</w:t>
            </w:r>
          </w:p>
        </w:tc>
        <w:tc>
          <w:tcPr>
            <w:tcW w:w="1039"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Safet</w:t>
            </w:r>
          </w:p>
        </w:tc>
        <w:tc>
          <w:tcPr>
            <w:tcW w:w="520"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Filameni</w:t>
            </w:r>
          </w:p>
        </w:tc>
        <w:tc>
          <w:tcPr>
            <w:tcW w:w="35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1212</w:t>
            </w:r>
          </w:p>
        </w:tc>
        <w:tc>
          <w:tcPr>
            <w:tcW w:w="42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162/17</w:t>
            </w:r>
          </w:p>
        </w:tc>
        <w:tc>
          <w:tcPr>
            <w:tcW w:w="52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20</w:t>
            </w:r>
          </w:p>
        </w:tc>
        <w:tc>
          <w:tcPr>
            <w:tcW w:w="434"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w:t>
            </w:r>
          </w:p>
        </w:tc>
        <w:tc>
          <w:tcPr>
            <w:tcW w:w="49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6840</w:t>
            </w:r>
          </w:p>
        </w:tc>
        <w:tc>
          <w:tcPr>
            <w:tcW w:w="958" w:type="pct"/>
            <w:tcBorders>
              <w:top w:val="single" w:sz="4" w:space="0" w:color="auto"/>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27</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B/P Bahushi</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Kercuku</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1212</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162/18</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96</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32832</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28</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Ilir</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Sinameta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1212</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162/38</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97</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33174</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29</w:t>
            </w:r>
          </w:p>
        </w:tc>
        <w:tc>
          <w:tcPr>
            <w:tcW w:w="1039"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Nafije</w:t>
            </w:r>
          </w:p>
        </w:tc>
        <w:tc>
          <w:tcPr>
            <w:tcW w:w="520"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Cara</w:t>
            </w:r>
          </w:p>
        </w:tc>
        <w:tc>
          <w:tcPr>
            <w:tcW w:w="35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1212</w:t>
            </w:r>
          </w:p>
        </w:tc>
        <w:tc>
          <w:tcPr>
            <w:tcW w:w="42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162/36</w:t>
            </w:r>
          </w:p>
        </w:tc>
        <w:tc>
          <w:tcPr>
            <w:tcW w:w="52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45</w:t>
            </w:r>
          </w:p>
        </w:tc>
        <w:tc>
          <w:tcPr>
            <w:tcW w:w="434"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w:t>
            </w:r>
          </w:p>
        </w:tc>
        <w:tc>
          <w:tcPr>
            <w:tcW w:w="49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15390</w:t>
            </w:r>
          </w:p>
        </w:tc>
        <w:tc>
          <w:tcPr>
            <w:tcW w:w="958" w:type="pct"/>
            <w:tcBorders>
              <w:top w:val="single" w:sz="4" w:space="0" w:color="auto"/>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12"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30</w:t>
            </w:r>
          </w:p>
        </w:tc>
        <w:tc>
          <w:tcPr>
            <w:tcW w:w="1039"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Ilir</w:t>
            </w:r>
          </w:p>
        </w:tc>
        <w:tc>
          <w:tcPr>
            <w:tcW w:w="520"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Sinameta</w:t>
            </w:r>
          </w:p>
        </w:tc>
        <w:tc>
          <w:tcPr>
            <w:tcW w:w="358"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1212</w:t>
            </w:r>
          </w:p>
        </w:tc>
        <w:tc>
          <w:tcPr>
            <w:tcW w:w="422"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162/41</w:t>
            </w:r>
          </w:p>
        </w:tc>
        <w:tc>
          <w:tcPr>
            <w:tcW w:w="528"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68</w:t>
            </w:r>
          </w:p>
        </w:tc>
        <w:tc>
          <w:tcPr>
            <w:tcW w:w="434"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w:t>
            </w:r>
          </w:p>
        </w:tc>
        <w:tc>
          <w:tcPr>
            <w:tcW w:w="492"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23256</w:t>
            </w:r>
          </w:p>
        </w:tc>
        <w:tc>
          <w:tcPr>
            <w:tcW w:w="958" w:type="pct"/>
            <w:tcBorders>
              <w:top w:val="nil"/>
              <w:left w:val="nil"/>
              <w:bottom w:val="single" w:sz="12"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nil"/>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w:t>
            </w:r>
          </w:p>
        </w:tc>
        <w:tc>
          <w:tcPr>
            <w:tcW w:w="1559" w:type="pct"/>
            <w:gridSpan w:val="2"/>
            <w:tcBorders>
              <w:top w:val="single" w:sz="12" w:space="0" w:color="auto"/>
              <w:left w:val="nil"/>
              <w:bottom w:val="single" w:sz="4" w:space="0" w:color="auto"/>
              <w:right w:val="nil"/>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Fshati Shtodher</w:t>
            </w:r>
          </w:p>
        </w:tc>
        <w:tc>
          <w:tcPr>
            <w:tcW w:w="358" w:type="pct"/>
            <w:tcBorders>
              <w:top w:val="nil"/>
              <w:left w:val="nil"/>
              <w:bottom w:val="single" w:sz="4" w:space="0" w:color="auto"/>
              <w:right w:val="nil"/>
            </w:tcBorders>
            <w:shd w:val="clear" w:color="auto" w:fill="auto"/>
            <w:noWrap/>
            <w:vAlign w:val="bottom"/>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 </w:t>
            </w:r>
          </w:p>
        </w:tc>
        <w:tc>
          <w:tcPr>
            <w:tcW w:w="422" w:type="pct"/>
            <w:tcBorders>
              <w:top w:val="nil"/>
              <w:left w:val="nil"/>
              <w:bottom w:val="single" w:sz="4" w:space="0" w:color="auto"/>
              <w:right w:val="nil"/>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 </w:t>
            </w:r>
          </w:p>
        </w:tc>
        <w:tc>
          <w:tcPr>
            <w:tcW w:w="528" w:type="pct"/>
            <w:tcBorders>
              <w:top w:val="nil"/>
              <w:left w:val="nil"/>
              <w:bottom w:val="single" w:sz="4" w:space="0" w:color="auto"/>
              <w:right w:val="nil"/>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 </w:t>
            </w:r>
          </w:p>
        </w:tc>
        <w:tc>
          <w:tcPr>
            <w:tcW w:w="434" w:type="pct"/>
            <w:tcBorders>
              <w:top w:val="nil"/>
              <w:left w:val="nil"/>
              <w:bottom w:val="single" w:sz="4" w:space="0" w:color="auto"/>
              <w:right w:val="nil"/>
            </w:tcBorders>
            <w:shd w:val="clear" w:color="auto" w:fill="auto"/>
            <w:noWrap/>
            <w:vAlign w:val="bottom"/>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 </w:t>
            </w:r>
          </w:p>
        </w:tc>
        <w:tc>
          <w:tcPr>
            <w:tcW w:w="492" w:type="pct"/>
            <w:tcBorders>
              <w:top w:val="nil"/>
              <w:left w:val="nil"/>
              <w:bottom w:val="single" w:sz="4" w:space="0" w:color="auto"/>
              <w:right w:val="nil"/>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 </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31</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Nexhmi</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Rustemi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46/25</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489</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160881</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32</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Hajdije</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Ismaili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46/2</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319</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104951</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33</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Reshat</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Isufi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46/28</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304</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100016</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34</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Ilir</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Hoxha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46/22</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472</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155288</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35</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Ilir</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Hoxha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46/35</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486</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159894</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36</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Nezir</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Hoxha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46/36</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519</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170751</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37</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Genci</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Cepeli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46/33</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337</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110873</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38</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Genci</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Cepeli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46/34</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311</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102319</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39</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Durim</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Cepeli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46/30</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299</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98371</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40</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Shkelqim</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Shehu</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46/12</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122</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40138</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41</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smartTag w:uri="urn:schemas-microsoft-com:office:smarttags" w:element="place">
              <w:smartTag w:uri="urn:schemas-microsoft-com:office:smarttags" w:element="City">
                <w:r w:rsidRPr="00957F40">
                  <w:rPr>
                    <w:rFonts w:ascii="CG Times" w:eastAsia="Times New Roman" w:hAnsi="CG Times" w:cs="Arial"/>
                    <w:sz w:val="18"/>
                    <w:szCs w:val="18"/>
                  </w:rPr>
                  <w:t>Mersin</w:t>
                </w:r>
              </w:smartTag>
            </w:smartTag>
            <w:r w:rsidRPr="00957F40">
              <w:rPr>
                <w:rFonts w:ascii="CG Times" w:eastAsia="Times New Roman" w:hAnsi="CG Times" w:cs="Arial"/>
                <w:sz w:val="18"/>
                <w:szCs w:val="18"/>
              </w:rPr>
              <w:t xml:space="preserve"> </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Sinameta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46/32</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351</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115479</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42</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smartTag w:uri="urn:schemas-microsoft-com:office:smarttags" w:element="place">
              <w:smartTag w:uri="urn:schemas-microsoft-com:office:smarttags" w:element="City">
                <w:r w:rsidRPr="00957F40">
                  <w:rPr>
                    <w:rFonts w:ascii="CG Times" w:eastAsia="Times New Roman" w:hAnsi="CG Times" w:cs="Arial"/>
                    <w:sz w:val="18"/>
                    <w:szCs w:val="18"/>
                  </w:rPr>
                  <w:t>Edmond</w:t>
                </w:r>
              </w:smartTag>
            </w:smartTag>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Lusha</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46/15</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123</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40467</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43</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Bujar</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Veizi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46/23</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144</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47376</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44</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Fatmir</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Okshtuni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44/10</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240</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78960</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45</w:t>
            </w:r>
          </w:p>
        </w:tc>
        <w:tc>
          <w:tcPr>
            <w:tcW w:w="10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Nebi</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Kamberi</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,4/3</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430</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141470</w:t>
            </w:r>
          </w:p>
        </w:tc>
        <w:tc>
          <w:tcPr>
            <w:tcW w:w="9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46</w:t>
            </w:r>
          </w:p>
        </w:tc>
        <w:tc>
          <w:tcPr>
            <w:tcW w:w="1039"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Kalem</w:t>
            </w:r>
          </w:p>
        </w:tc>
        <w:tc>
          <w:tcPr>
            <w:tcW w:w="520"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Bushi</w:t>
            </w:r>
          </w:p>
        </w:tc>
        <w:tc>
          <w:tcPr>
            <w:tcW w:w="35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,5/19</w:t>
            </w:r>
          </w:p>
        </w:tc>
        <w:tc>
          <w:tcPr>
            <w:tcW w:w="52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159</w:t>
            </w:r>
          </w:p>
        </w:tc>
        <w:tc>
          <w:tcPr>
            <w:tcW w:w="434"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52311</w:t>
            </w:r>
          </w:p>
        </w:tc>
        <w:tc>
          <w:tcPr>
            <w:tcW w:w="958" w:type="pct"/>
            <w:tcBorders>
              <w:top w:val="single" w:sz="4" w:space="0" w:color="auto"/>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47</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Kalem</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Bushi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,5/21</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101</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33229</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48</w:t>
            </w:r>
          </w:p>
        </w:tc>
        <w:tc>
          <w:tcPr>
            <w:tcW w:w="1039"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Kalem</w:t>
            </w:r>
          </w:p>
        </w:tc>
        <w:tc>
          <w:tcPr>
            <w:tcW w:w="520"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Bushi</w:t>
            </w:r>
          </w:p>
        </w:tc>
        <w:tc>
          <w:tcPr>
            <w:tcW w:w="35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,5/23</w:t>
            </w:r>
          </w:p>
        </w:tc>
        <w:tc>
          <w:tcPr>
            <w:tcW w:w="52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89</w:t>
            </w:r>
          </w:p>
        </w:tc>
        <w:tc>
          <w:tcPr>
            <w:tcW w:w="434"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29281</w:t>
            </w:r>
          </w:p>
        </w:tc>
        <w:tc>
          <w:tcPr>
            <w:tcW w:w="958" w:type="pct"/>
            <w:tcBorders>
              <w:top w:val="single" w:sz="4" w:space="0" w:color="auto"/>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49</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Kalem</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Bushi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,5/25</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93</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30597</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50</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Seit</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Kamberi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,5/30</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281</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92449</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51</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Seit</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Kamberi</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,5/31</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459</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151011</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52</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Najre</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Belegu</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,5/9</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76</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25004</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53</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Xhemile</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Myftiu</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,5/11</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67</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22043</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4" w:space="0" w:color="auto"/>
              <w:right w:val="single" w:sz="4" w:space="0" w:color="auto"/>
            </w:tcBorders>
            <w:shd w:val="clear" w:color="auto" w:fill="auto"/>
            <w:noWrap/>
            <w:vAlign w:val="bottom"/>
          </w:tcPr>
          <w:p w:rsidR="006205B8" w:rsidRPr="00957F40" w:rsidRDefault="006205B8" w:rsidP="004A0E2A">
            <w:pPr>
              <w:widowControl w:val="0"/>
              <w:jc w:val="right"/>
              <w:rPr>
                <w:rFonts w:ascii="CG Times" w:eastAsia="Times New Roman" w:hAnsi="CG Times" w:cs="Arial"/>
                <w:sz w:val="18"/>
                <w:szCs w:val="18"/>
              </w:rPr>
            </w:pPr>
            <w:r w:rsidRPr="00957F40">
              <w:rPr>
                <w:rFonts w:ascii="CG Times" w:eastAsia="Times New Roman" w:hAnsi="CG Times" w:cs="Arial"/>
                <w:sz w:val="18"/>
                <w:szCs w:val="18"/>
              </w:rPr>
              <w:t>54</w:t>
            </w:r>
          </w:p>
        </w:tc>
        <w:tc>
          <w:tcPr>
            <w:tcW w:w="1039"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Najre</w:t>
            </w:r>
          </w:p>
        </w:tc>
        <w:tc>
          <w:tcPr>
            <w:tcW w:w="520"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Beu</w:t>
            </w:r>
          </w:p>
        </w:tc>
        <w:tc>
          <w:tcPr>
            <w:tcW w:w="35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3427</w:t>
            </w:r>
          </w:p>
        </w:tc>
        <w:tc>
          <w:tcPr>
            <w:tcW w:w="42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,5/13</w:t>
            </w:r>
          </w:p>
        </w:tc>
        <w:tc>
          <w:tcPr>
            <w:tcW w:w="528"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100</w:t>
            </w:r>
          </w:p>
        </w:tc>
        <w:tc>
          <w:tcPr>
            <w:tcW w:w="434"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w:t>
            </w:r>
          </w:p>
        </w:tc>
        <w:tc>
          <w:tcPr>
            <w:tcW w:w="492" w:type="pct"/>
            <w:tcBorders>
              <w:top w:val="nil"/>
              <w:left w:val="nil"/>
              <w:bottom w:val="single" w:sz="4"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32900</w:t>
            </w:r>
          </w:p>
        </w:tc>
        <w:tc>
          <w:tcPr>
            <w:tcW w:w="958" w:type="pct"/>
            <w:tcBorders>
              <w:top w:val="nil"/>
              <w:left w:val="nil"/>
              <w:bottom w:val="single" w:sz="4"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Konfirmuar Zvrrpp</w:t>
            </w:r>
          </w:p>
        </w:tc>
      </w:tr>
      <w:tr w:rsidR="006205B8" w:rsidRPr="00957F40">
        <w:trPr>
          <w:trHeight w:val="139"/>
          <w:jc w:val="center"/>
        </w:trPr>
        <w:tc>
          <w:tcPr>
            <w:tcW w:w="248" w:type="pct"/>
            <w:tcBorders>
              <w:top w:val="nil"/>
              <w:left w:val="single" w:sz="12" w:space="0" w:color="auto"/>
              <w:bottom w:val="single" w:sz="12"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w:t>
            </w:r>
          </w:p>
        </w:tc>
        <w:tc>
          <w:tcPr>
            <w:tcW w:w="1039"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b/>
                <w:bCs/>
                <w:sz w:val="18"/>
                <w:szCs w:val="18"/>
              </w:rPr>
            </w:pPr>
            <w:r w:rsidRPr="00957F40">
              <w:rPr>
                <w:rFonts w:ascii="CG Times" w:eastAsia="Times New Roman" w:hAnsi="CG Times" w:cs="Arial"/>
                <w:b/>
                <w:bCs/>
                <w:sz w:val="18"/>
                <w:szCs w:val="18"/>
              </w:rPr>
              <w:t>TOTALI</w:t>
            </w:r>
          </w:p>
        </w:tc>
        <w:tc>
          <w:tcPr>
            <w:tcW w:w="520"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w:t>
            </w:r>
          </w:p>
        </w:tc>
        <w:tc>
          <w:tcPr>
            <w:tcW w:w="358"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 </w:t>
            </w:r>
          </w:p>
        </w:tc>
        <w:tc>
          <w:tcPr>
            <w:tcW w:w="422"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 </w:t>
            </w:r>
          </w:p>
        </w:tc>
        <w:tc>
          <w:tcPr>
            <w:tcW w:w="528"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8965</w:t>
            </w:r>
          </w:p>
        </w:tc>
        <w:tc>
          <w:tcPr>
            <w:tcW w:w="434"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sz w:val="18"/>
                <w:szCs w:val="18"/>
              </w:rPr>
            </w:pPr>
            <w:r w:rsidRPr="00957F40">
              <w:rPr>
                <w:rFonts w:ascii="CG Times" w:eastAsia="Times New Roman" w:hAnsi="CG Times" w:cs="Arial"/>
                <w:sz w:val="18"/>
                <w:szCs w:val="18"/>
              </w:rPr>
              <w:t> </w:t>
            </w:r>
          </w:p>
        </w:tc>
        <w:tc>
          <w:tcPr>
            <w:tcW w:w="492" w:type="pct"/>
            <w:tcBorders>
              <w:top w:val="nil"/>
              <w:left w:val="nil"/>
              <w:bottom w:val="single" w:sz="12" w:space="0" w:color="auto"/>
              <w:right w:val="single" w:sz="4" w:space="0" w:color="auto"/>
            </w:tcBorders>
            <w:shd w:val="clear" w:color="auto" w:fill="auto"/>
            <w:noWrap/>
            <w:vAlign w:val="bottom"/>
          </w:tcPr>
          <w:p w:rsidR="006205B8" w:rsidRPr="00957F40" w:rsidRDefault="006205B8" w:rsidP="004A0E2A">
            <w:pPr>
              <w:widowControl w:val="0"/>
              <w:jc w:val="center"/>
              <w:rPr>
                <w:rFonts w:ascii="CG Times" w:eastAsia="Times New Roman" w:hAnsi="CG Times" w:cs="Arial"/>
                <w:b/>
                <w:bCs/>
                <w:sz w:val="18"/>
                <w:szCs w:val="18"/>
              </w:rPr>
            </w:pPr>
            <w:r w:rsidRPr="00957F40">
              <w:rPr>
                <w:rFonts w:ascii="CG Times" w:eastAsia="Times New Roman" w:hAnsi="CG Times" w:cs="Arial"/>
                <w:b/>
                <w:bCs/>
                <w:sz w:val="18"/>
                <w:szCs w:val="18"/>
              </w:rPr>
              <w:t>3096839</w:t>
            </w:r>
          </w:p>
        </w:tc>
        <w:tc>
          <w:tcPr>
            <w:tcW w:w="958" w:type="pct"/>
            <w:tcBorders>
              <w:top w:val="nil"/>
              <w:left w:val="nil"/>
              <w:bottom w:val="single" w:sz="12" w:space="0" w:color="auto"/>
              <w:right w:val="single" w:sz="12" w:space="0" w:color="auto"/>
            </w:tcBorders>
            <w:shd w:val="clear" w:color="auto" w:fill="auto"/>
            <w:noWrap/>
            <w:vAlign w:val="bottom"/>
          </w:tcPr>
          <w:p w:rsidR="006205B8" w:rsidRPr="00957F40" w:rsidRDefault="006205B8" w:rsidP="004A0E2A">
            <w:pPr>
              <w:widowControl w:val="0"/>
              <w:rPr>
                <w:rFonts w:ascii="CG Times" w:eastAsia="Times New Roman" w:hAnsi="CG Times" w:cs="Arial"/>
                <w:sz w:val="18"/>
                <w:szCs w:val="18"/>
              </w:rPr>
            </w:pPr>
            <w:r w:rsidRPr="00957F40">
              <w:rPr>
                <w:rFonts w:ascii="CG Times" w:eastAsia="Times New Roman" w:hAnsi="CG Times" w:cs="Arial"/>
                <w:sz w:val="18"/>
                <w:szCs w:val="18"/>
              </w:rPr>
              <w:t> </w:t>
            </w:r>
          </w:p>
        </w:tc>
      </w:tr>
    </w:tbl>
    <w:p w:rsidR="006205B8" w:rsidRDefault="006205B8" w:rsidP="004A0E2A">
      <w:pPr>
        <w:widowControl w:val="0"/>
      </w:pPr>
    </w:p>
    <w:p w:rsidR="006205B8" w:rsidRDefault="006205B8" w:rsidP="004A0E2A">
      <w:pPr>
        <w:widowControl w:val="0"/>
        <w:rPr>
          <w:rFonts w:ascii="CG Times" w:eastAsia="Times New Roman" w:hAnsi="CG Times" w:cs="Arial"/>
          <w:b/>
          <w:bCs/>
          <w:sz w:val="18"/>
          <w:szCs w:val="18"/>
        </w:rPr>
      </w:pPr>
    </w:p>
    <w:p w:rsidR="006205B8" w:rsidRDefault="006205B8" w:rsidP="004A0E2A">
      <w:pPr>
        <w:widowControl w:val="0"/>
        <w:rPr>
          <w:rFonts w:ascii="CG Times" w:eastAsia="Times New Roman" w:hAnsi="CG Times" w:cs="Arial"/>
          <w:b/>
          <w:bCs/>
          <w:sz w:val="18"/>
          <w:szCs w:val="18"/>
        </w:rPr>
      </w:pPr>
    </w:p>
    <w:p w:rsidR="006205B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DREJTORIA E PËRGJITHSHME E RRUGË</w:t>
      </w:r>
      <w:r w:rsidRPr="005A6B3B">
        <w:rPr>
          <w:rFonts w:ascii="CG Times" w:eastAsia="Times New Roman" w:hAnsi="CG Times" w:cs="Arial"/>
          <w:b/>
          <w:bCs/>
          <w:sz w:val="18"/>
          <w:szCs w:val="18"/>
        </w:rPr>
        <w:t>VE</w:t>
      </w:r>
    </w:p>
    <w:p w:rsidR="006205B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DREJTORIA E SHPRONË</w:t>
      </w:r>
      <w:r w:rsidRPr="005A6B3B">
        <w:rPr>
          <w:rFonts w:ascii="CG Times" w:eastAsia="Times New Roman" w:hAnsi="CG Times" w:cs="Arial"/>
          <w:b/>
          <w:bCs/>
          <w:sz w:val="18"/>
          <w:szCs w:val="18"/>
        </w:rPr>
        <w:t>SIMEVE</w:t>
      </w:r>
    </w:p>
    <w:p w:rsidR="006205B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LISTA EMËRORE E PRONARËVE QE SHPRONËSOHEN NGA NDË</w:t>
      </w:r>
      <w:r w:rsidRPr="005A6B3B">
        <w:rPr>
          <w:rFonts w:ascii="CG Times" w:eastAsia="Times New Roman" w:hAnsi="CG Times" w:cs="Arial"/>
          <w:b/>
          <w:bCs/>
          <w:sz w:val="18"/>
          <w:szCs w:val="18"/>
        </w:rPr>
        <w:t>RTIMI I SEGMENTIT RRUGOR</w:t>
      </w:r>
    </w:p>
    <w:p w:rsidR="006205B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"By-Pass Plepa Rrogozhinë</w:t>
      </w:r>
      <w:r w:rsidRPr="005A6B3B">
        <w:rPr>
          <w:rFonts w:ascii="CG Times" w:eastAsia="Times New Roman" w:hAnsi="CG Times" w:cs="Arial"/>
          <w:b/>
          <w:bCs/>
          <w:sz w:val="18"/>
          <w:szCs w:val="18"/>
        </w:rPr>
        <w:t xml:space="preserve">" </w:t>
      </w:r>
    </w:p>
    <w:p w:rsidR="006205B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 xml:space="preserve">Loti  </w:t>
      </w:r>
      <w:r w:rsidRPr="005A6B3B">
        <w:rPr>
          <w:rFonts w:ascii="CG Times" w:eastAsia="Times New Roman" w:hAnsi="CG Times" w:cs="Arial"/>
          <w:b/>
          <w:bCs/>
          <w:sz w:val="18"/>
          <w:szCs w:val="18"/>
        </w:rPr>
        <w:t xml:space="preserve">9,  10, 11, 12       </w:t>
      </w:r>
    </w:p>
    <w:p w:rsidR="006205B8" w:rsidRDefault="006205B8" w:rsidP="004A0E2A">
      <w:pPr>
        <w:widowControl w:val="0"/>
      </w:pPr>
    </w:p>
    <w:tbl>
      <w:tblPr>
        <w:tblW w:w="4767" w:type="pct"/>
        <w:jc w:val="center"/>
        <w:tblLook w:val="0000" w:firstRow="0" w:lastRow="0" w:firstColumn="0" w:lastColumn="0" w:noHBand="0" w:noVBand="0"/>
      </w:tblPr>
      <w:tblGrid>
        <w:gridCol w:w="485"/>
        <w:gridCol w:w="1849"/>
        <w:gridCol w:w="893"/>
        <w:gridCol w:w="615"/>
        <w:gridCol w:w="784"/>
        <w:gridCol w:w="907"/>
        <w:gridCol w:w="744"/>
        <w:gridCol w:w="934"/>
        <w:gridCol w:w="1644"/>
      </w:tblGrid>
      <w:tr w:rsidR="006205B8" w:rsidRPr="005A6B3B">
        <w:trPr>
          <w:trHeight w:val="240"/>
          <w:jc w:val="center"/>
        </w:trPr>
        <w:tc>
          <w:tcPr>
            <w:tcW w:w="274" w:type="pct"/>
            <w:tcBorders>
              <w:top w:val="single" w:sz="12" w:space="0" w:color="auto"/>
              <w:left w:val="single" w:sz="12" w:space="0" w:color="auto"/>
              <w:bottom w:val="single" w:sz="12" w:space="0" w:color="auto"/>
              <w:right w:val="nil"/>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1044" w:type="pct"/>
            <w:tcBorders>
              <w:top w:val="single" w:sz="12" w:space="0" w:color="auto"/>
              <w:left w:val="nil"/>
              <w:bottom w:val="single" w:sz="12" w:space="0" w:color="auto"/>
              <w:right w:val="nil"/>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504" w:type="pct"/>
            <w:tcBorders>
              <w:top w:val="single" w:sz="12" w:space="0" w:color="auto"/>
              <w:left w:val="nil"/>
              <w:bottom w:val="single" w:sz="12" w:space="0" w:color="auto"/>
              <w:right w:val="nil"/>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347" w:type="pct"/>
            <w:tcBorders>
              <w:top w:val="single" w:sz="12" w:space="0" w:color="auto"/>
              <w:left w:val="nil"/>
              <w:bottom w:val="single" w:sz="12" w:space="0" w:color="auto"/>
              <w:right w:val="nil"/>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443" w:type="pct"/>
            <w:tcBorders>
              <w:top w:val="single" w:sz="12" w:space="0" w:color="auto"/>
              <w:left w:val="nil"/>
              <w:bottom w:val="single" w:sz="12" w:space="0" w:color="auto"/>
              <w:right w:val="nil"/>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932" w:type="pct"/>
            <w:gridSpan w:val="2"/>
            <w:tcBorders>
              <w:top w:val="single" w:sz="12" w:space="0" w:color="auto"/>
              <w:left w:val="single" w:sz="12" w:space="0" w:color="auto"/>
              <w:bottom w:val="single" w:sz="12" w:space="0" w:color="auto"/>
              <w:right w:val="single" w:sz="12" w:space="0" w:color="000000"/>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Lloji pasuris</w:t>
            </w:r>
            <w:r>
              <w:rPr>
                <w:rFonts w:ascii="CG Times" w:eastAsia="Times New Roman" w:hAnsi="CG Times" w:cs="Arial"/>
                <w:b/>
                <w:bCs/>
                <w:sz w:val="18"/>
                <w:szCs w:val="18"/>
              </w:rPr>
              <w:t>ë</w:t>
            </w:r>
          </w:p>
        </w:tc>
        <w:tc>
          <w:tcPr>
            <w:tcW w:w="527" w:type="pct"/>
            <w:tcBorders>
              <w:top w:val="single" w:sz="12" w:space="0" w:color="auto"/>
              <w:left w:val="nil"/>
              <w:bottom w:val="single" w:sz="12" w:space="0" w:color="auto"/>
              <w:right w:val="nil"/>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 xml:space="preserve">       </w:t>
            </w:r>
          </w:p>
        </w:tc>
        <w:tc>
          <w:tcPr>
            <w:tcW w:w="928" w:type="pct"/>
            <w:tcBorders>
              <w:top w:val="single" w:sz="12" w:space="0" w:color="auto"/>
              <w:left w:val="nil"/>
              <w:bottom w:val="single" w:sz="12"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 </w:t>
            </w:r>
          </w:p>
        </w:tc>
      </w:tr>
      <w:tr w:rsidR="006205B8" w:rsidRPr="005A6B3B">
        <w:trPr>
          <w:trHeight w:val="255"/>
          <w:jc w:val="center"/>
        </w:trPr>
        <w:tc>
          <w:tcPr>
            <w:tcW w:w="274" w:type="pct"/>
            <w:tcBorders>
              <w:top w:val="nil"/>
              <w:left w:val="single" w:sz="12" w:space="0" w:color="auto"/>
              <w:bottom w:val="nil"/>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Nr</w:t>
            </w:r>
          </w:p>
        </w:tc>
        <w:tc>
          <w:tcPr>
            <w:tcW w:w="1044" w:type="pct"/>
            <w:tcBorders>
              <w:top w:val="nil"/>
              <w:left w:val="nil"/>
              <w:bottom w:val="nil"/>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Emri</w:t>
            </w:r>
          </w:p>
        </w:tc>
        <w:tc>
          <w:tcPr>
            <w:tcW w:w="504" w:type="pct"/>
            <w:tcBorders>
              <w:top w:val="nil"/>
              <w:left w:val="nil"/>
              <w:bottom w:val="nil"/>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Mbiemri</w:t>
            </w:r>
          </w:p>
        </w:tc>
        <w:tc>
          <w:tcPr>
            <w:tcW w:w="347" w:type="pct"/>
            <w:tcBorders>
              <w:top w:val="nil"/>
              <w:left w:val="nil"/>
              <w:bottom w:val="nil"/>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Zona</w:t>
            </w:r>
          </w:p>
        </w:tc>
        <w:tc>
          <w:tcPr>
            <w:tcW w:w="443" w:type="pct"/>
            <w:tcBorders>
              <w:top w:val="nil"/>
              <w:left w:val="nil"/>
              <w:bottom w:val="nil"/>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Nr.</w:t>
            </w:r>
          </w:p>
        </w:tc>
        <w:tc>
          <w:tcPr>
            <w:tcW w:w="512" w:type="pct"/>
            <w:tcBorders>
              <w:top w:val="nil"/>
              <w:left w:val="nil"/>
              <w:bottom w:val="single" w:sz="12" w:space="0" w:color="auto"/>
              <w:right w:val="nil"/>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Tokë arë</w:t>
            </w:r>
          </w:p>
        </w:tc>
        <w:tc>
          <w:tcPr>
            <w:tcW w:w="420" w:type="pct"/>
            <w:tcBorders>
              <w:top w:val="nil"/>
              <w:left w:val="nil"/>
              <w:bottom w:val="nil"/>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c>
          <w:tcPr>
            <w:tcW w:w="527" w:type="pct"/>
            <w:tcBorders>
              <w:top w:val="nil"/>
              <w:left w:val="nil"/>
              <w:bottom w:val="nil"/>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c>
          <w:tcPr>
            <w:tcW w:w="928" w:type="pct"/>
            <w:tcBorders>
              <w:top w:val="nil"/>
              <w:left w:val="nil"/>
              <w:bottom w:val="nil"/>
              <w:right w:val="single" w:sz="12"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Shë</w:t>
            </w:r>
            <w:r w:rsidRPr="005A6B3B">
              <w:rPr>
                <w:rFonts w:ascii="CG Times" w:eastAsia="Times New Roman" w:hAnsi="CG Times" w:cs="Arial"/>
                <w:b/>
                <w:bCs/>
                <w:sz w:val="18"/>
                <w:szCs w:val="18"/>
              </w:rPr>
              <w:t>nime</w:t>
            </w:r>
          </w:p>
        </w:tc>
      </w:tr>
      <w:tr w:rsidR="006205B8" w:rsidRPr="005A6B3B">
        <w:trPr>
          <w:trHeight w:val="210"/>
          <w:jc w:val="center"/>
        </w:trPr>
        <w:tc>
          <w:tcPr>
            <w:tcW w:w="274" w:type="pct"/>
            <w:tcBorders>
              <w:top w:val="single" w:sz="12" w:space="0" w:color="auto"/>
              <w:left w:val="single" w:sz="12" w:space="0" w:color="auto"/>
              <w:bottom w:val="single" w:sz="8"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c>
          <w:tcPr>
            <w:tcW w:w="1044" w:type="pct"/>
            <w:tcBorders>
              <w:top w:val="single" w:sz="12" w:space="0" w:color="auto"/>
              <w:left w:val="nil"/>
              <w:bottom w:val="single" w:sz="8"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c>
          <w:tcPr>
            <w:tcW w:w="504" w:type="pct"/>
            <w:tcBorders>
              <w:top w:val="single" w:sz="12" w:space="0" w:color="auto"/>
              <w:left w:val="nil"/>
              <w:bottom w:val="single" w:sz="8"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c>
          <w:tcPr>
            <w:tcW w:w="347" w:type="pct"/>
            <w:tcBorders>
              <w:top w:val="single" w:sz="12" w:space="0" w:color="auto"/>
              <w:left w:val="nil"/>
              <w:bottom w:val="single" w:sz="8"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Kad.</w:t>
            </w:r>
          </w:p>
        </w:tc>
        <w:tc>
          <w:tcPr>
            <w:tcW w:w="443" w:type="pct"/>
            <w:tcBorders>
              <w:top w:val="single" w:sz="12" w:space="0" w:color="auto"/>
              <w:left w:val="nil"/>
              <w:bottom w:val="single" w:sz="8"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Pas.</w:t>
            </w:r>
          </w:p>
        </w:tc>
        <w:tc>
          <w:tcPr>
            <w:tcW w:w="512" w:type="pct"/>
            <w:tcBorders>
              <w:top w:val="nil"/>
              <w:left w:val="nil"/>
              <w:bottom w:val="single" w:sz="8"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Sip.</w:t>
            </w:r>
          </w:p>
        </w:tc>
        <w:tc>
          <w:tcPr>
            <w:tcW w:w="420" w:type="pct"/>
            <w:tcBorders>
              <w:top w:val="single" w:sz="12" w:space="0" w:color="auto"/>
              <w:left w:val="nil"/>
              <w:bottom w:val="single" w:sz="8"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Ç</w:t>
            </w:r>
            <w:r w:rsidRPr="005A6B3B">
              <w:rPr>
                <w:rFonts w:ascii="CG Times" w:eastAsia="Times New Roman" w:hAnsi="CG Times" w:cs="Arial"/>
                <w:b/>
                <w:bCs/>
                <w:sz w:val="18"/>
                <w:szCs w:val="18"/>
              </w:rPr>
              <w:t>mimi</w:t>
            </w:r>
          </w:p>
        </w:tc>
        <w:tc>
          <w:tcPr>
            <w:tcW w:w="527" w:type="pct"/>
            <w:tcBorders>
              <w:top w:val="single" w:sz="12" w:space="0" w:color="auto"/>
              <w:left w:val="nil"/>
              <w:bottom w:val="single" w:sz="8"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Vlera</w:t>
            </w:r>
          </w:p>
        </w:tc>
        <w:tc>
          <w:tcPr>
            <w:tcW w:w="928" w:type="pct"/>
            <w:tcBorders>
              <w:top w:val="single" w:sz="12" w:space="0" w:color="auto"/>
              <w:left w:val="nil"/>
              <w:bottom w:val="single" w:sz="8" w:space="0" w:color="auto"/>
              <w:right w:val="single" w:sz="12"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r>
      <w:tr w:rsidR="006205B8" w:rsidRPr="005A6B3B">
        <w:trPr>
          <w:trHeight w:val="165"/>
          <w:jc w:val="center"/>
        </w:trPr>
        <w:tc>
          <w:tcPr>
            <w:tcW w:w="274" w:type="pct"/>
            <w:tcBorders>
              <w:top w:val="nil"/>
              <w:left w:val="single" w:sz="12" w:space="0" w:color="auto"/>
              <w:bottom w:val="single" w:sz="12"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c>
          <w:tcPr>
            <w:tcW w:w="1044" w:type="pct"/>
            <w:tcBorders>
              <w:top w:val="nil"/>
              <w:left w:val="nil"/>
              <w:bottom w:val="single" w:sz="12"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c>
          <w:tcPr>
            <w:tcW w:w="504" w:type="pct"/>
            <w:tcBorders>
              <w:top w:val="nil"/>
              <w:left w:val="nil"/>
              <w:bottom w:val="single" w:sz="12"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c>
          <w:tcPr>
            <w:tcW w:w="347" w:type="pct"/>
            <w:tcBorders>
              <w:top w:val="nil"/>
              <w:left w:val="nil"/>
              <w:bottom w:val="single" w:sz="12"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c>
          <w:tcPr>
            <w:tcW w:w="443" w:type="pct"/>
            <w:tcBorders>
              <w:top w:val="nil"/>
              <w:left w:val="nil"/>
              <w:bottom w:val="single" w:sz="12"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c>
          <w:tcPr>
            <w:tcW w:w="512" w:type="pct"/>
            <w:tcBorders>
              <w:top w:val="nil"/>
              <w:left w:val="nil"/>
              <w:bottom w:val="single" w:sz="12"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m</w:t>
            </w:r>
            <w:r w:rsidRPr="00E773EC">
              <w:rPr>
                <w:rFonts w:ascii="CG Times" w:eastAsia="Times New Roman" w:hAnsi="CG Times" w:cs="Arial"/>
                <w:b/>
                <w:bCs/>
                <w:sz w:val="18"/>
                <w:szCs w:val="18"/>
                <w:vertAlign w:val="superscript"/>
              </w:rPr>
              <w:t>2</w:t>
            </w:r>
          </w:p>
        </w:tc>
        <w:tc>
          <w:tcPr>
            <w:tcW w:w="420" w:type="pct"/>
            <w:tcBorders>
              <w:top w:val="nil"/>
              <w:left w:val="nil"/>
              <w:bottom w:val="single" w:sz="12"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lek/m</w:t>
            </w:r>
            <w:r w:rsidRPr="00E773EC">
              <w:rPr>
                <w:rFonts w:ascii="CG Times" w:eastAsia="Times New Roman" w:hAnsi="CG Times" w:cs="Arial"/>
                <w:b/>
                <w:bCs/>
                <w:sz w:val="18"/>
                <w:szCs w:val="18"/>
                <w:vertAlign w:val="superscript"/>
              </w:rPr>
              <w:t>2</w:t>
            </w:r>
          </w:p>
        </w:tc>
        <w:tc>
          <w:tcPr>
            <w:tcW w:w="527" w:type="pct"/>
            <w:tcBorders>
              <w:top w:val="nil"/>
              <w:left w:val="nil"/>
              <w:bottom w:val="single" w:sz="12" w:space="0" w:color="auto"/>
              <w:right w:val="single" w:sz="8"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(Lekë</w:t>
            </w:r>
            <w:r w:rsidRPr="005A6B3B">
              <w:rPr>
                <w:rFonts w:ascii="CG Times" w:eastAsia="Times New Roman" w:hAnsi="CG Times" w:cs="Arial"/>
                <w:b/>
                <w:bCs/>
                <w:sz w:val="18"/>
                <w:szCs w:val="18"/>
              </w:rPr>
              <w:t>)</w:t>
            </w:r>
          </w:p>
        </w:tc>
        <w:tc>
          <w:tcPr>
            <w:tcW w:w="928" w:type="pct"/>
            <w:tcBorders>
              <w:top w:val="nil"/>
              <w:left w:val="nil"/>
              <w:bottom w:val="single" w:sz="12" w:space="0" w:color="auto"/>
              <w:right w:val="single" w:sz="12" w:space="0" w:color="auto"/>
            </w:tcBorders>
            <w:shd w:val="clear" w:color="auto" w:fill="auto"/>
            <w:noWrap/>
            <w:vAlign w:val="center"/>
          </w:tcPr>
          <w:p w:rsidR="006205B8" w:rsidRPr="005A6B3B" w:rsidRDefault="006205B8" w:rsidP="004A0E2A">
            <w:pPr>
              <w:widowControl w:val="0"/>
              <w:jc w:val="center"/>
              <w:rPr>
                <w:rFonts w:ascii="CG Times" w:eastAsia="Times New Roman" w:hAnsi="CG Times" w:cs="Arial"/>
                <w:b/>
                <w:bCs/>
                <w:sz w:val="18"/>
                <w:szCs w:val="18"/>
              </w:rPr>
            </w:pPr>
          </w:p>
        </w:tc>
      </w:tr>
      <w:tr w:rsidR="006205B8" w:rsidRPr="005A6B3B">
        <w:trPr>
          <w:trHeight w:val="139"/>
          <w:jc w:val="center"/>
        </w:trPr>
        <w:tc>
          <w:tcPr>
            <w:tcW w:w="274" w:type="pct"/>
            <w:tcBorders>
              <w:top w:val="nil"/>
              <w:left w:val="single" w:sz="12" w:space="0" w:color="auto"/>
              <w:bottom w:val="nil"/>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1044"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Fshati Lekaj</w:t>
            </w:r>
          </w:p>
        </w:tc>
        <w:tc>
          <w:tcPr>
            <w:tcW w:w="504"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347"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443"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512"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420"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527"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928" w:type="pct"/>
            <w:tcBorders>
              <w:top w:val="nil"/>
              <w:left w:val="nil"/>
              <w:bottom w:val="nil"/>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 </w:t>
            </w:r>
          </w:p>
        </w:tc>
      </w:tr>
      <w:tr w:rsidR="006205B8" w:rsidRPr="005A6B3B">
        <w:trPr>
          <w:trHeight w:val="139"/>
          <w:jc w:val="center"/>
        </w:trPr>
        <w:tc>
          <w:tcPr>
            <w:tcW w:w="27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Harun</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Aliu</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79/4</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673</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231512</w:t>
            </w:r>
          </w:p>
        </w:tc>
        <w:tc>
          <w:tcPr>
            <w:tcW w:w="928" w:type="pct"/>
            <w:tcBorders>
              <w:top w:val="single" w:sz="4" w:space="0" w:color="auto"/>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Harun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79/5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275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94600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Lutfi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79/6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508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174752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4</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Daut</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Aliu</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79/7</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617</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212248</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Rasim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79/8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909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312696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Besnik</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Cullhaj</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1200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412800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Dyl</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Cullhaj</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1091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375304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Alush</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Voda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503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173032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Seit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Voka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660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227040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Xhavit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Voka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334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114896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Shkelqim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Bullari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99072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Latif</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149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51256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Hamza</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125/9</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58824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Shefik</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125/10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45752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Nazif</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125/11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42312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smartTag w:uri="urn:schemas-microsoft-com:office:smarttags" w:element="place">
              <w:smartTag w:uri="urn:schemas-microsoft-com:office:smarttags" w:element="City">
                <w:r w:rsidRPr="005A6B3B">
                  <w:rPr>
                    <w:rFonts w:ascii="CG Times" w:eastAsia="Times New Roman" w:hAnsi="CG Times" w:cs="Arial"/>
                    <w:sz w:val="18"/>
                    <w:szCs w:val="18"/>
                  </w:rPr>
                  <w:t>Bari</w:t>
                </w:r>
              </w:smartTag>
            </w:smartTag>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125/12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45752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Sami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125/13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34744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Kujtim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125/14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67</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23048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Jaho</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125/15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42656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20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Ferhat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125/16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106</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36464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21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Myftar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125/17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46440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22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Sefer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125/18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46440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23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Isat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Kercuku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125/19</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159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54696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24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xml:space="preserve">Azem </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Kercuku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125/20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35432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25</w:t>
            </w:r>
          </w:p>
        </w:tc>
        <w:tc>
          <w:tcPr>
            <w:tcW w:w="10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Baftjar</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Kercuku</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125/21</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87</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29928</w:t>
            </w:r>
          </w:p>
        </w:tc>
        <w:tc>
          <w:tcPr>
            <w:tcW w:w="9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26</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Avdi</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Kercuku</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125/22</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169</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58136</w:t>
            </w:r>
          </w:p>
        </w:tc>
        <w:tc>
          <w:tcPr>
            <w:tcW w:w="928" w:type="pct"/>
            <w:tcBorders>
              <w:top w:val="single" w:sz="4" w:space="0" w:color="auto"/>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27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Bexhet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Kercuku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125/23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251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86344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28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xml:space="preserve">Sali </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Kercuku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125/24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71552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29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Kujtim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Kashari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1932</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158/2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20640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30</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Zylyf</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Haremi</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71/21</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73</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25112</w:t>
            </w:r>
          </w:p>
        </w:tc>
        <w:tc>
          <w:tcPr>
            <w:tcW w:w="928" w:type="pct"/>
            <w:tcBorders>
              <w:top w:val="single" w:sz="4" w:space="0" w:color="auto"/>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31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Bujar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Hoxha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71/16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16512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32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Halil</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Mema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71/17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64672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33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Hamdi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Mema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71/18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65360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34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Mema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71/19</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296</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101824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35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Zade</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Mema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71/20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706</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242864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36</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Osman</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Dedej</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80/1</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91</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31304</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37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Musa</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Dedej</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80/2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4472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38</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Muharrem</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Kercuku</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132</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437</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150328</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39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Rifat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194/1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851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292744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40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Pellumb</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194/2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312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107328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41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Hysen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194/3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293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100792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42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Telha</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Cullhaj</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194/4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530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182320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43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Sulejman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Gjumsi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194/5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750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258000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44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xml:space="preserve">Sali </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Kercuku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195/24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73960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45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xml:space="preserve">Ilmi </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Terhani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195/25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150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51600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46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Dull</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Terhani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195/26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76</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26144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47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Kalem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Terhani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195/27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25800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48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Rifat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195/28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32336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49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Pellumb</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195/29</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34744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50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Zeqir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195/30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35432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51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Hysen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195/31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217</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74648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52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Mustafa</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195/32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65704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53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Bashkim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195/33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60200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54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Naim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195/34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23736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55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Rexhep</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195/35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76</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26144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56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Alush</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Manushi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195/36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76</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26144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57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Bexhet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195/37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28552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58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Sadi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195/38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46440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59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Jonuz</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195/39</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228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78432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60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Sefer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195/41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154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52976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61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Kudret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195/42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380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130720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62</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Nazif</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195/43</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75</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25800</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63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smartTag w:uri="urn:schemas-microsoft-com:office:smarttags" w:element="place">
              <w:smartTag w:uri="urn:schemas-microsoft-com:office:smarttags" w:element="City">
                <w:r w:rsidRPr="005A6B3B">
                  <w:rPr>
                    <w:rFonts w:ascii="CG Times" w:eastAsia="Times New Roman" w:hAnsi="CG Times" w:cs="Arial"/>
                    <w:sz w:val="18"/>
                    <w:szCs w:val="18"/>
                  </w:rPr>
                  <w:t>Bari</w:t>
                </w:r>
              </w:smartTag>
            </w:smartTag>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195/44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13760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64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Shefki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Tafa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195/45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28552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65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Haqim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Hoxha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195/46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143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49192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66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Rifon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17200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67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Bujar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21672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68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Bed</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25456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69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Selami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23392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70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Selim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31648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71</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Zydi</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280/6</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68</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23392</w:t>
            </w:r>
          </w:p>
        </w:tc>
        <w:tc>
          <w:tcPr>
            <w:tcW w:w="928" w:type="pct"/>
            <w:tcBorders>
              <w:top w:val="single" w:sz="4" w:space="0" w:color="auto"/>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72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Xhavit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15480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73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Qani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280/9</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17888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74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Nebi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280/10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18920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75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Hajri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280/11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21672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76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Sherif</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280/12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14792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77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Vullnet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280/13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14792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78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Baki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280/15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17200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79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Shefqet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280/16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18920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80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Idriz</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280/17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11352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81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Fatmir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280/18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27176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82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Sabri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280/19</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27520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83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Adem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280/20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25112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84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Hekuran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280/21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28208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84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Mevud</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Halili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280/22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18232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86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Xhemil</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Halili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280/23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18920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87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280/24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31648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88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Rustem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280/25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6536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89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Shefqet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280/26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4816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90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Murat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280/27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13072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91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Ndricim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280/30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11008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92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Nezir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280/31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18232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93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Zenel</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280/32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17888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94</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Mevlud</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Halili</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280/33</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44</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15136</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95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Xhavit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Doda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280/34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9976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96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Demir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280/35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9976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97</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Jemin</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280/36</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33</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11352</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98</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Rakip</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280/37</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40</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13760</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99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280/38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13760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100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Durim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280/39</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17200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101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Naim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280/40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46</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15824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102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FAIK</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280/41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17200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103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Zija</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280/42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16512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104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Misir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280/43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12040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105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Myrteza</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280/44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13416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106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Sami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280/45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16512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107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Hyqmet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280/46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18576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108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Ymer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280/47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19952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109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Etem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280/48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23736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110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Kasem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280/49</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23736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111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xml:space="preserve">Sefedin </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280/50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31992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112</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Myrteza</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280/51</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31</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10664</w:t>
            </w:r>
          </w:p>
        </w:tc>
        <w:tc>
          <w:tcPr>
            <w:tcW w:w="928" w:type="pct"/>
            <w:tcBorders>
              <w:top w:val="single" w:sz="4" w:space="0" w:color="auto"/>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113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Petrit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280/52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37496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114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Habil</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280/53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164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56416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115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Shkurt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280/54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145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49880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nil"/>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116</w:t>
            </w:r>
          </w:p>
        </w:tc>
        <w:tc>
          <w:tcPr>
            <w:tcW w:w="1044"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Shaqir</w:t>
            </w:r>
          </w:p>
        </w:tc>
        <w:tc>
          <w:tcPr>
            <w:tcW w:w="504"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Uku</w:t>
            </w:r>
          </w:p>
        </w:tc>
        <w:tc>
          <w:tcPr>
            <w:tcW w:w="347"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2399</w:t>
            </w:r>
          </w:p>
        </w:tc>
        <w:tc>
          <w:tcPr>
            <w:tcW w:w="443"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280/55</w:t>
            </w:r>
          </w:p>
        </w:tc>
        <w:tc>
          <w:tcPr>
            <w:tcW w:w="512"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312</w:t>
            </w:r>
          </w:p>
        </w:tc>
        <w:tc>
          <w:tcPr>
            <w:tcW w:w="420"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344</w:t>
            </w:r>
          </w:p>
        </w:tc>
        <w:tc>
          <w:tcPr>
            <w:tcW w:w="527" w:type="pct"/>
            <w:tcBorders>
              <w:top w:val="nil"/>
              <w:left w:val="nil"/>
              <w:bottom w:val="nil"/>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107328</w:t>
            </w:r>
          </w:p>
        </w:tc>
        <w:tc>
          <w:tcPr>
            <w:tcW w:w="928" w:type="pct"/>
            <w:tcBorders>
              <w:top w:val="nil"/>
              <w:left w:val="nil"/>
              <w:bottom w:val="nil"/>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12" w:space="0" w:color="auto"/>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 </w:t>
            </w:r>
          </w:p>
        </w:tc>
        <w:tc>
          <w:tcPr>
            <w:tcW w:w="1044" w:type="pct"/>
            <w:tcBorders>
              <w:top w:val="single" w:sz="12"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Fshati  Gose e Vogel</w:t>
            </w:r>
          </w:p>
        </w:tc>
        <w:tc>
          <w:tcPr>
            <w:tcW w:w="504" w:type="pct"/>
            <w:tcBorders>
              <w:top w:val="single" w:sz="12"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w:t>
            </w:r>
          </w:p>
        </w:tc>
        <w:tc>
          <w:tcPr>
            <w:tcW w:w="347" w:type="pct"/>
            <w:tcBorders>
              <w:top w:val="single" w:sz="12"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443" w:type="pct"/>
            <w:tcBorders>
              <w:top w:val="single" w:sz="12"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512" w:type="pct"/>
            <w:tcBorders>
              <w:top w:val="single" w:sz="12"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420" w:type="pct"/>
            <w:tcBorders>
              <w:top w:val="single" w:sz="12"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527" w:type="pct"/>
            <w:tcBorders>
              <w:top w:val="single" w:sz="12"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928" w:type="pct"/>
            <w:tcBorders>
              <w:top w:val="single" w:sz="12" w:space="0" w:color="auto"/>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117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Qemal</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Zhupa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14200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118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xml:space="preserve">Mehdi </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Zhupa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17040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119</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Namir</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Zhupa</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231/9</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5112</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120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xml:space="preserve">Ismet </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Zhupa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7952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121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Muharrem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Zhupa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231/12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11360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122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Ali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244/27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13064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123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Xhevdet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Prashka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244/26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19312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124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Mehmet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Kullolli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244/30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34080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125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Feta</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Kullolli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244/31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22720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126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Agron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Kullolli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244/34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44872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127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Avdi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Kullolli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244/33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41464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128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Halim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Balliu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97</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55096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129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Halim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Balliu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59072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130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Hider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Belliu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150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85200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131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Bip</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Balliu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155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88040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132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Dalip</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Balliu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57</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32376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133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Shazivar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Seferi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244/7/1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14200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134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Hysen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Seferi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22152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135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Bajram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Seferi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244/9</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45440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136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Sherbet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Seferi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244/10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21584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137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Bilal</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Seferi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123824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138</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Abedin</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Seferi</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244/15</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54</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30672</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139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Refat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Balliu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244/29</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22152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140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Ramiz</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Balliu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244/28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23288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141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Bajram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Balliu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244/24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1136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142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Ejup</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Balliu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244/25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6816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143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Ismail</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Deliu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231/13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41464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144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Isuf</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Deliu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231/14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19880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145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Deliu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231/15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30672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146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Luan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smartTag w:uri="urn:schemas-microsoft-com:office:smarttags" w:element="place">
              <w:smartTag w:uri="urn:schemas-microsoft-com:office:smarttags" w:element="country-region">
                <w:r w:rsidRPr="005A6B3B">
                  <w:rPr>
                    <w:rFonts w:ascii="CG Times" w:eastAsia="Times New Roman" w:hAnsi="CG Times" w:cs="Arial"/>
                    <w:sz w:val="18"/>
                    <w:szCs w:val="18"/>
                  </w:rPr>
                  <w:t>Shaba</w:t>
                </w:r>
              </w:smartTag>
            </w:smartTag>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244/11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29536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147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Avdulla</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smartTag w:uri="urn:schemas-microsoft-com:office:smarttags" w:element="place">
              <w:smartTag w:uri="urn:schemas-microsoft-com:office:smarttags" w:element="country-region">
                <w:r w:rsidRPr="005A6B3B">
                  <w:rPr>
                    <w:rFonts w:ascii="CG Times" w:eastAsia="Times New Roman" w:hAnsi="CG Times" w:cs="Arial"/>
                    <w:sz w:val="18"/>
                    <w:szCs w:val="18"/>
                  </w:rPr>
                  <w:t>Shaba</w:t>
                </w:r>
              </w:smartTag>
            </w:smartTag>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244/13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36352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148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Gezim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smartTag w:uri="urn:schemas-microsoft-com:office:smarttags" w:element="place">
              <w:smartTag w:uri="urn:schemas-microsoft-com:office:smarttags" w:element="country-region">
                <w:r w:rsidRPr="005A6B3B">
                  <w:rPr>
                    <w:rFonts w:ascii="CG Times" w:eastAsia="Times New Roman" w:hAnsi="CG Times" w:cs="Arial"/>
                    <w:sz w:val="18"/>
                    <w:szCs w:val="18"/>
                  </w:rPr>
                  <w:t>Shaba</w:t>
                </w:r>
              </w:smartTag>
            </w:smartTag>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244/12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30104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149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Habib</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smartTag w:uri="urn:schemas-microsoft-com:office:smarttags" w:element="place">
              <w:smartTag w:uri="urn:schemas-microsoft-com:office:smarttags" w:element="country-region">
                <w:r w:rsidRPr="005A6B3B">
                  <w:rPr>
                    <w:rFonts w:ascii="CG Times" w:eastAsia="Times New Roman" w:hAnsi="CG Times" w:cs="Arial"/>
                    <w:sz w:val="18"/>
                    <w:szCs w:val="18"/>
                  </w:rPr>
                  <w:t>Shaba</w:t>
                </w:r>
              </w:smartTag>
            </w:smartTag>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244/14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52824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150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Bip</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Deliu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28400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151</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Iljaz</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Zhupa</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231/23</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13632</w:t>
            </w:r>
          </w:p>
        </w:tc>
        <w:tc>
          <w:tcPr>
            <w:tcW w:w="928" w:type="pct"/>
            <w:tcBorders>
              <w:top w:val="single" w:sz="4" w:space="0" w:color="auto"/>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152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Galip</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Zhupa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231/21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13064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153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Zhupa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231/20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31808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154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Shaqir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smartTag w:uri="urn:schemas-microsoft-com:office:smarttags" w:element="place">
              <w:smartTag w:uri="urn:schemas-microsoft-com:office:smarttags" w:element="country-region">
                <w:r w:rsidRPr="005A6B3B">
                  <w:rPr>
                    <w:rFonts w:ascii="CG Times" w:eastAsia="Times New Roman" w:hAnsi="CG Times" w:cs="Arial"/>
                    <w:sz w:val="18"/>
                    <w:szCs w:val="18"/>
                  </w:rPr>
                  <w:t>Shaba</w:t>
                </w:r>
              </w:smartTag>
            </w:smartTag>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244/40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19312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12"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155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Xhemaile</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Koja</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1815</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244/41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568</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19880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8F4422" w:rsidRDefault="008F4422" w:rsidP="004A0E2A">
            <w:pPr>
              <w:widowControl w:val="0"/>
              <w:rPr>
                <w:rFonts w:ascii="CG Times" w:eastAsia="Times New Roman" w:hAnsi="CG Times" w:cs="Arial"/>
                <w:b/>
                <w:bCs/>
                <w:sz w:val="18"/>
                <w:szCs w:val="18"/>
              </w:rPr>
            </w:pPr>
          </w:p>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Fshati Gose e Madhe</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 </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156</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xml:space="preserve">Ruzhdi </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213/3</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180</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92160</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157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243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124416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158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Ferhat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231/1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26112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159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Beqir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219/1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62464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160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Ejup</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210/4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220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112640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161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Nuri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210/3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144384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162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Reshat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210/2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346</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177152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163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210/1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1289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659968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164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Maksut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Sheshi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211/11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27648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165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Jonuz</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211/10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378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193536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166</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Kapllan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211/5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328</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167936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167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Xhavit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211/4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596</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305152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168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Beqir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201/22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612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313344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168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Idriz</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Sheshi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201/21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119296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170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Idriz</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Sheshi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201/16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583</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298496</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171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Mehmet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201/15</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599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306688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172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Tahir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201/12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717</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367104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173</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Kapllan</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201/13</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618</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316416</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174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Osman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201/11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841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430592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175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Reshit</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201/10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561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287232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176</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Ejup</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201/9</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576</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294912</w:t>
            </w:r>
          </w:p>
        </w:tc>
        <w:tc>
          <w:tcPr>
            <w:tcW w:w="928"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177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Nuh</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201/8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237</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121344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178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Nazmi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195/13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864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442368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179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Rapush</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195/12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1000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512000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180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b/p</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195/11</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649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332288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181</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Vullkan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195/10</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387</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198144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182</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Adem</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Shehu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195/17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1339</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685568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183</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Fatmir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195/8</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67</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34304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184</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Agron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195/7</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121</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61952</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185</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Avdyl</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195/6</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540</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276480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186</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Petrit</w:t>
            </w:r>
          </w:p>
        </w:tc>
        <w:tc>
          <w:tcPr>
            <w:tcW w:w="504"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195/5</w:t>
            </w:r>
          </w:p>
        </w:tc>
        <w:tc>
          <w:tcPr>
            <w:tcW w:w="512"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840</w:t>
            </w:r>
          </w:p>
        </w:tc>
        <w:tc>
          <w:tcPr>
            <w:tcW w:w="420"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430080</w:t>
            </w:r>
          </w:p>
        </w:tc>
        <w:tc>
          <w:tcPr>
            <w:tcW w:w="928" w:type="pct"/>
            <w:tcBorders>
              <w:top w:val="single" w:sz="4" w:space="0" w:color="auto"/>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187</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b/p</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Shehu</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865</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442880</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188</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b/p</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195/3</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342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175104</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189</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Beqir</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62/2</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944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483328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190</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Shaban</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Saraci</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1814</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201/14</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834</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512</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427008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Konfirmuar Zvrrpp</w:t>
            </w:r>
          </w:p>
        </w:tc>
      </w:tr>
      <w:tr w:rsidR="006205B8" w:rsidRPr="005A6B3B">
        <w:trPr>
          <w:trHeight w:val="139"/>
          <w:jc w:val="center"/>
        </w:trPr>
        <w:tc>
          <w:tcPr>
            <w:tcW w:w="274" w:type="pct"/>
            <w:tcBorders>
              <w:top w:val="nil"/>
              <w:left w:val="single" w:sz="4" w:space="0" w:color="auto"/>
              <w:bottom w:val="single" w:sz="4" w:space="0" w:color="auto"/>
              <w:right w:val="single" w:sz="4" w:space="0" w:color="auto"/>
            </w:tcBorders>
            <w:shd w:val="clear" w:color="auto" w:fill="auto"/>
            <w:noWrap/>
            <w:vAlign w:val="bottom"/>
          </w:tcPr>
          <w:p w:rsidR="006205B8" w:rsidRPr="005A6B3B" w:rsidRDefault="006205B8" w:rsidP="004A0E2A">
            <w:pPr>
              <w:widowControl w:val="0"/>
              <w:jc w:val="both"/>
              <w:rPr>
                <w:rFonts w:ascii="CG Times" w:eastAsia="Times New Roman" w:hAnsi="CG Times" w:cs="Arial"/>
                <w:sz w:val="18"/>
                <w:szCs w:val="18"/>
              </w:rPr>
            </w:pPr>
            <w:r w:rsidRPr="005A6B3B">
              <w:rPr>
                <w:rFonts w:ascii="CG Times" w:eastAsia="Times New Roman" w:hAnsi="CG Times" w:cs="Arial"/>
                <w:sz w:val="18"/>
                <w:szCs w:val="18"/>
              </w:rPr>
              <w:t> </w:t>
            </w:r>
          </w:p>
        </w:tc>
        <w:tc>
          <w:tcPr>
            <w:tcW w:w="104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b/>
                <w:bCs/>
                <w:sz w:val="18"/>
                <w:szCs w:val="18"/>
              </w:rPr>
            </w:pPr>
            <w:r w:rsidRPr="005A6B3B">
              <w:rPr>
                <w:rFonts w:ascii="CG Times" w:eastAsia="Times New Roman" w:hAnsi="CG Times" w:cs="Arial"/>
                <w:b/>
                <w:bCs/>
                <w:sz w:val="18"/>
                <w:szCs w:val="18"/>
              </w:rPr>
              <w:t>TOTALI</w:t>
            </w:r>
          </w:p>
        </w:tc>
        <w:tc>
          <w:tcPr>
            <w:tcW w:w="504"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w:t>
            </w:r>
          </w:p>
        </w:tc>
        <w:tc>
          <w:tcPr>
            <w:tcW w:w="34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443"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sz w:val="18"/>
                <w:szCs w:val="18"/>
              </w:rPr>
            </w:pPr>
            <w:r w:rsidRPr="005A6B3B">
              <w:rPr>
                <w:rFonts w:ascii="CG Times" w:eastAsia="Times New Roman" w:hAnsi="CG Times" w:cs="Arial"/>
                <w:sz w:val="18"/>
                <w:szCs w:val="18"/>
              </w:rPr>
              <w:t> </w:t>
            </w:r>
          </w:p>
        </w:tc>
        <w:tc>
          <w:tcPr>
            <w:tcW w:w="512"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41022</w:t>
            </w:r>
          </w:p>
        </w:tc>
        <w:tc>
          <w:tcPr>
            <w:tcW w:w="420"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w:t>
            </w:r>
          </w:p>
        </w:tc>
        <w:tc>
          <w:tcPr>
            <w:tcW w:w="527" w:type="pct"/>
            <w:tcBorders>
              <w:top w:val="nil"/>
              <w:left w:val="nil"/>
              <w:bottom w:val="single" w:sz="4" w:space="0" w:color="auto"/>
              <w:right w:val="single" w:sz="4" w:space="0" w:color="auto"/>
            </w:tcBorders>
            <w:shd w:val="clear" w:color="auto" w:fill="auto"/>
            <w:noWrap/>
            <w:vAlign w:val="bottom"/>
          </w:tcPr>
          <w:p w:rsidR="006205B8" w:rsidRPr="005A6B3B" w:rsidRDefault="006205B8" w:rsidP="004A0E2A">
            <w:pPr>
              <w:widowControl w:val="0"/>
              <w:jc w:val="center"/>
              <w:rPr>
                <w:rFonts w:ascii="CG Times" w:eastAsia="Times New Roman" w:hAnsi="CG Times" w:cs="Arial"/>
                <w:b/>
                <w:bCs/>
                <w:sz w:val="18"/>
                <w:szCs w:val="18"/>
              </w:rPr>
            </w:pPr>
            <w:r w:rsidRPr="005A6B3B">
              <w:rPr>
                <w:rFonts w:ascii="CG Times" w:eastAsia="Times New Roman" w:hAnsi="CG Times" w:cs="Arial"/>
                <w:b/>
                <w:bCs/>
                <w:sz w:val="18"/>
                <w:szCs w:val="18"/>
              </w:rPr>
              <w:t>17697248</w:t>
            </w:r>
          </w:p>
        </w:tc>
        <w:tc>
          <w:tcPr>
            <w:tcW w:w="928" w:type="pct"/>
            <w:tcBorders>
              <w:top w:val="nil"/>
              <w:left w:val="nil"/>
              <w:bottom w:val="single" w:sz="4" w:space="0" w:color="auto"/>
              <w:right w:val="single" w:sz="12" w:space="0" w:color="auto"/>
            </w:tcBorders>
            <w:shd w:val="clear" w:color="auto" w:fill="auto"/>
            <w:noWrap/>
            <w:vAlign w:val="bottom"/>
          </w:tcPr>
          <w:p w:rsidR="006205B8" w:rsidRPr="005A6B3B" w:rsidRDefault="006205B8" w:rsidP="004A0E2A">
            <w:pPr>
              <w:widowControl w:val="0"/>
              <w:rPr>
                <w:rFonts w:ascii="CG Times" w:eastAsia="Times New Roman" w:hAnsi="CG Times" w:cs="Arial"/>
                <w:sz w:val="18"/>
                <w:szCs w:val="18"/>
              </w:rPr>
            </w:pPr>
            <w:r w:rsidRPr="005A6B3B">
              <w:rPr>
                <w:rFonts w:ascii="CG Times" w:eastAsia="Times New Roman" w:hAnsi="CG Times" w:cs="Arial"/>
                <w:sz w:val="18"/>
                <w:szCs w:val="18"/>
              </w:rPr>
              <w:t> </w:t>
            </w:r>
          </w:p>
        </w:tc>
      </w:tr>
    </w:tbl>
    <w:p w:rsidR="006205B8" w:rsidRDefault="006205B8" w:rsidP="004A0E2A">
      <w:pPr>
        <w:pStyle w:val="Paragrafi0"/>
      </w:pPr>
    </w:p>
    <w:p w:rsidR="006205B8" w:rsidRDefault="006205B8" w:rsidP="004A0E2A">
      <w:pPr>
        <w:pStyle w:val="Titulli0"/>
        <w:keepNext w:val="0"/>
        <w:sectPr w:rsidR="006205B8" w:rsidSect="007917F1">
          <w:footerReference w:type="even" r:id="rId7"/>
          <w:footerReference w:type="default" r:id="rId8"/>
          <w:pgSz w:w="11907" w:h="16840" w:code="9"/>
          <w:pgMar w:top="1418" w:right="1418" w:bottom="1418" w:left="1418" w:header="1304" w:footer="1134" w:gutter="0"/>
          <w:pgNumType w:start="4109"/>
          <w:cols w:space="720"/>
          <w:docGrid w:linePitch="360"/>
        </w:sectPr>
      </w:pPr>
    </w:p>
    <w:p w:rsidR="006205B8" w:rsidRDefault="006205B8" w:rsidP="004A0E2A">
      <w:pPr>
        <w:pStyle w:val="Akti"/>
        <w:keepNext w:val="0"/>
      </w:pPr>
      <w:r>
        <w:t>KËRKESË</w:t>
      </w:r>
    </w:p>
    <w:p w:rsidR="006205B8" w:rsidRPr="0052573B" w:rsidRDefault="006205B8" w:rsidP="004A0E2A">
      <w:pPr>
        <w:pStyle w:val="NumriData"/>
        <w:keepNext w:val="0"/>
      </w:pPr>
      <w:r>
        <w:t>Nr.3469, datë 4.6.2010</w:t>
      </w:r>
    </w:p>
    <w:p w:rsidR="006205B8" w:rsidRDefault="006205B8" w:rsidP="004A0E2A">
      <w:pPr>
        <w:pStyle w:val="Akti"/>
        <w:keepNext w:val="0"/>
        <w:jc w:val="left"/>
      </w:pPr>
      <w:r w:rsidRPr="0052573B">
        <w:t xml:space="preserve"> </w:t>
      </w:r>
    </w:p>
    <w:p w:rsidR="006205B8" w:rsidRDefault="006205B8" w:rsidP="004A0E2A">
      <w:pPr>
        <w:pStyle w:val="Akti"/>
        <w:keepNext w:val="0"/>
      </w:pPr>
      <w:r w:rsidRPr="0052573B">
        <w:t>PËR SHPRONËSIM PUBLIK</w:t>
      </w:r>
    </w:p>
    <w:p w:rsidR="006205B8" w:rsidRPr="0052573B" w:rsidRDefault="006205B8" w:rsidP="004A0E2A">
      <w:pPr>
        <w:pStyle w:val="Paragrafi0"/>
      </w:pPr>
    </w:p>
    <w:p w:rsidR="006205B8" w:rsidRPr="0052573B" w:rsidRDefault="006205B8" w:rsidP="004A0E2A">
      <w:pPr>
        <w:pStyle w:val="Paragrafi0"/>
      </w:pPr>
      <w:r w:rsidRPr="0052573B">
        <w:t>Në mbështetje të ligjit nr.8561, datë.22.12.1999 “Për shpronësimet dhe marrjen në përdorim të përkohshëm të pasurisë pronë private për interes publik” Ministria e Punëve Publike dhe Transportit shpall kërkesën për shpronësim për interes publik të pasurive të paluajtshme pronë private, që preken nga ndërtimi i  segmentit rrugot (Rruga Hyrëse Berat)</w:t>
      </w:r>
    </w:p>
    <w:p w:rsidR="006205B8" w:rsidRPr="0052573B" w:rsidRDefault="006205B8" w:rsidP="004A0E2A">
      <w:pPr>
        <w:pStyle w:val="Paragrafi0"/>
      </w:pPr>
      <w:r w:rsidRPr="0052573B">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dhe Transportit, për pronarët sipas listës emërore bashkëlidhur.</w:t>
      </w:r>
    </w:p>
    <w:p w:rsidR="006205B8" w:rsidRPr="0052573B" w:rsidRDefault="006205B8" w:rsidP="004A0E2A">
      <w:pPr>
        <w:pStyle w:val="Paragrafi0"/>
      </w:pPr>
      <w:r w:rsidRPr="0052573B">
        <w:t>Pronarët që kanë emrin në listën emërore dhe personat e tretë, brenda 15 ditëve nga plotësimi i këtij afati për publikim, kanë të drejtë të paraqesin pretendimet e tyre lidhur me çmimin, sipërfaqen</w:t>
      </w:r>
      <w:r>
        <w:t>,</w:t>
      </w:r>
      <w:r w:rsidRPr="0052573B">
        <w:t xml:space="preserve"> titullin e pronësisë, apo llojin e pasurisë që kanë në pronësi, të shoqëru</w:t>
      </w:r>
      <w:r>
        <w:t>ara me dokumentet përkatëse në m</w:t>
      </w:r>
      <w:r w:rsidRPr="0052573B">
        <w:t>inistrinë kompetente (Ministria e Punëve Publike dhe Transportit).</w:t>
      </w:r>
    </w:p>
    <w:p w:rsidR="006205B8" w:rsidRDefault="006205B8" w:rsidP="004A0E2A">
      <w:pPr>
        <w:pStyle w:val="Paragrafi0"/>
      </w:pPr>
      <w:r w:rsidRPr="0052573B">
        <w:t xml:space="preserve">Sqarojmë që vlerësimi i pasurisë tokë, është bërë në bazë të </w:t>
      </w:r>
      <w:r>
        <w:t>vendimit të Këshillit të Ministrave nr.</w:t>
      </w:r>
      <w:r w:rsidRPr="0052573B">
        <w:t>872, datë 12.12.2007 “Pë</w:t>
      </w:r>
      <w:r>
        <w:t>r disa ndryshime dhe shtesa në v</w:t>
      </w:r>
      <w:r w:rsidRPr="0052573B">
        <w:t>endimin nr.138, datë 23.03.2000 të Këshillit të Ministrave “Për kriteret teknike të vlerësimit dhe të përllogaritjes së masës së shpërblimit të pasurive që shpronësohen, të pasurive që zhvlerësohen dhe të të drejtave të personave të tretë, për interes publik”,</w:t>
      </w:r>
      <w:r>
        <w:t xml:space="preserve"> ndërsa i objekteve në bazë të vendimit</w:t>
      </w:r>
      <w:r w:rsidRPr="0052573B">
        <w:t xml:space="preserve"> nr.138, datë 23.03.2000 të Këshillit të Ministrave “Për kriteret teknike të vlerësimit dhe të përllogaritjes së masës së shpërblimit të pasurive që shpronësohen, të pasurive që zhvlerësohen dhe të të drejtave të persona</w:t>
      </w:r>
      <w:r>
        <w:t>ve të tretë, për interes publik</w:t>
      </w:r>
      <w:r w:rsidRPr="0052573B">
        <w:t>.</w:t>
      </w:r>
      <w:r>
        <w:t xml:space="preserve"> </w:t>
      </w:r>
      <w:r w:rsidRPr="0052573B">
        <w:t xml:space="preserve">Pronari për </w:t>
      </w:r>
      <w:r>
        <w:t>të cilin është bërë shënimi “proc</w:t>
      </w:r>
      <w:r w:rsidRPr="0052573B">
        <w:t xml:space="preserve">es </w:t>
      </w:r>
      <w:r>
        <w:t>legalizimi” , do të kom</w:t>
      </w:r>
      <w:r w:rsidRPr="0052573B">
        <w:t>pensohet për efekt shpronësimi pasi të ketë përfunduar ky p</w:t>
      </w:r>
      <w:r>
        <w:t>roc</w:t>
      </w:r>
      <w:r w:rsidRPr="0052573B">
        <w:t>es dhe të ketë regjistruar objektin përkatës pranë Zyrës së Regjistrimit të Pasurive të Paluajtshme.</w:t>
      </w:r>
    </w:p>
    <w:p w:rsidR="006205B8" w:rsidRPr="0052573B" w:rsidRDefault="006205B8" w:rsidP="004A0E2A">
      <w:pPr>
        <w:pStyle w:val="Paragrafi0"/>
      </w:pPr>
      <w:r w:rsidRPr="0052573B">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6205B8" w:rsidRPr="0052573B" w:rsidRDefault="006205B8" w:rsidP="004A0E2A">
      <w:pPr>
        <w:pStyle w:val="Paragrafi0"/>
      </w:pPr>
      <w:r w:rsidRPr="0052573B">
        <w:t>Vlera totale e këtij shpronësimi është prej  4 150 483  (katër milion</w:t>
      </w:r>
      <w:r>
        <w:t>ë</w:t>
      </w:r>
      <w:r w:rsidRPr="0052573B">
        <w:t xml:space="preserve"> e njëqind e pesëdhjetë mijë e katërqind e tetëdhjetë e tre) lekë.</w:t>
      </w:r>
    </w:p>
    <w:p w:rsidR="006205B8" w:rsidRPr="0052573B" w:rsidRDefault="006205B8" w:rsidP="004A0E2A">
      <w:pPr>
        <w:pStyle w:val="Paragrafi0"/>
      </w:pPr>
    </w:p>
    <w:p w:rsidR="006205B8" w:rsidRDefault="006205B8" w:rsidP="004A0E2A">
      <w:pPr>
        <w:pStyle w:val="Autoriteti"/>
        <w:keepNext w:val="0"/>
      </w:pPr>
      <w:r>
        <w:t xml:space="preserve">MINISTRI i PUNËVE PUBLIKE, </w:t>
      </w:r>
    </w:p>
    <w:p w:rsidR="006205B8" w:rsidRDefault="006205B8" w:rsidP="004A0E2A">
      <w:pPr>
        <w:pStyle w:val="Autoriteti"/>
        <w:keepNext w:val="0"/>
      </w:pPr>
      <w:r>
        <w:t>TRANSPORTIT DHE TELEKOMUNIKACIONIT</w:t>
      </w:r>
    </w:p>
    <w:p w:rsidR="006205B8" w:rsidRDefault="006205B8" w:rsidP="004A0E2A">
      <w:pPr>
        <w:pStyle w:val="AutoritetiEmer"/>
      </w:pPr>
      <w:r>
        <w:t>Sokol Olldashi</w:t>
      </w:r>
    </w:p>
    <w:p w:rsidR="006205B8" w:rsidRPr="00FE1B4F" w:rsidRDefault="006205B8" w:rsidP="004A0E2A">
      <w:pPr>
        <w:widowControl w:val="0"/>
        <w:rPr>
          <w:lang w:val="en-GB"/>
        </w:rPr>
      </w:pPr>
    </w:p>
    <w:p w:rsidR="006205B8" w:rsidRDefault="006205B8" w:rsidP="004A0E2A">
      <w:pPr>
        <w:widowControl w:val="0"/>
        <w:jc w:val="center"/>
        <w:sectPr w:rsidR="006205B8" w:rsidSect="00226503">
          <w:footerReference w:type="even" r:id="rId9"/>
          <w:footerReference w:type="default" r:id="rId10"/>
          <w:pgSz w:w="11907" w:h="16840" w:code="9"/>
          <w:pgMar w:top="1418" w:right="1418" w:bottom="1418" w:left="1418" w:header="1304" w:footer="1134" w:gutter="0"/>
          <w:pgNumType w:start="4139"/>
          <w:cols w:space="720"/>
          <w:docGrid w:linePitch="360"/>
        </w:sectPr>
      </w:pPr>
    </w:p>
    <w:tbl>
      <w:tblPr>
        <w:tblW w:w="4984" w:type="pct"/>
        <w:jc w:val="center"/>
        <w:tblLook w:val="0000" w:firstRow="0" w:lastRow="0" w:firstColumn="0" w:lastColumn="0" w:noHBand="0" w:noVBand="0"/>
      </w:tblPr>
      <w:tblGrid>
        <w:gridCol w:w="576"/>
        <w:gridCol w:w="1069"/>
        <w:gridCol w:w="1100"/>
        <w:gridCol w:w="1417"/>
        <w:gridCol w:w="836"/>
        <w:gridCol w:w="899"/>
        <w:gridCol w:w="836"/>
        <w:gridCol w:w="1236"/>
        <w:gridCol w:w="1205"/>
        <w:gridCol w:w="1131"/>
        <w:gridCol w:w="1261"/>
        <w:gridCol w:w="2608"/>
      </w:tblGrid>
      <w:tr w:rsidR="006205B8" w:rsidRPr="001B0768">
        <w:trPr>
          <w:trHeight w:val="139"/>
          <w:jc w:val="center"/>
        </w:trPr>
        <w:tc>
          <w:tcPr>
            <w:tcW w:w="1468" w:type="pct"/>
            <w:gridSpan w:val="4"/>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REPUBLIKA E SHQIPËRISË</w:t>
            </w:r>
          </w:p>
        </w:tc>
        <w:tc>
          <w:tcPr>
            <w:tcW w:w="295"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317"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295"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436"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425"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399"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445"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920"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r>
      <w:tr w:rsidR="006205B8" w:rsidRPr="001B0768">
        <w:trPr>
          <w:trHeight w:val="139"/>
          <w:jc w:val="center"/>
        </w:trPr>
        <w:tc>
          <w:tcPr>
            <w:tcW w:w="1763" w:type="pct"/>
            <w:gridSpan w:val="5"/>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DREJTORIA E PËRGJITHSHME RRUGË</w:t>
            </w:r>
            <w:r w:rsidRPr="001B0768">
              <w:rPr>
                <w:rFonts w:ascii="CG Times" w:eastAsia="Times New Roman" w:hAnsi="CG Times" w:cs="Arial"/>
                <w:b/>
                <w:bCs/>
                <w:sz w:val="18"/>
                <w:szCs w:val="18"/>
              </w:rPr>
              <w:t>VE</w:t>
            </w:r>
          </w:p>
        </w:tc>
        <w:tc>
          <w:tcPr>
            <w:tcW w:w="317"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295"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436"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425"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399"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445"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920"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r>
      <w:tr w:rsidR="006205B8" w:rsidRPr="001B0768">
        <w:trPr>
          <w:trHeight w:val="139"/>
          <w:jc w:val="center"/>
        </w:trPr>
        <w:tc>
          <w:tcPr>
            <w:tcW w:w="1468" w:type="pct"/>
            <w:gridSpan w:val="4"/>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b/>
                <w:bCs/>
                <w:sz w:val="18"/>
                <w:szCs w:val="18"/>
              </w:rPr>
            </w:pPr>
            <w:r>
              <w:rPr>
                <w:rFonts w:ascii="CG Times" w:eastAsia="Times New Roman" w:hAnsi="CG Times" w:cs="Arial"/>
                <w:b/>
                <w:bCs/>
                <w:sz w:val="18"/>
                <w:szCs w:val="18"/>
              </w:rPr>
              <w:t>DREJTORIA E  SHPRONË</w:t>
            </w:r>
            <w:r w:rsidRPr="001B0768">
              <w:rPr>
                <w:rFonts w:ascii="CG Times" w:eastAsia="Times New Roman" w:hAnsi="CG Times" w:cs="Arial"/>
                <w:b/>
                <w:bCs/>
                <w:sz w:val="18"/>
                <w:szCs w:val="18"/>
              </w:rPr>
              <w:t>SIMEVE</w:t>
            </w:r>
          </w:p>
        </w:tc>
        <w:tc>
          <w:tcPr>
            <w:tcW w:w="295"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317"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295"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436"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425"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399"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445"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920"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r>
      <w:tr w:rsidR="006205B8" w:rsidRPr="001B0768">
        <w:trPr>
          <w:trHeight w:val="139"/>
          <w:jc w:val="center"/>
        </w:trPr>
        <w:tc>
          <w:tcPr>
            <w:tcW w:w="203"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377"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388"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500"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295"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317"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295"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436"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425"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399"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920"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r>
      <w:tr w:rsidR="006205B8" w:rsidRPr="001B0768">
        <w:trPr>
          <w:trHeight w:val="139"/>
          <w:jc w:val="center"/>
        </w:trPr>
        <w:tc>
          <w:tcPr>
            <w:tcW w:w="5000" w:type="pct"/>
            <w:gridSpan w:val="12"/>
            <w:tcBorders>
              <w:top w:val="nil"/>
              <w:left w:val="nil"/>
              <w:bottom w:val="nil"/>
              <w:right w:val="nil"/>
            </w:tcBorders>
            <w:shd w:val="clear" w:color="auto" w:fill="auto"/>
            <w:noWrap/>
            <w:vAlign w:val="bottom"/>
          </w:tcPr>
          <w:p w:rsidR="006205B8" w:rsidRPr="00196EF2"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LISTA E PRONARËVE TË CILËT PREKEN NGA NDËRTIMI I RRUGË</w:t>
            </w:r>
            <w:r w:rsidRPr="001B0768">
              <w:rPr>
                <w:rFonts w:ascii="CG Times" w:eastAsia="Times New Roman" w:hAnsi="CG Times" w:cs="Arial"/>
                <w:b/>
                <w:bCs/>
                <w:sz w:val="18"/>
                <w:szCs w:val="18"/>
              </w:rPr>
              <w:t>S HYRESE BERAT</w:t>
            </w:r>
          </w:p>
        </w:tc>
      </w:tr>
      <w:tr w:rsidR="006205B8" w:rsidRPr="001B0768">
        <w:trPr>
          <w:trHeight w:val="139"/>
          <w:jc w:val="center"/>
        </w:trPr>
        <w:tc>
          <w:tcPr>
            <w:tcW w:w="203" w:type="pct"/>
            <w:tcBorders>
              <w:top w:val="nil"/>
              <w:left w:val="nil"/>
              <w:bottom w:val="nil"/>
              <w:right w:val="nil"/>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p>
        </w:tc>
        <w:tc>
          <w:tcPr>
            <w:tcW w:w="377"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p>
        </w:tc>
        <w:tc>
          <w:tcPr>
            <w:tcW w:w="388"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500"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295"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317"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295"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436"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425"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399"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920" w:type="pct"/>
            <w:tcBorders>
              <w:top w:val="nil"/>
              <w:left w:val="nil"/>
              <w:bottom w:val="nil"/>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r>
      <w:tr w:rsidR="006205B8" w:rsidRPr="001B0768">
        <w:trPr>
          <w:trHeight w:val="240"/>
          <w:jc w:val="center"/>
        </w:trPr>
        <w:tc>
          <w:tcPr>
            <w:tcW w:w="203" w:type="pct"/>
            <w:tcBorders>
              <w:top w:val="double" w:sz="6" w:space="0" w:color="auto"/>
              <w:left w:val="double" w:sz="6" w:space="0" w:color="auto"/>
              <w:bottom w:val="nil"/>
              <w:right w:val="double" w:sz="6" w:space="0" w:color="auto"/>
            </w:tcBorders>
            <w:shd w:val="clear" w:color="auto" w:fill="auto"/>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377" w:type="pct"/>
            <w:tcBorders>
              <w:top w:val="double" w:sz="6" w:space="0" w:color="auto"/>
              <w:left w:val="nil"/>
              <w:bottom w:val="double" w:sz="6" w:space="0" w:color="auto"/>
              <w:right w:val="nil"/>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388" w:type="pct"/>
            <w:tcBorders>
              <w:top w:val="double" w:sz="6" w:space="0" w:color="auto"/>
              <w:left w:val="nil"/>
              <w:bottom w:val="double" w:sz="6" w:space="0" w:color="auto"/>
              <w:right w:val="nil"/>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Pronari</w:t>
            </w:r>
          </w:p>
        </w:tc>
        <w:tc>
          <w:tcPr>
            <w:tcW w:w="500" w:type="pct"/>
            <w:tcBorders>
              <w:top w:val="double" w:sz="6" w:space="0" w:color="auto"/>
              <w:left w:val="nil"/>
              <w:bottom w:val="double" w:sz="6"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295" w:type="pct"/>
            <w:tcBorders>
              <w:top w:val="double" w:sz="6" w:space="0" w:color="auto"/>
              <w:left w:val="nil"/>
              <w:bottom w:val="nil"/>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317" w:type="pct"/>
            <w:tcBorders>
              <w:top w:val="double" w:sz="6" w:space="0" w:color="auto"/>
              <w:left w:val="nil"/>
              <w:bottom w:val="nil"/>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295" w:type="pct"/>
            <w:tcBorders>
              <w:top w:val="double" w:sz="6" w:space="0" w:color="auto"/>
              <w:left w:val="nil"/>
              <w:bottom w:val="double" w:sz="6" w:space="0" w:color="auto"/>
              <w:right w:val="nil"/>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436" w:type="pct"/>
            <w:tcBorders>
              <w:top w:val="double" w:sz="6" w:space="0" w:color="auto"/>
              <w:left w:val="nil"/>
              <w:bottom w:val="double" w:sz="6" w:space="0" w:color="auto"/>
              <w:right w:val="nil"/>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Tokë</w:t>
            </w:r>
            <w:r w:rsidRPr="001B0768">
              <w:rPr>
                <w:rFonts w:ascii="CG Times" w:eastAsia="Times New Roman" w:hAnsi="CG Times" w:cs="Arial"/>
                <w:b/>
                <w:bCs/>
                <w:sz w:val="18"/>
                <w:szCs w:val="18"/>
              </w:rPr>
              <w:t xml:space="preserve"> Truall</w:t>
            </w:r>
          </w:p>
        </w:tc>
        <w:tc>
          <w:tcPr>
            <w:tcW w:w="425" w:type="pct"/>
            <w:tcBorders>
              <w:top w:val="double" w:sz="6" w:space="0" w:color="auto"/>
              <w:left w:val="nil"/>
              <w:bottom w:val="double" w:sz="6"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399" w:type="pct"/>
            <w:tcBorders>
              <w:top w:val="double" w:sz="6" w:space="0" w:color="auto"/>
              <w:left w:val="nil"/>
              <w:bottom w:val="nil"/>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Objekt</w:t>
            </w:r>
          </w:p>
        </w:tc>
        <w:tc>
          <w:tcPr>
            <w:tcW w:w="445" w:type="pct"/>
            <w:tcBorders>
              <w:top w:val="double" w:sz="6" w:space="0" w:color="auto"/>
              <w:left w:val="nil"/>
              <w:bottom w:val="nil"/>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Vlera</w:t>
            </w:r>
          </w:p>
        </w:tc>
        <w:tc>
          <w:tcPr>
            <w:tcW w:w="920" w:type="pct"/>
            <w:tcBorders>
              <w:top w:val="double" w:sz="6" w:space="0" w:color="auto"/>
              <w:left w:val="nil"/>
              <w:bottom w:val="nil"/>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 </w:t>
            </w:r>
          </w:p>
        </w:tc>
      </w:tr>
      <w:tr w:rsidR="006205B8" w:rsidRPr="001B0768">
        <w:trPr>
          <w:trHeight w:val="255"/>
          <w:jc w:val="center"/>
        </w:trPr>
        <w:tc>
          <w:tcPr>
            <w:tcW w:w="203" w:type="pct"/>
            <w:tcBorders>
              <w:top w:val="nil"/>
              <w:left w:val="double" w:sz="6" w:space="0" w:color="auto"/>
              <w:bottom w:val="double" w:sz="6" w:space="0" w:color="auto"/>
              <w:right w:val="double" w:sz="6" w:space="0" w:color="auto"/>
            </w:tcBorders>
            <w:shd w:val="clear" w:color="auto" w:fill="auto"/>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Nr.</w:t>
            </w:r>
          </w:p>
        </w:tc>
        <w:tc>
          <w:tcPr>
            <w:tcW w:w="377" w:type="pct"/>
            <w:tcBorders>
              <w:top w:val="nil"/>
              <w:left w:val="nil"/>
              <w:bottom w:val="double" w:sz="6" w:space="0" w:color="auto"/>
              <w:right w:val="nil"/>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Emri</w:t>
            </w:r>
          </w:p>
        </w:tc>
        <w:tc>
          <w:tcPr>
            <w:tcW w:w="388" w:type="pct"/>
            <w:tcBorders>
              <w:top w:val="nil"/>
              <w:left w:val="double" w:sz="6" w:space="0" w:color="auto"/>
              <w:bottom w:val="double" w:sz="6"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Atë</w:t>
            </w:r>
            <w:r w:rsidRPr="001B0768">
              <w:rPr>
                <w:rFonts w:ascii="CG Times" w:eastAsia="Times New Roman" w:hAnsi="CG Times" w:cs="Arial"/>
                <w:b/>
                <w:bCs/>
                <w:sz w:val="18"/>
                <w:szCs w:val="18"/>
              </w:rPr>
              <w:t>sia</w:t>
            </w:r>
          </w:p>
        </w:tc>
        <w:tc>
          <w:tcPr>
            <w:tcW w:w="500" w:type="pct"/>
            <w:tcBorders>
              <w:top w:val="nil"/>
              <w:left w:val="nil"/>
              <w:bottom w:val="double" w:sz="6" w:space="0" w:color="auto"/>
              <w:right w:val="nil"/>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Mbiemri</w:t>
            </w:r>
          </w:p>
        </w:tc>
        <w:tc>
          <w:tcPr>
            <w:tcW w:w="295" w:type="pct"/>
            <w:tcBorders>
              <w:top w:val="nil"/>
              <w:left w:val="double" w:sz="6" w:space="0" w:color="auto"/>
              <w:bottom w:val="double" w:sz="6"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ZK</w:t>
            </w:r>
          </w:p>
        </w:tc>
        <w:tc>
          <w:tcPr>
            <w:tcW w:w="317" w:type="pct"/>
            <w:tcBorders>
              <w:top w:val="nil"/>
              <w:left w:val="nil"/>
              <w:bottom w:val="double" w:sz="6"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Nr.Pas</w:t>
            </w:r>
          </w:p>
        </w:tc>
        <w:tc>
          <w:tcPr>
            <w:tcW w:w="295" w:type="pct"/>
            <w:tcBorders>
              <w:top w:val="nil"/>
              <w:left w:val="nil"/>
              <w:bottom w:val="double" w:sz="6" w:space="0" w:color="auto"/>
              <w:right w:val="nil"/>
            </w:tcBorders>
            <w:shd w:val="clear" w:color="auto" w:fill="FFFFFF"/>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Sip</w:t>
            </w:r>
          </w:p>
        </w:tc>
        <w:tc>
          <w:tcPr>
            <w:tcW w:w="436" w:type="pct"/>
            <w:tcBorders>
              <w:top w:val="nil"/>
              <w:left w:val="double" w:sz="6" w:space="0" w:color="auto"/>
              <w:bottom w:val="double" w:sz="6" w:space="0" w:color="auto"/>
              <w:right w:val="double" w:sz="6" w:space="0" w:color="auto"/>
            </w:tcBorders>
            <w:shd w:val="clear" w:color="auto" w:fill="FFFFFF"/>
            <w:vAlign w:val="bottom"/>
          </w:tcPr>
          <w:p w:rsidR="006205B8" w:rsidRPr="001B0768"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Ç</w:t>
            </w:r>
            <w:r w:rsidRPr="001B0768">
              <w:rPr>
                <w:rFonts w:ascii="CG Times" w:eastAsia="Times New Roman" w:hAnsi="CG Times" w:cs="Arial"/>
                <w:b/>
                <w:bCs/>
                <w:sz w:val="18"/>
                <w:szCs w:val="18"/>
              </w:rPr>
              <w:t>mimi</w:t>
            </w:r>
          </w:p>
        </w:tc>
        <w:tc>
          <w:tcPr>
            <w:tcW w:w="425" w:type="pct"/>
            <w:tcBorders>
              <w:top w:val="nil"/>
              <w:left w:val="nil"/>
              <w:bottom w:val="double" w:sz="6" w:space="0" w:color="auto"/>
              <w:right w:val="double" w:sz="6" w:space="0" w:color="auto"/>
            </w:tcBorders>
            <w:shd w:val="clear" w:color="auto" w:fill="FFFFFF"/>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Vlera</w:t>
            </w:r>
          </w:p>
        </w:tc>
        <w:tc>
          <w:tcPr>
            <w:tcW w:w="399" w:type="pct"/>
            <w:tcBorders>
              <w:top w:val="nil"/>
              <w:left w:val="nil"/>
              <w:bottom w:val="double" w:sz="6" w:space="0" w:color="auto"/>
              <w:right w:val="double" w:sz="6" w:space="0" w:color="auto"/>
            </w:tcBorders>
            <w:shd w:val="clear" w:color="auto" w:fill="FFFFFF"/>
            <w:vAlign w:val="bottom"/>
          </w:tcPr>
          <w:p w:rsidR="006205B8" w:rsidRPr="001B0768"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Vlera lekë</w:t>
            </w:r>
          </w:p>
        </w:tc>
        <w:tc>
          <w:tcPr>
            <w:tcW w:w="445" w:type="pct"/>
            <w:tcBorders>
              <w:top w:val="nil"/>
              <w:left w:val="nil"/>
              <w:bottom w:val="double" w:sz="6" w:space="0" w:color="auto"/>
              <w:right w:val="double" w:sz="6" w:space="0" w:color="auto"/>
            </w:tcBorders>
            <w:shd w:val="clear" w:color="auto" w:fill="FFFFFF"/>
            <w:vAlign w:val="bottom"/>
          </w:tcPr>
          <w:p w:rsidR="006205B8" w:rsidRPr="001B0768"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Totale Lekë</w:t>
            </w:r>
          </w:p>
        </w:tc>
        <w:tc>
          <w:tcPr>
            <w:tcW w:w="920" w:type="pct"/>
            <w:tcBorders>
              <w:top w:val="nil"/>
              <w:left w:val="nil"/>
              <w:bottom w:val="double" w:sz="6"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b/>
                <w:bCs/>
                <w:sz w:val="18"/>
                <w:szCs w:val="18"/>
              </w:rPr>
            </w:pPr>
            <w:r>
              <w:rPr>
                <w:rFonts w:ascii="CG Times" w:eastAsia="Times New Roman" w:hAnsi="CG Times" w:cs="Arial"/>
                <w:b/>
                <w:bCs/>
                <w:sz w:val="18"/>
                <w:szCs w:val="18"/>
              </w:rPr>
              <w:t>Shë</w:t>
            </w:r>
            <w:r w:rsidRPr="001B0768">
              <w:rPr>
                <w:rFonts w:ascii="CG Times" w:eastAsia="Times New Roman" w:hAnsi="CG Times" w:cs="Arial"/>
                <w:b/>
                <w:bCs/>
                <w:sz w:val="18"/>
                <w:szCs w:val="18"/>
              </w:rPr>
              <w:t>nime</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xml:space="preserve">Shefit </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500"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Kasapi</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2/99</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180</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558000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558000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2</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Jemin</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500"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Toto</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2/120</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74</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229400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229400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Jemin</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500"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Toto</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2/121</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32</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99200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99200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4</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Sulejman</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500"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Toto</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2/123</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40</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124000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124000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5</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Xhevair</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Isuf</w:t>
            </w:r>
          </w:p>
        </w:tc>
        <w:tc>
          <w:tcPr>
            <w:tcW w:w="500"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Gega</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2/128</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155</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480500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480500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6</w:t>
            </w:r>
          </w:p>
        </w:tc>
        <w:tc>
          <w:tcPr>
            <w:tcW w:w="377" w:type="pct"/>
            <w:tcBorders>
              <w:top w:val="nil"/>
              <w:left w:val="nil"/>
              <w:bottom w:val="single" w:sz="4" w:space="0" w:color="auto"/>
              <w:right w:val="nil"/>
            </w:tcBorders>
            <w:shd w:val="clear" w:color="auto" w:fill="FFFFFF"/>
            <w:noWrap/>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Safet</w:t>
            </w:r>
          </w:p>
        </w:tc>
        <w:tc>
          <w:tcPr>
            <w:tcW w:w="388" w:type="pct"/>
            <w:tcBorders>
              <w:top w:val="nil"/>
              <w:left w:val="double" w:sz="6" w:space="0" w:color="auto"/>
              <w:bottom w:val="single" w:sz="4" w:space="0" w:color="auto"/>
              <w:right w:val="double" w:sz="6" w:space="0" w:color="auto"/>
            </w:tcBorders>
            <w:shd w:val="clear" w:color="auto" w:fill="FFFFFF"/>
            <w:noWrap/>
          </w:tcPr>
          <w:p w:rsidR="006205B8" w:rsidRPr="001B0768" w:rsidRDefault="006205B8" w:rsidP="004A0E2A">
            <w:pPr>
              <w:widowControl w:val="0"/>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500" w:type="pct"/>
            <w:tcBorders>
              <w:top w:val="nil"/>
              <w:left w:val="nil"/>
              <w:bottom w:val="single" w:sz="4" w:space="0" w:color="auto"/>
              <w:right w:val="nil"/>
            </w:tcBorders>
            <w:shd w:val="clear" w:color="auto" w:fill="FFFFFF"/>
            <w:noWrap/>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Tomorri</w:t>
            </w:r>
          </w:p>
        </w:tc>
        <w:tc>
          <w:tcPr>
            <w:tcW w:w="295" w:type="pct"/>
            <w:tcBorders>
              <w:top w:val="nil"/>
              <w:left w:val="double" w:sz="6" w:space="0" w:color="auto"/>
              <w:bottom w:val="single" w:sz="4" w:space="0" w:color="auto"/>
              <w:right w:val="double" w:sz="6" w:space="0" w:color="auto"/>
            </w:tcBorders>
            <w:shd w:val="clear" w:color="auto" w:fill="FFFFFF"/>
            <w:noWrap/>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2/142</w:t>
            </w:r>
          </w:p>
        </w:tc>
        <w:tc>
          <w:tcPr>
            <w:tcW w:w="295" w:type="pct"/>
            <w:tcBorders>
              <w:top w:val="nil"/>
              <w:left w:val="nil"/>
              <w:bottom w:val="single" w:sz="4" w:space="0" w:color="auto"/>
              <w:right w:val="nil"/>
            </w:tcBorders>
            <w:shd w:val="clear" w:color="auto" w:fill="FFFFFF"/>
            <w:noWrap/>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235</w:t>
            </w:r>
          </w:p>
        </w:tc>
        <w:tc>
          <w:tcPr>
            <w:tcW w:w="436" w:type="pct"/>
            <w:tcBorders>
              <w:top w:val="nil"/>
              <w:left w:val="double" w:sz="6" w:space="0" w:color="auto"/>
              <w:bottom w:val="single" w:sz="4" w:space="0" w:color="auto"/>
              <w:right w:val="double" w:sz="6" w:space="0" w:color="auto"/>
            </w:tcBorders>
            <w:shd w:val="clear" w:color="auto" w:fill="FFFFFF"/>
            <w:noWrap/>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728500</w:t>
            </w:r>
          </w:p>
        </w:tc>
        <w:tc>
          <w:tcPr>
            <w:tcW w:w="399" w:type="pct"/>
            <w:tcBorders>
              <w:top w:val="nil"/>
              <w:left w:val="nil"/>
              <w:bottom w:val="single" w:sz="4" w:space="0" w:color="auto"/>
              <w:right w:val="double" w:sz="6" w:space="0" w:color="auto"/>
            </w:tcBorders>
            <w:shd w:val="clear" w:color="auto" w:fill="FFFFFF"/>
            <w:noWrap/>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318883</w:t>
            </w:r>
          </w:p>
        </w:tc>
        <w:tc>
          <w:tcPr>
            <w:tcW w:w="445" w:type="pct"/>
            <w:tcBorders>
              <w:top w:val="nil"/>
              <w:left w:val="nil"/>
              <w:bottom w:val="single" w:sz="4" w:space="0" w:color="auto"/>
              <w:right w:val="double" w:sz="6" w:space="0" w:color="auto"/>
            </w:tcBorders>
            <w:shd w:val="clear" w:color="auto" w:fill="FFFFFF"/>
            <w:noWrap/>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1047383</w:t>
            </w:r>
          </w:p>
        </w:tc>
        <w:tc>
          <w:tcPr>
            <w:tcW w:w="920" w:type="pct"/>
            <w:tcBorders>
              <w:top w:val="nil"/>
              <w:left w:val="nil"/>
              <w:bottom w:val="single" w:sz="4" w:space="0" w:color="auto"/>
              <w:right w:val="double" w:sz="6" w:space="0" w:color="auto"/>
            </w:tcBorders>
            <w:shd w:val="clear" w:color="auto" w:fill="FFFFFF"/>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 Objekti ne "Proces Legalizimi"</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7</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Vasil</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 </w:t>
            </w:r>
          </w:p>
        </w:tc>
        <w:tc>
          <w:tcPr>
            <w:tcW w:w="500"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Papa</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6/74</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17</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52700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52700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8</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Vasil</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 </w:t>
            </w:r>
          </w:p>
        </w:tc>
        <w:tc>
          <w:tcPr>
            <w:tcW w:w="500" w:type="pct"/>
            <w:tcBorders>
              <w:top w:val="nil"/>
              <w:left w:val="nil"/>
              <w:bottom w:val="single" w:sz="4" w:space="0" w:color="auto"/>
              <w:right w:val="nil"/>
            </w:tcBorders>
            <w:shd w:val="clear" w:color="auto" w:fill="FFFFFF"/>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Papa</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6/75</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14</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43400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43400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9</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Sadush</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 </w:t>
            </w:r>
          </w:p>
        </w:tc>
        <w:tc>
          <w:tcPr>
            <w:tcW w:w="500" w:type="pct"/>
            <w:tcBorders>
              <w:top w:val="nil"/>
              <w:left w:val="nil"/>
              <w:bottom w:val="single" w:sz="4" w:space="0" w:color="auto"/>
              <w:right w:val="nil"/>
            </w:tcBorders>
            <w:shd w:val="clear" w:color="auto" w:fill="FFFFFF"/>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Skrevani</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6/73</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133</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412300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412300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10</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Blerim</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 </w:t>
            </w:r>
          </w:p>
        </w:tc>
        <w:tc>
          <w:tcPr>
            <w:tcW w:w="500" w:type="pct"/>
            <w:tcBorders>
              <w:top w:val="nil"/>
              <w:left w:val="nil"/>
              <w:bottom w:val="single" w:sz="4" w:space="0" w:color="auto"/>
              <w:right w:val="nil"/>
            </w:tcBorders>
            <w:shd w:val="clear" w:color="auto" w:fill="FFFFFF"/>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Daji</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6/86</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62</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192200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192200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11</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Resul</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 </w:t>
            </w:r>
          </w:p>
        </w:tc>
        <w:tc>
          <w:tcPr>
            <w:tcW w:w="500" w:type="pct"/>
            <w:tcBorders>
              <w:top w:val="nil"/>
              <w:left w:val="nil"/>
              <w:bottom w:val="single" w:sz="4" w:space="0" w:color="auto"/>
              <w:right w:val="nil"/>
            </w:tcBorders>
            <w:shd w:val="clear" w:color="auto" w:fill="FFFFFF"/>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(Eskiu) Gusho</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6/85</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200</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620000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620000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12</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Dashnor</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 </w:t>
            </w:r>
          </w:p>
        </w:tc>
        <w:tc>
          <w:tcPr>
            <w:tcW w:w="500" w:type="pct"/>
            <w:tcBorders>
              <w:top w:val="nil"/>
              <w:left w:val="nil"/>
              <w:bottom w:val="single" w:sz="4" w:space="0" w:color="auto"/>
              <w:right w:val="nil"/>
            </w:tcBorders>
            <w:shd w:val="clear" w:color="auto" w:fill="FFFFFF"/>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Xhamari</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6/78</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20</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62000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62000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13</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Lufti</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 </w:t>
            </w:r>
          </w:p>
        </w:tc>
        <w:tc>
          <w:tcPr>
            <w:tcW w:w="500" w:type="pct"/>
            <w:tcBorders>
              <w:top w:val="nil"/>
              <w:left w:val="nil"/>
              <w:bottom w:val="single" w:sz="4" w:space="0" w:color="auto"/>
              <w:right w:val="nil"/>
            </w:tcBorders>
            <w:shd w:val="clear" w:color="auto" w:fill="FFFFFF"/>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Kabilo</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6/20</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37</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114700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114700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14</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Fatmir</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 </w:t>
            </w:r>
          </w:p>
        </w:tc>
        <w:tc>
          <w:tcPr>
            <w:tcW w:w="500" w:type="pct"/>
            <w:tcBorders>
              <w:top w:val="nil"/>
              <w:left w:val="nil"/>
              <w:bottom w:val="single" w:sz="4" w:space="0" w:color="auto"/>
              <w:right w:val="nil"/>
            </w:tcBorders>
            <w:shd w:val="clear" w:color="auto" w:fill="FFFFFF"/>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Hoxha</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7/234</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29</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89900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89900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single" w:sz="4"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15</w:t>
            </w:r>
          </w:p>
        </w:tc>
        <w:tc>
          <w:tcPr>
            <w:tcW w:w="377"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Besnik</w:t>
            </w:r>
          </w:p>
        </w:tc>
        <w:tc>
          <w:tcPr>
            <w:tcW w:w="388"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 </w:t>
            </w:r>
          </w:p>
        </w:tc>
        <w:tc>
          <w:tcPr>
            <w:tcW w:w="500"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Bardhi</w:t>
            </w:r>
          </w:p>
        </w:tc>
        <w:tc>
          <w:tcPr>
            <w:tcW w:w="295"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3/90</w:t>
            </w:r>
          </w:p>
        </w:tc>
        <w:tc>
          <w:tcPr>
            <w:tcW w:w="295" w:type="pct"/>
            <w:tcBorders>
              <w:top w:val="nil"/>
              <w:left w:val="nil"/>
              <w:bottom w:val="single" w:sz="4" w:space="0" w:color="auto"/>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5</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15500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15500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nil"/>
              <w:left w:val="double" w:sz="6" w:space="0" w:color="auto"/>
              <w:bottom w:val="nil"/>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16</w:t>
            </w:r>
          </w:p>
        </w:tc>
        <w:tc>
          <w:tcPr>
            <w:tcW w:w="377" w:type="pct"/>
            <w:tcBorders>
              <w:top w:val="nil"/>
              <w:left w:val="nil"/>
              <w:bottom w:val="nil"/>
              <w:right w:val="nil"/>
            </w:tcBorders>
            <w:shd w:val="clear" w:color="auto" w:fill="FFFFFF"/>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Kujtim</w:t>
            </w:r>
          </w:p>
        </w:tc>
        <w:tc>
          <w:tcPr>
            <w:tcW w:w="388" w:type="pct"/>
            <w:tcBorders>
              <w:top w:val="nil"/>
              <w:left w:val="double" w:sz="6" w:space="0" w:color="auto"/>
              <w:bottom w:val="nil"/>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 </w:t>
            </w:r>
          </w:p>
        </w:tc>
        <w:tc>
          <w:tcPr>
            <w:tcW w:w="500" w:type="pct"/>
            <w:tcBorders>
              <w:top w:val="nil"/>
              <w:left w:val="nil"/>
              <w:bottom w:val="nil"/>
              <w:right w:val="nil"/>
            </w:tcBorders>
            <w:shd w:val="clear" w:color="auto" w:fill="FFFFFF"/>
            <w:vAlign w:val="bottom"/>
          </w:tcPr>
          <w:p w:rsidR="006205B8" w:rsidRPr="001B0768" w:rsidRDefault="006205B8" w:rsidP="004A0E2A">
            <w:pPr>
              <w:widowControl w:val="0"/>
              <w:rPr>
                <w:rFonts w:ascii="CG Times" w:eastAsia="Times New Roman" w:hAnsi="CG Times" w:cs="Arial"/>
                <w:color w:val="000000"/>
                <w:sz w:val="18"/>
                <w:szCs w:val="18"/>
              </w:rPr>
            </w:pPr>
            <w:r w:rsidRPr="001B0768">
              <w:rPr>
                <w:rFonts w:ascii="CG Times" w:eastAsia="Times New Roman" w:hAnsi="CG Times" w:cs="Arial"/>
                <w:color w:val="000000"/>
                <w:sz w:val="18"/>
                <w:szCs w:val="18"/>
              </w:rPr>
              <w:t>Jaho</w:t>
            </w:r>
          </w:p>
        </w:tc>
        <w:tc>
          <w:tcPr>
            <w:tcW w:w="295" w:type="pct"/>
            <w:tcBorders>
              <w:top w:val="nil"/>
              <w:left w:val="double" w:sz="6" w:space="0" w:color="auto"/>
              <w:bottom w:val="nil"/>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8501</w:t>
            </w:r>
          </w:p>
        </w:tc>
        <w:tc>
          <w:tcPr>
            <w:tcW w:w="317" w:type="pct"/>
            <w:tcBorders>
              <w:top w:val="nil"/>
              <w:left w:val="nil"/>
              <w:bottom w:val="nil"/>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3/92</w:t>
            </w:r>
          </w:p>
        </w:tc>
        <w:tc>
          <w:tcPr>
            <w:tcW w:w="295" w:type="pct"/>
            <w:tcBorders>
              <w:top w:val="nil"/>
              <w:left w:val="nil"/>
              <w:bottom w:val="nil"/>
              <w:right w:val="nil"/>
            </w:tcBorders>
            <w:shd w:val="clear" w:color="auto" w:fill="FFFFFF"/>
            <w:noWrap/>
            <w:vAlign w:val="bottom"/>
          </w:tcPr>
          <w:p w:rsidR="006205B8" w:rsidRPr="001B0768" w:rsidRDefault="006205B8" w:rsidP="004A0E2A">
            <w:pPr>
              <w:widowControl w:val="0"/>
              <w:jc w:val="right"/>
              <w:rPr>
                <w:rFonts w:ascii="CG Times" w:eastAsia="Times New Roman" w:hAnsi="CG Times" w:cs="Arial"/>
                <w:color w:val="000000"/>
                <w:sz w:val="18"/>
                <w:szCs w:val="18"/>
              </w:rPr>
            </w:pPr>
            <w:r w:rsidRPr="001B0768">
              <w:rPr>
                <w:rFonts w:ascii="CG Times" w:eastAsia="Times New Roman" w:hAnsi="CG Times" w:cs="Arial"/>
                <w:color w:val="000000"/>
                <w:sz w:val="18"/>
                <w:szCs w:val="18"/>
              </w:rPr>
              <w:t>3</w:t>
            </w:r>
          </w:p>
        </w:tc>
        <w:tc>
          <w:tcPr>
            <w:tcW w:w="436" w:type="pct"/>
            <w:tcBorders>
              <w:top w:val="nil"/>
              <w:left w:val="double" w:sz="6" w:space="0" w:color="auto"/>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3100</w:t>
            </w:r>
          </w:p>
        </w:tc>
        <w:tc>
          <w:tcPr>
            <w:tcW w:w="42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9300</w:t>
            </w:r>
          </w:p>
        </w:tc>
        <w:tc>
          <w:tcPr>
            <w:tcW w:w="399"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 </w:t>
            </w:r>
          </w:p>
        </w:tc>
        <w:tc>
          <w:tcPr>
            <w:tcW w:w="445"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right"/>
              <w:rPr>
                <w:rFonts w:ascii="CG Times" w:eastAsia="Times New Roman" w:hAnsi="CG Times" w:cs="Arial"/>
                <w:sz w:val="18"/>
                <w:szCs w:val="18"/>
              </w:rPr>
            </w:pPr>
            <w:r w:rsidRPr="001B0768">
              <w:rPr>
                <w:rFonts w:ascii="CG Times" w:eastAsia="Times New Roman" w:hAnsi="CG Times" w:cs="Arial"/>
                <w:sz w:val="18"/>
                <w:szCs w:val="18"/>
              </w:rPr>
              <w:t>9300</w:t>
            </w:r>
          </w:p>
        </w:tc>
        <w:tc>
          <w:tcPr>
            <w:tcW w:w="920" w:type="pct"/>
            <w:tcBorders>
              <w:top w:val="nil"/>
              <w:left w:val="nil"/>
              <w:bottom w:val="single" w:sz="4" w:space="0" w:color="auto"/>
              <w:right w:val="double" w:sz="6" w:space="0" w:color="auto"/>
            </w:tcBorders>
            <w:shd w:val="clear" w:color="auto" w:fill="FFFFFF"/>
            <w:noWrap/>
            <w:vAlign w:val="bottom"/>
          </w:tcPr>
          <w:p w:rsidR="006205B8" w:rsidRPr="001B0768" w:rsidRDefault="006205B8" w:rsidP="004A0E2A">
            <w:pPr>
              <w:widowControl w:val="0"/>
              <w:jc w:val="center"/>
              <w:rPr>
                <w:rFonts w:ascii="CG Times" w:eastAsia="Times New Roman" w:hAnsi="CG Times" w:cs="Arial"/>
                <w:color w:val="000000"/>
                <w:sz w:val="18"/>
                <w:szCs w:val="18"/>
              </w:rPr>
            </w:pPr>
            <w:r w:rsidRPr="001B0768">
              <w:rPr>
                <w:rFonts w:ascii="CG Times" w:eastAsia="Times New Roman" w:hAnsi="CG Times" w:cs="Arial"/>
                <w:color w:val="000000"/>
                <w:sz w:val="18"/>
                <w:szCs w:val="18"/>
              </w:rPr>
              <w:t>Konfirmuar nga ZRPP</w:t>
            </w:r>
          </w:p>
        </w:tc>
      </w:tr>
      <w:tr w:rsidR="006205B8" w:rsidRPr="001B0768">
        <w:trPr>
          <w:trHeight w:val="139"/>
          <w:jc w:val="center"/>
        </w:trPr>
        <w:tc>
          <w:tcPr>
            <w:tcW w:w="2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377" w:type="pct"/>
            <w:tcBorders>
              <w:top w:val="double" w:sz="6" w:space="0" w:color="auto"/>
              <w:left w:val="nil"/>
              <w:bottom w:val="double" w:sz="6" w:space="0" w:color="auto"/>
              <w:right w:val="double" w:sz="6" w:space="0" w:color="auto"/>
            </w:tcBorders>
            <w:shd w:val="clear" w:color="auto" w:fill="FFFFFF"/>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388" w:type="pct"/>
            <w:tcBorders>
              <w:top w:val="double" w:sz="6" w:space="0" w:color="auto"/>
              <w:left w:val="nil"/>
              <w:bottom w:val="double" w:sz="6" w:space="0" w:color="auto"/>
              <w:right w:val="double" w:sz="6" w:space="0" w:color="auto"/>
            </w:tcBorders>
            <w:shd w:val="clear" w:color="auto" w:fill="auto"/>
            <w:noWrap/>
            <w:vAlign w:val="bottom"/>
          </w:tcPr>
          <w:p w:rsidR="006205B8" w:rsidRPr="001B0768" w:rsidRDefault="006205B8" w:rsidP="004A0E2A">
            <w:pPr>
              <w:widowControl w:val="0"/>
              <w:jc w:val="center"/>
              <w:rPr>
                <w:rFonts w:ascii="CG Times" w:eastAsia="Times New Roman" w:hAnsi="CG Times" w:cs="Arial"/>
                <w:b/>
                <w:bCs/>
                <w:sz w:val="18"/>
                <w:szCs w:val="18"/>
              </w:rPr>
            </w:pPr>
            <w:r w:rsidRPr="001B0768">
              <w:rPr>
                <w:rFonts w:ascii="CG Times" w:eastAsia="Times New Roman" w:hAnsi="CG Times" w:cs="Arial"/>
                <w:b/>
                <w:bCs/>
                <w:sz w:val="18"/>
                <w:szCs w:val="18"/>
              </w:rPr>
              <w:t>TOTALI</w:t>
            </w:r>
          </w:p>
        </w:tc>
        <w:tc>
          <w:tcPr>
            <w:tcW w:w="500" w:type="pct"/>
            <w:tcBorders>
              <w:top w:val="double" w:sz="6" w:space="0" w:color="auto"/>
              <w:left w:val="nil"/>
              <w:bottom w:val="double" w:sz="6" w:space="0" w:color="auto"/>
              <w:right w:val="double" w:sz="6" w:space="0" w:color="auto"/>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c>
          <w:tcPr>
            <w:tcW w:w="295" w:type="pct"/>
            <w:tcBorders>
              <w:top w:val="double" w:sz="6" w:space="0" w:color="auto"/>
              <w:left w:val="nil"/>
              <w:bottom w:val="double" w:sz="6" w:space="0" w:color="auto"/>
              <w:right w:val="double" w:sz="6" w:space="0" w:color="auto"/>
            </w:tcBorders>
            <w:shd w:val="clear" w:color="auto" w:fill="auto"/>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 </w:t>
            </w:r>
          </w:p>
        </w:tc>
        <w:tc>
          <w:tcPr>
            <w:tcW w:w="317" w:type="pct"/>
            <w:tcBorders>
              <w:top w:val="double" w:sz="6" w:space="0" w:color="auto"/>
              <w:left w:val="nil"/>
              <w:bottom w:val="double" w:sz="6" w:space="0" w:color="auto"/>
              <w:right w:val="double" w:sz="6" w:space="0" w:color="auto"/>
            </w:tcBorders>
            <w:shd w:val="clear" w:color="auto" w:fill="auto"/>
            <w:noWrap/>
            <w:vAlign w:val="bottom"/>
          </w:tcPr>
          <w:p w:rsidR="006205B8" w:rsidRPr="001B0768" w:rsidRDefault="006205B8" w:rsidP="004A0E2A">
            <w:pPr>
              <w:widowControl w:val="0"/>
              <w:jc w:val="center"/>
              <w:rPr>
                <w:rFonts w:ascii="CG Times" w:eastAsia="Times New Roman" w:hAnsi="CG Times" w:cs="Arial"/>
                <w:sz w:val="18"/>
                <w:szCs w:val="18"/>
              </w:rPr>
            </w:pPr>
            <w:r w:rsidRPr="001B0768">
              <w:rPr>
                <w:rFonts w:ascii="CG Times" w:eastAsia="Times New Roman" w:hAnsi="CG Times" w:cs="Arial"/>
                <w:sz w:val="18"/>
                <w:szCs w:val="18"/>
              </w:rPr>
              <w:t> </w:t>
            </w:r>
          </w:p>
        </w:tc>
        <w:tc>
          <w:tcPr>
            <w:tcW w:w="295" w:type="pct"/>
            <w:tcBorders>
              <w:top w:val="double" w:sz="6" w:space="0" w:color="auto"/>
              <w:left w:val="nil"/>
              <w:bottom w:val="double" w:sz="6"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b/>
                <w:bCs/>
                <w:sz w:val="18"/>
                <w:szCs w:val="18"/>
              </w:rPr>
            </w:pPr>
            <w:r w:rsidRPr="001B0768">
              <w:rPr>
                <w:rFonts w:ascii="CG Times" w:eastAsia="Times New Roman" w:hAnsi="CG Times" w:cs="Arial"/>
                <w:b/>
                <w:bCs/>
                <w:sz w:val="18"/>
                <w:szCs w:val="18"/>
              </w:rPr>
              <w:t>1236</w:t>
            </w:r>
          </w:p>
        </w:tc>
        <w:tc>
          <w:tcPr>
            <w:tcW w:w="436" w:type="pct"/>
            <w:tcBorders>
              <w:top w:val="double" w:sz="6" w:space="0" w:color="auto"/>
              <w:left w:val="nil"/>
              <w:bottom w:val="double" w:sz="6" w:space="0" w:color="auto"/>
              <w:right w:val="double" w:sz="6" w:space="0" w:color="auto"/>
            </w:tcBorders>
            <w:shd w:val="clear" w:color="auto" w:fill="auto"/>
            <w:noWrap/>
            <w:vAlign w:val="bottom"/>
          </w:tcPr>
          <w:p w:rsidR="006205B8" w:rsidRPr="001B0768" w:rsidRDefault="006205B8" w:rsidP="004A0E2A">
            <w:pPr>
              <w:widowControl w:val="0"/>
              <w:rPr>
                <w:rFonts w:ascii="CG Times" w:eastAsia="Times New Roman" w:hAnsi="CG Times" w:cs="Arial"/>
                <w:b/>
                <w:bCs/>
                <w:sz w:val="18"/>
                <w:szCs w:val="18"/>
              </w:rPr>
            </w:pPr>
            <w:r w:rsidRPr="001B0768">
              <w:rPr>
                <w:rFonts w:ascii="CG Times" w:eastAsia="Times New Roman" w:hAnsi="CG Times" w:cs="Arial"/>
                <w:b/>
                <w:bCs/>
                <w:sz w:val="18"/>
                <w:szCs w:val="18"/>
              </w:rPr>
              <w:t> </w:t>
            </w:r>
          </w:p>
        </w:tc>
        <w:tc>
          <w:tcPr>
            <w:tcW w:w="425" w:type="pct"/>
            <w:tcBorders>
              <w:top w:val="double" w:sz="6" w:space="0" w:color="auto"/>
              <w:left w:val="nil"/>
              <w:bottom w:val="double" w:sz="6"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b/>
                <w:bCs/>
                <w:sz w:val="18"/>
                <w:szCs w:val="18"/>
              </w:rPr>
            </w:pPr>
            <w:r w:rsidRPr="001B0768">
              <w:rPr>
                <w:rFonts w:ascii="CG Times" w:eastAsia="Times New Roman" w:hAnsi="CG Times" w:cs="Arial"/>
                <w:b/>
                <w:bCs/>
                <w:sz w:val="18"/>
                <w:szCs w:val="18"/>
              </w:rPr>
              <w:t>3831600</w:t>
            </w:r>
          </w:p>
        </w:tc>
        <w:tc>
          <w:tcPr>
            <w:tcW w:w="399" w:type="pct"/>
            <w:tcBorders>
              <w:top w:val="double" w:sz="6" w:space="0" w:color="auto"/>
              <w:left w:val="nil"/>
              <w:bottom w:val="double" w:sz="6"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b/>
                <w:bCs/>
                <w:sz w:val="18"/>
                <w:szCs w:val="18"/>
              </w:rPr>
            </w:pPr>
            <w:r w:rsidRPr="001B0768">
              <w:rPr>
                <w:rFonts w:ascii="CG Times" w:eastAsia="Times New Roman" w:hAnsi="CG Times" w:cs="Arial"/>
                <w:b/>
                <w:bCs/>
                <w:sz w:val="18"/>
                <w:szCs w:val="18"/>
              </w:rPr>
              <w:t>318883</w:t>
            </w:r>
          </w:p>
        </w:tc>
        <w:tc>
          <w:tcPr>
            <w:tcW w:w="445" w:type="pct"/>
            <w:tcBorders>
              <w:top w:val="double" w:sz="6" w:space="0" w:color="auto"/>
              <w:left w:val="nil"/>
              <w:bottom w:val="double" w:sz="6" w:space="0" w:color="auto"/>
              <w:right w:val="double" w:sz="6" w:space="0" w:color="auto"/>
            </w:tcBorders>
            <w:shd w:val="clear" w:color="auto" w:fill="auto"/>
            <w:noWrap/>
            <w:vAlign w:val="bottom"/>
          </w:tcPr>
          <w:p w:rsidR="006205B8" w:rsidRPr="001B0768" w:rsidRDefault="006205B8" w:rsidP="004A0E2A">
            <w:pPr>
              <w:widowControl w:val="0"/>
              <w:jc w:val="right"/>
              <w:rPr>
                <w:rFonts w:ascii="CG Times" w:eastAsia="Times New Roman" w:hAnsi="CG Times" w:cs="Arial"/>
                <w:b/>
                <w:bCs/>
                <w:sz w:val="18"/>
                <w:szCs w:val="18"/>
              </w:rPr>
            </w:pPr>
            <w:r w:rsidRPr="001B0768">
              <w:rPr>
                <w:rFonts w:ascii="CG Times" w:eastAsia="Times New Roman" w:hAnsi="CG Times" w:cs="Arial"/>
                <w:b/>
                <w:bCs/>
                <w:sz w:val="18"/>
                <w:szCs w:val="18"/>
              </w:rPr>
              <w:t>4150483</w:t>
            </w:r>
          </w:p>
        </w:tc>
        <w:tc>
          <w:tcPr>
            <w:tcW w:w="920" w:type="pct"/>
            <w:tcBorders>
              <w:top w:val="double" w:sz="6" w:space="0" w:color="auto"/>
              <w:left w:val="nil"/>
              <w:bottom w:val="double" w:sz="6" w:space="0" w:color="auto"/>
              <w:right w:val="double" w:sz="6" w:space="0" w:color="auto"/>
            </w:tcBorders>
            <w:shd w:val="clear" w:color="auto" w:fill="auto"/>
            <w:noWrap/>
            <w:vAlign w:val="bottom"/>
          </w:tcPr>
          <w:p w:rsidR="006205B8" w:rsidRPr="001B0768" w:rsidRDefault="006205B8" w:rsidP="004A0E2A">
            <w:pPr>
              <w:widowControl w:val="0"/>
              <w:rPr>
                <w:rFonts w:ascii="CG Times" w:eastAsia="Times New Roman" w:hAnsi="CG Times" w:cs="Arial"/>
                <w:sz w:val="18"/>
                <w:szCs w:val="18"/>
              </w:rPr>
            </w:pPr>
            <w:r w:rsidRPr="001B0768">
              <w:rPr>
                <w:rFonts w:ascii="CG Times" w:eastAsia="Times New Roman" w:hAnsi="CG Times" w:cs="Arial"/>
                <w:sz w:val="18"/>
                <w:szCs w:val="18"/>
              </w:rPr>
              <w:t> </w:t>
            </w:r>
          </w:p>
        </w:tc>
      </w:tr>
    </w:tbl>
    <w:p w:rsidR="006205B8" w:rsidRPr="00597FF5" w:rsidRDefault="006205B8" w:rsidP="004A0E2A">
      <w:pPr>
        <w:widowControl w:val="0"/>
      </w:pPr>
    </w:p>
    <w:sectPr w:rsidR="006205B8" w:rsidRPr="00597FF5" w:rsidSect="006B5166">
      <w:footerReference w:type="even" r:id="rId11"/>
      <w:footerReference w:type="default" r:id="rId12"/>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6DA" w:rsidRDefault="00B276DA">
      <w:r>
        <w:separator/>
      </w:r>
    </w:p>
    <w:p w:rsidR="00B276DA" w:rsidRDefault="00B276DA"/>
  </w:endnote>
  <w:endnote w:type="continuationSeparator" w:id="0">
    <w:p w:rsidR="00B276DA" w:rsidRDefault="00B276DA">
      <w:r>
        <w:continuationSeparator/>
      </w:r>
    </w:p>
    <w:p w:rsidR="00B276DA" w:rsidRDefault="00B276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umnst777 Lt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umnst777 BT">
    <w:altName w:val="Lucida Sans Unicode"/>
    <w:charset w:val="00"/>
    <w:family w:val="swiss"/>
    <w:pitch w:val="variable"/>
    <w:sig w:usb0="00000087" w:usb1="00000000" w:usb2="00000000" w:usb3="00000000" w:csb0="0000001B" w:csb1="00000000"/>
  </w:font>
  <w:font w:name="RomanT">
    <w:altName w:val="Courier New"/>
    <w:charset w:val="00"/>
    <w:family w:val="auto"/>
    <w:pitch w:val="variable"/>
    <w:sig w:usb0="20003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5B8" w:rsidRPr="00E355AB" w:rsidRDefault="006205B8" w:rsidP="006205B8">
    <w:pPr>
      <w:pStyle w:val="Footer"/>
      <w:framePr w:wrap="around" w:vAnchor="text" w:hAnchor="margin" w:xAlign="outside" w:y="1"/>
      <w:rPr>
        <w:rStyle w:val="PageNumber"/>
      </w:rPr>
    </w:pPr>
    <w:r w:rsidRPr="00E355AB">
      <w:rPr>
        <w:rStyle w:val="PageNumber"/>
      </w:rPr>
      <w:fldChar w:fldCharType="begin"/>
    </w:r>
    <w:r w:rsidRPr="00E355AB">
      <w:rPr>
        <w:rStyle w:val="PageNumber"/>
      </w:rPr>
      <w:instrText xml:space="preserve">PAGE  </w:instrText>
    </w:r>
    <w:r w:rsidRPr="00E355AB">
      <w:rPr>
        <w:rStyle w:val="PageNumber"/>
      </w:rPr>
      <w:fldChar w:fldCharType="separate"/>
    </w:r>
    <w:r>
      <w:rPr>
        <w:rStyle w:val="PageNumber"/>
        <w:noProof/>
      </w:rPr>
      <w:t>14</w:t>
    </w:r>
    <w:r w:rsidRPr="00E355AB">
      <w:rPr>
        <w:rStyle w:val="PageNumber"/>
      </w:rPr>
      <w:fldChar w:fldCharType="end"/>
    </w:r>
  </w:p>
  <w:p w:rsidR="006205B8" w:rsidRDefault="006205B8" w:rsidP="006205B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5B8" w:rsidRPr="00916E28" w:rsidRDefault="006205B8" w:rsidP="006205B8">
    <w:pPr>
      <w:pStyle w:val="Footer"/>
      <w:framePr w:wrap="around" w:vAnchor="text" w:hAnchor="margin" w:xAlign="outside" w:y="1"/>
      <w:rPr>
        <w:rStyle w:val="PageNumber"/>
      </w:rPr>
    </w:pPr>
    <w:r w:rsidRPr="00916E28">
      <w:rPr>
        <w:rStyle w:val="PageNumber"/>
      </w:rPr>
      <w:fldChar w:fldCharType="begin"/>
    </w:r>
    <w:r w:rsidRPr="00916E28">
      <w:rPr>
        <w:rStyle w:val="PageNumber"/>
      </w:rPr>
      <w:instrText xml:space="preserve">PAGE  </w:instrText>
    </w:r>
    <w:r w:rsidRPr="00916E28">
      <w:rPr>
        <w:rStyle w:val="PageNumber"/>
      </w:rPr>
      <w:fldChar w:fldCharType="separate"/>
    </w:r>
    <w:r w:rsidR="002F1881">
      <w:rPr>
        <w:rStyle w:val="PageNumber"/>
        <w:noProof/>
      </w:rPr>
      <w:t>4109</w:t>
    </w:r>
    <w:r w:rsidRPr="00916E28">
      <w:rPr>
        <w:rStyle w:val="PageNumber"/>
      </w:rPr>
      <w:fldChar w:fldCharType="end"/>
    </w:r>
  </w:p>
  <w:p w:rsidR="006205B8" w:rsidRPr="00703435" w:rsidRDefault="006205B8" w:rsidP="006205B8">
    <w:pPr>
      <w:pStyle w:val="Footer"/>
      <w:ind w:right="360" w:firstLine="360"/>
      <w:jc w:val="right"/>
      <w:rPr>
        <w:rFonts w:ascii="CG Times" w:hAnsi="CG Times"/>
      </w:rPr>
    </w:pPr>
  </w:p>
  <w:p w:rsidR="006205B8" w:rsidRDefault="006205B8" w:rsidP="006205B8">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5B8" w:rsidRPr="00090488" w:rsidRDefault="006205B8" w:rsidP="006205B8">
    <w:pPr>
      <w:pStyle w:val="Footer"/>
      <w:framePr w:wrap="around" w:vAnchor="text" w:hAnchor="margin" w:xAlign="outside" w:y="1"/>
      <w:rPr>
        <w:rStyle w:val="PageNumber"/>
      </w:rPr>
    </w:pPr>
    <w:r w:rsidRPr="00090488">
      <w:rPr>
        <w:rStyle w:val="PageNumber"/>
      </w:rPr>
      <w:fldChar w:fldCharType="begin"/>
    </w:r>
    <w:r w:rsidRPr="00090488">
      <w:rPr>
        <w:rStyle w:val="PageNumber"/>
      </w:rPr>
      <w:instrText xml:space="preserve">PAGE  </w:instrText>
    </w:r>
    <w:r w:rsidRPr="00090488">
      <w:rPr>
        <w:rStyle w:val="PageNumber"/>
      </w:rPr>
      <w:fldChar w:fldCharType="separate"/>
    </w:r>
    <w:r>
      <w:rPr>
        <w:rStyle w:val="PageNumber"/>
        <w:noProof/>
      </w:rPr>
      <w:t>2</w:t>
    </w:r>
    <w:r w:rsidRPr="00090488">
      <w:rPr>
        <w:rStyle w:val="PageNumber"/>
      </w:rPr>
      <w:fldChar w:fldCharType="end"/>
    </w:r>
  </w:p>
  <w:p w:rsidR="006205B8" w:rsidRDefault="006205B8" w:rsidP="006205B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5B8" w:rsidRDefault="006205B8" w:rsidP="006205B8">
    <w:pPr>
      <w:pStyle w:val="Footer"/>
      <w:framePr w:wrap="around" w:vAnchor="text" w:hAnchor="margin" w:xAlign="outside" w:y="1"/>
      <w:rPr>
        <w:rStyle w:val="PageNumber"/>
      </w:rPr>
    </w:pPr>
    <w:r w:rsidRPr="00435510">
      <w:rPr>
        <w:rStyle w:val="PageNumber"/>
      </w:rPr>
      <w:fldChar w:fldCharType="begin"/>
    </w:r>
    <w:r w:rsidRPr="00435510">
      <w:rPr>
        <w:rStyle w:val="PageNumber"/>
      </w:rPr>
      <w:instrText xml:space="preserve">PAGE  </w:instrText>
    </w:r>
    <w:r w:rsidRPr="00435510">
      <w:rPr>
        <w:rStyle w:val="PageNumber"/>
      </w:rPr>
      <w:fldChar w:fldCharType="separate"/>
    </w:r>
    <w:r w:rsidR="001521F6">
      <w:rPr>
        <w:rStyle w:val="PageNumber"/>
        <w:noProof/>
      </w:rPr>
      <w:t>4139</w:t>
    </w:r>
    <w:r w:rsidRPr="00435510">
      <w:rPr>
        <w:rStyle w:val="PageNumber"/>
      </w:rPr>
      <w:fldChar w:fldCharType="end"/>
    </w:r>
  </w:p>
  <w:p w:rsidR="006205B8" w:rsidRDefault="006205B8" w:rsidP="006205B8">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5B8" w:rsidRDefault="006205B8" w:rsidP="003A23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05B8" w:rsidRDefault="006205B8" w:rsidP="003A23CC">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5B8" w:rsidRDefault="006205B8" w:rsidP="003A23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521F6">
      <w:rPr>
        <w:rStyle w:val="PageNumber"/>
        <w:noProof/>
      </w:rPr>
      <w:t>4140</w:t>
    </w:r>
    <w:r>
      <w:rPr>
        <w:rStyle w:val="PageNumber"/>
      </w:rPr>
      <w:fldChar w:fldCharType="end"/>
    </w:r>
  </w:p>
  <w:p w:rsidR="006205B8" w:rsidRPr="0073685C" w:rsidRDefault="006205B8" w:rsidP="003A23CC">
    <w:pPr>
      <w:pStyle w:val="Footer"/>
      <w:ind w:right="360" w:firstLine="360"/>
      <w:rPr>
        <w:szCs w:val="28"/>
      </w:rPr>
    </w:pPr>
    <w:r w:rsidRPr="0073685C">
      <w:rPr>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6DA" w:rsidRDefault="00B276DA">
      <w:r>
        <w:separator/>
      </w:r>
    </w:p>
    <w:p w:rsidR="00B276DA" w:rsidRDefault="00B276DA"/>
  </w:footnote>
  <w:footnote w:type="continuationSeparator" w:id="0">
    <w:p w:rsidR="00B276DA" w:rsidRDefault="00B276DA">
      <w:r>
        <w:continuationSeparator/>
      </w:r>
    </w:p>
    <w:p w:rsidR="00B276DA" w:rsidRDefault="00B276D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476D3D0"/>
    <w:lvl w:ilvl="0">
      <w:start w:val="1"/>
      <w:numFmt w:val="decimal"/>
      <w:lvlText w:val="%1."/>
      <w:lvlJc w:val="left"/>
      <w:pPr>
        <w:tabs>
          <w:tab w:val="num" w:pos="1800"/>
        </w:tabs>
        <w:ind w:left="1800" w:hanging="360"/>
      </w:pPr>
    </w:lvl>
  </w:abstractNum>
  <w:abstractNum w:abstractNumId="1">
    <w:nsid w:val="FFFFFF7D"/>
    <w:multiLevelType w:val="singleLevel"/>
    <w:tmpl w:val="F1E814B2"/>
    <w:lvl w:ilvl="0">
      <w:start w:val="1"/>
      <w:numFmt w:val="decimal"/>
      <w:lvlText w:val="%1."/>
      <w:lvlJc w:val="left"/>
      <w:pPr>
        <w:tabs>
          <w:tab w:val="num" w:pos="1440"/>
        </w:tabs>
        <w:ind w:left="1440" w:hanging="360"/>
      </w:pPr>
    </w:lvl>
  </w:abstractNum>
  <w:abstractNum w:abstractNumId="2">
    <w:nsid w:val="FFFFFF7E"/>
    <w:multiLevelType w:val="singleLevel"/>
    <w:tmpl w:val="2DFA398A"/>
    <w:lvl w:ilvl="0">
      <w:start w:val="1"/>
      <w:numFmt w:val="decimal"/>
      <w:lvlText w:val="%1."/>
      <w:lvlJc w:val="left"/>
      <w:pPr>
        <w:tabs>
          <w:tab w:val="num" w:pos="1080"/>
        </w:tabs>
        <w:ind w:left="1080" w:hanging="360"/>
      </w:pPr>
    </w:lvl>
  </w:abstractNum>
  <w:abstractNum w:abstractNumId="3">
    <w:nsid w:val="FFFFFF7F"/>
    <w:multiLevelType w:val="singleLevel"/>
    <w:tmpl w:val="DEF891BA"/>
    <w:lvl w:ilvl="0">
      <w:start w:val="1"/>
      <w:numFmt w:val="decimal"/>
      <w:lvlText w:val="%1."/>
      <w:lvlJc w:val="left"/>
      <w:pPr>
        <w:tabs>
          <w:tab w:val="num" w:pos="720"/>
        </w:tabs>
        <w:ind w:left="720" w:hanging="360"/>
      </w:pPr>
    </w:lvl>
  </w:abstractNum>
  <w:abstractNum w:abstractNumId="4">
    <w:nsid w:val="FFFFFF80"/>
    <w:multiLevelType w:val="singleLevel"/>
    <w:tmpl w:val="DA44FDB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C5EC18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805ED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75091FC"/>
    <w:lvl w:ilvl="0">
      <w:start w:val="1"/>
      <w:numFmt w:val="decimal"/>
      <w:lvlText w:val="%1."/>
      <w:lvlJc w:val="left"/>
      <w:pPr>
        <w:tabs>
          <w:tab w:val="num" w:pos="360"/>
        </w:tabs>
        <w:ind w:left="360" w:hanging="360"/>
      </w:pPr>
    </w:lvl>
  </w:abstractNum>
  <w:abstractNum w:abstractNumId="9">
    <w:nsid w:val="FFFFFF89"/>
    <w:multiLevelType w:val="singleLevel"/>
    <w:tmpl w:val="BB986048"/>
    <w:lvl w:ilvl="0">
      <w:start w:val="1"/>
      <w:numFmt w:val="bullet"/>
      <w:lvlText w:val=""/>
      <w:lvlJc w:val="left"/>
      <w:pPr>
        <w:tabs>
          <w:tab w:val="num" w:pos="360"/>
        </w:tabs>
        <w:ind w:left="360" w:hanging="360"/>
      </w:pPr>
      <w:rPr>
        <w:rFonts w:ascii="Symbol" w:hAnsi="Symbol" w:hint="default"/>
      </w:rPr>
    </w:lvl>
  </w:abstractNum>
  <w:abstractNum w:abstractNumId="1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0928720A"/>
    <w:multiLevelType w:val="hybridMultilevel"/>
    <w:tmpl w:val="89B4653C"/>
    <w:lvl w:ilvl="0" w:tplc="100E666C">
      <w:start w:val="1"/>
      <w:numFmt w:val="decimal"/>
      <w:lvlText w:val="%1."/>
      <w:lvlJc w:val="left"/>
      <w:pPr>
        <w:ind w:left="1080" w:hanging="360"/>
      </w:pPr>
      <w:rPr>
        <w:b/>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5DC328A"/>
    <w:multiLevelType w:val="hybridMultilevel"/>
    <w:tmpl w:val="539ABDA8"/>
    <w:lvl w:ilvl="0" w:tplc="62445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6001410C"/>
    <w:multiLevelType w:val="hybridMultilevel"/>
    <w:tmpl w:val="FF480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Bullet"/>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10"/>
  </w:num>
  <w:num w:numId="2">
    <w:abstractNumId w:val="13"/>
  </w:num>
  <w:num w:numId="3">
    <w:abstractNumId w:val="15"/>
  </w:num>
  <w:num w:numId="4">
    <w:abstractNumId w:val="7"/>
  </w:num>
  <w:num w:numId="5">
    <w:abstractNumId w:val="12"/>
  </w:num>
  <w:num w:numId="6">
    <w:abstractNumId w:val="9"/>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E1AB5"/>
    <w:rsid w:val="00001D7F"/>
    <w:rsid w:val="00001ED4"/>
    <w:rsid w:val="0000253A"/>
    <w:rsid w:val="00003060"/>
    <w:rsid w:val="0000363C"/>
    <w:rsid w:val="00003A81"/>
    <w:rsid w:val="00004CDC"/>
    <w:rsid w:val="00005805"/>
    <w:rsid w:val="00005E15"/>
    <w:rsid w:val="00006041"/>
    <w:rsid w:val="00010C90"/>
    <w:rsid w:val="000116E2"/>
    <w:rsid w:val="00012032"/>
    <w:rsid w:val="00013366"/>
    <w:rsid w:val="00013A4D"/>
    <w:rsid w:val="00014340"/>
    <w:rsid w:val="000152A2"/>
    <w:rsid w:val="00015987"/>
    <w:rsid w:val="00016505"/>
    <w:rsid w:val="00016606"/>
    <w:rsid w:val="00016B7F"/>
    <w:rsid w:val="00016BE7"/>
    <w:rsid w:val="0001780C"/>
    <w:rsid w:val="00017EBE"/>
    <w:rsid w:val="00017F82"/>
    <w:rsid w:val="00021355"/>
    <w:rsid w:val="0002378F"/>
    <w:rsid w:val="0002384E"/>
    <w:rsid w:val="000239EC"/>
    <w:rsid w:val="00023ED4"/>
    <w:rsid w:val="000253C1"/>
    <w:rsid w:val="00025F1C"/>
    <w:rsid w:val="00026AD4"/>
    <w:rsid w:val="0002748B"/>
    <w:rsid w:val="00027603"/>
    <w:rsid w:val="00030428"/>
    <w:rsid w:val="00030839"/>
    <w:rsid w:val="00030B1F"/>
    <w:rsid w:val="000312C8"/>
    <w:rsid w:val="000323EE"/>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5B7B"/>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3BE1"/>
    <w:rsid w:val="000660E6"/>
    <w:rsid w:val="00066D59"/>
    <w:rsid w:val="00066D6B"/>
    <w:rsid w:val="00070A47"/>
    <w:rsid w:val="00071072"/>
    <w:rsid w:val="00071282"/>
    <w:rsid w:val="00076244"/>
    <w:rsid w:val="0007628D"/>
    <w:rsid w:val="00076807"/>
    <w:rsid w:val="000775B9"/>
    <w:rsid w:val="00077793"/>
    <w:rsid w:val="0008017F"/>
    <w:rsid w:val="00080F5A"/>
    <w:rsid w:val="000813AD"/>
    <w:rsid w:val="00081DED"/>
    <w:rsid w:val="00082343"/>
    <w:rsid w:val="000826E1"/>
    <w:rsid w:val="00082775"/>
    <w:rsid w:val="00082B4B"/>
    <w:rsid w:val="000843FB"/>
    <w:rsid w:val="0008452D"/>
    <w:rsid w:val="000849A3"/>
    <w:rsid w:val="00084EEF"/>
    <w:rsid w:val="00084FC5"/>
    <w:rsid w:val="00085D56"/>
    <w:rsid w:val="000866D6"/>
    <w:rsid w:val="00086849"/>
    <w:rsid w:val="00086D7E"/>
    <w:rsid w:val="00087365"/>
    <w:rsid w:val="00087BF4"/>
    <w:rsid w:val="000903B6"/>
    <w:rsid w:val="000911CE"/>
    <w:rsid w:val="000918AA"/>
    <w:rsid w:val="000930FA"/>
    <w:rsid w:val="00094934"/>
    <w:rsid w:val="00096080"/>
    <w:rsid w:val="00096DE7"/>
    <w:rsid w:val="00096F6A"/>
    <w:rsid w:val="00097D2E"/>
    <w:rsid w:val="000A03EC"/>
    <w:rsid w:val="000A065D"/>
    <w:rsid w:val="000A0C31"/>
    <w:rsid w:val="000A0CC4"/>
    <w:rsid w:val="000A0EEA"/>
    <w:rsid w:val="000A0F7C"/>
    <w:rsid w:val="000A44EA"/>
    <w:rsid w:val="000A4A27"/>
    <w:rsid w:val="000A4C06"/>
    <w:rsid w:val="000A5791"/>
    <w:rsid w:val="000A5A75"/>
    <w:rsid w:val="000A6264"/>
    <w:rsid w:val="000A74BD"/>
    <w:rsid w:val="000A7BA3"/>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90A"/>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5E56"/>
    <w:rsid w:val="000E7D2B"/>
    <w:rsid w:val="000F0CDA"/>
    <w:rsid w:val="000F0EC8"/>
    <w:rsid w:val="000F29DD"/>
    <w:rsid w:val="000F2A1C"/>
    <w:rsid w:val="000F320F"/>
    <w:rsid w:val="000F3A67"/>
    <w:rsid w:val="000F3B8B"/>
    <w:rsid w:val="000F3F7F"/>
    <w:rsid w:val="000F40DB"/>
    <w:rsid w:val="000F6749"/>
    <w:rsid w:val="0010101E"/>
    <w:rsid w:val="001030E4"/>
    <w:rsid w:val="00103152"/>
    <w:rsid w:val="001033D1"/>
    <w:rsid w:val="00103440"/>
    <w:rsid w:val="00103EA8"/>
    <w:rsid w:val="00104F42"/>
    <w:rsid w:val="001057BE"/>
    <w:rsid w:val="0010596D"/>
    <w:rsid w:val="00106985"/>
    <w:rsid w:val="00106E07"/>
    <w:rsid w:val="0010768F"/>
    <w:rsid w:val="00107DA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A60"/>
    <w:rsid w:val="00120C4D"/>
    <w:rsid w:val="0012215A"/>
    <w:rsid w:val="00122D0F"/>
    <w:rsid w:val="001249B9"/>
    <w:rsid w:val="00125054"/>
    <w:rsid w:val="001302FA"/>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1CC0"/>
    <w:rsid w:val="0015202D"/>
    <w:rsid w:val="001521F6"/>
    <w:rsid w:val="00152456"/>
    <w:rsid w:val="0015294C"/>
    <w:rsid w:val="00152F62"/>
    <w:rsid w:val="001532F4"/>
    <w:rsid w:val="00153B3C"/>
    <w:rsid w:val="00153FD3"/>
    <w:rsid w:val="00154AC0"/>
    <w:rsid w:val="00154D78"/>
    <w:rsid w:val="00155B8F"/>
    <w:rsid w:val="00157A6E"/>
    <w:rsid w:val="00160064"/>
    <w:rsid w:val="0016071D"/>
    <w:rsid w:val="00160724"/>
    <w:rsid w:val="00161437"/>
    <w:rsid w:val="001623F8"/>
    <w:rsid w:val="00162839"/>
    <w:rsid w:val="00162C4F"/>
    <w:rsid w:val="00163B8A"/>
    <w:rsid w:val="00165F15"/>
    <w:rsid w:val="001661C2"/>
    <w:rsid w:val="001661C9"/>
    <w:rsid w:val="0016634D"/>
    <w:rsid w:val="001664E1"/>
    <w:rsid w:val="001719D2"/>
    <w:rsid w:val="001721CD"/>
    <w:rsid w:val="00172642"/>
    <w:rsid w:val="00172A1D"/>
    <w:rsid w:val="001743DB"/>
    <w:rsid w:val="001763D1"/>
    <w:rsid w:val="0017649F"/>
    <w:rsid w:val="001769EE"/>
    <w:rsid w:val="00176D54"/>
    <w:rsid w:val="00177753"/>
    <w:rsid w:val="00180959"/>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5F46"/>
    <w:rsid w:val="0019602A"/>
    <w:rsid w:val="0019795D"/>
    <w:rsid w:val="00197CB4"/>
    <w:rsid w:val="001A02D5"/>
    <w:rsid w:val="001A0401"/>
    <w:rsid w:val="001A0868"/>
    <w:rsid w:val="001A21DE"/>
    <w:rsid w:val="001A2871"/>
    <w:rsid w:val="001A2C51"/>
    <w:rsid w:val="001A3A7E"/>
    <w:rsid w:val="001A4540"/>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5791"/>
    <w:rsid w:val="001C63EC"/>
    <w:rsid w:val="001C6BC4"/>
    <w:rsid w:val="001C6FD6"/>
    <w:rsid w:val="001C7D53"/>
    <w:rsid w:val="001C7FFB"/>
    <w:rsid w:val="001D150D"/>
    <w:rsid w:val="001D184A"/>
    <w:rsid w:val="001D38F0"/>
    <w:rsid w:val="001D4DCD"/>
    <w:rsid w:val="001D4F16"/>
    <w:rsid w:val="001D52B7"/>
    <w:rsid w:val="001D66C3"/>
    <w:rsid w:val="001D6951"/>
    <w:rsid w:val="001D69B9"/>
    <w:rsid w:val="001D76C6"/>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E7A26"/>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258"/>
    <w:rsid w:val="00204565"/>
    <w:rsid w:val="002047F1"/>
    <w:rsid w:val="0020644E"/>
    <w:rsid w:val="00206485"/>
    <w:rsid w:val="002112FC"/>
    <w:rsid w:val="002112FF"/>
    <w:rsid w:val="00211A19"/>
    <w:rsid w:val="00211D2B"/>
    <w:rsid w:val="00213A6C"/>
    <w:rsid w:val="002146A5"/>
    <w:rsid w:val="00215295"/>
    <w:rsid w:val="00215C58"/>
    <w:rsid w:val="0021659B"/>
    <w:rsid w:val="00217C49"/>
    <w:rsid w:val="00220FCC"/>
    <w:rsid w:val="0022109E"/>
    <w:rsid w:val="002218B3"/>
    <w:rsid w:val="0022239B"/>
    <w:rsid w:val="00222CD5"/>
    <w:rsid w:val="0022452E"/>
    <w:rsid w:val="002258CE"/>
    <w:rsid w:val="00226503"/>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4793C"/>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1E3"/>
    <w:rsid w:val="002608DE"/>
    <w:rsid w:val="00260E20"/>
    <w:rsid w:val="002612BA"/>
    <w:rsid w:val="00262F22"/>
    <w:rsid w:val="002631F7"/>
    <w:rsid w:val="002649BB"/>
    <w:rsid w:val="00265820"/>
    <w:rsid w:val="00265C8E"/>
    <w:rsid w:val="002667AD"/>
    <w:rsid w:val="00266A90"/>
    <w:rsid w:val="0027003E"/>
    <w:rsid w:val="00271E49"/>
    <w:rsid w:val="00271ECE"/>
    <w:rsid w:val="002726F6"/>
    <w:rsid w:val="00273B1C"/>
    <w:rsid w:val="00274047"/>
    <w:rsid w:val="00274794"/>
    <w:rsid w:val="00274C19"/>
    <w:rsid w:val="0027510A"/>
    <w:rsid w:val="002755C6"/>
    <w:rsid w:val="002768F6"/>
    <w:rsid w:val="00276FF5"/>
    <w:rsid w:val="00277D68"/>
    <w:rsid w:val="002801E5"/>
    <w:rsid w:val="00280AB6"/>
    <w:rsid w:val="002819BD"/>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3651"/>
    <w:rsid w:val="00296798"/>
    <w:rsid w:val="00296B24"/>
    <w:rsid w:val="002A108A"/>
    <w:rsid w:val="002A1B39"/>
    <w:rsid w:val="002A1F05"/>
    <w:rsid w:val="002A31FA"/>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3B8"/>
    <w:rsid w:val="002C0C81"/>
    <w:rsid w:val="002C0E54"/>
    <w:rsid w:val="002C18AE"/>
    <w:rsid w:val="002C1B68"/>
    <w:rsid w:val="002C27B8"/>
    <w:rsid w:val="002C29AF"/>
    <w:rsid w:val="002C29D8"/>
    <w:rsid w:val="002C2F7E"/>
    <w:rsid w:val="002C3833"/>
    <w:rsid w:val="002C384B"/>
    <w:rsid w:val="002C3B68"/>
    <w:rsid w:val="002C4551"/>
    <w:rsid w:val="002C663A"/>
    <w:rsid w:val="002C66F6"/>
    <w:rsid w:val="002D1E63"/>
    <w:rsid w:val="002D1E6E"/>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1881"/>
    <w:rsid w:val="002F24D6"/>
    <w:rsid w:val="002F3178"/>
    <w:rsid w:val="002F3328"/>
    <w:rsid w:val="002F3591"/>
    <w:rsid w:val="002F3D22"/>
    <w:rsid w:val="002F5754"/>
    <w:rsid w:val="002F737E"/>
    <w:rsid w:val="002F7E97"/>
    <w:rsid w:val="00300B45"/>
    <w:rsid w:val="00300C35"/>
    <w:rsid w:val="00300F94"/>
    <w:rsid w:val="0030276F"/>
    <w:rsid w:val="00303030"/>
    <w:rsid w:val="00303805"/>
    <w:rsid w:val="00304541"/>
    <w:rsid w:val="00304757"/>
    <w:rsid w:val="00304F11"/>
    <w:rsid w:val="00305F0A"/>
    <w:rsid w:val="00306262"/>
    <w:rsid w:val="00310549"/>
    <w:rsid w:val="003107C7"/>
    <w:rsid w:val="00310CBB"/>
    <w:rsid w:val="003110EF"/>
    <w:rsid w:val="00311464"/>
    <w:rsid w:val="003148A3"/>
    <w:rsid w:val="00314EA9"/>
    <w:rsid w:val="0031550B"/>
    <w:rsid w:val="00315CA3"/>
    <w:rsid w:val="00316260"/>
    <w:rsid w:val="0032002D"/>
    <w:rsid w:val="00320574"/>
    <w:rsid w:val="00321267"/>
    <w:rsid w:val="003228C5"/>
    <w:rsid w:val="00322CEB"/>
    <w:rsid w:val="00323062"/>
    <w:rsid w:val="00324299"/>
    <w:rsid w:val="00324C47"/>
    <w:rsid w:val="00324D4C"/>
    <w:rsid w:val="00325329"/>
    <w:rsid w:val="0032584A"/>
    <w:rsid w:val="0032643F"/>
    <w:rsid w:val="00326935"/>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4D12"/>
    <w:rsid w:val="00345263"/>
    <w:rsid w:val="0034544B"/>
    <w:rsid w:val="003460C1"/>
    <w:rsid w:val="00346A8A"/>
    <w:rsid w:val="003470D6"/>
    <w:rsid w:val="003472EB"/>
    <w:rsid w:val="00347ADA"/>
    <w:rsid w:val="003504D9"/>
    <w:rsid w:val="00353D77"/>
    <w:rsid w:val="0035439F"/>
    <w:rsid w:val="00354845"/>
    <w:rsid w:val="00354BE6"/>
    <w:rsid w:val="00354C70"/>
    <w:rsid w:val="00354CF6"/>
    <w:rsid w:val="00356275"/>
    <w:rsid w:val="00356EA6"/>
    <w:rsid w:val="00357D14"/>
    <w:rsid w:val="00357FBC"/>
    <w:rsid w:val="00360426"/>
    <w:rsid w:val="003604C4"/>
    <w:rsid w:val="00360B1A"/>
    <w:rsid w:val="003610CA"/>
    <w:rsid w:val="00361569"/>
    <w:rsid w:val="00361A77"/>
    <w:rsid w:val="00362CEA"/>
    <w:rsid w:val="00362EAB"/>
    <w:rsid w:val="00363AEF"/>
    <w:rsid w:val="00363B19"/>
    <w:rsid w:val="00364171"/>
    <w:rsid w:val="00365087"/>
    <w:rsid w:val="003655DE"/>
    <w:rsid w:val="003659D8"/>
    <w:rsid w:val="00370819"/>
    <w:rsid w:val="003714DD"/>
    <w:rsid w:val="00371546"/>
    <w:rsid w:val="003722BB"/>
    <w:rsid w:val="003724AE"/>
    <w:rsid w:val="00373196"/>
    <w:rsid w:val="00373677"/>
    <w:rsid w:val="00373FD0"/>
    <w:rsid w:val="00374F4B"/>
    <w:rsid w:val="0037658A"/>
    <w:rsid w:val="00380290"/>
    <w:rsid w:val="00380620"/>
    <w:rsid w:val="00380843"/>
    <w:rsid w:val="0038255E"/>
    <w:rsid w:val="00383AE3"/>
    <w:rsid w:val="0038481A"/>
    <w:rsid w:val="00385CC1"/>
    <w:rsid w:val="00385E46"/>
    <w:rsid w:val="003863E0"/>
    <w:rsid w:val="0038645D"/>
    <w:rsid w:val="00386A48"/>
    <w:rsid w:val="00387602"/>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3CC"/>
    <w:rsid w:val="003A2521"/>
    <w:rsid w:val="003A2ADD"/>
    <w:rsid w:val="003A34DD"/>
    <w:rsid w:val="003A3C7E"/>
    <w:rsid w:val="003A4F0D"/>
    <w:rsid w:val="003A53B0"/>
    <w:rsid w:val="003A54C3"/>
    <w:rsid w:val="003A59E8"/>
    <w:rsid w:val="003A5DB1"/>
    <w:rsid w:val="003A6807"/>
    <w:rsid w:val="003B07DF"/>
    <w:rsid w:val="003B1124"/>
    <w:rsid w:val="003B1395"/>
    <w:rsid w:val="003B18BA"/>
    <w:rsid w:val="003B232A"/>
    <w:rsid w:val="003B245E"/>
    <w:rsid w:val="003B31DF"/>
    <w:rsid w:val="003B3210"/>
    <w:rsid w:val="003B370C"/>
    <w:rsid w:val="003B5043"/>
    <w:rsid w:val="003B55BF"/>
    <w:rsid w:val="003B5D62"/>
    <w:rsid w:val="003B606C"/>
    <w:rsid w:val="003B6718"/>
    <w:rsid w:val="003B7283"/>
    <w:rsid w:val="003B7803"/>
    <w:rsid w:val="003C021F"/>
    <w:rsid w:val="003C1615"/>
    <w:rsid w:val="003C2ED1"/>
    <w:rsid w:val="003C34AC"/>
    <w:rsid w:val="003C39AE"/>
    <w:rsid w:val="003C3BE0"/>
    <w:rsid w:val="003C3E7E"/>
    <w:rsid w:val="003C3FA9"/>
    <w:rsid w:val="003C4833"/>
    <w:rsid w:val="003C5597"/>
    <w:rsid w:val="003C7846"/>
    <w:rsid w:val="003C7854"/>
    <w:rsid w:val="003C7AF3"/>
    <w:rsid w:val="003C7E57"/>
    <w:rsid w:val="003D0185"/>
    <w:rsid w:val="003D046C"/>
    <w:rsid w:val="003D07F7"/>
    <w:rsid w:val="003D0D71"/>
    <w:rsid w:val="003D172B"/>
    <w:rsid w:val="003D1BDF"/>
    <w:rsid w:val="003D26E3"/>
    <w:rsid w:val="003D35BD"/>
    <w:rsid w:val="003D36D3"/>
    <w:rsid w:val="003D3940"/>
    <w:rsid w:val="003D3DA9"/>
    <w:rsid w:val="003D515C"/>
    <w:rsid w:val="003D5457"/>
    <w:rsid w:val="003D549F"/>
    <w:rsid w:val="003D5AAB"/>
    <w:rsid w:val="003D5F38"/>
    <w:rsid w:val="003E06BE"/>
    <w:rsid w:val="003E0AA3"/>
    <w:rsid w:val="003E1D76"/>
    <w:rsid w:val="003E1F8C"/>
    <w:rsid w:val="003E1FB2"/>
    <w:rsid w:val="003E2373"/>
    <w:rsid w:val="003E29AB"/>
    <w:rsid w:val="003E48D2"/>
    <w:rsid w:val="003E4BB4"/>
    <w:rsid w:val="003E503E"/>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171F"/>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2CB8"/>
    <w:rsid w:val="004130DD"/>
    <w:rsid w:val="00413843"/>
    <w:rsid w:val="00413B02"/>
    <w:rsid w:val="00413C18"/>
    <w:rsid w:val="0041472F"/>
    <w:rsid w:val="00415054"/>
    <w:rsid w:val="004158E2"/>
    <w:rsid w:val="004169BD"/>
    <w:rsid w:val="00416DA7"/>
    <w:rsid w:val="00417301"/>
    <w:rsid w:val="00417898"/>
    <w:rsid w:val="00420062"/>
    <w:rsid w:val="00420E94"/>
    <w:rsid w:val="004212EF"/>
    <w:rsid w:val="004218F7"/>
    <w:rsid w:val="00422F74"/>
    <w:rsid w:val="00423310"/>
    <w:rsid w:val="00423745"/>
    <w:rsid w:val="0042500E"/>
    <w:rsid w:val="004257EA"/>
    <w:rsid w:val="00425AC9"/>
    <w:rsid w:val="00425C58"/>
    <w:rsid w:val="00426A74"/>
    <w:rsid w:val="00426DCB"/>
    <w:rsid w:val="00426FCB"/>
    <w:rsid w:val="00427F76"/>
    <w:rsid w:val="0043017F"/>
    <w:rsid w:val="00430568"/>
    <w:rsid w:val="004307CB"/>
    <w:rsid w:val="004311CF"/>
    <w:rsid w:val="004315F5"/>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BCA"/>
    <w:rsid w:val="00445DAA"/>
    <w:rsid w:val="00445FEE"/>
    <w:rsid w:val="00446666"/>
    <w:rsid w:val="004467F9"/>
    <w:rsid w:val="004475C5"/>
    <w:rsid w:val="004476E3"/>
    <w:rsid w:val="00450263"/>
    <w:rsid w:val="004516B2"/>
    <w:rsid w:val="00452733"/>
    <w:rsid w:val="00453249"/>
    <w:rsid w:val="0045357A"/>
    <w:rsid w:val="00453864"/>
    <w:rsid w:val="00453A0F"/>
    <w:rsid w:val="00457937"/>
    <w:rsid w:val="00457EF5"/>
    <w:rsid w:val="00460D88"/>
    <w:rsid w:val="0046102B"/>
    <w:rsid w:val="004612CF"/>
    <w:rsid w:val="00461A5E"/>
    <w:rsid w:val="00461D98"/>
    <w:rsid w:val="00461EC8"/>
    <w:rsid w:val="00462C6A"/>
    <w:rsid w:val="004632B7"/>
    <w:rsid w:val="00464037"/>
    <w:rsid w:val="004654E6"/>
    <w:rsid w:val="00465837"/>
    <w:rsid w:val="004658EB"/>
    <w:rsid w:val="00465BB5"/>
    <w:rsid w:val="004676E2"/>
    <w:rsid w:val="00467794"/>
    <w:rsid w:val="004700F5"/>
    <w:rsid w:val="00470145"/>
    <w:rsid w:val="004715C4"/>
    <w:rsid w:val="00471AD3"/>
    <w:rsid w:val="00471BC0"/>
    <w:rsid w:val="0047206E"/>
    <w:rsid w:val="00474045"/>
    <w:rsid w:val="00474D78"/>
    <w:rsid w:val="004766A6"/>
    <w:rsid w:val="00476E38"/>
    <w:rsid w:val="00476EFE"/>
    <w:rsid w:val="0047703B"/>
    <w:rsid w:val="0047736D"/>
    <w:rsid w:val="0047796E"/>
    <w:rsid w:val="004811FB"/>
    <w:rsid w:val="00481895"/>
    <w:rsid w:val="00481BB0"/>
    <w:rsid w:val="00483128"/>
    <w:rsid w:val="004833A8"/>
    <w:rsid w:val="0048385A"/>
    <w:rsid w:val="00483AD8"/>
    <w:rsid w:val="004876B8"/>
    <w:rsid w:val="004876CD"/>
    <w:rsid w:val="004914C4"/>
    <w:rsid w:val="00491948"/>
    <w:rsid w:val="004919BA"/>
    <w:rsid w:val="00491E7F"/>
    <w:rsid w:val="0049210A"/>
    <w:rsid w:val="0049244A"/>
    <w:rsid w:val="004934AD"/>
    <w:rsid w:val="00493CAB"/>
    <w:rsid w:val="00494FC4"/>
    <w:rsid w:val="0049520A"/>
    <w:rsid w:val="004952F5"/>
    <w:rsid w:val="0049593A"/>
    <w:rsid w:val="004963CE"/>
    <w:rsid w:val="00496580"/>
    <w:rsid w:val="00497AB1"/>
    <w:rsid w:val="004A054C"/>
    <w:rsid w:val="004A0773"/>
    <w:rsid w:val="004A0E2A"/>
    <w:rsid w:val="004A133B"/>
    <w:rsid w:val="004A18ED"/>
    <w:rsid w:val="004A25F4"/>
    <w:rsid w:val="004A2BE7"/>
    <w:rsid w:val="004A39F3"/>
    <w:rsid w:val="004A3D9E"/>
    <w:rsid w:val="004A4DAD"/>
    <w:rsid w:val="004A55FF"/>
    <w:rsid w:val="004A5FEE"/>
    <w:rsid w:val="004A75A3"/>
    <w:rsid w:val="004A7B01"/>
    <w:rsid w:val="004A7CD1"/>
    <w:rsid w:val="004B0317"/>
    <w:rsid w:val="004B1570"/>
    <w:rsid w:val="004B1578"/>
    <w:rsid w:val="004B1702"/>
    <w:rsid w:val="004B2212"/>
    <w:rsid w:val="004B257B"/>
    <w:rsid w:val="004B30A8"/>
    <w:rsid w:val="004B421E"/>
    <w:rsid w:val="004B49D6"/>
    <w:rsid w:val="004B4D1B"/>
    <w:rsid w:val="004B56B2"/>
    <w:rsid w:val="004B5706"/>
    <w:rsid w:val="004B57BB"/>
    <w:rsid w:val="004B58DA"/>
    <w:rsid w:val="004B62D5"/>
    <w:rsid w:val="004B67AA"/>
    <w:rsid w:val="004B7E2C"/>
    <w:rsid w:val="004B7EC9"/>
    <w:rsid w:val="004C0D92"/>
    <w:rsid w:val="004C1AB1"/>
    <w:rsid w:val="004C3481"/>
    <w:rsid w:val="004C3E0D"/>
    <w:rsid w:val="004C4427"/>
    <w:rsid w:val="004C505A"/>
    <w:rsid w:val="004C5AA4"/>
    <w:rsid w:val="004C6001"/>
    <w:rsid w:val="004C6138"/>
    <w:rsid w:val="004C798A"/>
    <w:rsid w:val="004D1DD3"/>
    <w:rsid w:val="004D40CE"/>
    <w:rsid w:val="004D490B"/>
    <w:rsid w:val="004D53B7"/>
    <w:rsid w:val="004D5538"/>
    <w:rsid w:val="004D5BB3"/>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2F11"/>
    <w:rsid w:val="004F3B34"/>
    <w:rsid w:val="004F3D7A"/>
    <w:rsid w:val="004F3F5F"/>
    <w:rsid w:val="004F4DAE"/>
    <w:rsid w:val="004F4DF9"/>
    <w:rsid w:val="004F4E6B"/>
    <w:rsid w:val="004F5056"/>
    <w:rsid w:val="004F5B0D"/>
    <w:rsid w:val="004F5C9A"/>
    <w:rsid w:val="004F6230"/>
    <w:rsid w:val="004F6243"/>
    <w:rsid w:val="004F63FD"/>
    <w:rsid w:val="004F6760"/>
    <w:rsid w:val="004F6819"/>
    <w:rsid w:val="004F6BFB"/>
    <w:rsid w:val="004F77E2"/>
    <w:rsid w:val="004F79DE"/>
    <w:rsid w:val="00500419"/>
    <w:rsid w:val="005008B0"/>
    <w:rsid w:val="005009A9"/>
    <w:rsid w:val="00502300"/>
    <w:rsid w:val="00502621"/>
    <w:rsid w:val="00503766"/>
    <w:rsid w:val="00503ABF"/>
    <w:rsid w:val="00503B23"/>
    <w:rsid w:val="0050435C"/>
    <w:rsid w:val="0050447A"/>
    <w:rsid w:val="00505C74"/>
    <w:rsid w:val="0051086F"/>
    <w:rsid w:val="0051218E"/>
    <w:rsid w:val="0051334F"/>
    <w:rsid w:val="00513651"/>
    <w:rsid w:val="00514963"/>
    <w:rsid w:val="0051565A"/>
    <w:rsid w:val="00515E86"/>
    <w:rsid w:val="005165FB"/>
    <w:rsid w:val="00517626"/>
    <w:rsid w:val="00520904"/>
    <w:rsid w:val="00521FF4"/>
    <w:rsid w:val="0052203F"/>
    <w:rsid w:val="005221DE"/>
    <w:rsid w:val="0052236E"/>
    <w:rsid w:val="0052414B"/>
    <w:rsid w:val="00524840"/>
    <w:rsid w:val="005258DA"/>
    <w:rsid w:val="005267D0"/>
    <w:rsid w:val="005267F8"/>
    <w:rsid w:val="00526ACF"/>
    <w:rsid w:val="00526CF8"/>
    <w:rsid w:val="00526E2A"/>
    <w:rsid w:val="00530279"/>
    <w:rsid w:val="00530570"/>
    <w:rsid w:val="00530770"/>
    <w:rsid w:val="0053111F"/>
    <w:rsid w:val="0053210E"/>
    <w:rsid w:val="00532DB1"/>
    <w:rsid w:val="005335CC"/>
    <w:rsid w:val="00534C71"/>
    <w:rsid w:val="00535916"/>
    <w:rsid w:val="00535A8A"/>
    <w:rsid w:val="005362E4"/>
    <w:rsid w:val="00536D4B"/>
    <w:rsid w:val="00536DB6"/>
    <w:rsid w:val="00537D3B"/>
    <w:rsid w:val="00537FED"/>
    <w:rsid w:val="00540633"/>
    <w:rsid w:val="00540E4B"/>
    <w:rsid w:val="005421B4"/>
    <w:rsid w:val="0054268F"/>
    <w:rsid w:val="005431DD"/>
    <w:rsid w:val="00544EEB"/>
    <w:rsid w:val="00545AFF"/>
    <w:rsid w:val="0054659B"/>
    <w:rsid w:val="005469E2"/>
    <w:rsid w:val="0054702E"/>
    <w:rsid w:val="00551086"/>
    <w:rsid w:val="00551675"/>
    <w:rsid w:val="00552B6D"/>
    <w:rsid w:val="00552EDF"/>
    <w:rsid w:val="0055383C"/>
    <w:rsid w:val="00553E41"/>
    <w:rsid w:val="00554516"/>
    <w:rsid w:val="00554B17"/>
    <w:rsid w:val="00554E9A"/>
    <w:rsid w:val="005552B7"/>
    <w:rsid w:val="00555BF7"/>
    <w:rsid w:val="0055741E"/>
    <w:rsid w:val="00557A25"/>
    <w:rsid w:val="00557C2A"/>
    <w:rsid w:val="00560DBD"/>
    <w:rsid w:val="0056136B"/>
    <w:rsid w:val="00561E01"/>
    <w:rsid w:val="00562274"/>
    <w:rsid w:val="0056254A"/>
    <w:rsid w:val="00563427"/>
    <w:rsid w:val="00565CAF"/>
    <w:rsid w:val="005662CF"/>
    <w:rsid w:val="00570189"/>
    <w:rsid w:val="00570FBD"/>
    <w:rsid w:val="00571417"/>
    <w:rsid w:val="00571B16"/>
    <w:rsid w:val="00571C15"/>
    <w:rsid w:val="00572168"/>
    <w:rsid w:val="00572B76"/>
    <w:rsid w:val="00573444"/>
    <w:rsid w:val="00576FF4"/>
    <w:rsid w:val="00577768"/>
    <w:rsid w:val="00580552"/>
    <w:rsid w:val="0058085B"/>
    <w:rsid w:val="005820E7"/>
    <w:rsid w:val="00582220"/>
    <w:rsid w:val="005825BC"/>
    <w:rsid w:val="005831FB"/>
    <w:rsid w:val="00583FE3"/>
    <w:rsid w:val="005844D7"/>
    <w:rsid w:val="00584CDF"/>
    <w:rsid w:val="00584E79"/>
    <w:rsid w:val="00585AFC"/>
    <w:rsid w:val="00586414"/>
    <w:rsid w:val="005871A4"/>
    <w:rsid w:val="005878CA"/>
    <w:rsid w:val="00587E94"/>
    <w:rsid w:val="00590199"/>
    <w:rsid w:val="00590787"/>
    <w:rsid w:val="005915C1"/>
    <w:rsid w:val="005919F1"/>
    <w:rsid w:val="00591B4F"/>
    <w:rsid w:val="00592020"/>
    <w:rsid w:val="00592BB4"/>
    <w:rsid w:val="00592EDB"/>
    <w:rsid w:val="0059307A"/>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98A"/>
    <w:rsid w:val="005A7EBF"/>
    <w:rsid w:val="005B0130"/>
    <w:rsid w:val="005B0AE5"/>
    <w:rsid w:val="005B115E"/>
    <w:rsid w:val="005B21C4"/>
    <w:rsid w:val="005B2711"/>
    <w:rsid w:val="005B2BE7"/>
    <w:rsid w:val="005B2DEA"/>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0FA1"/>
    <w:rsid w:val="005F1594"/>
    <w:rsid w:val="005F1B52"/>
    <w:rsid w:val="005F1C45"/>
    <w:rsid w:val="005F1EE3"/>
    <w:rsid w:val="005F20DE"/>
    <w:rsid w:val="005F2ACC"/>
    <w:rsid w:val="005F436D"/>
    <w:rsid w:val="005F502B"/>
    <w:rsid w:val="005F5724"/>
    <w:rsid w:val="005F5DCC"/>
    <w:rsid w:val="005F6D88"/>
    <w:rsid w:val="005F70EE"/>
    <w:rsid w:val="005F7737"/>
    <w:rsid w:val="005F7870"/>
    <w:rsid w:val="005F7DB3"/>
    <w:rsid w:val="00600AFB"/>
    <w:rsid w:val="00601817"/>
    <w:rsid w:val="00602F29"/>
    <w:rsid w:val="0060333D"/>
    <w:rsid w:val="00603BBB"/>
    <w:rsid w:val="006041F7"/>
    <w:rsid w:val="00604A69"/>
    <w:rsid w:val="006053F5"/>
    <w:rsid w:val="00605DDC"/>
    <w:rsid w:val="00606941"/>
    <w:rsid w:val="0060696A"/>
    <w:rsid w:val="00606AD1"/>
    <w:rsid w:val="006073C9"/>
    <w:rsid w:val="00610ED4"/>
    <w:rsid w:val="00611B5A"/>
    <w:rsid w:val="00611E75"/>
    <w:rsid w:val="006125AF"/>
    <w:rsid w:val="00612907"/>
    <w:rsid w:val="00613138"/>
    <w:rsid w:val="00613484"/>
    <w:rsid w:val="006135A6"/>
    <w:rsid w:val="00614EDE"/>
    <w:rsid w:val="00614F77"/>
    <w:rsid w:val="00615333"/>
    <w:rsid w:val="00615823"/>
    <w:rsid w:val="006159DC"/>
    <w:rsid w:val="00615F4E"/>
    <w:rsid w:val="00616583"/>
    <w:rsid w:val="00616B11"/>
    <w:rsid w:val="006205B8"/>
    <w:rsid w:val="0062204B"/>
    <w:rsid w:val="006228D2"/>
    <w:rsid w:val="00622D32"/>
    <w:rsid w:val="00623DCD"/>
    <w:rsid w:val="00625423"/>
    <w:rsid w:val="00626E38"/>
    <w:rsid w:val="006275DE"/>
    <w:rsid w:val="006276FD"/>
    <w:rsid w:val="0062770E"/>
    <w:rsid w:val="00627962"/>
    <w:rsid w:val="00630305"/>
    <w:rsid w:val="00630533"/>
    <w:rsid w:val="00630E58"/>
    <w:rsid w:val="00632252"/>
    <w:rsid w:val="006329CC"/>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38A"/>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310"/>
    <w:rsid w:val="00677C4A"/>
    <w:rsid w:val="006810AB"/>
    <w:rsid w:val="00682A23"/>
    <w:rsid w:val="00682F33"/>
    <w:rsid w:val="00683536"/>
    <w:rsid w:val="006837F1"/>
    <w:rsid w:val="00683F12"/>
    <w:rsid w:val="00686B41"/>
    <w:rsid w:val="006870A1"/>
    <w:rsid w:val="00687609"/>
    <w:rsid w:val="00687A9B"/>
    <w:rsid w:val="0069096D"/>
    <w:rsid w:val="00690EA3"/>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5F2A"/>
    <w:rsid w:val="006A6A14"/>
    <w:rsid w:val="006A712B"/>
    <w:rsid w:val="006A74B6"/>
    <w:rsid w:val="006A785B"/>
    <w:rsid w:val="006A7BF0"/>
    <w:rsid w:val="006B0DDC"/>
    <w:rsid w:val="006B1C08"/>
    <w:rsid w:val="006B211A"/>
    <w:rsid w:val="006B2372"/>
    <w:rsid w:val="006B24A3"/>
    <w:rsid w:val="006B2EC4"/>
    <w:rsid w:val="006B2EF9"/>
    <w:rsid w:val="006B32FF"/>
    <w:rsid w:val="006B33EE"/>
    <w:rsid w:val="006B4216"/>
    <w:rsid w:val="006B5166"/>
    <w:rsid w:val="006B5167"/>
    <w:rsid w:val="006B6A14"/>
    <w:rsid w:val="006B6A97"/>
    <w:rsid w:val="006B797E"/>
    <w:rsid w:val="006B7BCE"/>
    <w:rsid w:val="006B7F80"/>
    <w:rsid w:val="006C10D2"/>
    <w:rsid w:val="006C11F5"/>
    <w:rsid w:val="006C1B97"/>
    <w:rsid w:val="006C2034"/>
    <w:rsid w:val="006C37EB"/>
    <w:rsid w:val="006C40C4"/>
    <w:rsid w:val="006C46E1"/>
    <w:rsid w:val="006C659B"/>
    <w:rsid w:val="006C6838"/>
    <w:rsid w:val="006C6C4B"/>
    <w:rsid w:val="006C6CC1"/>
    <w:rsid w:val="006C7B02"/>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8F5"/>
    <w:rsid w:val="006E4A7D"/>
    <w:rsid w:val="006E5BCF"/>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77E"/>
    <w:rsid w:val="006F583E"/>
    <w:rsid w:val="006F6834"/>
    <w:rsid w:val="006F702C"/>
    <w:rsid w:val="006F7802"/>
    <w:rsid w:val="006F78F8"/>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38D0"/>
    <w:rsid w:val="007143F4"/>
    <w:rsid w:val="00715049"/>
    <w:rsid w:val="0071562A"/>
    <w:rsid w:val="0071579A"/>
    <w:rsid w:val="007157FD"/>
    <w:rsid w:val="007169FF"/>
    <w:rsid w:val="00716B56"/>
    <w:rsid w:val="00716E4A"/>
    <w:rsid w:val="007176E8"/>
    <w:rsid w:val="0072068E"/>
    <w:rsid w:val="007208D3"/>
    <w:rsid w:val="00720948"/>
    <w:rsid w:val="00720D66"/>
    <w:rsid w:val="007212C0"/>
    <w:rsid w:val="00721312"/>
    <w:rsid w:val="00722145"/>
    <w:rsid w:val="007227BA"/>
    <w:rsid w:val="00722DC9"/>
    <w:rsid w:val="007235A2"/>
    <w:rsid w:val="00723726"/>
    <w:rsid w:val="00723C7E"/>
    <w:rsid w:val="007241B0"/>
    <w:rsid w:val="00725155"/>
    <w:rsid w:val="0072535F"/>
    <w:rsid w:val="007268C3"/>
    <w:rsid w:val="00726EC8"/>
    <w:rsid w:val="00727073"/>
    <w:rsid w:val="0072713C"/>
    <w:rsid w:val="00727A7F"/>
    <w:rsid w:val="00727E09"/>
    <w:rsid w:val="00730429"/>
    <w:rsid w:val="00730AB5"/>
    <w:rsid w:val="00730C56"/>
    <w:rsid w:val="007317E7"/>
    <w:rsid w:val="0073198A"/>
    <w:rsid w:val="007331A1"/>
    <w:rsid w:val="00733BA8"/>
    <w:rsid w:val="00734A6B"/>
    <w:rsid w:val="00734BC5"/>
    <w:rsid w:val="00734FD0"/>
    <w:rsid w:val="007355EB"/>
    <w:rsid w:val="00740041"/>
    <w:rsid w:val="00741D18"/>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933"/>
    <w:rsid w:val="00766B78"/>
    <w:rsid w:val="0077025A"/>
    <w:rsid w:val="007708DE"/>
    <w:rsid w:val="007719C1"/>
    <w:rsid w:val="00771A7E"/>
    <w:rsid w:val="00771AFE"/>
    <w:rsid w:val="00772B5C"/>
    <w:rsid w:val="00772F9D"/>
    <w:rsid w:val="00773377"/>
    <w:rsid w:val="00775401"/>
    <w:rsid w:val="00775A2B"/>
    <w:rsid w:val="00775EED"/>
    <w:rsid w:val="00776C05"/>
    <w:rsid w:val="00777042"/>
    <w:rsid w:val="007770EC"/>
    <w:rsid w:val="00777C50"/>
    <w:rsid w:val="00777F43"/>
    <w:rsid w:val="00780ED6"/>
    <w:rsid w:val="0078151F"/>
    <w:rsid w:val="007819BC"/>
    <w:rsid w:val="00782458"/>
    <w:rsid w:val="00782620"/>
    <w:rsid w:val="00782DEA"/>
    <w:rsid w:val="00782EB2"/>
    <w:rsid w:val="007831F3"/>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17F1"/>
    <w:rsid w:val="00792743"/>
    <w:rsid w:val="0079382F"/>
    <w:rsid w:val="00794006"/>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A7CF6"/>
    <w:rsid w:val="007B1D3D"/>
    <w:rsid w:val="007B1ED0"/>
    <w:rsid w:val="007B2BB8"/>
    <w:rsid w:val="007B335A"/>
    <w:rsid w:val="007B39AC"/>
    <w:rsid w:val="007B4535"/>
    <w:rsid w:val="007B5020"/>
    <w:rsid w:val="007B5384"/>
    <w:rsid w:val="007B55A8"/>
    <w:rsid w:val="007B5C81"/>
    <w:rsid w:val="007B6335"/>
    <w:rsid w:val="007B633E"/>
    <w:rsid w:val="007C0F4B"/>
    <w:rsid w:val="007C227A"/>
    <w:rsid w:val="007C34A4"/>
    <w:rsid w:val="007C36BB"/>
    <w:rsid w:val="007C37EF"/>
    <w:rsid w:val="007C44E4"/>
    <w:rsid w:val="007C561F"/>
    <w:rsid w:val="007C5D41"/>
    <w:rsid w:val="007C6734"/>
    <w:rsid w:val="007C68D3"/>
    <w:rsid w:val="007D12D3"/>
    <w:rsid w:val="007D169D"/>
    <w:rsid w:val="007D178B"/>
    <w:rsid w:val="007D2518"/>
    <w:rsid w:val="007D3D1F"/>
    <w:rsid w:val="007D4410"/>
    <w:rsid w:val="007D4AD5"/>
    <w:rsid w:val="007D4DDF"/>
    <w:rsid w:val="007D4F2F"/>
    <w:rsid w:val="007D5138"/>
    <w:rsid w:val="007D6C83"/>
    <w:rsid w:val="007D6EF8"/>
    <w:rsid w:val="007E01BC"/>
    <w:rsid w:val="007E1033"/>
    <w:rsid w:val="007E1300"/>
    <w:rsid w:val="007E1C35"/>
    <w:rsid w:val="007E274A"/>
    <w:rsid w:val="007E2906"/>
    <w:rsid w:val="007E2FED"/>
    <w:rsid w:val="007E35B5"/>
    <w:rsid w:val="007E3AAC"/>
    <w:rsid w:val="007E4506"/>
    <w:rsid w:val="007E4705"/>
    <w:rsid w:val="007E47ED"/>
    <w:rsid w:val="007E4BB8"/>
    <w:rsid w:val="007E5BA3"/>
    <w:rsid w:val="007E6C43"/>
    <w:rsid w:val="007E7322"/>
    <w:rsid w:val="007E75E0"/>
    <w:rsid w:val="007E7F0D"/>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1426"/>
    <w:rsid w:val="008122FC"/>
    <w:rsid w:val="008124ED"/>
    <w:rsid w:val="00812A62"/>
    <w:rsid w:val="00812F5F"/>
    <w:rsid w:val="00813454"/>
    <w:rsid w:val="00814982"/>
    <w:rsid w:val="008153DB"/>
    <w:rsid w:val="008156C4"/>
    <w:rsid w:val="008162EE"/>
    <w:rsid w:val="008166AD"/>
    <w:rsid w:val="00816858"/>
    <w:rsid w:val="008177D3"/>
    <w:rsid w:val="0082062E"/>
    <w:rsid w:val="008212B4"/>
    <w:rsid w:val="00821AB2"/>
    <w:rsid w:val="008221BD"/>
    <w:rsid w:val="008227A6"/>
    <w:rsid w:val="00823050"/>
    <w:rsid w:val="008236C1"/>
    <w:rsid w:val="008236C9"/>
    <w:rsid w:val="00824655"/>
    <w:rsid w:val="00824A83"/>
    <w:rsid w:val="00826023"/>
    <w:rsid w:val="00826DB2"/>
    <w:rsid w:val="0082713B"/>
    <w:rsid w:val="00831966"/>
    <w:rsid w:val="00831C50"/>
    <w:rsid w:val="00832054"/>
    <w:rsid w:val="00832A02"/>
    <w:rsid w:val="00832EE6"/>
    <w:rsid w:val="0083304D"/>
    <w:rsid w:val="008349DC"/>
    <w:rsid w:val="00836281"/>
    <w:rsid w:val="0083750C"/>
    <w:rsid w:val="00837800"/>
    <w:rsid w:val="00837999"/>
    <w:rsid w:val="008409A9"/>
    <w:rsid w:val="008414C9"/>
    <w:rsid w:val="0084152F"/>
    <w:rsid w:val="008416B0"/>
    <w:rsid w:val="00841AF4"/>
    <w:rsid w:val="00843078"/>
    <w:rsid w:val="00843D8C"/>
    <w:rsid w:val="00844A57"/>
    <w:rsid w:val="00844D5E"/>
    <w:rsid w:val="0084505E"/>
    <w:rsid w:val="00846AF0"/>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2C21"/>
    <w:rsid w:val="00883176"/>
    <w:rsid w:val="008839DF"/>
    <w:rsid w:val="00883E33"/>
    <w:rsid w:val="008840EB"/>
    <w:rsid w:val="00884E2C"/>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97877"/>
    <w:rsid w:val="008A0632"/>
    <w:rsid w:val="008A0F1D"/>
    <w:rsid w:val="008A1672"/>
    <w:rsid w:val="008A1CE8"/>
    <w:rsid w:val="008A4162"/>
    <w:rsid w:val="008A41D6"/>
    <w:rsid w:val="008A4B90"/>
    <w:rsid w:val="008A5100"/>
    <w:rsid w:val="008A5418"/>
    <w:rsid w:val="008A651B"/>
    <w:rsid w:val="008B10ED"/>
    <w:rsid w:val="008B1298"/>
    <w:rsid w:val="008B1514"/>
    <w:rsid w:val="008B5C38"/>
    <w:rsid w:val="008B61D4"/>
    <w:rsid w:val="008B626B"/>
    <w:rsid w:val="008B6512"/>
    <w:rsid w:val="008B7751"/>
    <w:rsid w:val="008B7ECB"/>
    <w:rsid w:val="008C0673"/>
    <w:rsid w:val="008C06F6"/>
    <w:rsid w:val="008C0D19"/>
    <w:rsid w:val="008C2007"/>
    <w:rsid w:val="008C347F"/>
    <w:rsid w:val="008C49D2"/>
    <w:rsid w:val="008C5ACD"/>
    <w:rsid w:val="008C6066"/>
    <w:rsid w:val="008D1055"/>
    <w:rsid w:val="008D242F"/>
    <w:rsid w:val="008D26C0"/>
    <w:rsid w:val="008D28F9"/>
    <w:rsid w:val="008D4813"/>
    <w:rsid w:val="008D5342"/>
    <w:rsid w:val="008D5348"/>
    <w:rsid w:val="008D658B"/>
    <w:rsid w:val="008D6F36"/>
    <w:rsid w:val="008D72F9"/>
    <w:rsid w:val="008D73A9"/>
    <w:rsid w:val="008D7591"/>
    <w:rsid w:val="008E1D0B"/>
    <w:rsid w:val="008E236B"/>
    <w:rsid w:val="008E286E"/>
    <w:rsid w:val="008E294F"/>
    <w:rsid w:val="008E37A0"/>
    <w:rsid w:val="008E41F7"/>
    <w:rsid w:val="008E4829"/>
    <w:rsid w:val="008E4B91"/>
    <w:rsid w:val="008E64BD"/>
    <w:rsid w:val="008E65BC"/>
    <w:rsid w:val="008E7307"/>
    <w:rsid w:val="008E740A"/>
    <w:rsid w:val="008F0846"/>
    <w:rsid w:val="008F0ED5"/>
    <w:rsid w:val="008F1716"/>
    <w:rsid w:val="008F1BE3"/>
    <w:rsid w:val="008F1F56"/>
    <w:rsid w:val="008F25B8"/>
    <w:rsid w:val="008F2C4A"/>
    <w:rsid w:val="008F2FC2"/>
    <w:rsid w:val="008F3C07"/>
    <w:rsid w:val="008F3D68"/>
    <w:rsid w:val="008F4422"/>
    <w:rsid w:val="008F4E21"/>
    <w:rsid w:val="008F5979"/>
    <w:rsid w:val="008F5DE0"/>
    <w:rsid w:val="008F6034"/>
    <w:rsid w:val="008F62F8"/>
    <w:rsid w:val="008F67F3"/>
    <w:rsid w:val="008F6A9E"/>
    <w:rsid w:val="008F7093"/>
    <w:rsid w:val="008F71A1"/>
    <w:rsid w:val="008F725C"/>
    <w:rsid w:val="00900A8D"/>
    <w:rsid w:val="00900DD8"/>
    <w:rsid w:val="00901184"/>
    <w:rsid w:val="009013AA"/>
    <w:rsid w:val="009016F3"/>
    <w:rsid w:val="00902F5A"/>
    <w:rsid w:val="00903452"/>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5A40"/>
    <w:rsid w:val="00916097"/>
    <w:rsid w:val="00916215"/>
    <w:rsid w:val="00916341"/>
    <w:rsid w:val="009166AF"/>
    <w:rsid w:val="0091681E"/>
    <w:rsid w:val="00917E4C"/>
    <w:rsid w:val="00920674"/>
    <w:rsid w:val="00920D96"/>
    <w:rsid w:val="00920E26"/>
    <w:rsid w:val="00920E67"/>
    <w:rsid w:val="009217F6"/>
    <w:rsid w:val="0092198A"/>
    <w:rsid w:val="009221B5"/>
    <w:rsid w:val="00923E21"/>
    <w:rsid w:val="00923E34"/>
    <w:rsid w:val="009249A1"/>
    <w:rsid w:val="009250E2"/>
    <w:rsid w:val="009253A5"/>
    <w:rsid w:val="009255C1"/>
    <w:rsid w:val="009259E5"/>
    <w:rsid w:val="00925C9B"/>
    <w:rsid w:val="00925CB4"/>
    <w:rsid w:val="0092627D"/>
    <w:rsid w:val="0092684B"/>
    <w:rsid w:val="00926FDA"/>
    <w:rsid w:val="00927B74"/>
    <w:rsid w:val="0093002C"/>
    <w:rsid w:val="00930B1F"/>
    <w:rsid w:val="0093125D"/>
    <w:rsid w:val="0093145E"/>
    <w:rsid w:val="009316DB"/>
    <w:rsid w:val="00931B23"/>
    <w:rsid w:val="00933085"/>
    <w:rsid w:val="0093327C"/>
    <w:rsid w:val="00933883"/>
    <w:rsid w:val="0093420E"/>
    <w:rsid w:val="009348D0"/>
    <w:rsid w:val="00934B1C"/>
    <w:rsid w:val="00935F0C"/>
    <w:rsid w:val="00935FE1"/>
    <w:rsid w:val="00936990"/>
    <w:rsid w:val="00937789"/>
    <w:rsid w:val="00937C3E"/>
    <w:rsid w:val="00940F3A"/>
    <w:rsid w:val="009417C2"/>
    <w:rsid w:val="00943098"/>
    <w:rsid w:val="009430FD"/>
    <w:rsid w:val="009436C5"/>
    <w:rsid w:val="00944C2D"/>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D6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38F0"/>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491E"/>
    <w:rsid w:val="009B566F"/>
    <w:rsid w:val="009B5DE8"/>
    <w:rsid w:val="009B5EB1"/>
    <w:rsid w:val="009B64FE"/>
    <w:rsid w:val="009B6821"/>
    <w:rsid w:val="009B731C"/>
    <w:rsid w:val="009B7B52"/>
    <w:rsid w:val="009C0F7A"/>
    <w:rsid w:val="009C244E"/>
    <w:rsid w:val="009C2CC4"/>
    <w:rsid w:val="009C40CB"/>
    <w:rsid w:val="009C42B3"/>
    <w:rsid w:val="009C595B"/>
    <w:rsid w:val="009C59E2"/>
    <w:rsid w:val="009C5EB1"/>
    <w:rsid w:val="009C60B9"/>
    <w:rsid w:val="009C6724"/>
    <w:rsid w:val="009C698B"/>
    <w:rsid w:val="009C6E4F"/>
    <w:rsid w:val="009C6EAA"/>
    <w:rsid w:val="009C7900"/>
    <w:rsid w:val="009C7B60"/>
    <w:rsid w:val="009D0564"/>
    <w:rsid w:val="009D09EF"/>
    <w:rsid w:val="009D0BD7"/>
    <w:rsid w:val="009D1BA8"/>
    <w:rsid w:val="009D1C98"/>
    <w:rsid w:val="009D2EA6"/>
    <w:rsid w:val="009D3C2A"/>
    <w:rsid w:val="009D4721"/>
    <w:rsid w:val="009D5141"/>
    <w:rsid w:val="009D7956"/>
    <w:rsid w:val="009E0027"/>
    <w:rsid w:val="009E077E"/>
    <w:rsid w:val="009E12A3"/>
    <w:rsid w:val="009E17A2"/>
    <w:rsid w:val="009E17A4"/>
    <w:rsid w:val="009E17EE"/>
    <w:rsid w:val="009E196D"/>
    <w:rsid w:val="009E2363"/>
    <w:rsid w:val="009E2F67"/>
    <w:rsid w:val="009E3162"/>
    <w:rsid w:val="009E38B5"/>
    <w:rsid w:val="009E43E5"/>
    <w:rsid w:val="009E46A3"/>
    <w:rsid w:val="009E4A5A"/>
    <w:rsid w:val="009E5BFA"/>
    <w:rsid w:val="009E69D8"/>
    <w:rsid w:val="009E79E8"/>
    <w:rsid w:val="009E7FBC"/>
    <w:rsid w:val="009F3FD5"/>
    <w:rsid w:val="009F41E7"/>
    <w:rsid w:val="009F4425"/>
    <w:rsid w:val="009F4432"/>
    <w:rsid w:val="009F4820"/>
    <w:rsid w:val="009F57E2"/>
    <w:rsid w:val="009F5842"/>
    <w:rsid w:val="009F699D"/>
    <w:rsid w:val="009F6FD2"/>
    <w:rsid w:val="009F7419"/>
    <w:rsid w:val="009F7550"/>
    <w:rsid w:val="00A000E8"/>
    <w:rsid w:val="00A013DD"/>
    <w:rsid w:val="00A02CC7"/>
    <w:rsid w:val="00A05452"/>
    <w:rsid w:val="00A0546E"/>
    <w:rsid w:val="00A05F7E"/>
    <w:rsid w:val="00A0647E"/>
    <w:rsid w:val="00A0690B"/>
    <w:rsid w:val="00A06ECC"/>
    <w:rsid w:val="00A070F0"/>
    <w:rsid w:val="00A07449"/>
    <w:rsid w:val="00A102E8"/>
    <w:rsid w:val="00A10546"/>
    <w:rsid w:val="00A1081B"/>
    <w:rsid w:val="00A1169B"/>
    <w:rsid w:val="00A1214D"/>
    <w:rsid w:val="00A1252B"/>
    <w:rsid w:val="00A132CD"/>
    <w:rsid w:val="00A133FB"/>
    <w:rsid w:val="00A13EDE"/>
    <w:rsid w:val="00A14667"/>
    <w:rsid w:val="00A1481A"/>
    <w:rsid w:val="00A1714E"/>
    <w:rsid w:val="00A174A5"/>
    <w:rsid w:val="00A20D12"/>
    <w:rsid w:val="00A20DAE"/>
    <w:rsid w:val="00A23229"/>
    <w:rsid w:val="00A23238"/>
    <w:rsid w:val="00A24640"/>
    <w:rsid w:val="00A24759"/>
    <w:rsid w:val="00A24D08"/>
    <w:rsid w:val="00A25BC6"/>
    <w:rsid w:val="00A2639C"/>
    <w:rsid w:val="00A268F8"/>
    <w:rsid w:val="00A269A4"/>
    <w:rsid w:val="00A26A8F"/>
    <w:rsid w:val="00A26C93"/>
    <w:rsid w:val="00A26D21"/>
    <w:rsid w:val="00A27EFE"/>
    <w:rsid w:val="00A308F3"/>
    <w:rsid w:val="00A30FB1"/>
    <w:rsid w:val="00A319D4"/>
    <w:rsid w:val="00A32061"/>
    <w:rsid w:val="00A324B6"/>
    <w:rsid w:val="00A32A1B"/>
    <w:rsid w:val="00A32DBB"/>
    <w:rsid w:val="00A33AF7"/>
    <w:rsid w:val="00A3515D"/>
    <w:rsid w:val="00A35437"/>
    <w:rsid w:val="00A364E6"/>
    <w:rsid w:val="00A36EFF"/>
    <w:rsid w:val="00A36F61"/>
    <w:rsid w:val="00A3731D"/>
    <w:rsid w:val="00A4003A"/>
    <w:rsid w:val="00A40556"/>
    <w:rsid w:val="00A4070A"/>
    <w:rsid w:val="00A4089C"/>
    <w:rsid w:val="00A4090B"/>
    <w:rsid w:val="00A40DF3"/>
    <w:rsid w:val="00A41480"/>
    <w:rsid w:val="00A419AC"/>
    <w:rsid w:val="00A420F2"/>
    <w:rsid w:val="00A436B5"/>
    <w:rsid w:val="00A44287"/>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199F"/>
    <w:rsid w:val="00A622B5"/>
    <w:rsid w:val="00A6419D"/>
    <w:rsid w:val="00A6494C"/>
    <w:rsid w:val="00A64DC9"/>
    <w:rsid w:val="00A65C92"/>
    <w:rsid w:val="00A67172"/>
    <w:rsid w:val="00A67374"/>
    <w:rsid w:val="00A67CEB"/>
    <w:rsid w:val="00A67D65"/>
    <w:rsid w:val="00A67FDB"/>
    <w:rsid w:val="00A7023B"/>
    <w:rsid w:val="00A70520"/>
    <w:rsid w:val="00A70A4F"/>
    <w:rsid w:val="00A70F54"/>
    <w:rsid w:val="00A71234"/>
    <w:rsid w:val="00A71E62"/>
    <w:rsid w:val="00A723DF"/>
    <w:rsid w:val="00A72F68"/>
    <w:rsid w:val="00A730DD"/>
    <w:rsid w:val="00A731A2"/>
    <w:rsid w:val="00A73400"/>
    <w:rsid w:val="00A73E2D"/>
    <w:rsid w:val="00A74916"/>
    <w:rsid w:val="00A76288"/>
    <w:rsid w:val="00A76BE8"/>
    <w:rsid w:val="00A80C9A"/>
    <w:rsid w:val="00A81297"/>
    <w:rsid w:val="00A825ED"/>
    <w:rsid w:val="00A846D2"/>
    <w:rsid w:val="00A84ABA"/>
    <w:rsid w:val="00A86120"/>
    <w:rsid w:val="00A86C08"/>
    <w:rsid w:val="00A87FD1"/>
    <w:rsid w:val="00A909F5"/>
    <w:rsid w:val="00A9111F"/>
    <w:rsid w:val="00A91B13"/>
    <w:rsid w:val="00A92ECE"/>
    <w:rsid w:val="00A9337C"/>
    <w:rsid w:val="00A93486"/>
    <w:rsid w:val="00A94625"/>
    <w:rsid w:val="00A95020"/>
    <w:rsid w:val="00A95AEE"/>
    <w:rsid w:val="00A96C2A"/>
    <w:rsid w:val="00A97655"/>
    <w:rsid w:val="00A97748"/>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A54"/>
    <w:rsid w:val="00AB3621"/>
    <w:rsid w:val="00AB4005"/>
    <w:rsid w:val="00AB45F9"/>
    <w:rsid w:val="00AB6598"/>
    <w:rsid w:val="00AB6ED0"/>
    <w:rsid w:val="00AC0878"/>
    <w:rsid w:val="00AC113B"/>
    <w:rsid w:val="00AC1A6A"/>
    <w:rsid w:val="00AC1A86"/>
    <w:rsid w:val="00AC1D1F"/>
    <w:rsid w:val="00AC2106"/>
    <w:rsid w:val="00AC28F0"/>
    <w:rsid w:val="00AC2D54"/>
    <w:rsid w:val="00AC2E6A"/>
    <w:rsid w:val="00AC2F9A"/>
    <w:rsid w:val="00AC3266"/>
    <w:rsid w:val="00AC3A7F"/>
    <w:rsid w:val="00AC414F"/>
    <w:rsid w:val="00AC4762"/>
    <w:rsid w:val="00AC4ECC"/>
    <w:rsid w:val="00AD1F70"/>
    <w:rsid w:val="00AD2457"/>
    <w:rsid w:val="00AD2585"/>
    <w:rsid w:val="00AD2B50"/>
    <w:rsid w:val="00AD3A6B"/>
    <w:rsid w:val="00AD4511"/>
    <w:rsid w:val="00AD458D"/>
    <w:rsid w:val="00AD49C1"/>
    <w:rsid w:val="00AD53EF"/>
    <w:rsid w:val="00AD5C74"/>
    <w:rsid w:val="00AD76A8"/>
    <w:rsid w:val="00AD76C3"/>
    <w:rsid w:val="00AD7A46"/>
    <w:rsid w:val="00AD7AA7"/>
    <w:rsid w:val="00AD7D0C"/>
    <w:rsid w:val="00AE0346"/>
    <w:rsid w:val="00AE0FFC"/>
    <w:rsid w:val="00AE119D"/>
    <w:rsid w:val="00AE2C3A"/>
    <w:rsid w:val="00AE4F9D"/>
    <w:rsid w:val="00AE50F7"/>
    <w:rsid w:val="00AE5EAF"/>
    <w:rsid w:val="00AE77F4"/>
    <w:rsid w:val="00AE7833"/>
    <w:rsid w:val="00AF00D7"/>
    <w:rsid w:val="00AF04D7"/>
    <w:rsid w:val="00AF09C3"/>
    <w:rsid w:val="00AF0B16"/>
    <w:rsid w:val="00AF11BA"/>
    <w:rsid w:val="00AF140B"/>
    <w:rsid w:val="00AF3175"/>
    <w:rsid w:val="00AF3CC5"/>
    <w:rsid w:val="00AF4825"/>
    <w:rsid w:val="00AF5982"/>
    <w:rsid w:val="00AF5FF7"/>
    <w:rsid w:val="00AF6419"/>
    <w:rsid w:val="00AF6FC9"/>
    <w:rsid w:val="00AF7938"/>
    <w:rsid w:val="00AF7F67"/>
    <w:rsid w:val="00B00A6C"/>
    <w:rsid w:val="00B01616"/>
    <w:rsid w:val="00B01885"/>
    <w:rsid w:val="00B01C62"/>
    <w:rsid w:val="00B01D38"/>
    <w:rsid w:val="00B0285E"/>
    <w:rsid w:val="00B0397B"/>
    <w:rsid w:val="00B044DC"/>
    <w:rsid w:val="00B046E0"/>
    <w:rsid w:val="00B0653F"/>
    <w:rsid w:val="00B0655D"/>
    <w:rsid w:val="00B100FE"/>
    <w:rsid w:val="00B10239"/>
    <w:rsid w:val="00B10E27"/>
    <w:rsid w:val="00B10E45"/>
    <w:rsid w:val="00B12790"/>
    <w:rsid w:val="00B12DB3"/>
    <w:rsid w:val="00B14C14"/>
    <w:rsid w:val="00B152CC"/>
    <w:rsid w:val="00B15CCB"/>
    <w:rsid w:val="00B16297"/>
    <w:rsid w:val="00B20BE9"/>
    <w:rsid w:val="00B221B7"/>
    <w:rsid w:val="00B231C6"/>
    <w:rsid w:val="00B236B1"/>
    <w:rsid w:val="00B2445B"/>
    <w:rsid w:val="00B24461"/>
    <w:rsid w:val="00B24ACD"/>
    <w:rsid w:val="00B276DA"/>
    <w:rsid w:val="00B27796"/>
    <w:rsid w:val="00B3028C"/>
    <w:rsid w:val="00B304AB"/>
    <w:rsid w:val="00B306B3"/>
    <w:rsid w:val="00B30A87"/>
    <w:rsid w:val="00B317DB"/>
    <w:rsid w:val="00B3192D"/>
    <w:rsid w:val="00B31AA8"/>
    <w:rsid w:val="00B320FC"/>
    <w:rsid w:val="00B329A0"/>
    <w:rsid w:val="00B34681"/>
    <w:rsid w:val="00B34D6B"/>
    <w:rsid w:val="00B35883"/>
    <w:rsid w:val="00B3592B"/>
    <w:rsid w:val="00B3614D"/>
    <w:rsid w:val="00B36816"/>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9FD"/>
    <w:rsid w:val="00B51B97"/>
    <w:rsid w:val="00B527BD"/>
    <w:rsid w:val="00B529D2"/>
    <w:rsid w:val="00B5321B"/>
    <w:rsid w:val="00B54469"/>
    <w:rsid w:val="00B54C31"/>
    <w:rsid w:val="00B5548A"/>
    <w:rsid w:val="00B55F09"/>
    <w:rsid w:val="00B5611F"/>
    <w:rsid w:val="00B56B16"/>
    <w:rsid w:val="00B57955"/>
    <w:rsid w:val="00B60AFB"/>
    <w:rsid w:val="00B61E59"/>
    <w:rsid w:val="00B6247D"/>
    <w:rsid w:val="00B63B4E"/>
    <w:rsid w:val="00B65249"/>
    <w:rsid w:val="00B65F5B"/>
    <w:rsid w:val="00B661E4"/>
    <w:rsid w:val="00B6709A"/>
    <w:rsid w:val="00B674E9"/>
    <w:rsid w:val="00B71539"/>
    <w:rsid w:val="00B7170D"/>
    <w:rsid w:val="00B71EBC"/>
    <w:rsid w:val="00B721D5"/>
    <w:rsid w:val="00B724EB"/>
    <w:rsid w:val="00B73086"/>
    <w:rsid w:val="00B75278"/>
    <w:rsid w:val="00B7656B"/>
    <w:rsid w:val="00B76640"/>
    <w:rsid w:val="00B76EF7"/>
    <w:rsid w:val="00B77628"/>
    <w:rsid w:val="00B80503"/>
    <w:rsid w:val="00B805CC"/>
    <w:rsid w:val="00B822F1"/>
    <w:rsid w:val="00B82E41"/>
    <w:rsid w:val="00B83497"/>
    <w:rsid w:val="00B8431C"/>
    <w:rsid w:val="00B845AA"/>
    <w:rsid w:val="00B84698"/>
    <w:rsid w:val="00B8484C"/>
    <w:rsid w:val="00B852B1"/>
    <w:rsid w:val="00B86681"/>
    <w:rsid w:val="00B86B8C"/>
    <w:rsid w:val="00B870D7"/>
    <w:rsid w:val="00B872B6"/>
    <w:rsid w:val="00B87892"/>
    <w:rsid w:val="00B87DCC"/>
    <w:rsid w:val="00B91F31"/>
    <w:rsid w:val="00B92F27"/>
    <w:rsid w:val="00B9326D"/>
    <w:rsid w:val="00B94772"/>
    <w:rsid w:val="00B94AE5"/>
    <w:rsid w:val="00B95C43"/>
    <w:rsid w:val="00B95F14"/>
    <w:rsid w:val="00B9622B"/>
    <w:rsid w:val="00B9624C"/>
    <w:rsid w:val="00B9648C"/>
    <w:rsid w:val="00B96FBF"/>
    <w:rsid w:val="00B97FD5"/>
    <w:rsid w:val="00BA126A"/>
    <w:rsid w:val="00BA1B4A"/>
    <w:rsid w:val="00BA2154"/>
    <w:rsid w:val="00BA2288"/>
    <w:rsid w:val="00BA22BA"/>
    <w:rsid w:val="00BA2CE1"/>
    <w:rsid w:val="00BA316E"/>
    <w:rsid w:val="00BA31BC"/>
    <w:rsid w:val="00BA4F83"/>
    <w:rsid w:val="00BA5055"/>
    <w:rsid w:val="00BA5103"/>
    <w:rsid w:val="00BA545C"/>
    <w:rsid w:val="00BA569F"/>
    <w:rsid w:val="00BA7CB9"/>
    <w:rsid w:val="00BB01C7"/>
    <w:rsid w:val="00BB044E"/>
    <w:rsid w:val="00BB085C"/>
    <w:rsid w:val="00BB0FA8"/>
    <w:rsid w:val="00BB11D3"/>
    <w:rsid w:val="00BB14E0"/>
    <w:rsid w:val="00BB1845"/>
    <w:rsid w:val="00BB2605"/>
    <w:rsid w:val="00BB3463"/>
    <w:rsid w:val="00BB39F5"/>
    <w:rsid w:val="00BB4564"/>
    <w:rsid w:val="00BB46CE"/>
    <w:rsid w:val="00BB4A02"/>
    <w:rsid w:val="00BB55B0"/>
    <w:rsid w:val="00BB6CEF"/>
    <w:rsid w:val="00BB7315"/>
    <w:rsid w:val="00BC0912"/>
    <w:rsid w:val="00BC0A99"/>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AB5"/>
    <w:rsid w:val="00BE1DDF"/>
    <w:rsid w:val="00BE1E1A"/>
    <w:rsid w:val="00BE5681"/>
    <w:rsid w:val="00BE7099"/>
    <w:rsid w:val="00BE72B3"/>
    <w:rsid w:val="00BE741A"/>
    <w:rsid w:val="00BF19D9"/>
    <w:rsid w:val="00BF214C"/>
    <w:rsid w:val="00BF3863"/>
    <w:rsid w:val="00BF3F95"/>
    <w:rsid w:val="00BF47D7"/>
    <w:rsid w:val="00BF5651"/>
    <w:rsid w:val="00BF5C8D"/>
    <w:rsid w:val="00BF6A44"/>
    <w:rsid w:val="00BF6E17"/>
    <w:rsid w:val="00BF7754"/>
    <w:rsid w:val="00BF789F"/>
    <w:rsid w:val="00C004EF"/>
    <w:rsid w:val="00C00601"/>
    <w:rsid w:val="00C01FF8"/>
    <w:rsid w:val="00C04380"/>
    <w:rsid w:val="00C04730"/>
    <w:rsid w:val="00C049A9"/>
    <w:rsid w:val="00C04BEA"/>
    <w:rsid w:val="00C04C46"/>
    <w:rsid w:val="00C05309"/>
    <w:rsid w:val="00C05B57"/>
    <w:rsid w:val="00C0606C"/>
    <w:rsid w:val="00C0738A"/>
    <w:rsid w:val="00C07577"/>
    <w:rsid w:val="00C07D45"/>
    <w:rsid w:val="00C103B9"/>
    <w:rsid w:val="00C10B33"/>
    <w:rsid w:val="00C10EE7"/>
    <w:rsid w:val="00C11594"/>
    <w:rsid w:val="00C1292C"/>
    <w:rsid w:val="00C13F3F"/>
    <w:rsid w:val="00C14A69"/>
    <w:rsid w:val="00C15324"/>
    <w:rsid w:val="00C15A00"/>
    <w:rsid w:val="00C161CB"/>
    <w:rsid w:val="00C17328"/>
    <w:rsid w:val="00C2033A"/>
    <w:rsid w:val="00C21B75"/>
    <w:rsid w:val="00C22D97"/>
    <w:rsid w:val="00C25637"/>
    <w:rsid w:val="00C25FA7"/>
    <w:rsid w:val="00C26A0E"/>
    <w:rsid w:val="00C2724E"/>
    <w:rsid w:val="00C275A9"/>
    <w:rsid w:val="00C310D1"/>
    <w:rsid w:val="00C316DD"/>
    <w:rsid w:val="00C31C15"/>
    <w:rsid w:val="00C31D45"/>
    <w:rsid w:val="00C31D9C"/>
    <w:rsid w:val="00C31E3F"/>
    <w:rsid w:val="00C32907"/>
    <w:rsid w:val="00C3335D"/>
    <w:rsid w:val="00C33F71"/>
    <w:rsid w:val="00C33F9D"/>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4DC4"/>
    <w:rsid w:val="00C45042"/>
    <w:rsid w:val="00C45F69"/>
    <w:rsid w:val="00C462A9"/>
    <w:rsid w:val="00C47B52"/>
    <w:rsid w:val="00C5019E"/>
    <w:rsid w:val="00C50C6D"/>
    <w:rsid w:val="00C50F3E"/>
    <w:rsid w:val="00C512F6"/>
    <w:rsid w:val="00C516C5"/>
    <w:rsid w:val="00C51B20"/>
    <w:rsid w:val="00C52A39"/>
    <w:rsid w:val="00C52B46"/>
    <w:rsid w:val="00C52FEF"/>
    <w:rsid w:val="00C53871"/>
    <w:rsid w:val="00C540FA"/>
    <w:rsid w:val="00C54DB1"/>
    <w:rsid w:val="00C54DEC"/>
    <w:rsid w:val="00C56321"/>
    <w:rsid w:val="00C5677E"/>
    <w:rsid w:val="00C56A63"/>
    <w:rsid w:val="00C573F9"/>
    <w:rsid w:val="00C57901"/>
    <w:rsid w:val="00C57CE2"/>
    <w:rsid w:val="00C619EA"/>
    <w:rsid w:val="00C61AA2"/>
    <w:rsid w:val="00C61C37"/>
    <w:rsid w:val="00C622F4"/>
    <w:rsid w:val="00C62F58"/>
    <w:rsid w:val="00C63338"/>
    <w:rsid w:val="00C63800"/>
    <w:rsid w:val="00C638FA"/>
    <w:rsid w:val="00C64273"/>
    <w:rsid w:val="00C64897"/>
    <w:rsid w:val="00C659D5"/>
    <w:rsid w:val="00C65B4F"/>
    <w:rsid w:val="00C65D5E"/>
    <w:rsid w:val="00C66E57"/>
    <w:rsid w:val="00C6764A"/>
    <w:rsid w:val="00C701EB"/>
    <w:rsid w:val="00C70242"/>
    <w:rsid w:val="00C70B66"/>
    <w:rsid w:val="00C70D0A"/>
    <w:rsid w:val="00C71998"/>
    <w:rsid w:val="00C71B60"/>
    <w:rsid w:val="00C722D5"/>
    <w:rsid w:val="00C72FCC"/>
    <w:rsid w:val="00C74002"/>
    <w:rsid w:val="00C75174"/>
    <w:rsid w:val="00C7562E"/>
    <w:rsid w:val="00C76C12"/>
    <w:rsid w:val="00C77128"/>
    <w:rsid w:val="00C773A6"/>
    <w:rsid w:val="00C80CAD"/>
    <w:rsid w:val="00C814DA"/>
    <w:rsid w:val="00C81682"/>
    <w:rsid w:val="00C82995"/>
    <w:rsid w:val="00C82AB6"/>
    <w:rsid w:val="00C83116"/>
    <w:rsid w:val="00C8343B"/>
    <w:rsid w:val="00C84E1D"/>
    <w:rsid w:val="00C85443"/>
    <w:rsid w:val="00C864F7"/>
    <w:rsid w:val="00C87155"/>
    <w:rsid w:val="00C90A36"/>
    <w:rsid w:val="00C911CC"/>
    <w:rsid w:val="00C925F6"/>
    <w:rsid w:val="00C93FA3"/>
    <w:rsid w:val="00C940DD"/>
    <w:rsid w:val="00C947C4"/>
    <w:rsid w:val="00C95E3B"/>
    <w:rsid w:val="00C969A5"/>
    <w:rsid w:val="00C97107"/>
    <w:rsid w:val="00CA0577"/>
    <w:rsid w:val="00CA0746"/>
    <w:rsid w:val="00CA07EF"/>
    <w:rsid w:val="00CA1E67"/>
    <w:rsid w:val="00CA1E81"/>
    <w:rsid w:val="00CA2258"/>
    <w:rsid w:val="00CA2433"/>
    <w:rsid w:val="00CA2565"/>
    <w:rsid w:val="00CA3522"/>
    <w:rsid w:val="00CA444D"/>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47B9"/>
    <w:rsid w:val="00CC60AE"/>
    <w:rsid w:val="00CC63BE"/>
    <w:rsid w:val="00CC7AA1"/>
    <w:rsid w:val="00CC7FD9"/>
    <w:rsid w:val="00CD00E5"/>
    <w:rsid w:val="00CD01C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E9A"/>
    <w:rsid w:val="00CF2AE9"/>
    <w:rsid w:val="00CF2FA8"/>
    <w:rsid w:val="00CF3215"/>
    <w:rsid w:val="00CF34F6"/>
    <w:rsid w:val="00CF583E"/>
    <w:rsid w:val="00CF5D70"/>
    <w:rsid w:val="00CF737B"/>
    <w:rsid w:val="00CF7D56"/>
    <w:rsid w:val="00CF7EB8"/>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1542C"/>
    <w:rsid w:val="00D2018C"/>
    <w:rsid w:val="00D202E0"/>
    <w:rsid w:val="00D210BC"/>
    <w:rsid w:val="00D21120"/>
    <w:rsid w:val="00D220AD"/>
    <w:rsid w:val="00D22173"/>
    <w:rsid w:val="00D23071"/>
    <w:rsid w:val="00D238C1"/>
    <w:rsid w:val="00D23D3B"/>
    <w:rsid w:val="00D24E9D"/>
    <w:rsid w:val="00D25F6C"/>
    <w:rsid w:val="00D2738D"/>
    <w:rsid w:val="00D274FC"/>
    <w:rsid w:val="00D2751E"/>
    <w:rsid w:val="00D27D65"/>
    <w:rsid w:val="00D3179A"/>
    <w:rsid w:val="00D32262"/>
    <w:rsid w:val="00D3253A"/>
    <w:rsid w:val="00D32652"/>
    <w:rsid w:val="00D3409E"/>
    <w:rsid w:val="00D342E6"/>
    <w:rsid w:val="00D346E4"/>
    <w:rsid w:val="00D34E95"/>
    <w:rsid w:val="00D3527B"/>
    <w:rsid w:val="00D358F6"/>
    <w:rsid w:val="00D363AF"/>
    <w:rsid w:val="00D40735"/>
    <w:rsid w:val="00D4083D"/>
    <w:rsid w:val="00D410AC"/>
    <w:rsid w:val="00D41598"/>
    <w:rsid w:val="00D4199E"/>
    <w:rsid w:val="00D41B26"/>
    <w:rsid w:val="00D42A69"/>
    <w:rsid w:val="00D42F46"/>
    <w:rsid w:val="00D440A8"/>
    <w:rsid w:val="00D45703"/>
    <w:rsid w:val="00D50BDE"/>
    <w:rsid w:val="00D515E2"/>
    <w:rsid w:val="00D51619"/>
    <w:rsid w:val="00D51B4E"/>
    <w:rsid w:val="00D51C6D"/>
    <w:rsid w:val="00D51C93"/>
    <w:rsid w:val="00D525D5"/>
    <w:rsid w:val="00D52EB6"/>
    <w:rsid w:val="00D53C6C"/>
    <w:rsid w:val="00D5465B"/>
    <w:rsid w:val="00D546E3"/>
    <w:rsid w:val="00D54983"/>
    <w:rsid w:val="00D54E36"/>
    <w:rsid w:val="00D54E7A"/>
    <w:rsid w:val="00D55569"/>
    <w:rsid w:val="00D55588"/>
    <w:rsid w:val="00D557DB"/>
    <w:rsid w:val="00D5681E"/>
    <w:rsid w:val="00D56C59"/>
    <w:rsid w:val="00D56EEC"/>
    <w:rsid w:val="00D57DB1"/>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3E64"/>
    <w:rsid w:val="00D7449C"/>
    <w:rsid w:val="00D74505"/>
    <w:rsid w:val="00D751B3"/>
    <w:rsid w:val="00D756D3"/>
    <w:rsid w:val="00D75EA0"/>
    <w:rsid w:val="00D7633F"/>
    <w:rsid w:val="00D76EEB"/>
    <w:rsid w:val="00D773F4"/>
    <w:rsid w:val="00D779A2"/>
    <w:rsid w:val="00D77A64"/>
    <w:rsid w:val="00D8028C"/>
    <w:rsid w:val="00D807EA"/>
    <w:rsid w:val="00D837E4"/>
    <w:rsid w:val="00D838B0"/>
    <w:rsid w:val="00D83D47"/>
    <w:rsid w:val="00D83F02"/>
    <w:rsid w:val="00D83FA3"/>
    <w:rsid w:val="00D8488D"/>
    <w:rsid w:val="00D84FFC"/>
    <w:rsid w:val="00D85DD8"/>
    <w:rsid w:val="00D869A8"/>
    <w:rsid w:val="00D86C7B"/>
    <w:rsid w:val="00D90255"/>
    <w:rsid w:val="00D9091F"/>
    <w:rsid w:val="00D90EBE"/>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4786"/>
    <w:rsid w:val="00DB5141"/>
    <w:rsid w:val="00DB5A98"/>
    <w:rsid w:val="00DB5FEF"/>
    <w:rsid w:val="00DB64F0"/>
    <w:rsid w:val="00DB68B1"/>
    <w:rsid w:val="00DB784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3B54"/>
    <w:rsid w:val="00DD4806"/>
    <w:rsid w:val="00DD4888"/>
    <w:rsid w:val="00DD5009"/>
    <w:rsid w:val="00DD53AB"/>
    <w:rsid w:val="00DD64CF"/>
    <w:rsid w:val="00DD75BE"/>
    <w:rsid w:val="00DE095D"/>
    <w:rsid w:val="00DE1D90"/>
    <w:rsid w:val="00DE376D"/>
    <w:rsid w:val="00DE408C"/>
    <w:rsid w:val="00DE44ED"/>
    <w:rsid w:val="00DE5E4C"/>
    <w:rsid w:val="00DE619F"/>
    <w:rsid w:val="00DE71ED"/>
    <w:rsid w:val="00DF0160"/>
    <w:rsid w:val="00DF02ED"/>
    <w:rsid w:val="00DF0CAC"/>
    <w:rsid w:val="00DF1F3C"/>
    <w:rsid w:val="00DF2484"/>
    <w:rsid w:val="00DF265E"/>
    <w:rsid w:val="00DF389B"/>
    <w:rsid w:val="00DF4BE8"/>
    <w:rsid w:val="00DF6D87"/>
    <w:rsid w:val="00DF776F"/>
    <w:rsid w:val="00DF7F3F"/>
    <w:rsid w:val="00E00020"/>
    <w:rsid w:val="00E00CA5"/>
    <w:rsid w:val="00E00DF6"/>
    <w:rsid w:val="00E01487"/>
    <w:rsid w:val="00E02436"/>
    <w:rsid w:val="00E027A0"/>
    <w:rsid w:val="00E02A89"/>
    <w:rsid w:val="00E02E71"/>
    <w:rsid w:val="00E03C4C"/>
    <w:rsid w:val="00E03CC8"/>
    <w:rsid w:val="00E03FE5"/>
    <w:rsid w:val="00E04E74"/>
    <w:rsid w:val="00E04ECB"/>
    <w:rsid w:val="00E05C40"/>
    <w:rsid w:val="00E05C49"/>
    <w:rsid w:val="00E05DBE"/>
    <w:rsid w:val="00E06F3E"/>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6045"/>
    <w:rsid w:val="00E17458"/>
    <w:rsid w:val="00E17C29"/>
    <w:rsid w:val="00E202CC"/>
    <w:rsid w:val="00E21206"/>
    <w:rsid w:val="00E2189A"/>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6FA"/>
    <w:rsid w:val="00E3328F"/>
    <w:rsid w:val="00E33C84"/>
    <w:rsid w:val="00E34938"/>
    <w:rsid w:val="00E355B2"/>
    <w:rsid w:val="00E35CA9"/>
    <w:rsid w:val="00E35F12"/>
    <w:rsid w:val="00E367E4"/>
    <w:rsid w:val="00E3746C"/>
    <w:rsid w:val="00E37520"/>
    <w:rsid w:val="00E3756E"/>
    <w:rsid w:val="00E37B17"/>
    <w:rsid w:val="00E37CF5"/>
    <w:rsid w:val="00E40E3A"/>
    <w:rsid w:val="00E41938"/>
    <w:rsid w:val="00E444F6"/>
    <w:rsid w:val="00E45827"/>
    <w:rsid w:val="00E4586A"/>
    <w:rsid w:val="00E464FA"/>
    <w:rsid w:val="00E472BF"/>
    <w:rsid w:val="00E47701"/>
    <w:rsid w:val="00E527B8"/>
    <w:rsid w:val="00E529BB"/>
    <w:rsid w:val="00E53A46"/>
    <w:rsid w:val="00E53D7F"/>
    <w:rsid w:val="00E55949"/>
    <w:rsid w:val="00E56080"/>
    <w:rsid w:val="00E56424"/>
    <w:rsid w:val="00E61F48"/>
    <w:rsid w:val="00E62A2A"/>
    <w:rsid w:val="00E62E43"/>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8548D"/>
    <w:rsid w:val="00E900E7"/>
    <w:rsid w:val="00E9112C"/>
    <w:rsid w:val="00E9116D"/>
    <w:rsid w:val="00E9166E"/>
    <w:rsid w:val="00E91DE5"/>
    <w:rsid w:val="00E92750"/>
    <w:rsid w:val="00E92DC0"/>
    <w:rsid w:val="00E93259"/>
    <w:rsid w:val="00E93766"/>
    <w:rsid w:val="00E943E3"/>
    <w:rsid w:val="00E94911"/>
    <w:rsid w:val="00E95C5E"/>
    <w:rsid w:val="00E96895"/>
    <w:rsid w:val="00E96982"/>
    <w:rsid w:val="00E977BC"/>
    <w:rsid w:val="00E978F5"/>
    <w:rsid w:val="00E97B2E"/>
    <w:rsid w:val="00EA064D"/>
    <w:rsid w:val="00EA06F4"/>
    <w:rsid w:val="00EA177B"/>
    <w:rsid w:val="00EA1CC0"/>
    <w:rsid w:val="00EA2115"/>
    <w:rsid w:val="00EA237A"/>
    <w:rsid w:val="00EA2714"/>
    <w:rsid w:val="00EA28AE"/>
    <w:rsid w:val="00EA4D99"/>
    <w:rsid w:val="00EA4DF1"/>
    <w:rsid w:val="00EA57A2"/>
    <w:rsid w:val="00EA7681"/>
    <w:rsid w:val="00EB095E"/>
    <w:rsid w:val="00EB0DA9"/>
    <w:rsid w:val="00EB10FE"/>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0E59"/>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2FD6"/>
    <w:rsid w:val="00EF3510"/>
    <w:rsid w:val="00EF3966"/>
    <w:rsid w:val="00EF5426"/>
    <w:rsid w:val="00EF5D72"/>
    <w:rsid w:val="00EF5E27"/>
    <w:rsid w:val="00EF6051"/>
    <w:rsid w:val="00EF73CA"/>
    <w:rsid w:val="00EF74DA"/>
    <w:rsid w:val="00EF7E31"/>
    <w:rsid w:val="00EF7EDD"/>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AE0"/>
    <w:rsid w:val="00F24CFB"/>
    <w:rsid w:val="00F25885"/>
    <w:rsid w:val="00F25957"/>
    <w:rsid w:val="00F25E06"/>
    <w:rsid w:val="00F25F92"/>
    <w:rsid w:val="00F2678B"/>
    <w:rsid w:val="00F26A46"/>
    <w:rsid w:val="00F274F6"/>
    <w:rsid w:val="00F278CC"/>
    <w:rsid w:val="00F2798F"/>
    <w:rsid w:val="00F27BE9"/>
    <w:rsid w:val="00F27F4A"/>
    <w:rsid w:val="00F302E0"/>
    <w:rsid w:val="00F3083F"/>
    <w:rsid w:val="00F30BBA"/>
    <w:rsid w:val="00F30F21"/>
    <w:rsid w:val="00F31334"/>
    <w:rsid w:val="00F31998"/>
    <w:rsid w:val="00F32963"/>
    <w:rsid w:val="00F32B15"/>
    <w:rsid w:val="00F340BF"/>
    <w:rsid w:val="00F3468F"/>
    <w:rsid w:val="00F352A9"/>
    <w:rsid w:val="00F35D20"/>
    <w:rsid w:val="00F3645A"/>
    <w:rsid w:val="00F37A38"/>
    <w:rsid w:val="00F37D59"/>
    <w:rsid w:val="00F40F2E"/>
    <w:rsid w:val="00F41DCF"/>
    <w:rsid w:val="00F424BF"/>
    <w:rsid w:val="00F42748"/>
    <w:rsid w:val="00F432A5"/>
    <w:rsid w:val="00F43A25"/>
    <w:rsid w:val="00F43E17"/>
    <w:rsid w:val="00F46088"/>
    <w:rsid w:val="00F46890"/>
    <w:rsid w:val="00F46E1B"/>
    <w:rsid w:val="00F47840"/>
    <w:rsid w:val="00F50068"/>
    <w:rsid w:val="00F50DBD"/>
    <w:rsid w:val="00F51737"/>
    <w:rsid w:val="00F51C76"/>
    <w:rsid w:val="00F51DEA"/>
    <w:rsid w:val="00F53163"/>
    <w:rsid w:val="00F53D26"/>
    <w:rsid w:val="00F54C8F"/>
    <w:rsid w:val="00F54FAB"/>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44CF"/>
    <w:rsid w:val="00F76686"/>
    <w:rsid w:val="00F768D3"/>
    <w:rsid w:val="00F7724A"/>
    <w:rsid w:val="00F8008E"/>
    <w:rsid w:val="00F80FB2"/>
    <w:rsid w:val="00F81867"/>
    <w:rsid w:val="00F82EE6"/>
    <w:rsid w:val="00F83DBC"/>
    <w:rsid w:val="00F84FFD"/>
    <w:rsid w:val="00F85D32"/>
    <w:rsid w:val="00F860BC"/>
    <w:rsid w:val="00F8640C"/>
    <w:rsid w:val="00F868E4"/>
    <w:rsid w:val="00F86D05"/>
    <w:rsid w:val="00F876E2"/>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971D2"/>
    <w:rsid w:val="00F97CA6"/>
    <w:rsid w:val="00FA0E41"/>
    <w:rsid w:val="00FA10C7"/>
    <w:rsid w:val="00FA13DF"/>
    <w:rsid w:val="00FA164F"/>
    <w:rsid w:val="00FA1CF2"/>
    <w:rsid w:val="00FA247F"/>
    <w:rsid w:val="00FA275E"/>
    <w:rsid w:val="00FA3505"/>
    <w:rsid w:val="00FA36CC"/>
    <w:rsid w:val="00FA4078"/>
    <w:rsid w:val="00FA4178"/>
    <w:rsid w:val="00FA47F9"/>
    <w:rsid w:val="00FA4F1B"/>
    <w:rsid w:val="00FA687A"/>
    <w:rsid w:val="00FA6F6A"/>
    <w:rsid w:val="00FA73BF"/>
    <w:rsid w:val="00FA796B"/>
    <w:rsid w:val="00FB05E1"/>
    <w:rsid w:val="00FB0D1F"/>
    <w:rsid w:val="00FB189B"/>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013B"/>
    <w:rsid w:val="00FD1061"/>
    <w:rsid w:val="00FD1A35"/>
    <w:rsid w:val="00FD246D"/>
    <w:rsid w:val="00FD24BC"/>
    <w:rsid w:val="00FD5F42"/>
    <w:rsid w:val="00FD6657"/>
    <w:rsid w:val="00FD6DE3"/>
    <w:rsid w:val="00FD7020"/>
    <w:rsid w:val="00FD7102"/>
    <w:rsid w:val="00FD7308"/>
    <w:rsid w:val="00FD77AC"/>
    <w:rsid w:val="00FD789D"/>
    <w:rsid w:val="00FE05AA"/>
    <w:rsid w:val="00FE0B98"/>
    <w:rsid w:val="00FE0D74"/>
    <w:rsid w:val="00FE1082"/>
    <w:rsid w:val="00FE20E2"/>
    <w:rsid w:val="00FE2383"/>
    <w:rsid w:val="00FE2FA7"/>
    <w:rsid w:val="00FE44AE"/>
    <w:rsid w:val="00FE5C72"/>
    <w:rsid w:val="00FE6C5B"/>
    <w:rsid w:val="00FE6FED"/>
    <w:rsid w:val="00FE7259"/>
    <w:rsid w:val="00FE7953"/>
    <w:rsid w:val="00FF07D9"/>
    <w:rsid w:val="00FF1E65"/>
    <w:rsid w:val="00FF22F6"/>
    <w:rsid w:val="00FF44E9"/>
    <w:rsid w:val="00FF46BF"/>
    <w:rsid w:val="00FF4A85"/>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D09C4AE-F1E1-4E97-A378-75C32D27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AB5"/>
    <w:rPr>
      <w:rFonts w:eastAsia="MS Mincho"/>
      <w:sz w:val="24"/>
      <w:szCs w:val="24"/>
      <w:lang w:val="sq-AL" w:eastAsia="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BE1AB5"/>
    <w:pPr>
      <w:keepNext/>
      <w:autoSpaceDE w:val="0"/>
      <w:autoSpaceDN w:val="0"/>
      <w:adjustRightInd w:val="0"/>
      <w:jc w:val="both"/>
      <w:outlineLvl w:val="1"/>
    </w:pPr>
    <w:rPr>
      <w:rFonts w:ascii="Helvetica-Bold" w:hAnsi="Helvetica-Bold"/>
      <w:b/>
      <w:bCs/>
      <w:lang w:val="it-IT"/>
    </w:rPr>
  </w:style>
  <w:style w:type="paragraph" w:styleId="Heading3">
    <w:name w:val="heading 3"/>
    <w:basedOn w:val="Normal"/>
    <w:next w:val="Normal"/>
    <w:link w:val="Heading3Char1"/>
    <w:qFormat/>
    <w:rsid w:val="00BE1AB5"/>
    <w:pPr>
      <w:keepNext/>
      <w:autoSpaceDE w:val="0"/>
      <w:autoSpaceDN w:val="0"/>
      <w:adjustRightInd w:val="0"/>
      <w:jc w:val="both"/>
      <w:outlineLvl w:val="2"/>
    </w:pPr>
    <w:rPr>
      <w:rFonts w:ascii="Helvetica-Bold" w:hAnsi="Helvetica-Bold"/>
      <w:b/>
      <w:bCs/>
      <w:color w:val="0000FF"/>
      <w:lang w:val="it-IT"/>
    </w:rPr>
  </w:style>
  <w:style w:type="paragraph" w:styleId="Heading4">
    <w:name w:val="heading 4"/>
    <w:basedOn w:val="Normal"/>
    <w:next w:val="Normal"/>
    <w:link w:val="Heading4Char"/>
    <w:qFormat/>
    <w:rsid w:val="00BE1AB5"/>
    <w:pPr>
      <w:keepNext/>
      <w:autoSpaceDE w:val="0"/>
      <w:autoSpaceDN w:val="0"/>
      <w:adjustRightInd w:val="0"/>
      <w:jc w:val="center"/>
      <w:outlineLvl w:val="3"/>
    </w:pPr>
    <w:rPr>
      <w:rFonts w:ascii="Helvetica-Bold" w:hAnsi="Helvetica-Bold"/>
      <w:b/>
      <w:bCs/>
      <w:color w:val="CC99FF"/>
      <w:sz w:val="28"/>
      <w:szCs w:val="28"/>
      <w:lang w:val="it-IT"/>
    </w:rPr>
  </w:style>
  <w:style w:type="paragraph" w:styleId="Heading5">
    <w:name w:val="heading 5"/>
    <w:basedOn w:val="Normal"/>
    <w:next w:val="E1"/>
    <w:link w:val="Heading5Char"/>
    <w:qFormat/>
    <w:rsid w:val="00BE1AB5"/>
    <w:pPr>
      <w:tabs>
        <w:tab w:val="num" w:pos="1008"/>
      </w:tabs>
      <w:spacing w:before="160" w:after="160"/>
      <w:ind w:left="1008" w:hanging="1008"/>
      <w:outlineLvl w:val="4"/>
    </w:pPr>
    <w:rPr>
      <w:rFonts w:ascii="Humnst777 Lt BT" w:hAnsi="Humnst777 Lt BT"/>
      <w:i/>
      <w:sz w:val="22"/>
      <w:szCs w:val="20"/>
      <w:lang w:val="de-DE"/>
    </w:rPr>
  </w:style>
  <w:style w:type="paragraph" w:styleId="Heading6">
    <w:name w:val="heading 6"/>
    <w:basedOn w:val="Normal"/>
    <w:next w:val="Normal"/>
    <w:link w:val="Heading6Char"/>
    <w:qFormat/>
    <w:rsid w:val="00BE1AB5"/>
    <w:pPr>
      <w:tabs>
        <w:tab w:val="num" w:pos="1152"/>
      </w:tabs>
      <w:spacing w:before="240" w:after="60"/>
      <w:ind w:left="1152" w:hanging="1152"/>
      <w:outlineLvl w:val="5"/>
    </w:pPr>
    <w:rPr>
      <w:rFonts w:ascii="Arial" w:hAnsi="Arial"/>
      <w:i/>
      <w:sz w:val="22"/>
      <w:szCs w:val="20"/>
      <w:lang w:val="de-DE"/>
    </w:rPr>
  </w:style>
  <w:style w:type="paragraph" w:styleId="Heading7">
    <w:name w:val="heading 7"/>
    <w:basedOn w:val="Normal"/>
    <w:next w:val="Normal"/>
    <w:link w:val="Heading7Char"/>
    <w:qFormat/>
    <w:rsid w:val="00BE1AB5"/>
    <w:pPr>
      <w:tabs>
        <w:tab w:val="num" w:pos="1296"/>
      </w:tabs>
      <w:spacing w:before="240" w:after="60"/>
      <w:ind w:left="1296" w:hanging="1296"/>
      <w:outlineLvl w:val="6"/>
    </w:pPr>
    <w:rPr>
      <w:rFonts w:ascii="Arial" w:hAnsi="Arial"/>
      <w:sz w:val="20"/>
      <w:szCs w:val="20"/>
      <w:lang w:val="de-DE"/>
    </w:rPr>
  </w:style>
  <w:style w:type="paragraph" w:styleId="Heading8">
    <w:name w:val="heading 8"/>
    <w:basedOn w:val="Normal"/>
    <w:next w:val="Normal"/>
    <w:link w:val="Heading8Char"/>
    <w:qFormat/>
    <w:rsid w:val="00BE1AB5"/>
    <w:pPr>
      <w:tabs>
        <w:tab w:val="num" w:pos="1440"/>
      </w:tabs>
      <w:spacing w:before="240" w:after="60"/>
      <w:ind w:left="1440" w:hanging="1440"/>
      <w:outlineLvl w:val="7"/>
    </w:pPr>
    <w:rPr>
      <w:rFonts w:ascii="Arial" w:hAnsi="Arial"/>
      <w:i/>
      <w:sz w:val="20"/>
      <w:szCs w:val="20"/>
      <w:lang w:val="de-DE"/>
    </w:rPr>
  </w:style>
  <w:style w:type="paragraph" w:styleId="Heading9">
    <w:name w:val="heading 9"/>
    <w:basedOn w:val="Normal"/>
    <w:next w:val="Normal"/>
    <w:link w:val="Heading9Char"/>
    <w:qFormat/>
    <w:rsid w:val="00BE1AB5"/>
    <w:pPr>
      <w:tabs>
        <w:tab w:val="num" w:pos="1584"/>
      </w:tabs>
      <w:spacing w:before="240" w:after="60"/>
      <w:ind w:left="1584" w:hanging="1584"/>
      <w:outlineLvl w:val="8"/>
    </w:pPr>
    <w:rPr>
      <w:rFonts w:ascii="Arial" w:hAnsi="Arial"/>
      <w:i/>
      <w:sz w:val="18"/>
      <w:szCs w:val="20"/>
      <w:lang w:val="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2C03B8"/>
    <w:rPr>
      <w:rFonts w:ascii="Arial" w:eastAsia="MS Mincho" w:hAnsi="Arial" w:cs="Arial"/>
      <w:b/>
      <w:bCs/>
      <w:kern w:val="32"/>
      <w:sz w:val="32"/>
      <w:szCs w:val="32"/>
      <w:lang w:val="sq-AL" w:eastAsia="en-US" w:bidi="ar-SA"/>
    </w:rPr>
  </w:style>
  <w:style w:type="character" w:customStyle="1" w:styleId="Heading2Char1">
    <w:name w:val="Heading 2 Char1"/>
    <w:basedOn w:val="DefaultParagraphFont"/>
    <w:link w:val="Heading2"/>
    <w:rsid w:val="002C03B8"/>
    <w:rPr>
      <w:rFonts w:ascii="Helvetica-Bold" w:eastAsia="MS Mincho" w:hAnsi="Helvetica-Bold"/>
      <w:b/>
      <w:bCs/>
      <w:sz w:val="24"/>
      <w:szCs w:val="24"/>
      <w:lang w:val="it-IT" w:eastAsia="en-US" w:bidi="ar-SA"/>
    </w:rPr>
  </w:style>
  <w:style w:type="character" w:customStyle="1" w:styleId="Heading3Char1">
    <w:name w:val="Heading 3 Char1"/>
    <w:basedOn w:val="DefaultParagraphFont"/>
    <w:link w:val="Heading3"/>
    <w:rsid w:val="002C03B8"/>
    <w:rPr>
      <w:rFonts w:ascii="Helvetica-Bold" w:eastAsia="MS Mincho" w:hAnsi="Helvetica-Bold"/>
      <w:b/>
      <w:bCs/>
      <w:color w:val="0000FF"/>
      <w:sz w:val="24"/>
      <w:szCs w:val="24"/>
      <w:lang w:val="it-IT" w:eastAsia="en-US" w:bidi="ar-SA"/>
    </w:rPr>
  </w:style>
  <w:style w:type="character" w:customStyle="1" w:styleId="Heading4Char">
    <w:name w:val="Heading 4 Char"/>
    <w:basedOn w:val="DefaultParagraphFont"/>
    <w:link w:val="Heading4"/>
    <w:semiHidden/>
    <w:rsid w:val="002C03B8"/>
    <w:rPr>
      <w:rFonts w:ascii="Helvetica-Bold" w:eastAsia="MS Mincho" w:hAnsi="Helvetica-Bold"/>
      <w:b/>
      <w:bCs/>
      <w:color w:val="CC99FF"/>
      <w:sz w:val="28"/>
      <w:szCs w:val="28"/>
      <w:lang w:val="it-IT" w:eastAsia="en-US" w:bidi="ar-SA"/>
    </w:rPr>
  </w:style>
  <w:style w:type="paragraph" w:customStyle="1" w:styleId="E1">
    <w:name w:val="E1"/>
    <w:basedOn w:val="ILF-Standard"/>
    <w:rsid w:val="00BE1AB5"/>
    <w:pPr>
      <w:spacing w:after="160" w:line="320" w:lineRule="atLeast"/>
      <w:ind w:left="851"/>
      <w:jc w:val="both"/>
    </w:pPr>
  </w:style>
  <w:style w:type="paragraph" w:customStyle="1" w:styleId="ILF-Standard">
    <w:name w:val="ILF-Standard"/>
    <w:rsid w:val="00BE1AB5"/>
    <w:rPr>
      <w:rFonts w:ascii="Humnst777 Lt BT" w:eastAsia="MS Mincho" w:hAnsi="Humnst777 Lt BT"/>
      <w:sz w:val="22"/>
      <w:lang w:val="de-DE" w:eastAsia="en-US"/>
    </w:rPr>
  </w:style>
  <w:style w:type="character" w:customStyle="1" w:styleId="Heading5Char">
    <w:name w:val="Heading 5 Char"/>
    <w:basedOn w:val="DefaultParagraphFont"/>
    <w:link w:val="Heading5"/>
    <w:semiHidden/>
    <w:rsid w:val="002C03B8"/>
    <w:rPr>
      <w:rFonts w:ascii="Humnst777 Lt BT" w:eastAsia="MS Mincho" w:hAnsi="Humnst777 Lt BT"/>
      <w:i/>
      <w:sz w:val="22"/>
      <w:lang w:val="de-DE" w:eastAsia="en-US" w:bidi="ar-SA"/>
    </w:rPr>
  </w:style>
  <w:style w:type="character" w:customStyle="1" w:styleId="Heading6Char">
    <w:name w:val="Heading 6 Char"/>
    <w:basedOn w:val="DefaultParagraphFont"/>
    <w:link w:val="Heading6"/>
    <w:semiHidden/>
    <w:rsid w:val="002C03B8"/>
    <w:rPr>
      <w:rFonts w:ascii="Arial" w:eastAsia="MS Mincho" w:hAnsi="Arial"/>
      <w:i/>
      <w:sz w:val="22"/>
      <w:lang w:val="de-DE" w:eastAsia="en-US" w:bidi="ar-SA"/>
    </w:rPr>
  </w:style>
  <w:style w:type="character" w:customStyle="1" w:styleId="Heading7Char">
    <w:name w:val="Heading 7 Char"/>
    <w:basedOn w:val="DefaultParagraphFont"/>
    <w:link w:val="Heading7"/>
    <w:semiHidden/>
    <w:rsid w:val="002C03B8"/>
    <w:rPr>
      <w:rFonts w:ascii="Arial" w:eastAsia="MS Mincho" w:hAnsi="Arial"/>
      <w:lang w:val="de-DE" w:eastAsia="en-US" w:bidi="ar-SA"/>
    </w:rPr>
  </w:style>
  <w:style w:type="character" w:customStyle="1" w:styleId="Heading8Char">
    <w:name w:val="Heading 8 Char"/>
    <w:basedOn w:val="DefaultParagraphFont"/>
    <w:link w:val="Heading8"/>
    <w:semiHidden/>
    <w:rsid w:val="002C03B8"/>
    <w:rPr>
      <w:rFonts w:ascii="Arial" w:eastAsia="MS Mincho" w:hAnsi="Arial"/>
      <w:i/>
      <w:lang w:val="de-DE" w:eastAsia="en-US" w:bidi="ar-SA"/>
    </w:rPr>
  </w:style>
  <w:style w:type="character" w:customStyle="1" w:styleId="Heading9Char">
    <w:name w:val="Heading 9 Char"/>
    <w:basedOn w:val="DefaultParagraphFont"/>
    <w:link w:val="Heading9"/>
    <w:semiHidden/>
    <w:rsid w:val="002C03B8"/>
    <w:rPr>
      <w:rFonts w:ascii="Arial" w:eastAsia="MS Mincho" w:hAnsi="Arial"/>
      <w:i/>
      <w:sz w:val="18"/>
      <w:lang w:val="de-DE" w:eastAsia="en-US" w:bidi="ar-SA"/>
    </w:rPr>
  </w:style>
  <w:style w:type="paragraph" w:customStyle="1" w:styleId="Char">
    <w:name w:val=" Char"/>
    <w:basedOn w:val="Normal"/>
    <w:rsid w:val="00392BE0"/>
    <w:pPr>
      <w:spacing w:after="160" w:line="240" w:lineRule="exact"/>
    </w:pPr>
    <w:rPr>
      <w:rFonts w:ascii="Tahoma"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lang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eastAsia="tr-TR"/>
    </w:rPr>
  </w:style>
  <w:style w:type="paragraph" w:customStyle="1" w:styleId="CM5">
    <w:name w:val="CM5"/>
    <w:basedOn w:val="Normal"/>
    <w:next w:val="Normal"/>
    <w:rsid w:val="00392BE0"/>
    <w:pPr>
      <w:widowControl w:val="0"/>
      <w:autoSpaceDE w:val="0"/>
      <w:autoSpaceDN w:val="0"/>
      <w:adjustRightInd w:val="0"/>
    </w:pPr>
    <w:rPr>
      <w:lang w:eastAsia="tr-TR"/>
    </w:rPr>
  </w:style>
  <w:style w:type="paragraph" w:customStyle="1" w:styleId="CM6">
    <w:name w:val="CM6"/>
    <w:basedOn w:val="Normal"/>
    <w:next w:val="Normal"/>
    <w:rsid w:val="00392BE0"/>
    <w:pPr>
      <w:widowControl w:val="0"/>
      <w:autoSpaceDE w:val="0"/>
      <w:autoSpaceDN w:val="0"/>
      <w:adjustRightInd w:val="0"/>
    </w:pPr>
    <w:rPr>
      <w:lang w:eastAsia="tr-TR"/>
    </w:rPr>
  </w:style>
  <w:style w:type="paragraph" w:customStyle="1" w:styleId="CM7">
    <w:name w:val="CM7"/>
    <w:basedOn w:val="Normal"/>
    <w:next w:val="Normal"/>
    <w:rsid w:val="00392BE0"/>
    <w:pPr>
      <w:widowControl w:val="0"/>
      <w:autoSpaceDE w:val="0"/>
      <w:autoSpaceDN w:val="0"/>
      <w:adjustRightInd w:val="0"/>
    </w:pPr>
    <w:rPr>
      <w:lang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link w:val="NeniNrChar"/>
    <w:rsid w:val="00392BE0"/>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4F79DE"/>
    <w:rPr>
      <w:rFonts w:ascii="CG Times" w:hAnsi="CG Times"/>
      <w:sz w:val="22"/>
      <w:lang w:val="en-GB" w:eastAsia="en-US" w:bidi="ar-SA"/>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link w:val="NumriDataChar"/>
    <w:rsid w:val="00392BE0"/>
    <w:pPr>
      <w:keepNext/>
      <w:widowControl w:val="0"/>
      <w:jc w:val="center"/>
      <w:outlineLvl w:val="0"/>
    </w:pPr>
    <w:rPr>
      <w:rFonts w:ascii="CG Times" w:eastAsia="MS Mincho" w:hAnsi="CG Times"/>
      <w:b/>
      <w:sz w:val="22"/>
      <w:lang w:eastAsia="en-US"/>
    </w:rPr>
  </w:style>
  <w:style w:type="character" w:customStyle="1" w:styleId="NumriDataChar">
    <w:name w:val="Numri_Data Char"/>
    <w:basedOn w:val="DefaultParagraphFont"/>
    <w:link w:val="NumriData"/>
    <w:rsid w:val="004F79DE"/>
    <w:rPr>
      <w:rFonts w:ascii="CG Times" w:eastAsia="MS Mincho" w:hAnsi="CG Times"/>
      <w:b/>
      <w:sz w:val="22"/>
      <w:lang w:val="en-GB" w:eastAsia="en-US" w:bidi="ar-SA"/>
    </w:rPr>
  </w:style>
  <w:style w:type="paragraph" w:customStyle="1" w:styleId="paragrafi">
    <w:name w:val="paragrafi"/>
    <w:basedOn w:val="Normal"/>
    <w:rsid w:val="00392BE0"/>
    <w:pPr>
      <w:spacing w:before="100" w:beforeAutospacing="1" w:after="100" w:afterAutospacing="1"/>
    </w:pPr>
    <w:rPr>
      <w:lang w:eastAsia="tr-TR"/>
    </w:rPr>
  </w:style>
  <w:style w:type="paragraph" w:customStyle="1" w:styleId="Paragrafi0">
    <w:name w:val="Paragrafi"/>
    <w:link w:val="ParagrafiChar"/>
    <w:rsid w:val="00392BE0"/>
    <w:pPr>
      <w:widowControl w:val="0"/>
      <w:ind w:firstLine="720"/>
      <w:jc w:val="both"/>
    </w:pPr>
    <w:rPr>
      <w:rFonts w:ascii="CG Times" w:eastAsia="MS Mincho" w:hAnsi="CG Times"/>
      <w:sz w:val="22"/>
      <w:lang w:val="en-US" w:eastAsia="en-US"/>
    </w:rPr>
  </w:style>
  <w:style w:type="character" w:customStyle="1" w:styleId="ParagrafiChar">
    <w:name w:val="Paragrafi Char"/>
    <w:basedOn w:val="DefaultParagraphFont"/>
    <w:link w:val="Paragrafi0"/>
    <w:rsid w:val="00DB4786"/>
    <w:rPr>
      <w:rFonts w:ascii="CG Times" w:eastAsia="MS Mincho" w:hAnsi="CG Times"/>
      <w:sz w:val="22"/>
      <w:lang w:val="en-US" w:eastAsia="en-US" w:bidi="ar-SA"/>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basedOn w:val="DefaultParagraphFont"/>
    <w:link w:val="Titulli0"/>
    <w:rsid w:val="00C87155"/>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lang w:eastAsia="tr-TR"/>
    </w:rPr>
  </w:style>
  <w:style w:type="paragraph" w:customStyle="1" w:styleId="VENDOSI0">
    <w:name w:val="VENDOSI"/>
    <w:next w:val="Normal"/>
    <w:link w:val="VENDOSIChar"/>
    <w:rsid w:val="00392BE0"/>
    <w:pPr>
      <w:keepNext/>
      <w:widowControl w:val="0"/>
      <w:jc w:val="center"/>
    </w:pPr>
    <w:rPr>
      <w:rFonts w:ascii="CG Times" w:eastAsia="MS Mincho" w:hAnsi="CG Times"/>
      <w:caps/>
      <w:sz w:val="22"/>
      <w:szCs w:val="22"/>
      <w:lang w:eastAsia="en-US"/>
    </w:rPr>
  </w:style>
  <w:style w:type="character" w:customStyle="1" w:styleId="VENDOSIChar">
    <w:name w:val="VENDOSI Char"/>
    <w:basedOn w:val="DefaultParagraphFont"/>
    <w:link w:val="VENDOSI0"/>
    <w:rsid w:val="004F79DE"/>
    <w:rPr>
      <w:rFonts w:ascii="CG Times" w:eastAsia="MS Mincho" w:hAnsi="CG Times"/>
      <w:caps/>
      <w:sz w:val="22"/>
      <w:szCs w:val="22"/>
      <w:lang w:val="en-GB" w:eastAsia="en-US" w:bidi="ar-SA"/>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3"/>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1"/>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1"/>
      </w:numPr>
      <w:spacing w:after="240"/>
    </w:p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link w:val="BodyTextChar1"/>
    <w:rsid w:val="00392BE0"/>
    <w:pPr>
      <w:spacing w:after="120"/>
    </w:pPr>
  </w:style>
  <w:style w:type="character" w:customStyle="1" w:styleId="BodyTextChar1">
    <w:name w:val="Body Text Char1"/>
    <w:basedOn w:val="DefaultParagraphFont"/>
    <w:link w:val="BodyText"/>
    <w:rsid w:val="002C03B8"/>
    <w:rPr>
      <w:rFonts w:eastAsia="MS Mincho"/>
      <w:sz w:val="24"/>
      <w:szCs w:val="24"/>
      <w:lang w:val="sq-AL" w:eastAsia="en-US" w:bidi="ar-SA"/>
    </w:rPr>
  </w:style>
  <w:style w:type="paragraph" w:customStyle="1" w:styleId="Sub-Para1underX">
    <w:name w:val="Sub-Para 1 under X."/>
    <w:basedOn w:val="Normal"/>
    <w:rsid w:val="00392BE0"/>
    <w:pPr>
      <w:numPr>
        <w:ilvl w:val="1"/>
        <w:numId w:val="2"/>
      </w:numPr>
      <w:spacing w:after="240"/>
      <w:outlineLvl w:val="2"/>
    </w:pPr>
  </w:style>
  <w:style w:type="paragraph" w:customStyle="1" w:styleId="Sub-Para1underXY">
    <w:name w:val="Sub-Para 1 under X.Y"/>
    <w:basedOn w:val="Normal"/>
    <w:rsid w:val="00392BE0"/>
    <w:pPr>
      <w:numPr>
        <w:ilvl w:val="1"/>
        <w:numId w:val="3"/>
      </w:numPr>
      <w:spacing w:after="240"/>
      <w:outlineLvl w:val="2"/>
    </w:pPr>
  </w:style>
  <w:style w:type="paragraph" w:customStyle="1" w:styleId="Sub-Para2underX">
    <w:name w:val="Sub-Para 2 under X."/>
    <w:basedOn w:val="Normal"/>
    <w:rsid w:val="00392BE0"/>
    <w:pPr>
      <w:numPr>
        <w:ilvl w:val="2"/>
        <w:numId w:val="2"/>
      </w:numPr>
      <w:spacing w:after="240"/>
      <w:outlineLvl w:val="3"/>
    </w:pPr>
  </w:style>
  <w:style w:type="paragraph" w:customStyle="1" w:styleId="Sub-Para2underXY">
    <w:name w:val="Sub-Para 2 under X.Y"/>
    <w:basedOn w:val="Normal"/>
    <w:rsid w:val="00392BE0"/>
    <w:pPr>
      <w:tabs>
        <w:tab w:val="num" w:pos="1440"/>
      </w:tabs>
      <w:spacing w:after="240"/>
      <w:ind w:left="1080" w:hanging="360"/>
      <w:outlineLvl w:val="3"/>
    </w:pPr>
  </w:style>
  <w:style w:type="paragraph" w:customStyle="1" w:styleId="Sub-Para3underX">
    <w:name w:val="Sub-Para 3 under X."/>
    <w:basedOn w:val="Normal"/>
    <w:rsid w:val="00392BE0"/>
    <w:pPr>
      <w:numPr>
        <w:ilvl w:val="3"/>
        <w:numId w:val="2"/>
      </w:numPr>
      <w:spacing w:after="240"/>
      <w:outlineLvl w:val="4"/>
    </w:pPr>
  </w:style>
  <w:style w:type="paragraph" w:customStyle="1" w:styleId="Sub-Para3underXY">
    <w:name w:val="Sub-Para 3 under X.Y"/>
    <w:basedOn w:val="Normal"/>
    <w:rsid w:val="00392BE0"/>
    <w:pPr>
      <w:numPr>
        <w:ilvl w:val="3"/>
        <w:numId w:val="3"/>
      </w:numPr>
      <w:spacing w:after="240"/>
      <w:outlineLvl w:val="4"/>
    </w:pPr>
  </w:style>
  <w:style w:type="paragraph" w:customStyle="1" w:styleId="Sub-Para4underX">
    <w:name w:val="Sub-Para 4 under X."/>
    <w:basedOn w:val="Normal"/>
    <w:rsid w:val="00392BE0"/>
    <w:pPr>
      <w:numPr>
        <w:ilvl w:val="4"/>
        <w:numId w:val="2"/>
      </w:numPr>
      <w:spacing w:after="240"/>
      <w:outlineLvl w:val="5"/>
    </w:pPr>
  </w:style>
  <w:style w:type="paragraph" w:customStyle="1" w:styleId="Sub-Para4underXY">
    <w:name w:val="Sub-Para 4 under X.Y"/>
    <w:basedOn w:val="Normal"/>
    <w:rsid w:val="00392BE0"/>
    <w:pPr>
      <w:numPr>
        <w:ilvl w:val="4"/>
        <w:numId w:val="3"/>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BalloonText">
    <w:name w:val="Balloon Text"/>
    <w:basedOn w:val="Normal"/>
    <w:semiHidden/>
    <w:rsid w:val="00BE1AB5"/>
    <w:rPr>
      <w:rFonts w:ascii="Tahoma" w:hAnsi="Tahoma" w:cs="Tahoma"/>
      <w:sz w:val="16"/>
      <w:szCs w:val="16"/>
    </w:rPr>
  </w:style>
  <w:style w:type="paragraph" w:styleId="BodyText2">
    <w:name w:val="Body Text 2"/>
    <w:basedOn w:val="Normal"/>
    <w:link w:val="BodyText2Char"/>
    <w:rsid w:val="00BE1AB5"/>
    <w:pPr>
      <w:autoSpaceDE w:val="0"/>
      <w:autoSpaceDN w:val="0"/>
      <w:adjustRightInd w:val="0"/>
      <w:jc w:val="both"/>
    </w:pPr>
    <w:rPr>
      <w:rFonts w:ascii="Helvetica" w:hAnsi="Helvetica"/>
      <w:lang w:val="it-IT"/>
    </w:rPr>
  </w:style>
  <w:style w:type="character" w:customStyle="1" w:styleId="BodyText2Char">
    <w:name w:val="Body Text 2 Char"/>
    <w:basedOn w:val="DefaultParagraphFont"/>
    <w:link w:val="BodyText2"/>
    <w:locked/>
    <w:rsid w:val="004F79DE"/>
    <w:rPr>
      <w:rFonts w:ascii="Helvetica" w:eastAsia="MS Mincho" w:hAnsi="Helvetica"/>
      <w:sz w:val="24"/>
      <w:szCs w:val="24"/>
      <w:lang w:val="it-IT" w:eastAsia="en-US" w:bidi="ar-SA"/>
    </w:rPr>
  </w:style>
  <w:style w:type="paragraph" w:styleId="BodyTextIndent">
    <w:name w:val="Body Text Indent"/>
    <w:basedOn w:val="Normal"/>
    <w:rsid w:val="00BE1AB5"/>
    <w:pPr>
      <w:autoSpaceDE w:val="0"/>
      <w:autoSpaceDN w:val="0"/>
      <w:adjustRightInd w:val="0"/>
      <w:ind w:firstLine="720"/>
      <w:jc w:val="both"/>
    </w:pPr>
    <w:rPr>
      <w:rFonts w:ascii="Helvetica" w:hAnsi="Helvetica"/>
      <w:lang w:val="it-IT"/>
    </w:rPr>
  </w:style>
  <w:style w:type="paragraph" w:styleId="BodyTextIndent2">
    <w:name w:val="Body Text Indent 2"/>
    <w:basedOn w:val="Normal"/>
    <w:rsid w:val="00BE1AB5"/>
    <w:pPr>
      <w:autoSpaceDE w:val="0"/>
      <w:autoSpaceDN w:val="0"/>
      <w:adjustRightInd w:val="0"/>
      <w:ind w:firstLine="720"/>
      <w:jc w:val="both"/>
    </w:pPr>
    <w:rPr>
      <w:rFonts w:ascii="Helvetica" w:hAnsi="Helvetica"/>
      <w:color w:val="FF0000"/>
      <w:lang w:val="fr-FR"/>
    </w:rPr>
  </w:style>
  <w:style w:type="paragraph" w:styleId="BodyTextIndent3">
    <w:name w:val="Body Text Indent 3"/>
    <w:basedOn w:val="Normal"/>
    <w:rsid w:val="00BE1AB5"/>
    <w:pPr>
      <w:autoSpaceDE w:val="0"/>
      <w:autoSpaceDN w:val="0"/>
      <w:adjustRightInd w:val="0"/>
      <w:ind w:firstLine="360"/>
      <w:jc w:val="both"/>
    </w:pPr>
    <w:rPr>
      <w:rFonts w:ascii="Helvetica" w:hAnsi="Helvetica"/>
      <w:color w:val="FF0000"/>
      <w:lang w:val="it-IT"/>
    </w:rPr>
  </w:style>
  <w:style w:type="character" w:styleId="Hyperlink">
    <w:name w:val="Hyperlink"/>
    <w:basedOn w:val="DefaultParagraphFont"/>
    <w:rsid w:val="00BE1AB5"/>
    <w:rPr>
      <w:color w:val="0000FF"/>
      <w:u w:val="single"/>
    </w:rPr>
  </w:style>
  <w:style w:type="paragraph" w:styleId="Footer">
    <w:name w:val="footer"/>
    <w:basedOn w:val="Normal"/>
    <w:link w:val="FooterChar"/>
    <w:rsid w:val="00BE1AB5"/>
    <w:pPr>
      <w:tabs>
        <w:tab w:val="center" w:pos="4320"/>
        <w:tab w:val="right" w:pos="8640"/>
      </w:tabs>
    </w:pPr>
  </w:style>
  <w:style w:type="character" w:customStyle="1" w:styleId="FooterChar">
    <w:name w:val="Footer Char"/>
    <w:basedOn w:val="DefaultParagraphFont"/>
    <w:link w:val="Footer"/>
    <w:rsid w:val="00363B19"/>
    <w:rPr>
      <w:rFonts w:eastAsia="MS Mincho"/>
      <w:sz w:val="24"/>
      <w:szCs w:val="24"/>
      <w:lang w:val="sq-AL" w:eastAsia="en-US" w:bidi="ar-SA"/>
    </w:rPr>
  </w:style>
  <w:style w:type="character" w:styleId="PageNumber">
    <w:name w:val="page number"/>
    <w:basedOn w:val="DefaultParagraphFont"/>
    <w:rsid w:val="00BE1AB5"/>
  </w:style>
  <w:style w:type="paragraph" w:styleId="Header">
    <w:name w:val="header"/>
    <w:basedOn w:val="Normal"/>
    <w:rsid w:val="00BE1AB5"/>
    <w:pPr>
      <w:tabs>
        <w:tab w:val="center" w:pos="4320"/>
        <w:tab w:val="right" w:pos="8640"/>
      </w:tabs>
    </w:pPr>
  </w:style>
  <w:style w:type="paragraph" w:styleId="TOC1">
    <w:name w:val="toc 1"/>
    <w:basedOn w:val="Normal"/>
    <w:next w:val="Normal"/>
    <w:semiHidden/>
    <w:rsid w:val="00BE1AB5"/>
    <w:pPr>
      <w:tabs>
        <w:tab w:val="left" w:pos="480"/>
        <w:tab w:val="right" w:leader="dot" w:pos="8505"/>
      </w:tabs>
      <w:spacing w:after="120"/>
      <w:ind w:left="284" w:right="425" w:hanging="284"/>
    </w:pPr>
    <w:rPr>
      <w:rFonts w:ascii="Arial" w:hAnsi="Arial"/>
      <w:b/>
      <w:sz w:val="22"/>
      <w:lang w:val="en-GB" w:eastAsia="de-DE"/>
    </w:rPr>
  </w:style>
  <w:style w:type="paragraph" w:styleId="TOC2">
    <w:name w:val="toc 2"/>
    <w:basedOn w:val="Normal"/>
    <w:next w:val="Normal"/>
    <w:autoRedefine/>
    <w:semiHidden/>
    <w:rsid w:val="00BE1AB5"/>
    <w:pPr>
      <w:tabs>
        <w:tab w:val="left" w:pos="960"/>
        <w:tab w:val="right" w:leader="dot" w:pos="8505"/>
      </w:tabs>
      <w:spacing w:after="120"/>
      <w:ind w:left="993" w:right="425" w:hanging="633"/>
    </w:pPr>
    <w:rPr>
      <w:rFonts w:ascii="Arial" w:hAnsi="Arial"/>
      <w:sz w:val="22"/>
      <w:lang w:val="en-GB" w:eastAsia="de-DE"/>
    </w:rPr>
  </w:style>
  <w:style w:type="paragraph" w:styleId="TOC3">
    <w:name w:val="toc 3"/>
    <w:basedOn w:val="Normal"/>
    <w:next w:val="Normal"/>
    <w:autoRedefine/>
    <w:semiHidden/>
    <w:rsid w:val="00BE1AB5"/>
    <w:pPr>
      <w:tabs>
        <w:tab w:val="left" w:pos="1620"/>
        <w:tab w:val="right" w:leader="dot" w:pos="8505"/>
      </w:tabs>
      <w:spacing w:after="120"/>
      <w:ind w:left="1620" w:right="425" w:hanging="720"/>
    </w:pPr>
    <w:rPr>
      <w:rFonts w:ascii="Arial" w:hAnsi="Arial"/>
      <w:sz w:val="22"/>
      <w:lang w:val="en-GB" w:eastAsia="de-DE"/>
    </w:rPr>
  </w:style>
  <w:style w:type="paragraph" w:customStyle="1" w:styleId="berschrift0">
    <w:name w:val="Überschrift 0"/>
    <w:basedOn w:val="Heading1"/>
    <w:rsid w:val="00BE1AB5"/>
    <w:pPr>
      <w:overflowPunct w:val="0"/>
      <w:autoSpaceDE w:val="0"/>
      <w:autoSpaceDN w:val="0"/>
      <w:adjustRightInd w:val="0"/>
      <w:spacing w:before="360"/>
      <w:ind w:left="709" w:hanging="709"/>
      <w:jc w:val="center"/>
      <w:textAlignment w:val="baseline"/>
      <w:outlineLvl w:val="9"/>
    </w:pPr>
    <w:rPr>
      <w:rFonts w:cs="Times New Roman"/>
      <w:bCs w:val="0"/>
      <w:caps/>
      <w:kern w:val="0"/>
      <w:sz w:val="22"/>
      <w:szCs w:val="20"/>
      <w:lang w:val="en-GB" w:eastAsia="de-DE"/>
    </w:rPr>
  </w:style>
  <w:style w:type="paragraph" w:styleId="Title">
    <w:name w:val="Title"/>
    <w:basedOn w:val="Normal"/>
    <w:link w:val="TitleChar"/>
    <w:qFormat/>
    <w:rsid w:val="00BE1AB5"/>
    <w:pPr>
      <w:jc w:val="center"/>
    </w:pPr>
    <w:rPr>
      <w:b/>
      <w:sz w:val="28"/>
      <w:szCs w:val="20"/>
      <w:u w:val="single"/>
      <w:lang w:val="it-IT"/>
    </w:rPr>
  </w:style>
  <w:style w:type="character" w:customStyle="1" w:styleId="TitleChar">
    <w:name w:val="Title Char"/>
    <w:basedOn w:val="DefaultParagraphFont"/>
    <w:link w:val="Title"/>
    <w:rsid w:val="002C03B8"/>
    <w:rPr>
      <w:rFonts w:eastAsia="MS Mincho"/>
      <w:b/>
      <w:sz w:val="28"/>
      <w:u w:val="single"/>
      <w:lang w:val="it-IT" w:eastAsia="en-US" w:bidi="ar-SA"/>
    </w:rPr>
  </w:style>
  <w:style w:type="character" w:styleId="FollowedHyperlink">
    <w:name w:val="FollowedHyperlink"/>
    <w:basedOn w:val="DefaultParagraphFont"/>
    <w:rsid w:val="00BE1AB5"/>
    <w:rPr>
      <w:color w:val="800080"/>
      <w:u w:val="single"/>
    </w:rPr>
  </w:style>
  <w:style w:type="paragraph" w:styleId="BodyText3">
    <w:name w:val="Body Text 3"/>
    <w:basedOn w:val="Normal"/>
    <w:rsid w:val="00BE1AB5"/>
    <w:pPr>
      <w:autoSpaceDE w:val="0"/>
      <w:autoSpaceDN w:val="0"/>
      <w:adjustRightInd w:val="0"/>
      <w:jc w:val="both"/>
    </w:pPr>
    <w:rPr>
      <w:rFonts w:ascii="Arial" w:hAnsi="Arial" w:cs="Arial"/>
      <w:color w:val="FF0000"/>
      <w:sz w:val="22"/>
      <w:lang w:val="it-IT"/>
    </w:rPr>
  </w:style>
  <w:style w:type="character" w:customStyle="1" w:styleId="CharChar">
    <w:name w:val=" Char Char"/>
    <w:basedOn w:val="DefaultParagraphFont"/>
    <w:rsid w:val="00BE1AB5"/>
    <w:rPr>
      <w:rFonts w:ascii="Arial" w:hAnsi="Arial" w:cs="Arial"/>
      <w:color w:val="FF0000"/>
      <w:sz w:val="22"/>
      <w:szCs w:val="24"/>
      <w:lang w:val="it-IT" w:eastAsia="en-US" w:bidi="ar-SA"/>
    </w:rPr>
  </w:style>
  <w:style w:type="paragraph" w:customStyle="1" w:styleId="P1">
    <w:name w:val="P1"/>
    <w:basedOn w:val="ILF-Standard"/>
    <w:rsid w:val="00BE1AB5"/>
    <w:pPr>
      <w:spacing w:line="320" w:lineRule="atLeast"/>
      <w:ind w:left="1276" w:hanging="425"/>
      <w:jc w:val="both"/>
    </w:pPr>
  </w:style>
  <w:style w:type="character" w:customStyle="1" w:styleId="ParagrafiChar1">
    <w:name w:val="Paragrafi Char1"/>
    <w:basedOn w:val="DefaultParagraphFont"/>
    <w:locked/>
    <w:rsid w:val="00BE1AB5"/>
    <w:rPr>
      <w:rFonts w:ascii="CG Times" w:hAnsi="CG Times"/>
      <w:sz w:val="22"/>
      <w:lang w:val="sq-AL" w:eastAsia="sq-AL" w:bidi="ar-SA"/>
    </w:rPr>
  </w:style>
  <w:style w:type="paragraph" w:customStyle="1" w:styleId="E0">
    <w:name w:val="E0"/>
    <w:basedOn w:val="ILF-Standard"/>
    <w:rsid w:val="00BE1AB5"/>
    <w:pPr>
      <w:spacing w:after="160" w:line="320" w:lineRule="atLeast"/>
      <w:jc w:val="both"/>
    </w:pPr>
  </w:style>
  <w:style w:type="paragraph" w:customStyle="1" w:styleId="N0">
    <w:name w:val="N0"/>
    <w:basedOn w:val="ILF-Standard"/>
    <w:rsid w:val="00BE1AB5"/>
    <w:pPr>
      <w:spacing w:line="320" w:lineRule="atLeast"/>
      <w:ind w:left="425" w:hanging="425"/>
      <w:jc w:val="both"/>
    </w:pPr>
  </w:style>
  <w:style w:type="paragraph" w:customStyle="1" w:styleId="B0">
    <w:name w:val="B0"/>
    <w:basedOn w:val="ILF-Standard"/>
    <w:rsid w:val="00BE1AB5"/>
    <w:pPr>
      <w:spacing w:line="320" w:lineRule="atLeast"/>
      <w:ind w:left="425" w:hanging="425"/>
      <w:jc w:val="both"/>
    </w:pPr>
  </w:style>
  <w:style w:type="paragraph" w:customStyle="1" w:styleId="P0">
    <w:name w:val="P0"/>
    <w:basedOn w:val="ILF-Standard"/>
    <w:rsid w:val="00BE1AB5"/>
    <w:pPr>
      <w:spacing w:line="320" w:lineRule="atLeast"/>
      <w:ind w:left="425" w:hanging="425"/>
      <w:jc w:val="both"/>
    </w:pPr>
  </w:style>
  <w:style w:type="paragraph" w:customStyle="1" w:styleId="N1">
    <w:name w:val="N1"/>
    <w:basedOn w:val="ILF-Standard"/>
    <w:rsid w:val="00BE1AB5"/>
    <w:pPr>
      <w:spacing w:line="320" w:lineRule="atLeast"/>
      <w:ind w:left="1276" w:hanging="425"/>
      <w:jc w:val="both"/>
    </w:pPr>
  </w:style>
  <w:style w:type="paragraph" w:customStyle="1" w:styleId="B1">
    <w:name w:val="B1"/>
    <w:basedOn w:val="ILF-Standard"/>
    <w:rsid w:val="00BE1AB5"/>
    <w:pPr>
      <w:spacing w:line="320" w:lineRule="atLeast"/>
      <w:ind w:left="1276" w:hanging="425"/>
      <w:jc w:val="both"/>
    </w:pPr>
  </w:style>
  <w:style w:type="paragraph" w:customStyle="1" w:styleId="E2">
    <w:name w:val="E2"/>
    <w:basedOn w:val="ILF-Standard"/>
    <w:rsid w:val="00BE1AB5"/>
    <w:pPr>
      <w:spacing w:after="160" w:line="320" w:lineRule="atLeast"/>
      <w:ind w:left="1276"/>
      <w:jc w:val="both"/>
    </w:pPr>
  </w:style>
  <w:style w:type="paragraph" w:customStyle="1" w:styleId="N2">
    <w:name w:val="N2"/>
    <w:basedOn w:val="ILF-Standard"/>
    <w:rsid w:val="00BE1AB5"/>
    <w:pPr>
      <w:spacing w:line="320" w:lineRule="atLeast"/>
      <w:ind w:left="1701" w:hanging="425"/>
      <w:jc w:val="both"/>
    </w:pPr>
  </w:style>
  <w:style w:type="paragraph" w:customStyle="1" w:styleId="B2">
    <w:name w:val="B2"/>
    <w:basedOn w:val="ILF-Standard"/>
    <w:rsid w:val="00BE1AB5"/>
    <w:pPr>
      <w:spacing w:line="320" w:lineRule="atLeast"/>
      <w:ind w:left="1701" w:hanging="425"/>
      <w:jc w:val="both"/>
    </w:pPr>
  </w:style>
  <w:style w:type="paragraph" w:customStyle="1" w:styleId="P2">
    <w:name w:val="P2"/>
    <w:basedOn w:val="ILF-Standard"/>
    <w:rsid w:val="00BE1AB5"/>
    <w:pPr>
      <w:spacing w:line="320" w:lineRule="atLeast"/>
      <w:ind w:left="1701" w:hanging="425"/>
      <w:jc w:val="both"/>
    </w:pPr>
  </w:style>
  <w:style w:type="paragraph" w:styleId="MessageHeader">
    <w:name w:val="Message Header"/>
    <w:basedOn w:val="ILF-Standard"/>
    <w:rsid w:val="00BE1AB5"/>
    <w:pPr>
      <w:ind w:left="1134" w:hanging="1134"/>
    </w:pPr>
    <w:rPr>
      <w:rFonts w:ascii="Arial" w:hAnsi="Arial"/>
      <w:sz w:val="24"/>
    </w:rPr>
  </w:style>
  <w:style w:type="paragraph" w:customStyle="1" w:styleId="E3">
    <w:name w:val="E3"/>
    <w:basedOn w:val="ILF-Standard"/>
    <w:rsid w:val="00BE1AB5"/>
    <w:pPr>
      <w:spacing w:after="160" w:line="320" w:lineRule="atLeast"/>
      <w:ind w:left="1701"/>
      <w:jc w:val="both"/>
    </w:pPr>
  </w:style>
  <w:style w:type="paragraph" w:customStyle="1" w:styleId="N3">
    <w:name w:val="N3"/>
    <w:basedOn w:val="ILF-Standard"/>
    <w:rsid w:val="00BE1AB5"/>
    <w:pPr>
      <w:spacing w:line="320" w:lineRule="atLeast"/>
      <w:ind w:left="2126" w:hanging="425"/>
      <w:jc w:val="both"/>
    </w:pPr>
  </w:style>
  <w:style w:type="paragraph" w:customStyle="1" w:styleId="B3">
    <w:name w:val="B3"/>
    <w:basedOn w:val="ILF-Standard"/>
    <w:rsid w:val="00BE1AB5"/>
    <w:pPr>
      <w:spacing w:line="320" w:lineRule="atLeast"/>
      <w:ind w:left="2126" w:hanging="425"/>
      <w:jc w:val="both"/>
    </w:pPr>
  </w:style>
  <w:style w:type="paragraph" w:customStyle="1" w:styleId="P3">
    <w:name w:val="P3"/>
    <w:basedOn w:val="ILF-Standard"/>
    <w:rsid w:val="00BE1AB5"/>
    <w:pPr>
      <w:spacing w:line="320" w:lineRule="atLeast"/>
      <w:ind w:left="2126" w:hanging="425"/>
      <w:jc w:val="both"/>
    </w:pPr>
  </w:style>
  <w:style w:type="paragraph" w:customStyle="1" w:styleId="Betrifft">
    <w:name w:val="Betrifft"/>
    <w:basedOn w:val="ILF-Standard"/>
    <w:rsid w:val="00BE1AB5"/>
    <w:pPr>
      <w:tabs>
        <w:tab w:val="left" w:pos="1134"/>
      </w:tabs>
      <w:spacing w:before="320"/>
      <w:jc w:val="center"/>
    </w:pPr>
    <w:rPr>
      <w:rFonts w:ascii="Humnst777 BT" w:hAnsi="Humnst777 BT"/>
      <w:b/>
      <w:sz w:val="40"/>
    </w:rPr>
  </w:style>
  <w:style w:type="paragraph" w:styleId="Caption">
    <w:name w:val="caption"/>
    <w:basedOn w:val="ILF-Standard"/>
    <w:next w:val="ILF-Standard"/>
    <w:qFormat/>
    <w:rsid w:val="00BE1AB5"/>
    <w:pPr>
      <w:spacing w:after="160" w:line="320" w:lineRule="atLeast"/>
      <w:ind w:left="851"/>
    </w:pPr>
  </w:style>
  <w:style w:type="paragraph" w:styleId="FootnoteText">
    <w:name w:val="footnote text"/>
    <w:basedOn w:val="ILF-Standard"/>
    <w:semiHidden/>
    <w:rsid w:val="00BE1AB5"/>
    <w:pPr>
      <w:ind w:left="1276" w:hanging="425"/>
    </w:pPr>
    <w:rPr>
      <w:sz w:val="20"/>
    </w:rPr>
  </w:style>
  <w:style w:type="paragraph" w:styleId="Date">
    <w:name w:val="Date"/>
    <w:basedOn w:val="ILF-Standard"/>
    <w:rsid w:val="00BE1AB5"/>
    <w:pPr>
      <w:spacing w:before="60" w:after="60"/>
      <w:jc w:val="center"/>
    </w:pPr>
  </w:style>
  <w:style w:type="paragraph" w:styleId="BlockText">
    <w:name w:val="Block Text"/>
    <w:basedOn w:val="Normal"/>
    <w:rsid w:val="00BE1AB5"/>
    <w:pPr>
      <w:spacing w:line="360" w:lineRule="auto"/>
      <w:ind w:left="426" w:right="454"/>
      <w:jc w:val="center"/>
    </w:pPr>
    <w:rPr>
      <w:rFonts w:ascii="RomanT" w:hAnsi="RomanT"/>
      <w:b/>
      <w:sz w:val="44"/>
      <w:szCs w:val="20"/>
    </w:rPr>
  </w:style>
  <w:style w:type="paragraph" w:styleId="ListParagraph">
    <w:name w:val="List Paragraph"/>
    <w:basedOn w:val="Normal"/>
    <w:qFormat/>
    <w:rsid w:val="00BE1AB5"/>
    <w:pPr>
      <w:ind w:left="720"/>
    </w:pPr>
    <w:rPr>
      <w:rFonts w:ascii="Humnst777 Lt BT" w:hAnsi="Humnst777 Lt BT"/>
      <w:sz w:val="22"/>
      <w:szCs w:val="20"/>
      <w:lang w:val="de-DE"/>
    </w:rPr>
  </w:style>
  <w:style w:type="paragraph" w:customStyle="1" w:styleId="CM1">
    <w:name w:val="CM1"/>
    <w:basedOn w:val="Default"/>
    <w:next w:val="Default"/>
    <w:rsid w:val="00BE1AB5"/>
    <w:pPr>
      <w:widowControl w:val="0"/>
      <w:spacing w:line="251" w:lineRule="atLeast"/>
    </w:pPr>
    <w:rPr>
      <w:rFonts w:ascii="Times" w:hAnsi="Times" w:cs="Times New Roman"/>
      <w:sz w:val="24"/>
      <w:szCs w:val="24"/>
    </w:rPr>
  </w:style>
  <w:style w:type="paragraph" w:customStyle="1" w:styleId="CM37">
    <w:name w:val="CM37"/>
    <w:basedOn w:val="Default"/>
    <w:next w:val="Default"/>
    <w:rsid w:val="00BE1AB5"/>
    <w:pPr>
      <w:widowControl w:val="0"/>
      <w:spacing w:after="240"/>
    </w:pPr>
    <w:rPr>
      <w:rFonts w:ascii="Times" w:hAnsi="Times" w:cs="Times New Roman"/>
      <w:sz w:val="24"/>
      <w:szCs w:val="24"/>
    </w:rPr>
  </w:style>
  <w:style w:type="paragraph" w:customStyle="1" w:styleId="CM9">
    <w:name w:val="CM9"/>
    <w:basedOn w:val="Default"/>
    <w:next w:val="Default"/>
    <w:rsid w:val="00BE1AB5"/>
    <w:pPr>
      <w:widowControl w:val="0"/>
      <w:spacing w:line="240" w:lineRule="atLeast"/>
    </w:pPr>
    <w:rPr>
      <w:rFonts w:ascii="Times" w:hAnsi="Times" w:cs="Times New Roman"/>
      <w:sz w:val="24"/>
      <w:szCs w:val="24"/>
    </w:rPr>
  </w:style>
  <w:style w:type="paragraph" w:customStyle="1" w:styleId="CharCharChar">
    <w:name w:val=" Char Char Char"/>
    <w:basedOn w:val="Normal"/>
    <w:rsid w:val="00BE1AB5"/>
    <w:pPr>
      <w:spacing w:after="160" w:line="240" w:lineRule="exact"/>
    </w:pPr>
    <w:rPr>
      <w:rFonts w:ascii="Tahoma" w:hAnsi="Tahoma"/>
      <w:sz w:val="20"/>
      <w:szCs w:val="20"/>
    </w:rPr>
  </w:style>
  <w:style w:type="character" w:styleId="FootnoteReference">
    <w:name w:val="footnote reference"/>
    <w:basedOn w:val="DefaultParagraphFont"/>
    <w:semiHidden/>
    <w:rsid w:val="00741D18"/>
    <w:rPr>
      <w:vertAlign w:val="superscript"/>
    </w:rPr>
  </w:style>
  <w:style w:type="table" w:styleId="TableGrid">
    <w:name w:val="Table Grid"/>
    <w:basedOn w:val="TableNormal"/>
    <w:rsid w:val="00613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8D1055"/>
    <w:pPr>
      <w:jc w:val="center"/>
    </w:pPr>
    <w:rPr>
      <w:rFonts w:eastAsia="Times New Roman"/>
      <w:b/>
      <w:bCs/>
    </w:rPr>
  </w:style>
  <w:style w:type="paragraph" w:styleId="ListBullet2">
    <w:name w:val="List Bullet 2"/>
    <w:basedOn w:val="Normal"/>
    <w:rsid w:val="0024793C"/>
    <w:pPr>
      <w:tabs>
        <w:tab w:val="num" w:pos="720"/>
      </w:tabs>
      <w:ind w:left="720" w:hanging="360"/>
    </w:pPr>
    <w:rPr>
      <w:rFonts w:ascii="Arial" w:eastAsia="Times New Roman" w:hAnsi="Arial"/>
      <w:szCs w:val="20"/>
      <w:lang w:val="en-GB"/>
    </w:rPr>
  </w:style>
  <w:style w:type="paragraph" w:styleId="Quote">
    <w:name w:val="Quote"/>
    <w:basedOn w:val="Normal"/>
    <w:next w:val="Normal"/>
    <w:link w:val="QuoteChar"/>
    <w:qFormat/>
    <w:rsid w:val="002C03B8"/>
    <w:pPr>
      <w:spacing w:before="200"/>
      <w:ind w:left="360" w:right="360"/>
    </w:pPr>
    <w:rPr>
      <w:rFonts w:eastAsia="Times New Roman"/>
      <w:i/>
      <w:iCs/>
      <w:lang w:val="en-US"/>
    </w:rPr>
  </w:style>
  <w:style w:type="character" w:customStyle="1" w:styleId="QuoteChar">
    <w:name w:val="Quote Char"/>
    <w:basedOn w:val="DefaultParagraphFont"/>
    <w:link w:val="Quote"/>
    <w:rsid w:val="002C03B8"/>
    <w:rPr>
      <w:i/>
      <w:iCs/>
      <w:sz w:val="24"/>
      <w:szCs w:val="24"/>
      <w:lang w:val="en-US" w:eastAsia="en-US" w:bidi="ar-SA"/>
    </w:rPr>
  </w:style>
  <w:style w:type="paragraph" w:styleId="IntenseQuote">
    <w:name w:val="Intense Quote"/>
    <w:basedOn w:val="Normal"/>
    <w:next w:val="Normal"/>
    <w:link w:val="IntenseQuoteChar"/>
    <w:qFormat/>
    <w:rsid w:val="002C03B8"/>
    <w:pPr>
      <w:pBdr>
        <w:bottom w:val="single" w:sz="4" w:space="1" w:color="auto"/>
      </w:pBdr>
      <w:spacing w:before="200" w:after="280"/>
      <w:ind w:left="1008" w:right="1152"/>
      <w:jc w:val="both"/>
    </w:pPr>
    <w:rPr>
      <w:rFonts w:eastAsia="Times New Roman"/>
      <w:b/>
      <w:bCs/>
      <w:i/>
      <w:iCs/>
      <w:lang w:val="en-US"/>
    </w:rPr>
  </w:style>
  <w:style w:type="character" w:customStyle="1" w:styleId="IntenseQuoteChar">
    <w:name w:val="Intense Quote Char"/>
    <w:basedOn w:val="DefaultParagraphFont"/>
    <w:link w:val="IntenseQuote"/>
    <w:rsid w:val="002C03B8"/>
    <w:rPr>
      <w:b/>
      <w:bCs/>
      <w:i/>
      <w:iCs/>
      <w:sz w:val="24"/>
      <w:szCs w:val="24"/>
      <w:lang w:val="en-US" w:eastAsia="en-US" w:bidi="ar-SA"/>
    </w:rPr>
  </w:style>
  <w:style w:type="paragraph" w:customStyle="1" w:styleId="CharCharCharChar0">
    <w:name w:val="Char Char Char Char"/>
    <w:basedOn w:val="Normal"/>
    <w:rsid w:val="004F79DE"/>
    <w:pPr>
      <w:spacing w:after="160" w:line="240" w:lineRule="exact"/>
    </w:pPr>
    <w:rPr>
      <w:rFonts w:ascii="Tahoma" w:eastAsia="Calibri" w:hAnsi="Tahoma"/>
      <w:sz w:val="20"/>
      <w:szCs w:val="20"/>
      <w:lang w:val="en-US" w:bidi="en-US"/>
    </w:rPr>
  </w:style>
  <w:style w:type="character" w:customStyle="1" w:styleId="CharChar1">
    <w:name w:val="Char Char1"/>
    <w:basedOn w:val="DefaultParagraphFont"/>
    <w:rsid w:val="004F79DE"/>
    <w:rPr>
      <w:rFonts w:ascii="Trebuchet MS" w:eastAsia="MS Mincho" w:hAnsi="Trebuchet MS"/>
      <w:lang w:val="en-GB" w:eastAsia="en-US" w:bidi="ar-SA"/>
    </w:rPr>
  </w:style>
  <w:style w:type="paragraph" w:customStyle="1" w:styleId="BoxText">
    <w:name w:val="Box Text"/>
    <w:basedOn w:val="Normal"/>
    <w:rsid w:val="004F79DE"/>
    <w:pPr>
      <w:widowControl w:val="0"/>
      <w:spacing w:before="40" w:after="40" w:line="276" w:lineRule="auto"/>
      <w:ind w:left="284" w:right="284"/>
    </w:pPr>
    <w:rPr>
      <w:rFonts w:ascii="Trebuchet MS" w:hAnsi="Trebuchet MS"/>
      <w:sz w:val="18"/>
      <w:szCs w:val="18"/>
      <w:lang w:val="en-GB" w:bidi="en-US"/>
    </w:rPr>
  </w:style>
  <w:style w:type="paragraph" w:customStyle="1" w:styleId="bulletmenumra">
    <w:name w:val="bullet me numra"/>
    <w:basedOn w:val="Normal"/>
    <w:rsid w:val="004F79DE"/>
    <w:pPr>
      <w:widowControl w:val="0"/>
      <w:spacing w:before="240" w:after="240" w:line="276" w:lineRule="auto"/>
      <w:jc w:val="both"/>
    </w:pPr>
    <w:rPr>
      <w:rFonts w:ascii="Trebuchet MS" w:hAnsi="Trebuchet MS"/>
      <w:sz w:val="20"/>
      <w:szCs w:val="22"/>
      <w:lang w:bidi="en-US"/>
    </w:rPr>
  </w:style>
  <w:style w:type="character" w:customStyle="1" w:styleId="bulletmenumraChar">
    <w:name w:val="bullet me numra Char"/>
    <w:basedOn w:val="DefaultParagraphFont"/>
    <w:rsid w:val="004F79DE"/>
    <w:rPr>
      <w:rFonts w:ascii="Trebuchet MS" w:eastAsia="MS Mincho" w:hAnsi="Trebuchet MS"/>
      <w:szCs w:val="22"/>
      <w:lang w:val="en-GB" w:eastAsia="en-US" w:bidi="ar-SA"/>
    </w:rPr>
  </w:style>
  <w:style w:type="paragraph" w:customStyle="1" w:styleId="bulletmeshkronja">
    <w:name w:val="bullet me shkronja"/>
    <w:basedOn w:val="Normal"/>
    <w:rsid w:val="004F79DE"/>
    <w:pPr>
      <w:widowControl w:val="0"/>
      <w:spacing w:before="60" w:after="60" w:line="276" w:lineRule="auto"/>
      <w:jc w:val="both"/>
    </w:pPr>
    <w:rPr>
      <w:rFonts w:ascii="Trebuchet MS" w:hAnsi="Trebuchet MS"/>
      <w:sz w:val="22"/>
      <w:szCs w:val="22"/>
      <w:lang w:bidi="en-US"/>
    </w:rPr>
  </w:style>
  <w:style w:type="paragraph" w:customStyle="1" w:styleId="Char1">
    <w:name w:val="Char1"/>
    <w:basedOn w:val="Normal"/>
    <w:rsid w:val="004F79DE"/>
    <w:pPr>
      <w:spacing w:after="160" w:line="240" w:lineRule="exact"/>
    </w:pPr>
    <w:rPr>
      <w:rFonts w:ascii="Tahoma" w:hAnsi="Tahoma"/>
      <w:sz w:val="20"/>
      <w:szCs w:val="20"/>
      <w:lang w:val="en-GB" w:eastAsia="en-GB" w:bidi="en-US"/>
    </w:rPr>
  </w:style>
  <w:style w:type="character" w:customStyle="1" w:styleId="CharChar0">
    <w:name w:val="Char Char"/>
    <w:basedOn w:val="DefaultParagraphFont"/>
    <w:locked/>
    <w:rsid w:val="004F79DE"/>
    <w:rPr>
      <w:rFonts w:ascii="Trebuchet MS" w:eastAsia="MS Mincho" w:hAnsi="Trebuchet MS"/>
      <w:sz w:val="22"/>
      <w:lang w:val="en-GB" w:eastAsia="en-US" w:bidi="ar-SA"/>
    </w:rPr>
  </w:style>
  <w:style w:type="character" w:customStyle="1" w:styleId="CharChar3">
    <w:name w:val=" Char Char3"/>
    <w:basedOn w:val="DefaultParagraphFont"/>
    <w:rsid w:val="004F79DE"/>
    <w:rPr>
      <w:rFonts w:ascii="Times New Roman" w:eastAsia="Times New Roman" w:hAnsi="Times New Roman" w:cs="Times New Roman"/>
      <w:sz w:val="24"/>
      <w:szCs w:val="24"/>
    </w:rPr>
  </w:style>
  <w:style w:type="character" w:customStyle="1" w:styleId="footnoteChar">
    <w:name w:val="footnote Char"/>
    <w:basedOn w:val="DefaultParagraphFont"/>
    <w:rsid w:val="004F79D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F79DE"/>
    <w:rPr>
      <w:rFonts w:ascii="Trebuchet MS" w:eastAsia="MS Mincho" w:hAnsi="Trebuchet MS"/>
      <w:sz w:val="18"/>
      <w:lang w:val="en-GB" w:eastAsia="en-US" w:bidi="ar-SA"/>
    </w:rPr>
  </w:style>
  <w:style w:type="character" w:customStyle="1" w:styleId="Heading1CharChar">
    <w:name w:val="Heading 1 Char Char"/>
    <w:basedOn w:val="DefaultParagraphFont"/>
    <w:rsid w:val="004F79DE"/>
    <w:rPr>
      <w:rFonts w:ascii="Trebuchet MS" w:eastAsia="MS Mincho" w:hAnsi="Trebuchet MS" w:cs="Arial"/>
      <w:b/>
      <w:bCs/>
      <w:kern w:val="32"/>
      <w:sz w:val="36"/>
      <w:szCs w:val="36"/>
      <w:lang w:val="en-US" w:eastAsia="en-US" w:bidi="ar-SA"/>
    </w:rPr>
  </w:style>
  <w:style w:type="paragraph" w:customStyle="1" w:styleId="hyrje">
    <w:name w:val="hyrje"/>
    <w:basedOn w:val="Heading1"/>
    <w:rsid w:val="004F79DE"/>
    <w:pPr>
      <w:keepNext w:val="0"/>
      <w:pageBreakBefore/>
      <w:spacing w:before="360" w:after="360" w:line="276" w:lineRule="auto"/>
      <w:contextualSpacing/>
      <w:jc w:val="both"/>
    </w:pPr>
    <w:rPr>
      <w:rFonts w:ascii="Trebuchet MS" w:hAnsi="Trebuchet MS" w:cs="Times New Roman"/>
      <w:kern w:val="0"/>
      <w:sz w:val="36"/>
      <w:szCs w:val="36"/>
      <w:lang w:val="en-GB" w:bidi="en-US"/>
    </w:rPr>
  </w:style>
  <w:style w:type="paragraph" w:customStyle="1" w:styleId="Level11">
    <w:name w:val="Level 1.1"/>
    <w:basedOn w:val="Normal"/>
    <w:rsid w:val="004F79DE"/>
    <w:pPr>
      <w:keepLines/>
      <w:widowControl w:val="0"/>
      <w:tabs>
        <w:tab w:val="left" w:pos="1440"/>
        <w:tab w:val="left" w:pos="2304"/>
      </w:tabs>
      <w:spacing w:after="288" w:line="276" w:lineRule="auto"/>
      <w:jc w:val="both"/>
    </w:pPr>
    <w:rPr>
      <w:rFonts w:ascii="CG Times" w:hAnsi="CG Times"/>
      <w:kern w:val="28"/>
      <w:sz w:val="22"/>
      <w:szCs w:val="20"/>
      <w:lang w:val="en-GB" w:bidi="en-US"/>
    </w:rPr>
  </w:style>
  <w:style w:type="paragraph" w:customStyle="1" w:styleId="Listbullet">
    <w:name w:val="List bullet"/>
    <w:basedOn w:val="Normal"/>
    <w:rsid w:val="004F79DE"/>
    <w:pPr>
      <w:widowControl w:val="0"/>
      <w:spacing w:after="120" w:line="276" w:lineRule="auto"/>
    </w:pPr>
    <w:rPr>
      <w:rFonts w:ascii="Trebuchet MS" w:hAnsi="Trebuchet MS"/>
      <w:sz w:val="22"/>
      <w:szCs w:val="20"/>
      <w:lang w:eastAsia="zh-CN" w:bidi="en-US"/>
    </w:rPr>
  </w:style>
  <w:style w:type="character" w:customStyle="1" w:styleId="ListBullet2Char">
    <w:name w:val="List Bullet 2 Char"/>
    <w:aliases w:val="List me numra Char"/>
    <w:basedOn w:val="DefaultParagraphFont"/>
    <w:rsid w:val="004F79D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F79DE"/>
    <w:rPr>
      <w:rFonts w:ascii="Trebuchet MS" w:eastAsia="MS Mincho" w:hAnsi="Trebuchet MS"/>
      <w:sz w:val="22"/>
      <w:szCs w:val="22"/>
      <w:lang w:val="en-US" w:eastAsia="en-US" w:bidi="ar-SA"/>
    </w:rPr>
  </w:style>
  <w:style w:type="paragraph" w:customStyle="1" w:styleId="listmenumra">
    <w:name w:val="list me numra"/>
    <w:basedOn w:val="ListBullet2"/>
    <w:rsid w:val="004F79DE"/>
    <w:pPr>
      <w:spacing w:before="60" w:after="60" w:line="276" w:lineRule="auto"/>
      <w:jc w:val="both"/>
    </w:pPr>
    <w:rPr>
      <w:rFonts w:ascii="Trebuchet MS" w:eastAsia="MS Mincho" w:hAnsi="Trebuchet MS"/>
      <w:sz w:val="22"/>
      <w:szCs w:val="22"/>
      <w:lang w:val="en-US" w:bidi="en-US"/>
    </w:rPr>
  </w:style>
  <w:style w:type="character" w:customStyle="1" w:styleId="listmenumraCharChar">
    <w:name w:val="list me numra Char Char"/>
    <w:basedOn w:val="ListBullet2Char"/>
    <w:rsid w:val="004F79DE"/>
    <w:rPr>
      <w:rFonts w:ascii="Trebuchet MS" w:eastAsia="MS Mincho" w:hAnsi="Trebuchet MS"/>
      <w:sz w:val="22"/>
      <w:szCs w:val="22"/>
      <w:lang w:val="en-US" w:eastAsia="en-US" w:bidi="ar-SA"/>
    </w:rPr>
  </w:style>
  <w:style w:type="paragraph" w:customStyle="1" w:styleId="para">
    <w:name w:val="para"/>
    <w:basedOn w:val="Normal"/>
    <w:rsid w:val="004F79DE"/>
    <w:pPr>
      <w:widowControl w:val="0"/>
      <w:spacing w:before="120" w:after="240" w:line="276" w:lineRule="auto"/>
      <w:jc w:val="both"/>
    </w:pPr>
    <w:rPr>
      <w:rFonts w:ascii="Trebuchet MS" w:hAnsi="Trebuchet MS"/>
      <w:sz w:val="22"/>
      <w:szCs w:val="22"/>
      <w:lang w:bidi="en-US"/>
    </w:rPr>
  </w:style>
  <w:style w:type="character" w:customStyle="1" w:styleId="paraChar">
    <w:name w:val="para Char"/>
    <w:basedOn w:val="DefaultParagraphFont"/>
    <w:rsid w:val="004F79DE"/>
    <w:rPr>
      <w:rFonts w:ascii="Arial" w:eastAsia="MS Mincho" w:hAnsi="Arial"/>
      <w:sz w:val="22"/>
      <w:szCs w:val="24"/>
      <w:lang w:val="en-US" w:eastAsia="en-US" w:bidi="ar-SA"/>
    </w:rPr>
  </w:style>
  <w:style w:type="paragraph" w:customStyle="1" w:styleId="para-indent">
    <w:name w:val="para-indent"/>
    <w:basedOn w:val="para"/>
    <w:rsid w:val="004F79DE"/>
    <w:pPr>
      <w:ind w:left="720"/>
    </w:pPr>
  </w:style>
  <w:style w:type="paragraph" w:customStyle="1" w:styleId="Pas">
    <w:name w:val="Pas"/>
    <w:basedOn w:val="Normal"/>
    <w:rsid w:val="004F79DE"/>
    <w:pPr>
      <w:widowControl w:val="0"/>
      <w:spacing w:after="200" w:line="276" w:lineRule="auto"/>
    </w:pPr>
    <w:rPr>
      <w:rFonts w:ascii="CG Times" w:hAnsi="CG Times"/>
      <w:sz w:val="22"/>
      <w:szCs w:val="22"/>
      <w:lang w:bidi="en-US"/>
    </w:rPr>
  </w:style>
  <w:style w:type="paragraph" w:customStyle="1" w:styleId="Section">
    <w:name w:val="Section"/>
    <w:rsid w:val="004F79DE"/>
    <w:rPr>
      <w:rFonts w:ascii="Arial" w:hAnsi="Arial" w:cs="Arial"/>
      <w:bCs/>
      <w:kern w:val="32"/>
      <w:sz w:val="48"/>
      <w:szCs w:val="32"/>
      <w:lang w:val="en-US" w:eastAsia="en-US" w:bidi="en-US"/>
    </w:rPr>
  </w:style>
  <w:style w:type="paragraph" w:customStyle="1" w:styleId="SectionNUM">
    <w:name w:val="Section NUM"/>
    <w:next w:val="Heading1"/>
    <w:rsid w:val="004F79DE"/>
    <w:pPr>
      <w:keepNext/>
      <w:pageBreakBefore/>
      <w:tabs>
        <w:tab w:val="num" w:pos="720"/>
      </w:tabs>
      <w:spacing w:after="240"/>
      <w:ind w:left="720" w:hanging="360"/>
    </w:pPr>
    <w:rPr>
      <w:rFonts w:ascii="Trebuchet MS" w:hAnsi="Trebuchet MS"/>
      <w:b/>
      <w:kern w:val="32"/>
      <w:sz w:val="36"/>
      <w:lang w:eastAsia="en-US" w:bidi="en-US"/>
    </w:rPr>
  </w:style>
  <w:style w:type="paragraph" w:customStyle="1" w:styleId="Style">
    <w:name w:val="Style"/>
    <w:rsid w:val="004F79DE"/>
    <w:pPr>
      <w:widowControl w:val="0"/>
      <w:autoSpaceDE w:val="0"/>
      <w:autoSpaceDN w:val="0"/>
      <w:adjustRightInd w:val="0"/>
    </w:pPr>
    <w:rPr>
      <w:rFonts w:eastAsia="MS Mincho"/>
      <w:sz w:val="24"/>
      <w:szCs w:val="24"/>
      <w:lang w:val="en-US" w:eastAsia="en-US" w:bidi="en-US"/>
    </w:rPr>
  </w:style>
  <w:style w:type="paragraph" w:customStyle="1" w:styleId="StyleCaption">
    <w:name w:val="Style Caption"/>
    <w:basedOn w:val="Normal"/>
    <w:rsid w:val="004F79DE"/>
    <w:pPr>
      <w:keepNext/>
      <w:widowControl w:val="0"/>
      <w:spacing w:before="240" w:after="60" w:line="276" w:lineRule="auto"/>
      <w:jc w:val="both"/>
    </w:pPr>
    <w:rPr>
      <w:rFonts w:ascii="Trebuchet MS" w:hAnsi="Trebuchet MS"/>
      <w:sz w:val="18"/>
      <w:szCs w:val="18"/>
      <w:lang w:bidi="en-US"/>
    </w:rPr>
  </w:style>
  <w:style w:type="character" w:customStyle="1" w:styleId="StyleCaptionChar">
    <w:name w:val="Style Caption Char"/>
    <w:basedOn w:val="DefaultParagraphFont"/>
    <w:rsid w:val="004F79DE"/>
    <w:rPr>
      <w:rFonts w:ascii="Trebuchet MS" w:eastAsia="MS Mincho" w:hAnsi="Trebuchet MS"/>
      <w:sz w:val="18"/>
      <w:szCs w:val="18"/>
      <w:lang w:val="en-US" w:eastAsia="en-US" w:bidi="ar-SA"/>
    </w:rPr>
  </w:style>
  <w:style w:type="paragraph" w:customStyle="1" w:styleId="sub-list">
    <w:name w:val="sub-list"/>
    <w:rsid w:val="004F79DE"/>
    <w:pPr>
      <w:spacing w:before="60" w:after="120"/>
    </w:pPr>
    <w:rPr>
      <w:rFonts w:ascii="Arial" w:hAnsi="Arial"/>
      <w:sz w:val="22"/>
      <w:szCs w:val="24"/>
      <w:lang w:val="en-US" w:eastAsia="en-US" w:bidi="en-US"/>
    </w:rPr>
  </w:style>
  <w:style w:type="paragraph" w:customStyle="1" w:styleId="tabela">
    <w:name w:val="tabela"/>
    <w:basedOn w:val="Normal"/>
    <w:rsid w:val="004F79DE"/>
    <w:pPr>
      <w:keepNext/>
      <w:keepLines/>
      <w:widowControl w:val="0"/>
      <w:spacing w:before="60" w:after="60" w:line="276" w:lineRule="auto"/>
      <w:jc w:val="both"/>
    </w:pPr>
    <w:rPr>
      <w:rFonts w:ascii="Trebuchet MS" w:hAnsi="Trebuchet MS" w:cs="Arial"/>
      <w:sz w:val="16"/>
      <w:szCs w:val="16"/>
      <w:lang w:val="en-GB" w:bidi="en-US"/>
    </w:rPr>
  </w:style>
  <w:style w:type="paragraph" w:customStyle="1" w:styleId="Table">
    <w:name w:val="Table"/>
    <w:basedOn w:val="Normal"/>
    <w:next w:val="BodyText"/>
    <w:autoRedefine/>
    <w:rsid w:val="004F79DE"/>
    <w:pPr>
      <w:keepNext/>
      <w:widowControl w:val="0"/>
      <w:tabs>
        <w:tab w:val="num" w:pos="1008"/>
      </w:tabs>
      <w:spacing w:before="360" w:after="240" w:line="276" w:lineRule="auto"/>
      <w:ind w:left="1008" w:hanging="1008"/>
      <w:jc w:val="both"/>
    </w:pPr>
    <w:rPr>
      <w:rFonts w:ascii="Trebuchet MS" w:hAnsi="Trebuchet MS"/>
      <w:b/>
      <w:bCs/>
      <w:sz w:val="22"/>
      <w:szCs w:val="20"/>
      <w:lang w:eastAsia="en-GB" w:bidi="en-US"/>
    </w:rPr>
  </w:style>
  <w:style w:type="paragraph" w:customStyle="1" w:styleId="TableFootnote">
    <w:name w:val="Table Footnote"/>
    <w:basedOn w:val="Normal"/>
    <w:rsid w:val="004F79DE"/>
    <w:pPr>
      <w:widowControl w:val="0"/>
      <w:spacing w:before="80" w:after="240" w:line="276" w:lineRule="auto"/>
      <w:contextualSpacing/>
    </w:pPr>
    <w:rPr>
      <w:rFonts w:ascii="Trebuchet MS" w:hAnsi="Trebuchet MS"/>
      <w:sz w:val="18"/>
      <w:szCs w:val="20"/>
      <w:lang w:val="en-GB" w:eastAsia="en-GB" w:bidi="en-US"/>
    </w:rPr>
  </w:style>
  <w:style w:type="paragraph" w:customStyle="1" w:styleId="TableText">
    <w:name w:val="Table Text"/>
    <w:basedOn w:val="BodyText"/>
    <w:rsid w:val="004F79DE"/>
    <w:pPr>
      <w:spacing w:before="40" w:after="40" w:line="276" w:lineRule="auto"/>
      <w:jc w:val="both"/>
    </w:pPr>
    <w:rPr>
      <w:rFonts w:ascii="Trebuchet MS" w:hAnsi="Trebuchet MS"/>
      <w:sz w:val="18"/>
      <w:szCs w:val="22"/>
      <w:lang w:val="it-IT" w:bidi="en-US"/>
    </w:rPr>
  </w:style>
  <w:style w:type="character" w:styleId="Strong">
    <w:name w:val="Strong"/>
    <w:qFormat/>
    <w:rsid w:val="004F79DE"/>
    <w:rPr>
      <w:b/>
      <w:bCs/>
    </w:rPr>
  </w:style>
  <w:style w:type="character" w:styleId="Emphasis">
    <w:name w:val="Emphasis"/>
    <w:qFormat/>
    <w:rsid w:val="004F79DE"/>
    <w:rPr>
      <w:b/>
      <w:bCs/>
      <w:i/>
      <w:iCs/>
      <w:spacing w:val="10"/>
      <w:bdr w:val="none" w:sz="0" w:space="0" w:color="auto"/>
      <w:shd w:val="clear" w:color="auto" w:fill="auto"/>
    </w:rPr>
  </w:style>
  <w:style w:type="paragraph" w:styleId="NoSpacing">
    <w:name w:val="No Spacing"/>
    <w:basedOn w:val="Normal"/>
    <w:qFormat/>
    <w:rsid w:val="004F79DE"/>
    <w:rPr>
      <w:rFonts w:ascii="Calibri" w:eastAsia="Calibri" w:hAnsi="Calibri"/>
      <w:sz w:val="22"/>
      <w:szCs w:val="22"/>
      <w:lang w:val="en-US" w:bidi="en-US"/>
    </w:rPr>
  </w:style>
  <w:style w:type="character" w:styleId="SubtleEmphasis">
    <w:name w:val="Subtle Emphasis"/>
    <w:qFormat/>
    <w:rsid w:val="004F79DE"/>
    <w:rPr>
      <w:i/>
      <w:iCs/>
    </w:rPr>
  </w:style>
  <w:style w:type="character" w:styleId="IntenseEmphasis">
    <w:name w:val="Intense Emphasis"/>
    <w:qFormat/>
    <w:rsid w:val="004F79DE"/>
    <w:rPr>
      <w:b/>
      <w:bCs/>
    </w:rPr>
  </w:style>
  <w:style w:type="character" w:styleId="SubtleReference">
    <w:name w:val="Subtle Reference"/>
    <w:qFormat/>
    <w:rsid w:val="004F79DE"/>
    <w:rPr>
      <w:smallCaps/>
    </w:rPr>
  </w:style>
  <w:style w:type="character" w:styleId="IntenseReference">
    <w:name w:val="Intense Reference"/>
    <w:qFormat/>
    <w:rsid w:val="004F79DE"/>
    <w:rPr>
      <w:smallCaps/>
      <w:spacing w:val="5"/>
      <w:u w:val="single"/>
    </w:rPr>
  </w:style>
  <w:style w:type="character" w:styleId="BookTitle">
    <w:name w:val="Book Title"/>
    <w:qFormat/>
    <w:rsid w:val="004F79DE"/>
    <w:rPr>
      <w:i/>
      <w:iCs/>
      <w:smallCaps/>
      <w:spacing w:val="5"/>
    </w:rPr>
  </w:style>
  <w:style w:type="character" w:customStyle="1" w:styleId="Heading2Char">
    <w:name w:val="Heading 2 Char"/>
    <w:basedOn w:val="DefaultParagraphFont"/>
    <w:rsid w:val="004F79D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F79DE"/>
    <w:rPr>
      <w:rFonts w:ascii="Trebuchet MS" w:eastAsia="MS Mincho" w:hAnsi="Trebuchet MS" w:cs="Arial"/>
      <w:b/>
      <w:bCs/>
      <w:sz w:val="24"/>
      <w:szCs w:val="24"/>
      <w:lang w:val="en-US" w:eastAsia="en-US" w:bidi="ar-SA"/>
    </w:rPr>
  </w:style>
  <w:style w:type="character" w:customStyle="1" w:styleId="BodyTextChar">
    <w:name w:val="Body Text Char"/>
    <w:basedOn w:val="DefaultParagraphFont"/>
    <w:locked/>
    <w:rsid w:val="004F79DE"/>
    <w:rPr>
      <w:sz w:val="24"/>
      <w:szCs w:val="24"/>
      <w:lang w:val="en-US" w:eastAsia="en-US" w:bidi="ar-SA"/>
    </w:rPr>
  </w:style>
  <w:style w:type="paragraph" w:customStyle="1" w:styleId="xl22">
    <w:name w:val="xl22"/>
    <w:basedOn w:val="Normal"/>
    <w:rsid w:val="004F79DE"/>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4F79DE"/>
    <w:pPr>
      <w:spacing w:before="100" w:beforeAutospacing="1" w:after="100" w:afterAutospacing="1"/>
    </w:pPr>
    <w:rPr>
      <w:rFonts w:ascii="Book Antiqua" w:hAnsi="Book Antiqua"/>
      <w:sz w:val="20"/>
      <w:szCs w:val="20"/>
      <w:lang w:val="en-US"/>
    </w:rPr>
  </w:style>
  <w:style w:type="paragraph" w:customStyle="1" w:styleId="ecxmsonormal">
    <w:name w:val="ecxmsonormal"/>
    <w:basedOn w:val="Normal"/>
    <w:rsid w:val="004F79DE"/>
    <w:pPr>
      <w:spacing w:before="100" w:beforeAutospacing="1" w:after="100" w:afterAutospacing="1"/>
    </w:pPr>
    <w:rPr>
      <w:rFonts w:eastAsia="Times New Roman"/>
      <w:lang w:val="en-US"/>
    </w:rPr>
  </w:style>
  <w:style w:type="paragraph" w:customStyle="1" w:styleId="ecxmsoheading8">
    <w:name w:val="ecxmsoheading8"/>
    <w:basedOn w:val="Normal"/>
    <w:rsid w:val="004F79DE"/>
    <w:pPr>
      <w:spacing w:before="100" w:beforeAutospacing="1" w:after="100" w:afterAutospacing="1"/>
    </w:pPr>
    <w:rPr>
      <w:rFonts w:eastAsia="Times New Roman"/>
      <w:lang w:val="en-US"/>
    </w:rPr>
  </w:style>
  <w:style w:type="paragraph" w:customStyle="1" w:styleId="ecxmsobodytext3">
    <w:name w:val="ecxmsobodytext3"/>
    <w:basedOn w:val="Normal"/>
    <w:rsid w:val="004F79DE"/>
    <w:pPr>
      <w:spacing w:before="100" w:beforeAutospacing="1" w:after="100" w:afterAutospacing="1"/>
    </w:pPr>
    <w:rPr>
      <w:rFonts w:eastAsia="Times New Roman"/>
      <w:lang w:val="en-US"/>
    </w:rPr>
  </w:style>
  <w:style w:type="paragraph" w:customStyle="1" w:styleId="ecxmsobodytext2">
    <w:name w:val="ecxmsobodytext2"/>
    <w:basedOn w:val="Normal"/>
    <w:rsid w:val="004F79DE"/>
    <w:pPr>
      <w:spacing w:before="100" w:beforeAutospacing="1" w:after="100" w:afterAutospacing="1"/>
    </w:pPr>
    <w:rPr>
      <w:rFonts w:eastAsia="Times New Roman"/>
      <w:lang w:val="en-US"/>
    </w:rPr>
  </w:style>
  <w:style w:type="paragraph" w:customStyle="1" w:styleId="ecxmsofooter">
    <w:name w:val="ecxmsofooter"/>
    <w:basedOn w:val="Normal"/>
    <w:rsid w:val="004F79DE"/>
    <w:pPr>
      <w:spacing w:before="100" w:beforeAutospacing="1" w:after="100" w:afterAutospacing="1"/>
    </w:pPr>
    <w:rPr>
      <w:rFonts w:eastAsia="Times New Roman"/>
      <w:lang w:val="en-US"/>
    </w:rPr>
  </w:style>
  <w:style w:type="paragraph" w:customStyle="1" w:styleId="Normal0">
    <w:name w:val="[Normal]"/>
    <w:rsid w:val="004F79DE"/>
    <w:pPr>
      <w:autoSpaceDE w:val="0"/>
      <w:autoSpaceDN w:val="0"/>
      <w:adjustRightInd w:val="0"/>
    </w:pPr>
    <w:rPr>
      <w:rFonts w:ascii="Arial" w:hAnsi="Arial" w:cs="Arial"/>
      <w:sz w:val="24"/>
      <w:szCs w:val="24"/>
      <w:lang w:val="en-US" w:eastAsia="en-US"/>
    </w:rPr>
  </w:style>
  <w:style w:type="paragraph" w:customStyle="1" w:styleId="BodyText212pt">
    <w:name w:val="Body Text 2 + 12 pt"/>
    <w:aliases w:val="Justified,Line spacing:  1.5 lines"/>
    <w:basedOn w:val="Normal"/>
    <w:rsid w:val="004F79DE"/>
    <w:pPr>
      <w:spacing w:after="120" w:line="360" w:lineRule="auto"/>
      <w:jc w:val="both"/>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595863">
      <w:bodyDiv w:val="1"/>
      <w:marLeft w:val="0"/>
      <w:marRight w:val="0"/>
      <w:marTop w:val="0"/>
      <w:marBottom w:val="0"/>
      <w:divBdr>
        <w:top w:val="none" w:sz="0" w:space="0" w:color="auto"/>
        <w:left w:val="none" w:sz="0" w:space="0" w:color="auto"/>
        <w:bottom w:val="none" w:sz="0" w:space="0" w:color="auto"/>
        <w:right w:val="none" w:sz="0" w:space="0" w:color="auto"/>
      </w:divBdr>
    </w:div>
    <w:div w:id="1222015117">
      <w:bodyDiv w:val="1"/>
      <w:marLeft w:val="0"/>
      <w:marRight w:val="0"/>
      <w:marTop w:val="0"/>
      <w:marBottom w:val="0"/>
      <w:divBdr>
        <w:top w:val="none" w:sz="0" w:space="0" w:color="auto"/>
        <w:left w:val="none" w:sz="0" w:space="0" w:color="auto"/>
        <w:bottom w:val="none" w:sz="0" w:space="0" w:color="auto"/>
        <w:right w:val="none" w:sz="0" w:space="0" w:color="auto"/>
      </w:divBdr>
    </w:div>
    <w:div w:id="1750734663">
      <w:bodyDiv w:val="1"/>
      <w:marLeft w:val="0"/>
      <w:marRight w:val="0"/>
      <w:marTop w:val="0"/>
      <w:marBottom w:val="0"/>
      <w:divBdr>
        <w:top w:val="none" w:sz="0" w:space="0" w:color="auto"/>
        <w:left w:val="none" w:sz="0" w:space="0" w:color="auto"/>
        <w:bottom w:val="none" w:sz="0" w:space="0" w:color="auto"/>
        <w:right w:val="none" w:sz="0" w:space="0" w:color="auto"/>
      </w:divBdr>
    </w:div>
    <w:div w:id="2024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14194</Words>
  <Characters>80907</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KODI I </vt:lpstr>
    </vt:vector>
  </TitlesOfParts>
  <Company/>
  <LinksUpToDate>false</LinksUpToDate>
  <CharactersWithSpaces>94912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KODI I </dc:title>
  <dc:subject/>
  <dc:creator>n.fagu</dc:creator>
  <cp:keywords/>
  <dc:description/>
  <cp:lastModifiedBy>Inida Noga</cp:lastModifiedBy>
  <cp:revision>2</cp:revision>
  <cp:lastPrinted>2010-07-04T20:19:00Z</cp:lastPrinted>
  <dcterms:created xsi:type="dcterms:W3CDTF">2019-02-18T15:28:00Z</dcterms:created>
  <dcterms:modified xsi:type="dcterms:W3CDTF">2019-02-18T15:28:00Z</dcterms:modified>
</cp:coreProperties>
</file>