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73E9" w:rsidRPr="0076656D" w:rsidRDefault="00D973E9" w:rsidP="00D973E9">
      <w:pPr>
        <w:pStyle w:val="Paragrafi"/>
        <w:ind w:firstLine="0"/>
        <w:jc w:val="center"/>
        <w:rPr>
          <w:b/>
          <w:lang w:val="sq-AL"/>
        </w:rPr>
      </w:pPr>
      <w:bookmarkStart w:id="0" w:name="_GoBack"/>
      <w:bookmarkEnd w:id="0"/>
      <w:r w:rsidRPr="0076656D">
        <w:rPr>
          <w:b/>
          <w:lang w:val="sq-AL"/>
        </w:rPr>
        <w:t>UDHËZIM</w:t>
      </w:r>
    </w:p>
    <w:p w:rsidR="00B02EB2" w:rsidRPr="0076656D" w:rsidRDefault="00B02EB2" w:rsidP="00D973E9">
      <w:pPr>
        <w:pStyle w:val="NumriData"/>
      </w:pPr>
      <w:r w:rsidRPr="0076656D">
        <w:t>Nr. 20, datë 28.9.2012</w:t>
      </w:r>
    </w:p>
    <w:p w:rsidR="00B02EB2" w:rsidRPr="0076656D" w:rsidRDefault="00B02EB2" w:rsidP="00B02EB2">
      <w:pPr>
        <w:pStyle w:val="Paragrafi"/>
      </w:pPr>
    </w:p>
    <w:p w:rsidR="00B02EB2" w:rsidRPr="0076656D" w:rsidRDefault="00B02EB2" w:rsidP="00842091">
      <w:pPr>
        <w:pStyle w:val="Titulli"/>
      </w:pPr>
      <w:r w:rsidRPr="0076656D">
        <w:t>MBI PËRCAKTIMIN E STA</w:t>
      </w:r>
      <w:r w:rsidR="00E6687D">
        <w:t>NDARDEVE TË DOKUMENTIT PËR VËRTe</w:t>
      </w:r>
      <w:r w:rsidRPr="0076656D">
        <w:t>TIMIN E SASISË SË PRODHIMIT PËR QËLLIME TË PËRCAKTIMIT TË NIVELIT TË DETYRIMIT TË AKCIZËS</w:t>
      </w:r>
    </w:p>
    <w:p w:rsidR="00B02EB2" w:rsidRPr="0076656D" w:rsidRDefault="00B02EB2" w:rsidP="00B02EB2">
      <w:pPr>
        <w:pStyle w:val="Paragrafi"/>
      </w:pPr>
    </w:p>
    <w:p w:rsidR="00B02EB2" w:rsidRPr="0076656D" w:rsidRDefault="00B02EB2" w:rsidP="00B02EB2">
      <w:pPr>
        <w:pStyle w:val="Paragrafi"/>
      </w:pPr>
      <w:r w:rsidRPr="0076656D">
        <w:t>Në zbatim të nenit 108 të ligjit 61/2012 “Për akcizat në Republikën e Shqipërisë</w:t>
      </w:r>
      <w:r w:rsidR="00C142D4">
        <w:t>”</w:t>
      </w:r>
      <w:r w:rsidRPr="0076656D">
        <w:t xml:space="preserve"> dhe me qëllim përcaktimin e standardeve të dokumentit për vërtetimin e sasisë së prodhimit për përcaktimin e nivelit të akcizës së produkteve të pjesës II të shtojcës nr.</w:t>
      </w:r>
      <w:r w:rsidR="00944912">
        <w:t xml:space="preserve"> </w:t>
      </w:r>
      <w:r w:rsidRPr="0076656D">
        <w:t>1 të ligjit 61/2012 “Për akcizat në Republikën e Shqipërisë</w:t>
      </w:r>
      <w:r w:rsidR="00D973E9" w:rsidRPr="0076656D">
        <w:t>”, Ministri i</w:t>
      </w:r>
      <w:r w:rsidRPr="0076656D">
        <w:t xml:space="preserve"> Financave </w:t>
      </w:r>
    </w:p>
    <w:p w:rsidR="00B02EB2" w:rsidRPr="0076656D" w:rsidRDefault="00B02EB2" w:rsidP="00B02EB2">
      <w:pPr>
        <w:pStyle w:val="Paragrafi"/>
      </w:pPr>
    </w:p>
    <w:p w:rsidR="00B02EB2" w:rsidRPr="0076656D" w:rsidRDefault="00B02EB2" w:rsidP="00842091">
      <w:pPr>
        <w:pStyle w:val="VENDOSI"/>
      </w:pPr>
      <w:r w:rsidRPr="0076656D">
        <w:t>UDHËZON:</w:t>
      </w:r>
    </w:p>
    <w:p w:rsidR="00B02EB2" w:rsidRPr="0076656D" w:rsidRDefault="00B02EB2" w:rsidP="00B02EB2">
      <w:pPr>
        <w:pStyle w:val="Paragrafi"/>
      </w:pPr>
    </w:p>
    <w:p w:rsidR="00B02EB2" w:rsidRPr="0076656D" w:rsidRDefault="00B02EB2" w:rsidP="00B02EB2">
      <w:pPr>
        <w:pStyle w:val="Paragrafi"/>
      </w:pPr>
      <w:r w:rsidRPr="0076656D">
        <w:t>1.</w:t>
      </w:r>
      <w:r w:rsidR="00842091" w:rsidRPr="0076656D">
        <w:t xml:space="preserve"> </w:t>
      </w:r>
      <w:r w:rsidRPr="0076656D">
        <w:t>Në rast</w:t>
      </w:r>
      <w:r w:rsidR="00944912">
        <w:t>in e importit të produkteve që i</w:t>
      </w:r>
      <w:r w:rsidRPr="0076656D">
        <w:t xml:space="preserve"> nënshtrohen akcizës, niveli i taksimit të të cilave sipas shtojcës 1 të ligjit</w:t>
      </w:r>
      <w:r w:rsidR="00C142D4">
        <w:t xml:space="preserve"> </w:t>
      </w:r>
      <w:r w:rsidRPr="0076656D">
        <w:t>61/2012 “Për akcizat në Republikën e Shqipërisë” varet nga sasia e prodhimit faktik të vitit të mëparshëm kalendarik, importu</w:t>
      </w:r>
      <w:r w:rsidR="00C142D4">
        <w:t>esit duhet të paraqes</w:t>
      </w:r>
      <w:r w:rsidRPr="0076656D">
        <w:t>in pranë Departamentit të</w:t>
      </w:r>
      <w:r w:rsidR="006C6AE8">
        <w:t xml:space="preserve"> Akcizës në Drejtorinë e Përgji</w:t>
      </w:r>
      <w:r w:rsidRPr="0076656D">
        <w:t>thshme të Doganave (DPD), një do</w:t>
      </w:r>
      <w:r w:rsidR="00E6687D">
        <w:t>k</w:t>
      </w:r>
      <w:r w:rsidR="00944912">
        <w:t>ument me të cilin të deklarohet sasia</w:t>
      </w:r>
      <w:r w:rsidRPr="0076656D">
        <w:t xml:space="preserve"> e prodhimit të kompanisë prodhuese të kësaj kategorie/lloj produkti. Dokumenti duhet të  plotësojë një</w:t>
      </w:r>
      <w:r w:rsidR="001C3FCE" w:rsidRPr="0076656D">
        <w:t>herazi kus</w:t>
      </w:r>
      <w:r w:rsidRPr="0076656D">
        <w:t>htet e mëposhtme:</w:t>
      </w:r>
    </w:p>
    <w:p w:rsidR="00B02EB2" w:rsidRPr="0076656D" w:rsidRDefault="00B02EB2" w:rsidP="00B02EB2">
      <w:pPr>
        <w:pStyle w:val="Paragrafi"/>
      </w:pPr>
      <w:r w:rsidRPr="0076656D">
        <w:t>a)</w:t>
      </w:r>
      <w:r w:rsidR="00D973E9" w:rsidRPr="0076656D">
        <w:t xml:space="preserve"> </w:t>
      </w:r>
      <w:r w:rsidRPr="0076656D">
        <w:t>Të lëshohet nga kompania prodhuese e kategorisë/llojit të produktit të importuar, pavarësisht nga vendi eksportues;</w:t>
      </w:r>
    </w:p>
    <w:p w:rsidR="00B02EB2" w:rsidRPr="0076656D" w:rsidRDefault="00B02EB2" w:rsidP="00B02EB2">
      <w:pPr>
        <w:pStyle w:val="Paragrafi"/>
      </w:pPr>
      <w:r w:rsidRPr="0076656D">
        <w:t>b)</w:t>
      </w:r>
      <w:r w:rsidR="00D973E9" w:rsidRPr="0076656D">
        <w:t xml:space="preserve"> </w:t>
      </w:r>
      <w:r w:rsidR="00C142D4">
        <w:t xml:space="preserve">Të jetë i </w:t>
      </w:r>
      <w:r w:rsidR="006C6AE8">
        <w:t>c</w:t>
      </w:r>
      <w:r w:rsidRPr="0076656D">
        <w:t>ertifikuar/miratuar nga autoriteti fiskal mbikëqyrës i prodhuesit në shtetin përkatës;</w:t>
      </w:r>
    </w:p>
    <w:p w:rsidR="00B02EB2" w:rsidRPr="0076656D" w:rsidRDefault="00B02EB2" w:rsidP="00B02EB2">
      <w:pPr>
        <w:pStyle w:val="Paragrafi"/>
      </w:pPr>
      <w:r w:rsidRPr="0076656D">
        <w:t>c)</w:t>
      </w:r>
      <w:r w:rsidR="00D973E9" w:rsidRPr="0076656D">
        <w:t xml:space="preserve"> </w:t>
      </w:r>
      <w:r w:rsidRPr="0076656D">
        <w:t>Të tregojë sasinë faktike të prodhimit total të vitit të mëparshëm, jo</w:t>
      </w:r>
      <w:r w:rsidR="00C142D4">
        <w:t xml:space="preserve"> vetëm për markën dhe llojin e </w:t>
      </w:r>
      <w:r w:rsidRPr="0076656D">
        <w:t>a</w:t>
      </w:r>
      <w:r w:rsidR="00C142D4">
        <w:t>m</w:t>
      </w:r>
      <w:r w:rsidR="00944912">
        <w:t>bal</w:t>
      </w:r>
      <w:r w:rsidRPr="0076656D">
        <w:t>azhit t</w:t>
      </w:r>
      <w:r w:rsidR="00136EB4">
        <w:t>ë produktit që po importohet, po</w:t>
      </w:r>
      <w:r w:rsidR="00944912">
        <w:t>r totalin e të gjitha markave të produkteve të s</w:t>
      </w:r>
      <w:r w:rsidRPr="0076656D">
        <w:t>ë njëjtës kategori/lloj produkti të prodhuar prej kompanisë prodhuese</w:t>
      </w:r>
      <w:r w:rsidR="00944912">
        <w:t xml:space="preserve"> dhe pavarësisht llojit të amba</w:t>
      </w:r>
      <w:r w:rsidRPr="0076656D">
        <w:t>lazhit.</w:t>
      </w:r>
    </w:p>
    <w:p w:rsidR="00B02EB2" w:rsidRPr="00C142D4" w:rsidRDefault="00944912" w:rsidP="00B02EB2">
      <w:pPr>
        <w:pStyle w:val="Paragrafi"/>
        <w:rPr>
          <w:i/>
        </w:rPr>
      </w:pPr>
      <w:r>
        <w:rPr>
          <w:i/>
        </w:rPr>
        <w:t>Shembull: k</w:t>
      </w:r>
      <w:r w:rsidR="00B02EB2" w:rsidRPr="00C142D4">
        <w:rPr>
          <w:i/>
        </w:rPr>
        <w:t>ategoria/lloji i produktit të importuar është birrë.</w:t>
      </w:r>
    </w:p>
    <w:p w:rsidR="00B02EB2" w:rsidRPr="00C142D4" w:rsidRDefault="00C142D4" w:rsidP="00B02EB2">
      <w:pPr>
        <w:pStyle w:val="Paragrafi"/>
        <w:rPr>
          <w:i/>
        </w:rPr>
      </w:pPr>
      <w:r w:rsidRPr="00C142D4">
        <w:rPr>
          <w:i/>
        </w:rPr>
        <w:t>Kur fabrika prodhon</w:t>
      </w:r>
      <w:r w:rsidR="00B02EB2" w:rsidRPr="00C142D4">
        <w:rPr>
          <w:i/>
        </w:rPr>
        <w:t xml:space="preserve"> disa marka të ndryshme birre dhe në lloje të ndryshme ambalazhesh, atëherë dokumenti vërtetues duhet të tregojë sasinë e prodhimit të vitit të kaluar, jo vetëm për markën dhe llojin e ambalazhit të birrës që po importohet, por pë</w:t>
      </w:r>
      <w:r w:rsidRPr="00C142D4">
        <w:rPr>
          <w:i/>
        </w:rPr>
        <w:t>r to</w:t>
      </w:r>
      <w:r w:rsidR="00B02EB2" w:rsidRPr="00C142D4">
        <w:rPr>
          <w:i/>
        </w:rPr>
        <w:t>t</w:t>
      </w:r>
      <w:r w:rsidRPr="00C142D4">
        <w:rPr>
          <w:i/>
        </w:rPr>
        <w:t>a</w:t>
      </w:r>
      <w:r w:rsidR="00B02EB2" w:rsidRPr="00C142D4">
        <w:rPr>
          <w:i/>
        </w:rPr>
        <w:t xml:space="preserve">lin e të gjitha markave të </w:t>
      </w:r>
      <w:r w:rsidR="00944912">
        <w:rPr>
          <w:i/>
        </w:rPr>
        <w:t>birrës të prodhuara për çfarëdo</w:t>
      </w:r>
      <w:r w:rsidR="00B02EB2" w:rsidRPr="00C142D4">
        <w:rPr>
          <w:i/>
        </w:rPr>
        <w:t>lloj ambalazhi të përdorura në të njëjtën fabrikë.</w:t>
      </w:r>
    </w:p>
    <w:p w:rsidR="00B02EB2" w:rsidRPr="0076656D" w:rsidRDefault="00B02EB2" w:rsidP="00B02EB2">
      <w:pPr>
        <w:pStyle w:val="Paragrafi"/>
      </w:pPr>
      <w:r w:rsidRPr="0076656D">
        <w:t>2. Në rastet e prodhimit në territorin shqiptar të produkteve</w:t>
      </w:r>
      <w:r w:rsidR="00944912">
        <w:t>,</w:t>
      </w:r>
      <w:r w:rsidRPr="0076656D">
        <w:t xml:space="preserve"> që i nënshtrohen detyrimit të akcizës dhe kur niveli i taksimit të të cilave sipas shtojcës 1 të ligjit 61/2012 “Për akcizat në Republikën e Shqipërisë</w:t>
      </w:r>
      <w:r w:rsidR="00C142D4">
        <w:t>”</w:t>
      </w:r>
      <w:r w:rsidRPr="0076656D">
        <w:t xml:space="preserve">, varet nga sasia e prodhimit faktik të vitit të mëparshëm kalendarik, prodhuesit vendas duhet të paraqesin pranë Departamentit të Akcizës në DPD një vërtetim nga </w:t>
      </w:r>
      <w:r w:rsidR="00E6687D" w:rsidRPr="0076656D">
        <w:t>autoritetet tatimore</w:t>
      </w:r>
      <w:r w:rsidR="00944912">
        <w:t>,</w:t>
      </w:r>
      <w:r w:rsidR="00E6687D" w:rsidRPr="0076656D">
        <w:t xml:space="preserve"> </w:t>
      </w:r>
      <w:r w:rsidRPr="0076656D">
        <w:t>ku të përcaktohet sasia e prodhimit faktik të fabrikës.</w:t>
      </w:r>
    </w:p>
    <w:p w:rsidR="00B02EB2" w:rsidRPr="0076656D" w:rsidRDefault="00B02EB2" w:rsidP="00B02EB2">
      <w:pPr>
        <w:pStyle w:val="Paragrafi"/>
      </w:pPr>
      <w:r w:rsidRPr="0076656D">
        <w:t>3.</w:t>
      </w:r>
      <w:r w:rsidR="00D973E9" w:rsidRPr="0076656D">
        <w:t xml:space="preserve"> </w:t>
      </w:r>
      <w:r w:rsidRPr="0076656D">
        <w:t>Pas certifikimit të sasisë së prodhimit, si në import ashtu edhe në prodhimin vendas, Departamenti i Akcizës në DPD do të përcaktojë</w:t>
      </w:r>
      <w:r w:rsidR="00E6687D">
        <w:t xml:space="preserve"> nivelin e taksimit me akciz</w:t>
      </w:r>
      <w:r w:rsidRPr="0076656D">
        <w:t>ë për çdo produkt që i nënshtrohet këtij kriteri përgjatë një viti kalendarik dhe njëkohësisht informon autoritetet doganore mbik</w:t>
      </w:r>
      <w:r w:rsidR="00E6687D">
        <w:t>ë</w:t>
      </w:r>
      <w:r w:rsidRPr="0076656D">
        <w:t>qyrëse.</w:t>
      </w:r>
    </w:p>
    <w:p w:rsidR="00BB7215" w:rsidRPr="0076656D" w:rsidRDefault="00B02EB2" w:rsidP="0076656D">
      <w:pPr>
        <w:pStyle w:val="Paragrafi"/>
      </w:pPr>
      <w:r w:rsidRPr="0076656D">
        <w:t>4. Niveli përkatës i taksimit të akcizës gjatë deklarimit në procedurat e importit apo të deklarimit nga prodhuesit vendas, do të jepet pas paraqitjes dhe pranimit të dokumentit të vërtetimit si të vlefshëm.</w:t>
      </w:r>
    </w:p>
    <w:p w:rsidR="00B02EB2" w:rsidRPr="0076656D" w:rsidRDefault="00C142D4" w:rsidP="00B02EB2">
      <w:pPr>
        <w:pStyle w:val="Paragrafi"/>
      </w:pPr>
      <w:r>
        <w:t>5. Në rast të mos</w:t>
      </w:r>
      <w:r w:rsidR="00B15ED9">
        <w:t>paraqitjes së këtij vërtetimi</w:t>
      </w:r>
      <w:r w:rsidR="00B02EB2" w:rsidRPr="0076656D">
        <w:t xml:space="preserve"> ose të paraqitjes së një vërtetimi</w:t>
      </w:r>
      <w:r w:rsidR="00944912">
        <w:t>,</w:t>
      </w:r>
      <w:r w:rsidR="00B02EB2" w:rsidRPr="0076656D">
        <w:t xml:space="preserve"> që nuk i plotëson kriteret si i tillë, nga organet doganore do të aplikohet shkalla më e lartë e nivelit të akcizës për çdo kategori produktesh</w:t>
      </w:r>
      <w:r w:rsidR="00944912">
        <w:t>,</w:t>
      </w:r>
      <w:r w:rsidR="00B02EB2" w:rsidRPr="0076656D">
        <w:t xml:space="preserve"> duke informuar importuesin apo prodhuesin për arsyet e refuzimit.</w:t>
      </w:r>
    </w:p>
    <w:p w:rsidR="00B02EB2" w:rsidRPr="0076656D" w:rsidRDefault="00B02EB2" w:rsidP="00B02EB2">
      <w:pPr>
        <w:pStyle w:val="Paragrafi"/>
      </w:pPr>
      <w:r w:rsidRPr="0076656D">
        <w:t>6. Autoritet</w:t>
      </w:r>
      <w:r w:rsidR="00832364">
        <w:t>et</w:t>
      </w:r>
      <w:r w:rsidRPr="0076656D">
        <w:t xml:space="preserve"> </w:t>
      </w:r>
      <w:r w:rsidR="00DB0F64" w:rsidRPr="0076656D">
        <w:t>doganore</w:t>
      </w:r>
      <w:r w:rsidR="00DB0F64">
        <w:t>,</w:t>
      </w:r>
      <w:r w:rsidR="00DB0F64" w:rsidRPr="0076656D">
        <w:t xml:space="preserve"> </w:t>
      </w:r>
      <w:r w:rsidRPr="0076656D">
        <w:t>në kuadë</w:t>
      </w:r>
      <w:r w:rsidR="00DB0F64">
        <w:t>r të marrëdhënieve të ndërsjell</w:t>
      </w:r>
      <w:r w:rsidRPr="0076656D">
        <w:t xml:space="preserve">a dhe marrëveshjeve të ndryshme në fuqi me autoritetet doganore homologe apo strukturat e tjera kompetente, mund të </w:t>
      </w:r>
      <w:r w:rsidRPr="00832364">
        <w:t>bëj</w:t>
      </w:r>
      <w:r w:rsidR="00DB0F64" w:rsidRPr="00832364">
        <w:t>n</w:t>
      </w:r>
      <w:r w:rsidR="00944912" w:rsidRPr="00832364">
        <w:t>ë</w:t>
      </w:r>
      <w:r w:rsidRPr="0076656D">
        <w:t xml:space="preserve"> </w:t>
      </w:r>
      <w:r w:rsidRPr="0076656D">
        <w:lastRenderedPageBreak/>
        <w:t>verifikimin e këtyre vërtetimeve.</w:t>
      </w:r>
    </w:p>
    <w:p w:rsidR="00B02EB2" w:rsidRPr="0076656D" w:rsidRDefault="00B02EB2" w:rsidP="00B02EB2">
      <w:pPr>
        <w:pStyle w:val="Paragrafi"/>
      </w:pPr>
      <w:r w:rsidRPr="0076656D">
        <w:t>7.</w:t>
      </w:r>
      <w:r w:rsidR="00E6687D">
        <w:t xml:space="preserve"> </w:t>
      </w:r>
      <w:r w:rsidRPr="0076656D">
        <w:t>Në rast se nga verifikimet e kryera</w:t>
      </w:r>
      <w:r w:rsidR="00944912">
        <w:t>,</w:t>
      </w:r>
      <w:r w:rsidRPr="0076656D">
        <w:t xml:space="preserve"> sipas pikës 6 më sipër</w:t>
      </w:r>
      <w:r w:rsidR="00944912">
        <w:t>,</w:t>
      </w:r>
      <w:r w:rsidRPr="0076656D">
        <w:t xml:space="preserve"> apo çdo lloj verifikimi tjetër dokumentar apo/dhe fizik të ngarkesës, rezulton që nuk plotësohen kushtet apo kri</w:t>
      </w:r>
      <w:r w:rsidR="007C4D74">
        <w:t>teret e këtij udhëzimi, atëherë</w:t>
      </w:r>
      <w:r w:rsidR="00E6687D">
        <w:t>:</w:t>
      </w:r>
    </w:p>
    <w:p w:rsidR="00B02EB2" w:rsidRPr="0076656D" w:rsidRDefault="00B02EB2" w:rsidP="00B02EB2">
      <w:pPr>
        <w:pStyle w:val="Paragrafi"/>
      </w:pPr>
      <w:r w:rsidRPr="0076656D">
        <w:t>a) niveli i diferencuar i taksimit për shkak të sasisë së prodhimit</w:t>
      </w:r>
      <w:r w:rsidR="00944912">
        <w:t>,</w:t>
      </w:r>
      <w:r w:rsidRPr="0076656D">
        <w:t xml:space="preserve"> pushon së qeni i vlefshëm;</w:t>
      </w:r>
    </w:p>
    <w:p w:rsidR="00B02EB2" w:rsidRPr="0076656D" w:rsidRDefault="00B02EB2" w:rsidP="00B02EB2">
      <w:pPr>
        <w:pStyle w:val="Paragrafi"/>
      </w:pPr>
      <w:r w:rsidRPr="0076656D">
        <w:t>b) zbatohet niveli maksimal i taksimit;</w:t>
      </w:r>
    </w:p>
    <w:p w:rsidR="00B02EB2" w:rsidRPr="0076656D" w:rsidRDefault="00B02EB2" w:rsidP="00B02EB2">
      <w:pPr>
        <w:pStyle w:val="Paragrafi"/>
      </w:pPr>
      <w:r w:rsidRPr="0076656D">
        <w:t>c) aplikohet kontroll aposterior mbi deklarimet e mëparshme</w:t>
      </w:r>
      <w:r w:rsidR="00944912">
        <w:t>,</w:t>
      </w:r>
      <w:r w:rsidRPr="0076656D">
        <w:t xml:space="preserve"> të cilat kanë përfituar nga vërtetimet</w:t>
      </w:r>
      <w:r w:rsidRPr="00944912">
        <w:rPr>
          <w:sz w:val="12"/>
        </w:rPr>
        <w:t xml:space="preserve"> </w:t>
      </w:r>
      <w:r w:rsidRPr="0076656D">
        <w:t>jashtë kritereve</w:t>
      </w:r>
      <w:r w:rsidR="00C142D4">
        <w:t>,</w:t>
      </w:r>
      <w:r w:rsidRPr="00944912">
        <w:rPr>
          <w:sz w:val="12"/>
        </w:rPr>
        <w:t xml:space="preserve"> </w:t>
      </w:r>
      <w:r w:rsidRPr="0076656D">
        <w:t>si</w:t>
      </w:r>
      <w:r w:rsidRPr="00944912">
        <w:rPr>
          <w:sz w:val="12"/>
        </w:rPr>
        <w:t xml:space="preserve"> </w:t>
      </w:r>
      <w:r w:rsidRPr="0076656D">
        <w:t>dhe</w:t>
      </w:r>
      <w:r w:rsidRPr="00944912">
        <w:rPr>
          <w:sz w:val="12"/>
        </w:rPr>
        <w:t xml:space="preserve"> </w:t>
      </w:r>
      <w:r w:rsidRPr="0076656D">
        <w:t>aplikohen sa</w:t>
      </w:r>
      <w:r w:rsidR="00944912">
        <w:t>n</w:t>
      </w:r>
      <w:r w:rsidRPr="0076656D">
        <w:t>ksionet përkatëse për shmangie të detyrimit të akcizës.</w:t>
      </w:r>
    </w:p>
    <w:p w:rsidR="00B02EB2" w:rsidRPr="0076656D" w:rsidRDefault="00B02EB2" w:rsidP="00B02EB2">
      <w:pPr>
        <w:pStyle w:val="Paragrafi"/>
      </w:pPr>
      <w:r w:rsidRPr="0076656D">
        <w:t>8. Vërtetimet e sasisë së prodhimit për përcaktimin e nivelit të akcizës së produkteve të akcizës</w:t>
      </w:r>
      <w:r w:rsidR="00944912">
        <w:t>,</w:t>
      </w:r>
      <w:r w:rsidRPr="0076656D">
        <w:t xml:space="preserve"> të depozituara pranë </w:t>
      </w:r>
      <w:r w:rsidR="00E6687D" w:rsidRPr="0076656D">
        <w:t>degëve doganore</w:t>
      </w:r>
      <w:r w:rsidR="00944912">
        <w:t>,</w:t>
      </w:r>
      <w:r w:rsidR="00E6687D" w:rsidRPr="0076656D">
        <w:t xml:space="preserve"> </w:t>
      </w:r>
      <w:r w:rsidRPr="0076656D">
        <w:t>në rastet e importit</w:t>
      </w:r>
      <w:r w:rsidR="00944912">
        <w:t>, mund të përdoren deri n</w:t>
      </w:r>
      <w:r w:rsidRPr="0076656D">
        <w:t>ë datën 15 tetor 2012.</w:t>
      </w:r>
    </w:p>
    <w:p w:rsidR="009A2F74" w:rsidRPr="0076656D" w:rsidRDefault="002B3EA9" w:rsidP="00BF70FE">
      <w:pPr>
        <w:pStyle w:val="Paragrafi"/>
      </w:pPr>
      <w:r w:rsidRPr="0076656D">
        <w:t>Për të gjitha rastet e importit deri më 15 tetor 2012</w:t>
      </w:r>
      <w:r w:rsidR="007C4D74">
        <w:t>,</w:t>
      </w:r>
      <w:r w:rsidR="00944912">
        <w:t xml:space="preserve"> për të cilat ka pas</w:t>
      </w:r>
      <w:r w:rsidRPr="0076656D">
        <w:t>ur vërtetime prodhuesi të depozituara pranë degëve doganore, nivel</w:t>
      </w:r>
      <w:r w:rsidR="00C142D4">
        <w:t>i i</w:t>
      </w:r>
      <w:r w:rsidRPr="0076656D">
        <w:t xml:space="preserve"> detyrimeve të akcizës do të vazhdojë të aplikohet sipas vërtetimit ekzistues, duke depozituar garanci për diferencën e detyrimit të akcizës si pasojë e nivelit të diferencuar. Garancia depozitohet pranë zyrës së financës të degës doganore përkatëse.</w:t>
      </w:r>
    </w:p>
    <w:p w:rsidR="002B3EA9" w:rsidRPr="0076656D" w:rsidRDefault="002B3EA9" w:rsidP="00BF70FE">
      <w:pPr>
        <w:pStyle w:val="Paragrafi"/>
      </w:pPr>
      <w:r w:rsidRPr="0076656D">
        <w:t>Importuesit duhet të rinovojnë vërtetimet e prodhuesit sipas kritereve të këtij udhëzimi.</w:t>
      </w:r>
    </w:p>
    <w:p w:rsidR="002B3EA9" w:rsidRPr="0076656D" w:rsidRDefault="00E6687D" w:rsidP="00BF70FE">
      <w:pPr>
        <w:pStyle w:val="Paragrafi"/>
      </w:pPr>
      <w:r>
        <w:t>Nëse pas datës 15 tetor 2012:</w:t>
      </w:r>
    </w:p>
    <w:p w:rsidR="002B3EA9" w:rsidRPr="0076656D" w:rsidRDefault="002B3EA9" w:rsidP="00BF70FE">
      <w:pPr>
        <w:pStyle w:val="Paragrafi"/>
      </w:pPr>
      <w:r w:rsidRPr="0076656D">
        <w:t xml:space="preserve">a) </w:t>
      </w:r>
      <w:r w:rsidR="00A36304" w:rsidRPr="0076656D">
        <w:t xml:space="preserve">nuk </w:t>
      </w:r>
      <w:r w:rsidRPr="0076656D">
        <w:t>janë depozituar vërtetimet e rinovuara;</w:t>
      </w:r>
    </w:p>
    <w:p w:rsidR="002B3EA9" w:rsidRPr="0076656D" w:rsidRDefault="002B3EA9" w:rsidP="00BF70FE">
      <w:pPr>
        <w:pStyle w:val="Paragrafi"/>
      </w:pPr>
      <w:r w:rsidRPr="0076656D">
        <w:t xml:space="preserve">b) </w:t>
      </w:r>
      <w:r w:rsidR="00A36304" w:rsidRPr="0076656D">
        <w:t xml:space="preserve">vërtetimet </w:t>
      </w:r>
      <w:r w:rsidRPr="0076656D">
        <w:t>që depozitohen nuk plotësojnë kriteret e këtij udhëzimi;</w:t>
      </w:r>
    </w:p>
    <w:p w:rsidR="002B3EA9" w:rsidRPr="0076656D" w:rsidRDefault="002B3EA9" w:rsidP="00E6687D">
      <w:pPr>
        <w:pStyle w:val="Paragrafi"/>
      </w:pPr>
      <w:r w:rsidRPr="0076656D">
        <w:t xml:space="preserve">c) </w:t>
      </w:r>
      <w:r w:rsidR="00A36304" w:rsidRPr="0076656D">
        <w:t xml:space="preserve">vërtetimi </w:t>
      </w:r>
      <w:r w:rsidRPr="0076656D">
        <w:t>i rinovuar tregon për një sasi prodhimi të</w:t>
      </w:r>
      <w:r w:rsidR="00C142D4">
        <w:t xml:space="preserve"> </w:t>
      </w:r>
      <w:r w:rsidRPr="0076656D">
        <w:t>ndr</w:t>
      </w:r>
      <w:r w:rsidR="00C142D4">
        <w:t>yshme nga vërtetimi i mëparshëm</w:t>
      </w:r>
      <w:r w:rsidR="00E6687D">
        <w:t>, g</w:t>
      </w:r>
      <w:r w:rsidR="00E6687D" w:rsidRPr="0076656D">
        <w:t>aranc</w:t>
      </w:r>
      <w:r w:rsidR="00E6687D">
        <w:t xml:space="preserve">ia </w:t>
      </w:r>
      <w:r w:rsidR="00A36304">
        <w:t>nuk rikthehet</w:t>
      </w:r>
      <w:r w:rsidR="00C142D4">
        <w:t xml:space="preserve"> dhe preket nga</w:t>
      </w:r>
      <w:r w:rsidRPr="0076656D">
        <w:t xml:space="preserve"> autoritetet doganore për efekt të pagesës së diferencës së detyrimeve të akcizës.</w:t>
      </w:r>
    </w:p>
    <w:p w:rsidR="002B3EA9" w:rsidRPr="0076656D" w:rsidRDefault="002B3EA9" w:rsidP="002B3EA9">
      <w:pPr>
        <w:pStyle w:val="Paragrafi"/>
      </w:pPr>
      <w:r w:rsidRPr="0076656D">
        <w:t>Nëse pas datës 15 tetor 2012 vërtetimet e rinovuara plotësojnë kriteret e këtij udhëzimi, garancia rikthehet.</w:t>
      </w:r>
    </w:p>
    <w:p w:rsidR="002B3EA9" w:rsidRPr="0076656D" w:rsidRDefault="002B3EA9" w:rsidP="002B3EA9">
      <w:pPr>
        <w:pStyle w:val="Paragrafi"/>
      </w:pPr>
      <w:r w:rsidRPr="0076656D">
        <w:t>9. Ky udhëzim hyn në fuqi më 1 tetor 2012 dhe publikohet në Fletoren Zyrtare.</w:t>
      </w:r>
    </w:p>
    <w:p w:rsidR="002B3EA9" w:rsidRPr="0076656D" w:rsidRDefault="002B3EA9" w:rsidP="002B3EA9">
      <w:pPr>
        <w:pStyle w:val="Paragrafi"/>
      </w:pPr>
    </w:p>
    <w:p w:rsidR="002B3EA9" w:rsidRPr="0076656D" w:rsidRDefault="002B3EA9" w:rsidP="00B35AEF">
      <w:pPr>
        <w:pStyle w:val="Autoriteti"/>
      </w:pPr>
      <w:r w:rsidRPr="0076656D">
        <w:t>Ministri i Financave</w:t>
      </w:r>
    </w:p>
    <w:p w:rsidR="002B3EA9" w:rsidRPr="0076656D" w:rsidRDefault="002B3EA9" w:rsidP="00B35AEF">
      <w:pPr>
        <w:pStyle w:val="AutoritetiEmer"/>
      </w:pPr>
      <w:r w:rsidRPr="0076656D">
        <w:t>Ridvan Bode</w:t>
      </w:r>
    </w:p>
    <w:p w:rsidR="002527BF" w:rsidRPr="0076656D" w:rsidRDefault="002527BF" w:rsidP="00B725DB">
      <w:pPr>
        <w:pStyle w:val="Paragrafi"/>
      </w:pPr>
    </w:p>
    <w:p w:rsidR="00FA2680" w:rsidRPr="0076656D" w:rsidRDefault="00FA2680" w:rsidP="00C87DD1">
      <w:pPr>
        <w:pStyle w:val="Paragrafi"/>
        <w:jc w:val="center"/>
        <w:rPr>
          <w:b/>
          <w:lang w:val="sq-AL"/>
        </w:rPr>
      </w:pPr>
    </w:p>
    <w:p w:rsidR="00C87DD1" w:rsidRPr="0076656D" w:rsidRDefault="00C87DD1" w:rsidP="00C87DD1">
      <w:pPr>
        <w:pStyle w:val="Paragrafi"/>
        <w:jc w:val="center"/>
        <w:rPr>
          <w:b/>
          <w:lang w:val="sq-AL"/>
        </w:rPr>
      </w:pPr>
      <w:r w:rsidRPr="0076656D">
        <w:rPr>
          <w:b/>
          <w:lang w:val="sq-AL"/>
        </w:rPr>
        <w:t>VENDIM</w:t>
      </w:r>
    </w:p>
    <w:p w:rsidR="00C87DD1" w:rsidRPr="0076656D" w:rsidRDefault="00C87DD1" w:rsidP="00C87DD1">
      <w:pPr>
        <w:pStyle w:val="Paragrafi"/>
        <w:jc w:val="center"/>
        <w:rPr>
          <w:b/>
          <w:lang w:val="sq-AL"/>
        </w:rPr>
      </w:pPr>
      <w:r w:rsidRPr="0076656D">
        <w:rPr>
          <w:b/>
          <w:lang w:val="sq-AL"/>
        </w:rPr>
        <w:t>Nr. 120, datë 29.8.2012</w:t>
      </w:r>
    </w:p>
    <w:p w:rsidR="00C87DD1" w:rsidRPr="0076656D" w:rsidRDefault="00C87DD1" w:rsidP="00C87DD1">
      <w:pPr>
        <w:pStyle w:val="Paragrafi"/>
        <w:ind w:firstLine="0"/>
        <w:rPr>
          <w:b/>
          <w:sz w:val="14"/>
          <w:lang w:val="sq-AL"/>
        </w:rPr>
      </w:pPr>
    </w:p>
    <w:p w:rsidR="00C87DD1" w:rsidRPr="0076656D" w:rsidRDefault="00C87DD1" w:rsidP="00C87DD1">
      <w:pPr>
        <w:pStyle w:val="Titulli"/>
        <w:keepNext w:val="0"/>
        <w:rPr>
          <w:lang w:val="sq-AL"/>
        </w:rPr>
      </w:pPr>
      <w:r w:rsidRPr="0076656D">
        <w:rPr>
          <w:lang w:val="sq-AL"/>
        </w:rPr>
        <w:t xml:space="preserve">PËR LICENCIMIN E SHOQËRISË “REJ ENERGY” SHPK NË AKTIVITETIN E PRODHIMIT TË ENERGJISË ELEKTRIKE NGA HECET “CEMERICA 1”; </w:t>
      </w:r>
    </w:p>
    <w:p w:rsidR="00C87DD1" w:rsidRPr="0076656D" w:rsidRDefault="00C87DD1" w:rsidP="00C87DD1">
      <w:pPr>
        <w:pStyle w:val="Titulli"/>
        <w:keepNext w:val="0"/>
        <w:rPr>
          <w:lang w:val="sq-AL"/>
        </w:rPr>
      </w:pPr>
      <w:r w:rsidRPr="0076656D">
        <w:rPr>
          <w:lang w:val="sq-AL"/>
        </w:rPr>
        <w:t xml:space="preserve">“CEMERICA 2” DHE “CEMERICA 3” </w:t>
      </w:r>
    </w:p>
    <w:p w:rsidR="00C87DD1" w:rsidRPr="0076656D" w:rsidRDefault="00C87DD1" w:rsidP="00C87DD1">
      <w:pPr>
        <w:pStyle w:val="Paragrafi"/>
        <w:rPr>
          <w:lang w:val="sq-AL"/>
        </w:rPr>
      </w:pPr>
    </w:p>
    <w:p w:rsidR="00C87DD1" w:rsidRPr="0076656D" w:rsidRDefault="00C87DD1" w:rsidP="00C87DD1">
      <w:pPr>
        <w:pStyle w:val="Paragrafi"/>
        <w:rPr>
          <w:lang w:val="sq-AL"/>
        </w:rPr>
      </w:pPr>
      <w:r w:rsidRPr="0076656D">
        <w:rPr>
          <w:lang w:val="sq-AL"/>
        </w:rPr>
        <w:t>Në mbështetje të nenit 8 pika 2 germa “</w:t>
      </w:r>
      <w:r w:rsidR="001769C0" w:rsidRPr="0076656D">
        <w:rPr>
          <w:lang w:val="sq-AL"/>
        </w:rPr>
        <w:t>a”, nenit 9 dhe nenit 13 pika 1</w:t>
      </w:r>
      <w:r w:rsidRPr="0076656D">
        <w:rPr>
          <w:lang w:val="sq-AL"/>
        </w:rPr>
        <w:t xml:space="preserve"> germa “a” të ligjit nr. 9072, datë 22.5.2003 “Për sektorin e energjisë elektrike”, të ndryshuar, nenit 4 pika 1 germ</w:t>
      </w:r>
      <w:r w:rsidR="001769C0" w:rsidRPr="0076656D">
        <w:rPr>
          <w:lang w:val="sq-AL"/>
        </w:rPr>
        <w:t>a “a”, nenit 5 pika 1 germa “a”</w:t>
      </w:r>
      <w:r w:rsidRPr="0076656D">
        <w:rPr>
          <w:lang w:val="sq-AL"/>
        </w:rPr>
        <w:t xml:space="preserve"> dhe neneve 13 dhe 14 pika 1 të rregullores “Për procedurat e licencimit, modifikimit, transferimit të plotë/pjesshëm dhe rinovimit të licencave”, të miratuar me vendimin e Bordit të Komisionerëve nr. 108, datë 9.9.2008, Bordi i Komisionerëve të Entit Rregullator të Energjisë (ERE), në mbledhjen e tij të datës 29.8.2012, pasi shqyrtoi aplikimin e paraqitur nga shoqëria “Rej Energy” sh.p.k., si dhe relacionin e Drejtorisë së Licencimit dhe Monitorimit të Tregut dhe Drejtorisë Juridike dhe Mbrojtjes së Konsumatorit për licencimin në aktivitetin e prodhimit të energjisë elektrike të kësaj shoqërie,</w:t>
      </w:r>
    </w:p>
    <w:p w:rsidR="00C87DD1" w:rsidRPr="0076656D" w:rsidRDefault="00C87DD1" w:rsidP="00C87DD1">
      <w:pPr>
        <w:pStyle w:val="Paragrafi"/>
        <w:rPr>
          <w:lang w:val="sq-AL"/>
        </w:rPr>
      </w:pPr>
      <w:r w:rsidRPr="0076656D">
        <w:rPr>
          <w:lang w:val="sq-AL"/>
        </w:rPr>
        <w:t xml:space="preserve">konstatoi se: </w:t>
      </w:r>
    </w:p>
    <w:p w:rsidR="00C87DD1" w:rsidRPr="0076656D" w:rsidRDefault="00C87DD1" w:rsidP="00C87DD1">
      <w:pPr>
        <w:pStyle w:val="Paragrafi"/>
        <w:rPr>
          <w:lang w:val="sq-AL"/>
        </w:rPr>
      </w:pPr>
      <w:r w:rsidRPr="0076656D">
        <w:rPr>
          <w:lang w:val="sq-AL"/>
        </w:rPr>
        <w:t xml:space="preserve">Aplikimi i shoqërisë “Rej Energy” sh.p.k., plotëson kërkesat e parashikuara nga ERE në rregulloren “Për procedurat e licencimit, modifikimit, transferimit të plotë/të pjesshëm dhe rinovimit të licencave”, si më poshtë: </w:t>
      </w:r>
    </w:p>
    <w:p w:rsidR="00C87DD1" w:rsidRPr="0076656D" w:rsidRDefault="00C87DD1" w:rsidP="00C87DD1">
      <w:pPr>
        <w:pStyle w:val="Paragrafi"/>
        <w:rPr>
          <w:lang w:val="sq-AL"/>
        </w:rPr>
      </w:pPr>
      <w:r w:rsidRPr="0076656D">
        <w:rPr>
          <w:lang w:val="sq-AL"/>
        </w:rPr>
        <w:lastRenderedPageBreak/>
        <w:t xml:space="preserve">- Formati i aplikimit (neni 9, pika 1) është paraqitur dhe plotësuar në mënyrë korrekte. </w:t>
      </w:r>
    </w:p>
    <w:p w:rsidR="00C87DD1" w:rsidRPr="0076656D" w:rsidRDefault="00C87DD1" w:rsidP="00C87DD1">
      <w:pPr>
        <w:pStyle w:val="Paragrafi"/>
        <w:rPr>
          <w:lang w:val="sq-AL"/>
        </w:rPr>
      </w:pPr>
      <w:r w:rsidRPr="0076656D">
        <w:rPr>
          <w:lang w:val="sq-AL"/>
        </w:rPr>
        <w:t xml:space="preserve">- Dokumentacioni juridik, administrativ dhe pronësor (neni 9, pika 2) është paraqitur dhe plotësuar në mënyrë korrekte. </w:t>
      </w:r>
    </w:p>
    <w:p w:rsidR="00C87DD1" w:rsidRPr="0076656D" w:rsidRDefault="00C87DD1" w:rsidP="00C87DD1">
      <w:pPr>
        <w:pStyle w:val="Paragrafi"/>
        <w:rPr>
          <w:lang w:val="sq-AL"/>
        </w:rPr>
      </w:pPr>
      <w:r w:rsidRPr="0076656D">
        <w:rPr>
          <w:lang w:val="sq-AL"/>
        </w:rPr>
        <w:t xml:space="preserve">- Dokumentacioni financiar dhe fiskal (neni 9, pika 3) është paraqitur dhe plotësuar në mënyrë korrekte. </w:t>
      </w:r>
    </w:p>
    <w:p w:rsidR="00C87DD1" w:rsidRPr="0076656D" w:rsidRDefault="000F2287" w:rsidP="00C87DD1">
      <w:pPr>
        <w:pStyle w:val="Paragrafi"/>
        <w:rPr>
          <w:lang w:val="sq-AL"/>
        </w:rPr>
      </w:pPr>
      <w:r>
        <w:rPr>
          <w:lang w:val="sq-AL"/>
        </w:rPr>
        <w:t>- Dokumentacioni</w:t>
      </w:r>
      <w:r w:rsidR="00C87DD1" w:rsidRPr="0076656D">
        <w:rPr>
          <w:lang w:val="sq-AL"/>
        </w:rPr>
        <w:t xml:space="preserve"> teknik (neni 9, pikat 4.1.1, 4.1.2, 4.1.3, 4.1.4, 4.1.5) është plotësuar në mënyrë korrekte.</w:t>
      </w:r>
    </w:p>
    <w:p w:rsidR="00C87DD1" w:rsidRPr="0076656D" w:rsidRDefault="00C87DD1" w:rsidP="00C87DD1">
      <w:pPr>
        <w:pStyle w:val="Paragrafi"/>
        <w:rPr>
          <w:lang w:val="sq-AL"/>
        </w:rPr>
      </w:pPr>
      <w:r w:rsidRPr="0076656D">
        <w:rPr>
          <w:lang w:val="sq-AL"/>
        </w:rPr>
        <w:t xml:space="preserve">Për gjithë sa më sipër, Bordi i Komisionerëve të ERE-s </w:t>
      </w:r>
    </w:p>
    <w:p w:rsidR="00C87DD1" w:rsidRPr="0076656D" w:rsidRDefault="00C87DD1" w:rsidP="00C87DD1">
      <w:pPr>
        <w:pStyle w:val="Paragrafi"/>
        <w:rPr>
          <w:lang w:val="sq-AL"/>
        </w:rPr>
      </w:pPr>
    </w:p>
    <w:p w:rsidR="00C87DD1" w:rsidRPr="0076656D" w:rsidRDefault="00C87DD1" w:rsidP="00C87DD1">
      <w:pPr>
        <w:pStyle w:val="Paragrafi"/>
        <w:jc w:val="center"/>
        <w:rPr>
          <w:lang w:val="sq-AL"/>
        </w:rPr>
      </w:pPr>
      <w:r w:rsidRPr="0076656D">
        <w:rPr>
          <w:lang w:val="sq-AL"/>
        </w:rPr>
        <w:t>VENDOSI:</w:t>
      </w:r>
    </w:p>
    <w:p w:rsidR="00C87DD1" w:rsidRPr="0076656D" w:rsidRDefault="00C87DD1" w:rsidP="00C87DD1">
      <w:pPr>
        <w:pStyle w:val="Paragrafi"/>
        <w:jc w:val="center"/>
        <w:rPr>
          <w:lang w:val="sq-AL"/>
        </w:rPr>
      </w:pPr>
    </w:p>
    <w:p w:rsidR="00C87DD1" w:rsidRPr="0076656D" w:rsidRDefault="00C87DD1" w:rsidP="00C87DD1">
      <w:pPr>
        <w:pStyle w:val="Paragrafi"/>
        <w:rPr>
          <w:lang w:val="sq-AL"/>
        </w:rPr>
      </w:pPr>
      <w:r w:rsidRPr="0076656D">
        <w:rPr>
          <w:lang w:val="sq-AL"/>
        </w:rPr>
        <w:t>1. Të licencojë shoqërinë “Rej Energy” sh.p.k., në aktivitetin e prodhimit të energjisë elektrike nga hecet “Cemerica 1” me fuqi të instaluar 0.88 MW; “Cemerica 2” me fuqi të instaluar 0.9 MW dhe “Cemerica 3” me fuqi të instaluar 2.1 MW për një afat 30-vjeçar.</w:t>
      </w:r>
    </w:p>
    <w:p w:rsidR="00C87DD1" w:rsidRPr="0076656D" w:rsidRDefault="00C87DD1" w:rsidP="00C87DD1">
      <w:pPr>
        <w:pStyle w:val="Paragrafi"/>
        <w:rPr>
          <w:lang w:val="sq-AL"/>
        </w:rPr>
      </w:pPr>
      <w:r w:rsidRPr="0076656D">
        <w:rPr>
          <w:lang w:val="sq-AL"/>
        </w:rPr>
        <w:t xml:space="preserve">2. Ngarkohet Drejtoria e Licencimit dhe </w:t>
      </w:r>
      <w:r w:rsidR="000F2287">
        <w:rPr>
          <w:lang w:val="sq-AL"/>
        </w:rPr>
        <w:t xml:space="preserve">e </w:t>
      </w:r>
      <w:r w:rsidRPr="0076656D">
        <w:rPr>
          <w:lang w:val="sq-AL"/>
        </w:rPr>
        <w:t>Monitorimit të Tregut të njoftojë aplikuesin për vendimin e Bordit të Komisionerëve të ERE-s.</w:t>
      </w:r>
    </w:p>
    <w:p w:rsidR="00C87DD1" w:rsidRPr="0076656D" w:rsidRDefault="00C87DD1" w:rsidP="00C87DD1">
      <w:pPr>
        <w:pStyle w:val="Paragrafi"/>
        <w:rPr>
          <w:lang w:val="sq-AL"/>
        </w:rPr>
      </w:pPr>
      <w:r w:rsidRPr="0076656D">
        <w:rPr>
          <w:lang w:val="sq-AL"/>
        </w:rPr>
        <w:t>Ky vendim hyn në fuqi menjëherë.</w:t>
      </w:r>
    </w:p>
    <w:p w:rsidR="00C87DD1" w:rsidRPr="0076656D" w:rsidRDefault="00C87DD1" w:rsidP="00C87DD1">
      <w:pPr>
        <w:pStyle w:val="Paragrafi"/>
        <w:rPr>
          <w:lang w:val="sq-AL"/>
        </w:rPr>
      </w:pPr>
      <w:r w:rsidRPr="0076656D">
        <w:rPr>
          <w:lang w:val="sq-AL"/>
        </w:rPr>
        <w:t>Ky vendim botohet në Fletoren Zyrtare.</w:t>
      </w:r>
    </w:p>
    <w:p w:rsidR="00C87DD1" w:rsidRPr="0076656D" w:rsidRDefault="00C87DD1" w:rsidP="00C87DD1">
      <w:pPr>
        <w:pStyle w:val="Paragrafi"/>
        <w:rPr>
          <w:lang w:val="sq-AL"/>
        </w:rPr>
      </w:pPr>
    </w:p>
    <w:p w:rsidR="00C87DD1" w:rsidRPr="0076656D" w:rsidRDefault="00C87DD1" w:rsidP="00C87DD1">
      <w:pPr>
        <w:pStyle w:val="Autoriteti"/>
        <w:keepNext w:val="0"/>
        <w:rPr>
          <w:lang w:val="sq-AL"/>
        </w:rPr>
      </w:pPr>
      <w:r w:rsidRPr="0076656D">
        <w:rPr>
          <w:lang w:val="sq-AL"/>
        </w:rPr>
        <w:t>KRYETARI</w:t>
      </w:r>
    </w:p>
    <w:p w:rsidR="00C87DD1" w:rsidRPr="0076656D" w:rsidRDefault="00C87DD1" w:rsidP="00C87DD1">
      <w:pPr>
        <w:pStyle w:val="AutoritetiEmer"/>
        <w:rPr>
          <w:lang w:val="sq-AL"/>
        </w:rPr>
      </w:pPr>
      <w:r w:rsidRPr="0076656D">
        <w:rPr>
          <w:lang w:val="sq-AL"/>
        </w:rPr>
        <w:t>Sokol Ramadani</w:t>
      </w:r>
    </w:p>
    <w:p w:rsidR="00C87DD1" w:rsidRPr="0076656D" w:rsidRDefault="00C87DD1" w:rsidP="00C87DD1">
      <w:pPr>
        <w:pStyle w:val="Paragrafi"/>
        <w:jc w:val="center"/>
        <w:rPr>
          <w:lang w:val="sq-AL"/>
        </w:rPr>
      </w:pPr>
    </w:p>
    <w:p w:rsidR="00BB7215" w:rsidRPr="0076656D" w:rsidRDefault="00BB7215" w:rsidP="00C87DD1">
      <w:pPr>
        <w:pStyle w:val="Paragrafi"/>
        <w:jc w:val="center"/>
        <w:rPr>
          <w:b/>
          <w:lang w:val="sq-AL"/>
        </w:rPr>
      </w:pPr>
    </w:p>
    <w:p w:rsidR="00C87DD1" w:rsidRPr="0076656D" w:rsidRDefault="00C87DD1" w:rsidP="00C87DD1">
      <w:pPr>
        <w:pStyle w:val="Paragrafi"/>
        <w:jc w:val="center"/>
        <w:rPr>
          <w:b/>
          <w:lang w:val="sq-AL"/>
        </w:rPr>
      </w:pPr>
      <w:r w:rsidRPr="0076656D">
        <w:rPr>
          <w:b/>
          <w:lang w:val="sq-AL"/>
        </w:rPr>
        <w:t>VENDIM</w:t>
      </w:r>
    </w:p>
    <w:p w:rsidR="00C87DD1" w:rsidRPr="0076656D" w:rsidRDefault="00C87DD1" w:rsidP="00C87DD1">
      <w:pPr>
        <w:pStyle w:val="Paragrafi"/>
        <w:jc w:val="center"/>
        <w:rPr>
          <w:b/>
          <w:lang w:val="sq-AL"/>
        </w:rPr>
      </w:pPr>
      <w:r w:rsidRPr="0076656D">
        <w:rPr>
          <w:b/>
          <w:lang w:val="sq-AL"/>
        </w:rPr>
        <w:t>Nr. 121, datë 29.8.2012</w:t>
      </w:r>
    </w:p>
    <w:p w:rsidR="00C87DD1" w:rsidRPr="0076656D" w:rsidRDefault="00C87DD1" w:rsidP="00C87DD1">
      <w:pPr>
        <w:pStyle w:val="Paragrafi"/>
        <w:rPr>
          <w:lang w:val="sq-AL"/>
        </w:rPr>
      </w:pPr>
    </w:p>
    <w:p w:rsidR="00C87DD1" w:rsidRPr="0076656D" w:rsidRDefault="00C87DD1" w:rsidP="00C87DD1">
      <w:pPr>
        <w:pStyle w:val="Titulli"/>
        <w:keepNext w:val="0"/>
        <w:rPr>
          <w:lang w:val="sq-AL"/>
        </w:rPr>
      </w:pPr>
      <w:r w:rsidRPr="0076656D">
        <w:rPr>
          <w:lang w:val="sq-AL"/>
        </w:rPr>
        <w:t xml:space="preserve"> PËR LICENCIMIN E SHOQËRISË “REJ ENERGY” SHPK NË AKTIVITETIN E TREGTIMIT TË ENERGJISË ELEKTRIKE</w:t>
      </w:r>
    </w:p>
    <w:p w:rsidR="00C87DD1" w:rsidRPr="0076656D" w:rsidRDefault="00C87DD1" w:rsidP="00C87DD1">
      <w:pPr>
        <w:pStyle w:val="Paragrafi"/>
        <w:rPr>
          <w:lang w:val="sq-AL"/>
        </w:rPr>
      </w:pPr>
    </w:p>
    <w:p w:rsidR="00C87DD1" w:rsidRPr="0076656D" w:rsidRDefault="00C87DD1" w:rsidP="0076656D">
      <w:pPr>
        <w:pStyle w:val="Paragrafi"/>
        <w:rPr>
          <w:lang w:val="sq-AL"/>
        </w:rPr>
      </w:pPr>
      <w:r w:rsidRPr="0076656D">
        <w:rPr>
          <w:lang w:val="sq-AL"/>
        </w:rPr>
        <w:t xml:space="preserve">Në mbështetje të nenit 8 pika 2 germa “a”, neneve 9 dhe 13 pika 1 germa “d” të ligjit nr. 9072, datë 22.5.2003 “Për sektorin e energjisë elektrike”, të ndryshuar, nenit 4 pika 1 germa “g”; nenit 5 pika 2 dhe neneve 13 dhe 14 pika 1 të rregullores “Për procedurat e licencimit, modifikimit, transferimit të plotë/të pjesshëm dhe rinovimit të licencave”, të miratuar me vendimin e Bordit të Komisionerëve nr. 108, datë 9.9.2008 dhe nenit 18 pikat 1 germa “a” të </w:t>
      </w:r>
      <w:r w:rsidR="001769C0" w:rsidRPr="0076656D">
        <w:rPr>
          <w:lang w:val="sq-AL"/>
        </w:rPr>
        <w:t>“</w:t>
      </w:r>
      <w:r w:rsidRPr="0076656D">
        <w:rPr>
          <w:lang w:val="sq-AL"/>
        </w:rPr>
        <w:t>Rregullave të Praktikës dhe Procedurave të ERE-s”, miratuar me vendimin e Bordit të Komisionerëve nr. 21, datë 18.3.2009, të ndryshuar, Bordi i Komisionerëve të Entit Rregullator të Energjisë (ERE), në mbledhjen e tij të datës 29.8.2012, pasi shqyrtoi kërkesën e shoqërisë “Rej Energy” sh.p.k., si dhe relacionin e Drejtorisë së Licencimit dhe Monitorimit të Tregut dhe Drejtorisë Juridike dhe Mbrojtjes së Konsumatorit mbi licencimin në aktivitetin e tregtimit të energjisë elektrike,</w:t>
      </w:r>
    </w:p>
    <w:p w:rsidR="00C87DD1" w:rsidRPr="0076656D" w:rsidRDefault="00C87DD1" w:rsidP="00C87DD1">
      <w:pPr>
        <w:pStyle w:val="Paragrafi"/>
        <w:rPr>
          <w:lang w:val="sq-AL"/>
        </w:rPr>
      </w:pPr>
      <w:r w:rsidRPr="0076656D">
        <w:rPr>
          <w:lang w:val="sq-AL"/>
        </w:rPr>
        <w:t>konstatoi se:</w:t>
      </w:r>
    </w:p>
    <w:p w:rsidR="00C87DD1" w:rsidRPr="0076656D" w:rsidRDefault="00C87DD1" w:rsidP="00C87DD1">
      <w:pPr>
        <w:pStyle w:val="Paragrafi"/>
        <w:rPr>
          <w:lang w:val="sq-AL"/>
        </w:rPr>
      </w:pPr>
      <w:r w:rsidRPr="0076656D">
        <w:rPr>
          <w:lang w:val="sq-AL"/>
        </w:rPr>
        <w:t>Aplikimi i shoqërisë “Rej Energy” sh.p.k. plotëson kërk</w:t>
      </w:r>
      <w:r w:rsidR="000F2287">
        <w:rPr>
          <w:lang w:val="sq-AL"/>
        </w:rPr>
        <w:t>esat e parashikuara nga ERE në r</w:t>
      </w:r>
      <w:r w:rsidRPr="0076656D">
        <w:rPr>
          <w:lang w:val="sq-AL"/>
        </w:rPr>
        <w:t xml:space="preserve">regulloren </w:t>
      </w:r>
      <w:r w:rsidR="000F2287">
        <w:rPr>
          <w:lang w:val="sq-AL"/>
        </w:rPr>
        <w:t>“P</w:t>
      </w:r>
      <w:r w:rsidRPr="0076656D">
        <w:rPr>
          <w:lang w:val="sq-AL"/>
        </w:rPr>
        <w:t>ër procedurat e licencimit, modifikimit, transferimit të plotë/të pjesshëm dhe rinovimit të licencave”</w:t>
      </w:r>
      <w:r w:rsidR="000F2287">
        <w:rPr>
          <w:lang w:val="sq-AL"/>
        </w:rPr>
        <w:t>,</w:t>
      </w:r>
      <w:r w:rsidRPr="0076656D">
        <w:rPr>
          <w:lang w:val="sq-AL"/>
        </w:rPr>
        <w:t xml:space="preserve"> si më poshtë: </w:t>
      </w:r>
    </w:p>
    <w:p w:rsidR="00C87DD1" w:rsidRPr="0076656D" w:rsidRDefault="00C87DD1" w:rsidP="00C87DD1">
      <w:pPr>
        <w:pStyle w:val="Paragrafi"/>
        <w:rPr>
          <w:lang w:val="sq-AL"/>
        </w:rPr>
      </w:pPr>
      <w:r w:rsidRPr="0076656D">
        <w:rPr>
          <w:lang w:val="sq-AL"/>
        </w:rPr>
        <w:t>- Formati i aplikimit (neni 9, pika 1) është paraqitur dhe plotësuar në mënyrë korrekte.</w:t>
      </w:r>
    </w:p>
    <w:p w:rsidR="00C87DD1" w:rsidRPr="0076656D" w:rsidRDefault="00C87DD1" w:rsidP="00C87DD1">
      <w:pPr>
        <w:pStyle w:val="Paragrafi"/>
        <w:rPr>
          <w:lang w:val="sq-AL"/>
        </w:rPr>
      </w:pPr>
      <w:r w:rsidRPr="0076656D">
        <w:rPr>
          <w:lang w:val="sq-AL"/>
        </w:rPr>
        <w:t>- Dokumentacioni juridik, administrativ dhe pronësor (neni 9, pika 2) është paraqitur dhe plotësuar në mënyrë korrekte.</w:t>
      </w:r>
    </w:p>
    <w:p w:rsidR="00C87DD1" w:rsidRPr="0076656D" w:rsidRDefault="00C87DD1" w:rsidP="00C87DD1">
      <w:pPr>
        <w:pStyle w:val="Paragrafi"/>
        <w:rPr>
          <w:lang w:val="sq-AL"/>
        </w:rPr>
      </w:pPr>
      <w:r w:rsidRPr="0076656D">
        <w:rPr>
          <w:lang w:val="sq-AL"/>
        </w:rPr>
        <w:t>- Dokumentacioni financiar dhe fiskal (neni 9, pika 3) është paraqitur dhe plotësuar në mënyrë korrekte.</w:t>
      </w:r>
    </w:p>
    <w:p w:rsidR="00C87DD1" w:rsidRPr="0076656D" w:rsidRDefault="00C87DD1" w:rsidP="00C87DD1">
      <w:pPr>
        <w:pStyle w:val="Paragrafi"/>
        <w:rPr>
          <w:lang w:val="sq-AL"/>
        </w:rPr>
      </w:pPr>
      <w:r w:rsidRPr="0076656D">
        <w:rPr>
          <w:lang w:val="sq-AL"/>
        </w:rPr>
        <w:t xml:space="preserve">- Dokumentacioni teknik (neni 9, pika 4.10, pikat “a”, “b” dhe “c”) është paraqitur dhe plotësuar në mënyrë korrekte. </w:t>
      </w:r>
    </w:p>
    <w:p w:rsidR="00C87DD1" w:rsidRPr="0076656D" w:rsidRDefault="00C87DD1" w:rsidP="00C87DD1">
      <w:pPr>
        <w:pStyle w:val="Paragrafi"/>
        <w:rPr>
          <w:lang w:val="sq-AL"/>
        </w:rPr>
      </w:pPr>
      <w:r w:rsidRPr="0076656D">
        <w:rPr>
          <w:lang w:val="sq-AL"/>
        </w:rPr>
        <w:lastRenderedPageBreak/>
        <w:t xml:space="preserve">Për gjithë sa më sipër cituar, Bordi i Komisionerëve të ERE-s </w:t>
      </w:r>
    </w:p>
    <w:p w:rsidR="00C87DD1" w:rsidRPr="0076656D" w:rsidRDefault="00C87DD1" w:rsidP="00C87DD1">
      <w:pPr>
        <w:pStyle w:val="Paragrafi"/>
        <w:rPr>
          <w:lang w:val="sq-AL"/>
        </w:rPr>
      </w:pPr>
      <w:r w:rsidRPr="0076656D">
        <w:rPr>
          <w:lang w:val="sq-AL"/>
        </w:rPr>
        <w:t xml:space="preserve"> </w:t>
      </w:r>
    </w:p>
    <w:p w:rsidR="00C87DD1" w:rsidRPr="0076656D" w:rsidRDefault="00C87DD1" w:rsidP="00C87DD1">
      <w:pPr>
        <w:pStyle w:val="Paragrafi"/>
        <w:jc w:val="center"/>
        <w:rPr>
          <w:lang w:val="sq-AL"/>
        </w:rPr>
      </w:pPr>
      <w:r w:rsidRPr="0076656D">
        <w:rPr>
          <w:lang w:val="sq-AL"/>
        </w:rPr>
        <w:t>VENDOSI:</w:t>
      </w:r>
    </w:p>
    <w:p w:rsidR="00C87DD1" w:rsidRPr="0076656D" w:rsidRDefault="00C87DD1" w:rsidP="00C87DD1">
      <w:pPr>
        <w:pStyle w:val="Paragrafi"/>
        <w:rPr>
          <w:lang w:val="sq-AL"/>
        </w:rPr>
      </w:pPr>
    </w:p>
    <w:p w:rsidR="00C87DD1" w:rsidRPr="0076656D" w:rsidRDefault="00C87DD1" w:rsidP="00C87DD1">
      <w:pPr>
        <w:pStyle w:val="Paragrafi"/>
        <w:rPr>
          <w:lang w:val="sq-AL"/>
        </w:rPr>
      </w:pPr>
      <w:r w:rsidRPr="0076656D">
        <w:rPr>
          <w:lang w:val="sq-AL"/>
        </w:rPr>
        <w:t>1. Të licencojë shoqërinë “Rej Energy” sh.p.k. në aktivitetin e tregtimit të energjisë, për një afat 30-vjeçar.</w:t>
      </w:r>
    </w:p>
    <w:p w:rsidR="00C87DD1" w:rsidRPr="0076656D" w:rsidRDefault="00C87DD1" w:rsidP="00C87DD1">
      <w:pPr>
        <w:pStyle w:val="Paragrafi"/>
        <w:rPr>
          <w:lang w:val="sq-AL"/>
        </w:rPr>
      </w:pPr>
      <w:r w:rsidRPr="0076656D">
        <w:rPr>
          <w:lang w:val="sq-AL"/>
        </w:rPr>
        <w:t>2. Drejtoria e Licencimit dhe Monitorimit të Tregut të njoftojnë aplikuesin për vendimin e Bordit të Komisionerëve të ERE-s. </w:t>
      </w:r>
    </w:p>
    <w:p w:rsidR="00C87DD1" w:rsidRPr="0076656D" w:rsidRDefault="00C87DD1" w:rsidP="00C87DD1">
      <w:pPr>
        <w:pStyle w:val="Paragrafi"/>
        <w:rPr>
          <w:lang w:val="sq-AL"/>
        </w:rPr>
      </w:pPr>
      <w:r w:rsidRPr="0076656D">
        <w:rPr>
          <w:lang w:val="sq-AL"/>
        </w:rPr>
        <w:t>Ky vendim hyn në fuqi menjëherë.</w:t>
      </w:r>
    </w:p>
    <w:p w:rsidR="00C87DD1" w:rsidRPr="0076656D" w:rsidRDefault="00C87DD1" w:rsidP="00C87DD1">
      <w:pPr>
        <w:pStyle w:val="Paragrafi"/>
        <w:rPr>
          <w:lang w:val="sq-AL"/>
        </w:rPr>
      </w:pPr>
      <w:r w:rsidRPr="0076656D">
        <w:rPr>
          <w:lang w:val="sq-AL"/>
        </w:rPr>
        <w:t>Ky vendim botohet në Fletoren Zyrtare.</w:t>
      </w:r>
    </w:p>
    <w:p w:rsidR="00C87DD1" w:rsidRPr="0076656D" w:rsidRDefault="00C87DD1" w:rsidP="00C87DD1">
      <w:pPr>
        <w:pStyle w:val="Autoriteti"/>
        <w:keepNext w:val="0"/>
        <w:rPr>
          <w:lang w:val="sq-AL"/>
        </w:rPr>
      </w:pPr>
      <w:r w:rsidRPr="0076656D">
        <w:rPr>
          <w:lang w:val="sq-AL"/>
        </w:rPr>
        <w:t>KRYETARI</w:t>
      </w:r>
    </w:p>
    <w:p w:rsidR="00C87DD1" w:rsidRPr="0076656D" w:rsidRDefault="00C87DD1" w:rsidP="00C87DD1">
      <w:pPr>
        <w:pStyle w:val="AutoritetiEmer"/>
        <w:rPr>
          <w:lang w:val="sq-AL"/>
        </w:rPr>
      </w:pPr>
      <w:r w:rsidRPr="0076656D">
        <w:rPr>
          <w:lang w:val="sq-AL"/>
        </w:rPr>
        <w:t>Sokol Ramadani</w:t>
      </w:r>
    </w:p>
    <w:p w:rsidR="00C87DD1" w:rsidRPr="0076656D" w:rsidRDefault="00C87DD1" w:rsidP="00C87DD1">
      <w:pPr>
        <w:pStyle w:val="Paragrafi"/>
        <w:rPr>
          <w:lang w:val="sq-AL"/>
        </w:rPr>
      </w:pPr>
    </w:p>
    <w:p w:rsidR="00C87DD1" w:rsidRPr="0076656D" w:rsidRDefault="00C87DD1" w:rsidP="00C87DD1">
      <w:pPr>
        <w:pStyle w:val="Paragrafi"/>
        <w:jc w:val="center"/>
        <w:rPr>
          <w:b/>
          <w:lang w:val="sq-AL"/>
        </w:rPr>
      </w:pPr>
    </w:p>
    <w:p w:rsidR="00C87DD1" w:rsidRPr="0076656D" w:rsidRDefault="00C87DD1" w:rsidP="00C87DD1">
      <w:pPr>
        <w:pStyle w:val="Paragrafi"/>
        <w:jc w:val="center"/>
        <w:rPr>
          <w:b/>
          <w:lang w:val="sq-AL"/>
        </w:rPr>
      </w:pPr>
      <w:r w:rsidRPr="0076656D">
        <w:rPr>
          <w:b/>
          <w:lang w:val="sq-AL"/>
        </w:rPr>
        <w:t>VENDIM</w:t>
      </w:r>
    </w:p>
    <w:p w:rsidR="00C87DD1" w:rsidRPr="0076656D" w:rsidRDefault="00C87DD1" w:rsidP="00C87DD1">
      <w:pPr>
        <w:pStyle w:val="Paragrafi"/>
        <w:jc w:val="center"/>
        <w:rPr>
          <w:b/>
          <w:lang w:val="sq-AL"/>
        </w:rPr>
      </w:pPr>
      <w:r w:rsidRPr="0076656D">
        <w:rPr>
          <w:b/>
          <w:lang w:val="sq-AL"/>
        </w:rPr>
        <w:t>Nr. 122, datë 29.8.2012</w:t>
      </w:r>
    </w:p>
    <w:p w:rsidR="00C87DD1" w:rsidRPr="0076656D" w:rsidRDefault="00C87DD1" w:rsidP="00C87DD1">
      <w:pPr>
        <w:pStyle w:val="Paragrafi"/>
        <w:rPr>
          <w:lang w:val="sq-AL"/>
        </w:rPr>
      </w:pPr>
    </w:p>
    <w:p w:rsidR="00C87DD1" w:rsidRPr="0076656D" w:rsidRDefault="00C87DD1" w:rsidP="00C87DD1">
      <w:pPr>
        <w:pStyle w:val="Titulli"/>
        <w:keepNext w:val="0"/>
        <w:rPr>
          <w:lang w:val="sq-AL"/>
        </w:rPr>
      </w:pPr>
      <w:r w:rsidRPr="0076656D">
        <w:rPr>
          <w:lang w:val="sq-AL"/>
        </w:rPr>
        <w:t>PËR LICENCIMIN E SHOQËRISË “CAUSHI ENERGY” SHPK NË AKTIVITETIN E PRODHIMIT TË ENERG</w:t>
      </w:r>
      <w:r w:rsidR="000F2287">
        <w:rPr>
          <w:lang w:val="sq-AL"/>
        </w:rPr>
        <w:t>JISË ELEKTRIKE NGA HEC “QAFËZEZË</w:t>
      </w:r>
      <w:r w:rsidRPr="0076656D">
        <w:rPr>
          <w:lang w:val="sq-AL"/>
        </w:rPr>
        <w:t>”</w:t>
      </w:r>
    </w:p>
    <w:p w:rsidR="00C87DD1" w:rsidRPr="0076656D" w:rsidRDefault="00C87DD1" w:rsidP="00C87DD1">
      <w:pPr>
        <w:pStyle w:val="Paragrafi"/>
        <w:rPr>
          <w:lang w:val="sq-AL"/>
        </w:rPr>
      </w:pPr>
    </w:p>
    <w:p w:rsidR="00C87DD1" w:rsidRPr="0076656D" w:rsidRDefault="00C87DD1" w:rsidP="00C87DD1">
      <w:pPr>
        <w:pStyle w:val="Paragrafi"/>
        <w:rPr>
          <w:lang w:val="sq-AL"/>
        </w:rPr>
      </w:pPr>
      <w:r w:rsidRPr="0076656D">
        <w:rPr>
          <w:lang w:val="sq-AL"/>
        </w:rPr>
        <w:t>Në mbështetje të nenit 8 pika 2 germa “</w:t>
      </w:r>
      <w:r w:rsidR="001769C0" w:rsidRPr="0076656D">
        <w:rPr>
          <w:lang w:val="sq-AL"/>
        </w:rPr>
        <w:t>a”, nenit 9 dhe nenit 13 pika 1</w:t>
      </w:r>
      <w:r w:rsidRPr="0076656D">
        <w:rPr>
          <w:lang w:val="sq-AL"/>
        </w:rPr>
        <w:t xml:space="preserve"> germa “a” të ligjit nr. 9072, datë 22.5.2003 “Për sektorin e energjisë elektrike”, të ndryshuar, nenit 4 pika 1 germa “a”, nenit 5 pika 1 germa “a” dhe neneve 13 dhe 14 pika 1 të rregullores “Për procedurat e licencimit, modifikimit, transferimit të plotë/pjesshëm dhe rinovimit të licencave”, të miratuar me vendimin e Bordit të Komisionerëve nr. 108, datë 9.9.2008, Bordi i Komisionerëve të Entit Rregullator të Energjisë (ERE), në mbledhjen e tij të datës 29.8.2012, pasi shqyrtoi aplikimin e paraqitur nga shoqëria “Caushi Energy” sh.p.k., si dhe relacionin e Drejtorisë së Licencimit dhe Monitorimit të Tregut dhe Drejtorisë Juridike dhe Mbrojtjes së Konsumatorit për licencimin në aktivitetin e prodhimit të energjisë elektrike të kësaj shoqërie,</w:t>
      </w:r>
    </w:p>
    <w:p w:rsidR="00C87DD1" w:rsidRPr="0076656D" w:rsidRDefault="00C87DD1" w:rsidP="00C87DD1">
      <w:pPr>
        <w:pStyle w:val="Paragrafi"/>
        <w:rPr>
          <w:lang w:val="sq-AL"/>
        </w:rPr>
      </w:pPr>
      <w:r w:rsidRPr="0076656D">
        <w:rPr>
          <w:lang w:val="sq-AL"/>
        </w:rPr>
        <w:t xml:space="preserve">konstatoi se: </w:t>
      </w:r>
    </w:p>
    <w:p w:rsidR="00C87DD1" w:rsidRPr="0076656D" w:rsidRDefault="00C87DD1" w:rsidP="00C87DD1">
      <w:pPr>
        <w:pStyle w:val="Paragrafi"/>
        <w:rPr>
          <w:lang w:val="sq-AL"/>
        </w:rPr>
      </w:pPr>
      <w:r w:rsidRPr="0076656D">
        <w:rPr>
          <w:lang w:val="sq-AL"/>
        </w:rPr>
        <w:t xml:space="preserve">Aplikimi i shoqërisë “Caushi Energy” sh.p.k. plotëson kërkesat e parashikuara nga ERE në rregulloren “Për procedurat e licencimit, modifikimit, transferimit të plotë/të pjesshëm dhe rinovimit të licencave”, si më poshtë: </w:t>
      </w:r>
    </w:p>
    <w:p w:rsidR="00C87DD1" w:rsidRPr="0076656D" w:rsidRDefault="00C87DD1" w:rsidP="00C87DD1">
      <w:pPr>
        <w:pStyle w:val="Paragrafi"/>
        <w:rPr>
          <w:lang w:val="sq-AL"/>
        </w:rPr>
      </w:pPr>
      <w:r w:rsidRPr="0076656D">
        <w:rPr>
          <w:lang w:val="sq-AL"/>
        </w:rPr>
        <w:t xml:space="preserve">- Formati i aplikimit (neni 9, pika 1) është paraqitur dhe plotësuar në mënyrë korrekte. </w:t>
      </w:r>
    </w:p>
    <w:p w:rsidR="00BB7215" w:rsidRPr="0076656D" w:rsidRDefault="00C87DD1" w:rsidP="00C87DD1">
      <w:pPr>
        <w:pStyle w:val="Paragrafi"/>
        <w:rPr>
          <w:lang w:val="sq-AL"/>
        </w:rPr>
      </w:pPr>
      <w:r w:rsidRPr="0076656D">
        <w:rPr>
          <w:lang w:val="sq-AL"/>
        </w:rPr>
        <w:t>- Dokumentacioni juridik, administrativ dhe pronësor (neni 9, pika 2) është paraqitur dhe plotësuar në mënyrë korrekte.</w:t>
      </w:r>
    </w:p>
    <w:p w:rsidR="00C87DD1" w:rsidRPr="0076656D" w:rsidRDefault="00C87DD1" w:rsidP="00C87DD1">
      <w:pPr>
        <w:pStyle w:val="Paragrafi"/>
        <w:rPr>
          <w:lang w:val="sq-AL"/>
        </w:rPr>
      </w:pPr>
      <w:r w:rsidRPr="0076656D">
        <w:rPr>
          <w:lang w:val="sq-AL"/>
        </w:rPr>
        <w:t xml:space="preserve"> - Dokumentacioni financiar dhe fiskal (neni 9, pika 3) është paraqitur dhe plotësuar në mënyrë korrekte. </w:t>
      </w:r>
    </w:p>
    <w:p w:rsidR="00C87DD1" w:rsidRPr="0076656D" w:rsidRDefault="000F2287" w:rsidP="00C87DD1">
      <w:pPr>
        <w:pStyle w:val="Paragrafi"/>
        <w:rPr>
          <w:lang w:val="sq-AL"/>
        </w:rPr>
      </w:pPr>
      <w:r>
        <w:rPr>
          <w:lang w:val="sq-AL"/>
        </w:rPr>
        <w:t>- Dokumentacioni</w:t>
      </w:r>
      <w:r w:rsidR="00C87DD1" w:rsidRPr="0076656D">
        <w:rPr>
          <w:lang w:val="sq-AL"/>
        </w:rPr>
        <w:t xml:space="preserve"> teknik (neni 9, pikat 4.1.1, 4.1.2, 4.1.3, 4.1.4, 4.1.5) është plotësuar në mënyrë korrekte.</w:t>
      </w:r>
    </w:p>
    <w:p w:rsidR="00C87DD1" w:rsidRPr="0076656D" w:rsidRDefault="00C87DD1" w:rsidP="00C87DD1">
      <w:pPr>
        <w:pStyle w:val="Paragrafi"/>
        <w:rPr>
          <w:lang w:val="sq-AL"/>
        </w:rPr>
      </w:pPr>
      <w:r w:rsidRPr="0076656D">
        <w:rPr>
          <w:lang w:val="sq-AL"/>
        </w:rPr>
        <w:t xml:space="preserve">Për gjithë sa më sipër, Bordi i Komisionerëve të ERE-s </w:t>
      </w:r>
    </w:p>
    <w:p w:rsidR="00C87DD1" w:rsidRPr="0076656D" w:rsidRDefault="00C87DD1" w:rsidP="00C87DD1">
      <w:pPr>
        <w:pStyle w:val="Paragrafi"/>
        <w:jc w:val="center"/>
        <w:rPr>
          <w:lang w:val="sq-AL"/>
        </w:rPr>
      </w:pPr>
      <w:r w:rsidRPr="0076656D">
        <w:rPr>
          <w:lang w:val="sq-AL"/>
        </w:rPr>
        <w:t>VENDOSI:</w:t>
      </w:r>
    </w:p>
    <w:p w:rsidR="00C87DD1" w:rsidRPr="0076656D" w:rsidRDefault="00C87DD1" w:rsidP="00C87DD1">
      <w:pPr>
        <w:pStyle w:val="Paragrafi"/>
        <w:jc w:val="center"/>
        <w:rPr>
          <w:lang w:val="sq-AL"/>
        </w:rPr>
      </w:pPr>
    </w:p>
    <w:p w:rsidR="00C87DD1" w:rsidRPr="0076656D" w:rsidRDefault="00C87DD1" w:rsidP="00C87DD1">
      <w:pPr>
        <w:pStyle w:val="Paragrafi"/>
        <w:rPr>
          <w:lang w:val="sq-AL"/>
        </w:rPr>
      </w:pPr>
      <w:r w:rsidRPr="0076656D">
        <w:rPr>
          <w:lang w:val="sq-AL"/>
        </w:rPr>
        <w:t>1. Të licencojë shoqërinë “Caushi Energy” sh.p.k., në aktivitetin e prodhimit të energjisë elektrike nga hec “Qafëzezë” me fuqi të instaluar 0.4 MW për një afat 30-vjeçar.</w:t>
      </w:r>
    </w:p>
    <w:p w:rsidR="00E6687D" w:rsidRDefault="00C87DD1" w:rsidP="00E6687D">
      <w:pPr>
        <w:pStyle w:val="Paragrafi"/>
        <w:rPr>
          <w:lang w:val="sq-AL"/>
        </w:rPr>
      </w:pPr>
      <w:r w:rsidRPr="0076656D">
        <w:rPr>
          <w:lang w:val="sq-AL"/>
        </w:rPr>
        <w:t xml:space="preserve"> 2. Ngarkohet Drejtoria e Licencimit dhe Monitorimit të Tregut të njoftojë aplikuesin për vendimin e Bordit të Komisionerëve të ERE-s.</w:t>
      </w:r>
    </w:p>
    <w:p w:rsidR="00C87DD1" w:rsidRPr="0076656D" w:rsidRDefault="00C87DD1" w:rsidP="00E6687D">
      <w:pPr>
        <w:pStyle w:val="Paragrafi"/>
        <w:rPr>
          <w:lang w:val="sq-AL"/>
        </w:rPr>
      </w:pPr>
      <w:r w:rsidRPr="0076656D">
        <w:rPr>
          <w:lang w:val="sq-AL"/>
        </w:rPr>
        <w:t>Ky vendim hyn në fuqi menjëherë.</w:t>
      </w:r>
    </w:p>
    <w:p w:rsidR="00C87DD1" w:rsidRPr="0076656D" w:rsidRDefault="00C87DD1" w:rsidP="00C87DD1">
      <w:pPr>
        <w:pStyle w:val="Paragrafi"/>
        <w:rPr>
          <w:lang w:val="sq-AL"/>
        </w:rPr>
      </w:pPr>
      <w:r w:rsidRPr="0076656D">
        <w:rPr>
          <w:lang w:val="sq-AL"/>
        </w:rPr>
        <w:t>Ky vendim botohet në Fletoren Zyrtare.</w:t>
      </w:r>
    </w:p>
    <w:p w:rsidR="00C87DD1" w:rsidRPr="0076656D" w:rsidRDefault="00C87DD1" w:rsidP="00C87DD1">
      <w:pPr>
        <w:pStyle w:val="Paragrafi"/>
        <w:rPr>
          <w:lang w:val="sq-AL"/>
        </w:rPr>
      </w:pPr>
    </w:p>
    <w:p w:rsidR="00C87DD1" w:rsidRPr="0076656D" w:rsidRDefault="00C87DD1" w:rsidP="00C87DD1">
      <w:pPr>
        <w:pStyle w:val="Autoriteti"/>
        <w:keepNext w:val="0"/>
        <w:rPr>
          <w:lang w:val="sq-AL"/>
        </w:rPr>
      </w:pPr>
      <w:r w:rsidRPr="0076656D">
        <w:rPr>
          <w:lang w:val="sq-AL"/>
        </w:rPr>
        <w:t>KRYETARI</w:t>
      </w:r>
    </w:p>
    <w:p w:rsidR="00C87DD1" w:rsidRPr="0076656D" w:rsidRDefault="00C87DD1" w:rsidP="00C87DD1">
      <w:pPr>
        <w:pStyle w:val="AutoritetiEmer"/>
        <w:rPr>
          <w:lang w:val="sq-AL"/>
        </w:rPr>
      </w:pPr>
      <w:r w:rsidRPr="0076656D">
        <w:rPr>
          <w:lang w:val="sq-AL"/>
        </w:rPr>
        <w:t>Sokol Ramadani</w:t>
      </w:r>
    </w:p>
    <w:p w:rsidR="00C87DD1" w:rsidRPr="0076656D" w:rsidRDefault="00C87DD1" w:rsidP="00C87DD1">
      <w:pPr>
        <w:pStyle w:val="Paragrafi"/>
        <w:rPr>
          <w:lang w:val="sq-AL"/>
        </w:rPr>
      </w:pPr>
    </w:p>
    <w:p w:rsidR="00C87DD1" w:rsidRPr="0076656D" w:rsidRDefault="00C87DD1" w:rsidP="0076656D">
      <w:pPr>
        <w:pStyle w:val="Paragrafi"/>
        <w:ind w:firstLine="0"/>
        <w:rPr>
          <w:lang w:val="sq-AL"/>
        </w:rPr>
      </w:pPr>
    </w:p>
    <w:p w:rsidR="00C87DD1" w:rsidRPr="0076656D" w:rsidRDefault="00C87DD1" w:rsidP="00C87DD1">
      <w:pPr>
        <w:pStyle w:val="Paragrafi"/>
        <w:jc w:val="center"/>
        <w:rPr>
          <w:b/>
          <w:lang w:val="sq-AL"/>
        </w:rPr>
      </w:pPr>
      <w:r w:rsidRPr="0076656D">
        <w:rPr>
          <w:b/>
          <w:lang w:val="sq-AL"/>
        </w:rPr>
        <w:t>VENDIM</w:t>
      </w:r>
    </w:p>
    <w:p w:rsidR="00C87DD1" w:rsidRPr="0076656D" w:rsidRDefault="00C87DD1" w:rsidP="00C87DD1">
      <w:pPr>
        <w:pStyle w:val="Paragrafi"/>
        <w:jc w:val="center"/>
        <w:rPr>
          <w:b/>
          <w:lang w:val="sq-AL"/>
        </w:rPr>
      </w:pPr>
      <w:r w:rsidRPr="0076656D">
        <w:rPr>
          <w:b/>
          <w:lang w:val="sq-AL"/>
        </w:rPr>
        <w:t>Nr. 123, datë 29.8.2012</w:t>
      </w:r>
    </w:p>
    <w:p w:rsidR="00C87DD1" w:rsidRPr="0076656D" w:rsidRDefault="00C87DD1" w:rsidP="00C87DD1">
      <w:pPr>
        <w:pStyle w:val="Paragrafi"/>
        <w:rPr>
          <w:lang w:val="sq-AL"/>
        </w:rPr>
      </w:pPr>
    </w:p>
    <w:p w:rsidR="00C87DD1" w:rsidRPr="0076656D" w:rsidRDefault="00C87DD1" w:rsidP="00C87DD1">
      <w:pPr>
        <w:pStyle w:val="Titulli"/>
        <w:keepNext w:val="0"/>
        <w:rPr>
          <w:lang w:val="sq-AL"/>
        </w:rPr>
      </w:pPr>
      <w:r w:rsidRPr="0076656D">
        <w:rPr>
          <w:lang w:val="sq-AL"/>
        </w:rPr>
        <w:t>PËR LICENCIMIN E SHOQËRISË “SA-GLE KOMPANI” SHPK NË AKTIVITETIN E PRODHIMIT TË ENERGJISË ELEKTRIKE NGA HEC “TREBISHT”</w:t>
      </w:r>
    </w:p>
    <w:p w:rsidR="00C87DD1" w:rsidRPr="0076656D" w:rsidRDefault="00C87DD1" w:rsidP="00C87DD1">
      <w:pPr>
        <w:pStyle w:val="Paragrafi"/>
        <w:rPr>
          <w:lang w:val="sq-AL"/>
        </w:rPr>
      </w:pPr>
    </w:p>
    <w:p w:rsidR="00C87DD1" w:rsidRPr="0076656D" w:rsidRDefault="00C87DD1" w:rsidP="00C87DD1">
      <w:pPr>
        <w:pStyle w:val="Paragrafi"/>
        <w:rPr>
          <w:lang w:val="sq-AL"/>
        </w:rPr>
      </w:pPr>
      <w:r w:rsidRPr="0076656D">
        <w:rPr>
          <w:lang w:val="sq-AL"/>
        </w:rPr>
        <w:t>Në mbështetje të neneve 8 pika 2 germa “a”; 9 dhe 13 pika 1 germa “a” të ligjit nr. 9072, datë 22.5.2003 “Për sektorin e energjisë elektrike”, të ndryshuar, neneve 4 pika 1 germa “a”; 5 pika 1 germa “a”; dhe neneve 13 dhe 14 pika 1 të rregullores “Për procedurat e licencimit, modifikimit, transferimit të plotë/pjesshëm dhe rinovimit të licencave”, të miratuar me vendimin e Bordit të Komisionerëve nr. 108, datë 9.9.2008, Bordi i Komisionerëve të Entit Rregullator të Energjisë (ERE), në mbledhjen e tij të datës 29.8.2012, pasi shqyrtoi aplikimin e paraqitur nga shoqëria “SA-GLE Kompani” sh.p.k., si dhe relacionin e Drejtorisë së Licencimit dhe Monitorimit të Tregut dhe Drejtorisë Juridike dhe Mbrojtjes së Konsumatorit për licencimin në aktivitetin e prodhimit të energjisë elektrike të kësaj shoqërie,</w:t>
      </w:r>
    </w:p>
    <w:p w:rsidR="00C87DD1" w:rsidRPr="0076656D" w:rsidRDefault="00C87DD1" w:rsidP="00C87DD1">
      <w:pPr>
        <w:pStyle w:val="Paragrafi"/>
        <w:rPr>
          <w:lang w:val="sq-AL"/>
        </w:rPr>
      </w:pPr>
      <w:r w:rsidRPr="0076656D">
        <w:rPr>
          <w:lang w:val="sq-AL"/>
        </w:rPr>
        <w:t xml:space="preserve">konstatoi se: </w:t>
      </w:r>
    </w:p>
    <w:p w:rsidR="00C87DD1" w:rsidRPr="0076656D" w:rsidRDefault="00C87DD1" w:rsidP="00C87DD1">
      <w:pPr>
        <w:pStyle w:val="Paragrafi"/>
        <w:rPr>
          <w:lang w:val="sq-AL"/>
        </w:rPr>
      </w:pPr>
      <w:r w:rsidRPr="0076656D">
        <w:rPr>
          <w:lang w:val="sq-AL"/>
        </w:rPr>
        <w:t>Aplikimi i shoqërisë “SA-</w:t>
      </w:r>
      <w:r w:rsidR="001769C0" w:rsidRPr="0076656D">
        <w:rPr>
          <w:lang w:val="sq-AL"/>
        </w:rPr>
        <w:t>GLE Kompani” sh.p.k.</w:t>
      </w:r>
      <w:r w:rsidRPr="0076656D">
        <w:rPr>
          <w:lang w:val="sq-AL"/>
        </w:rPr>
        <w:t xml:space="preserve"> plotëson kërkesat e parashikuara nga ERE në rregulloren “Për procedurat e licencimit, modifikimit, transferimit të plotë/të pjesshëm dhe rinovimit të licencave”, si më poshtë: </w:t>
      </w:r>
    </w:p>
    <w:p w:rsidR="00C87DD1" w:rsidRPr="0076656D" w:rsidRDefault="00C87DD1" w:rsidP="00C87DD1">
      <w:pPr>
        <w:pStyle w:val="Paragrafi"/>
        <w:rPr>
          <w:lang w:val="sq-AL"/>
        </w:rPr>
      </w:pPr>
      <w:r w:rsidRPr="0076656D">
        <w:rPr>
          <w:lang w:val="sq-AL"/>
        </w:rPr>
        <w:t xml:space="preserve">- Formati i aplikimit (neni 9, pika 1) është paraqitur dhe plotësuar në mënyrë korrekte. </w:t>
      </w:r>
    </w:p>
    <w:p w:rsidR="00C87DD1" w:rsidRPr="0076656D" w:rsidRDefault="00C87DD1" w:rsidP="00C87DD1">
      <w:pPr>
        <w:pStyle w:val="Paragrafi"/>
        <w:rPr>
          <w:lang w:val="sq-AL"/>
        </w:rPr>
      </w:pPr>
      <w:r w:rsidRPr="0076656D">
        <w:rPr>
          <w:lang w:val="sq-AL"/>
        </w:rPr>
        <w:t xml:space="preserve">- Dokumentacioni juridik, administrativ dhe pronësor (neni 9, pika 2) është paraqitur dhe plotësuar në mënyrë korrekte. </w:t>
      </w:r>
    </w:p>
    <w:p w:rsidR="00C87DD1" w:rsidRPr="0076656D" w:rsidRDefault="00C87DD1" w:rsidP="00C87DD1">
      <w:pPr>
        <w:pStyle w:val="Paragrafi"/>
        <w:rPr>
          <w:lang w:val="sq-AL"/>
        </w:rPr>
      </w:pPr>
      <w:r w:rsidRPr="0076656D">
        <w:rPr>
          <w:lang w:val="sq-AL"/>
        </w:rPr>
        <w:t xml:space="preserve">- Dokumentacioni financiar dhe fiskal (neni 9, pika 3) është paraqitur dhe plotësuar në mënyrë korrekte. </w:t>
      </w:r>
    </w:p>
    <w:p w:rsidR="00C87DD1" w:rsidRPr="0076656D" w:rsidRDefault="000F2287" w:rsidP="00C87DD1">
      <w:pPr>
        <w:pStyle w:val="Paragrafi"/>
        <w:rPr>
          <w:lang w:val="sq-AL"/>
        </w:rPr>
      </w:pPr>
      <w:r>
        <w:rPr>
          <w:lang w:val="sq-AL"/>
        </w:rPr>
        <w:t>- Dokumentacioni</w:t>
      </w:r>
      <w:r w:rsidR="00C87DD1" w:rsidRPr="0076656D">
        <w:rPr>
          <w:lang w:val="sq-AL"/>
        </w:rPr>
        <w:t xml:space="preserve"> teknik (neni 9, pikat 4.1.1, 4.1.2, 4.1.3, 4.1.4, 4.1.5) është plotësuar në mënyrë korrekte.</w:t>
      </w:r>
    </w:p>
    <w:p w:rsidR="00BB7215" w:rsidRPr="0076656D" w:rsidRDefault="00C87DD1" w:rsidP="0076656D">
      <w:pPr>
        <w:pStyle w:val="Paragrafi"/>
        <w:rPr>
          <w:lang w:val="sq-AL"/>
        </w:rPr>
      </w:pPr>
      <w:r w:rsidRPr="0076656D">
        <w:rPr>
          <w:lang w:val="sq-AL"/>
        </w:rPr>
        <w:t xml:space="preserve">Për gjithë sa më sipër, Bordi i Komisionerëve të ERE-s </w:t>
      </w:r>
    </w:p>
    <w:p w:rsidR="00BB7215" w:rsidRPr="0076656D" w:rsidRDefault="00BB7215" w:rsidP="00C87DD1">
      <w:pPr>
        <w:pStyle w:val="Paragrafi"/>
        <w:rPr>
          <w:lang w:val="sq-AL"/>
        </w:rPr>
      </w:pPr>
    </w:p>
    <w:p w:rsidR="00C87DD1" w:rsidRPr="0076656D" w:rsidRDefault="00C87DD1" w:rsidP="00C87DD1">
      <w:pPr>
        <w:pStyle w:val="Paragrafi"/>
        <w:jc w:val="center"/>
        <w:rPr>
          <w:lang w:val="sq-AL"/>
        </w:rPr>
      </w:pPr>
      <w:r w:rsidRPr="0076656D">
        <w:rPr>
          <w:lang w:val="sq-AL"/>
        </w:rPr>
        <w:t>VENDOSI:</w:t>
      </w:r>
    </w:p>
    <w:p w:rsidR="00C87DD1" w:rsidRPr="0076656D" w:rsidRDefault="00C87DD1" w:rsidP="00C87DD1">
      <w:pPr>
        <w:pStyle w:val="Paragrafi"/>
        <w:rPr>
          <w:lang w:val="sq-AL"/>
        </w:rPr>
      </w:pPr>
    </w:p>
    <w:p w:rsidR="00C87DD1" w:rsidRDefault="00C87DD1" w:rsidP="00C87DD1">
      <w:pPr>
        <w:pStyle w:val="Paragrafi"/>
        <w:rPr>
          <w:lang w:val="sq-AL"/>
        </w:rPr>
      </w:pPr>
      <w:r w:rsidRPr="0076656D">
        <w:rPr>
          <w:lang w:val="sq-AL"/>
        </w:rPr>
        <w:t>1. Të licencojë shoqërinë “SA-GLE Kompani” sh.p.k. në aktivitetin e prodhimit të energjisë elektrike nga hec “Trebisht”, me fuqi të instaluar 1.775 MW për një afat 30-vjeçar.</w:t>
      </w:r>
    </w:p>
    <w:p w:rsidR="00224947" w:rsidRDefault="00C87DD1" w:rsidP="00224947">
      <w:pPr>
        <w:pStyle w:val="Paragrafi"/>
        <w:rPr>
          <w:lang w:val="sq-AL"/>
        </w:rPr>
      </w:pPr>
      <w:r w:rsidRPr="0076656D">
        <w:rPr>
          <w:lang w:val="sq-AL"/>
        </w:rPr>
        <w:t xml:space="preserve"> 2. Ngarkohet Drejtoria e Licencimit dhe Monitorimit të Tregut të njoftojë aplikuesin për vendimin e Bordit të Komisionerëve të ERE-s.</w:t>
      </w:r>
    </w:p>
    <w:p w:rsidR="00E65EA6" w:rsidRDefault="00E65EA6" w:rsidP="00224947">
      <w:pPr>
        <w:pStyle w:val="Paragrafi"/>
        <w:rPr>
          <w:lang w:val="sq-AL"/>
        </w:rPr>
      </w:pPr>
    </w:p>
    <w:p w:rsidR="00C87DD1" w:rsidRPr="0076656D" w:rsidRDefault="00C87DD1" w:rsidP="00224947">
      <w:pPr>
        <w:pStyle w:val="Paragrafi"/>
        <w:rPr>
          <w:lang w:val="sq-AL"/>
        </w:rPr>
      </w:pPr>
      <w:r w:rsidRPr="0076656D">
        <w:rPr>
          <w:lang w:val="sq-AL"/>
        </w:rPr>
        <w:t>Ky vendim hyn në fuqi menjëherë.</w:t>
      </w:r>
    </w:p>
    <w:p w:rsidR="00C87DD1" w:rsidRPr="0076656D" w:rsidRDefault="00C87DD1" w:rsidP="00C87DD1">
      <w:pPr>
        <w:pStyle w:val="Paragrafi"/>
        <w:rPr>
          <w:lang w:val="sq-AL"/>
        </w:rPr>
      </w:pPr>
      <w:r w:rsidRPr="0076656D">
        <w:rPr>
          <w:lang w:val="sq-AL"/>
        </w:rPr>
        <w:t>Ky vendim botohet në Fletoren Zyrtare.</w:t>
      </w:r>
    </w:p>
    <w:p w:rsidR="00C87DD1" w:rsidRPr="0076656D" w:rsidRDefault="00C87DD1" w:rsidP="00C87DD1">
      <w:pPr>
        <w:pStyle w:val="Autoriteti"/>
        <w:keepNext w:val="0"/>
        <w:rPr>
          <w:lang w:val="sq-AL"/>
        </w:rPr>
      </w:pPr>
      <w:r w:rsidRPr="0076656D">
        <w:rPr>
          <w:lang w:val="sq-AL"/>
        </w:rPr>
        <w:t>KRYETARI</w:t>
      </w:r>
    </w:p>
    <w:p w:rsidR="00C87DD1" w:rsidRPr="0076656D" w:rsidRDefault="00C87DD1" w:rsidP="00C87DD1">
      <w:pPr>
        <w:pStyle w:val="AutoritetiEmer"/>
        <w:rPr>
          <w:lang w:val="sq-AL"/>
        </w:rPr>
      </w:pPr>
      <w:r w:rsidRPr="0076656D">
        <w:rPr>
          <w:lang w:val="sq-AL"/>
        </w:rPr>
        <w:t>Sokol Ramadani</w:t>
      </w:r>
    </w:p>
    <w:p w:rsidR="00C87DD1" w:rsidRPr="0076656D" w:rsidRDefault="00C87DD1" w:rsidP="0076656D">
      <w:pPr>
        <w:pStyle w:val="Paragrafi"/>
        <w:ind w:firstLine="0"/>
        <w:rPr>
          <w:lang w:val="sq-AL"/>
        </w:rPr>
      </w:pPr>
    </w:p>
    <w:p w:rsidR="00C87DD1" w:rsidRPr="0076656D" w:rsidRDefault="00C87DD1" w:rsidP="00C87DD1">
      <w:pPr>
        <w:pStyle w:val="Paragrafi"/>
        <w:jc w:val="center"/>
        <w:rPr>
          <w:b/>
          <w:lang w:val="sq-AL"/>
        </w:rPr>
      </w:pPr>
    </w:p>
    <w:p w:rsidR="00C87DD1" w:rsidRPr="0076656D" w:rsidRDefault="00C87DD1" w:rsidP="00C87DD1">
      <w:pPr>
        <w:pStyle w:val="Paragrafi"/>
        <w:jc w:val="center"/>
        <w:rPr>
          <w:b/>
          <w:lang w:val="sq-AL"/>
        </w:rPr>
      </w:pPr>
      <w:r w:rsidRPr="0076656D">
        <w:rPr>
          <w:b/>
          <w:lang w:val="sq-AL"/>
        </w:rPr>
        <w:t>VENDIM</w:t>
      </w:r>
    </w:p>
    <w:p w:rsidR="00C87DD1" w:rsidRPr="0076656D" w:rsidRDefault="00C87DD1" w:rsidP="00C87DD1">
      <w:pPr>
        <w:pStyle w:val="Paragrafi"/>
        <w:jc w:val="center"/>
        <w:rPr>
          <w:b/>
          <w:lang w:val="sq-AL"/>
        </w:rPr>
      </w:pPr>
      <w:r w:rsidRPr="0076656D">
        <w:rPr>
          <w:b/>
          <w:lang w:val="sq-AL"/>
        </w:rPr>
        <w:t>Nr. 124, datë 29.8.2012</w:t>
      </w:r>
    </w:p>
    <w:p w:rsidR="00C87DD1" w:rsidRPr="0076656D" w:rsidRDefault="00C87DD1" w:rsidP="00C87DD1">
      <w:pPr>
        <w:pStyle w:val="Paragrafi"/>
        <w:rPr>
          <w:lang w:val="sq-AL"/>
        </w:rPr>
      </w:pPr>
    </w:p>
    <w:p w:rsidR="00C87DD1" w:rsidRPr="0076656D" w:rsidRDefault="00C87DD1" w:rsidP="00C87DD1">
      <w:pPr>
        <w:pStyle w:val="Titulli"/>
        <w:keepNext w:val="0"/>
        <w:rPr>
          <w:lang w:val="sq-AL"/>
        </w:rPr>
      </w:pPr>
      <w:r w:rsidRPr="0076656D">
        <w:rPr>
          <w:lang w:val="sq-AL"/>
        </w:rPr>
        <w:t xml:space="preserve"> PËR LICENCIMIN E SHOQËRISË “EVN TRADING” SHPK NË AKTIVITETIN E </w:t>
      </w:r>
      <w:r w:rsidRPr="0076656D">
        <w:rPr>
          <w:lang w:val="sq-AL"/>
        </w:rPr>
        <w:lastRenderedPageBreak/>
        <w:t>TREGTIMIT TË ENERGJISË ELEKTRIKE</w:t>
      </w:r>
    </w:p>
    <w:p w:rsidR="00C87DD1" w:rsidRPr="0076656D" w:rsidRDefault="00C87DD1" w:rsidP="00C87DD1">
      <w:pPr>
        <w:pStyle w:val="Paragrafi"/>
        <w:rPr>
          <w:lang w:val="sq-AL"/>
        </w:rPr>
      </w:pPr>
    </w:p>
    <w:p w:rsidR="00C87DD1" w:rsidRPr="0076656D" w:rsidRDefault="00C87DD1" w:rsidP="00C87DD1">
      <w:pPr>
        <w:pStyle w:val="Paragrafi"/>
        <w:rPr>
          <w:lang w:val="sq-AL"/>
        </w:rPr>
      </w:pPr>
      <w:r w:rsidRPr="0076656D">
        <w:rPr>
          <w:lang w:val="sq-AL"/>
        </w:rPr>
        <w:t xml:space="preserve">Në mbështetje të nenit 8 pika 2 germa “a”, neneve 9 dhe 13 pika 1 germa “d” të ligjit nr. 9072, datë 22.5.2003 “Për sektorin e energjisë elektrike”, të ndryshuar, neneve 4 pika 1 germa “g”, 5 pika 2, neneve 13 dhe 14 pika 1 të rregullores “Për procedurat e licencimit, modifikimit, transferimit të plotë/të pjesshëm dhe rinovimit të licencave”, të miratuar me vendimin e Bordit të Komisionerëve nr. 108, datë 9.9.2008, Bordi i Komisionerëve të Entit Rregullator të Energjisë (ERE), në mbledhjen e tij të datës 29.8.2012, pasi shqyrtoi kërkesën e shoqërisë “EVN Trading” sh.p.k., si dhe relacionin e Drejtorisë së Licencimit dhe Monitorimit të Tregut dhe Drejtorisë Juridike dhe Mbrojtjes së Konsumatorit mbi licencimin në aktivitetin e tregtimit të energjisë elektrike, </w:t>
      </w:r>
    </w:p>
    <w:p w:rsidR="00C87DD1" w:rsidRPr="0076656D" w:rsidRDefault="00C87DD1" w:rsidP="00C87DD1">
      <w:pPr>
        <w:pStyle w:val="Paragrafi"/>
        <w:rPr>
          <w:lang w:val="sq-AL"/>
        </w:rPr>
      </w:pPr>
      <w:r w:rsidRPr="0076656D">
        <w:rPr>
          <w:lang w:val="sq-AL"/>
        </w:rPr>
        <w:t>konstatoi se:</w:t>
      </w:r>
    </w:p>
    <w:p w:rsidR="00C87DD1" w:rsidRPr="0076656D" w:rsidRDefault="00C87DD1" w:rsidP="00C87DD1">
      <w:pPr>
        <w:pStyle w:val="Paragrafi"/>
        <w:rPr>
          <w:lang w:val="sq-AL"/>
        </w:rPr>
      </w:pPr>
      <w:r w:rsidRPr="0076656D">
        <w:rPr>
          <w:lang w:val="sq-AL"/>
        </w:rPr>
        <w:t xml:space="preserve">Aplikimi i shoqërisë “EVN Trading” sh.p.k., plotëson kërkesat e parashikuara nga ERE në rregulloren “Për procedurat e licencimit, modifikimit, transferimit të plotë/të pjesshëm dhe rinovimit të licencave”, si më poshtë: </w:t>
      </w:r>
    </w:p>
    <w:p w:rsidR="00C87DD1" w:rsidRPr="0076656D" w:rsidRDefault="00C87DD1" w:rsidP="00C87DD1">
      <w:pPr>
        <w:pStyle w:val="Paragrafi"/>
        <w:rPr>
          <w:lang w:val="sq-AL"/>
        </w:rPr>
      </w:pPr>
      <w:r w:rsidRPr="0076656D">
        <w:rPr>
          <w:lang w:val="sq-AL"/>
        </w:rPr>
        <w:t>- Formati i aplikimit (neni 9, pika 1) është paraqitur dhe plotësuar në mënyrë korrekte.</w:t>
      </w:r>
    </w:p>
    <w:p w:rsidR="00C87DD1" w:rsidRPr="0076656D" w:rsidRDefault="00C87DD1" w:rsidP="00C87DD1">
      <w:pPr>
        <w:pStyle w:val="Paragrafi"/>
        <w:rPr>
          <w:lang w:val="sq-AL"/>
        </w:rPr>
      </w:pPr>
      <w:r w:rsidRPr="0076656D">
        <w:rPr>
          <w:lang w:val="sq-AL"/>
        </w:rPr>
        <w:t>- Dokumentacioni juridik, administrativ dhe pronësor (neni 9, pika 2) është paraqitur dhe plotësuar në mënyrë korrekte.</w:t>
      </w:r>
    </w:p>
    <w:p w:rsidR="00C87DD1" w:rsidRPr="0076656D" w:rsidRDefault="00C87DD1" w:rsidP="00C87DD1">
      <w:pPr>
        <w:pStyle w:val="Paragrafi"/>
        <w:rPr>
          <w:lang w:val="sq-AL"/>
        </w:rPr>
      </w:pPr>
      <w:r w:rsidRPr="0076656D">
        <w:rPr>
          <w:lang w:val="sq-AL"/>
        </w:rPr>
        <w:t>- Dokumentacioni financiar dhe fiskal (neni 9, pika 3) është paraqitur dhe plotësuar tërësisht.</w:t>
      </w:r>
    </w:p>
    <w:p w:rsidR="00C87DD1" w:rsidRPr="0076656D" w:rsidRDefault="00C87DD1" w:rsidP="00C87DD1">
      <w:pPr>
        <w:pStyle w:val="Paragrafi"/>
        <w:rPr>
          <w:lang w:val="sq-AL"/>
        </w:rPr>
      </w:pPr>
      <w:r w:rsidRPr="0076656D">
        <w:rPr>
          <w:lang w:val="sq-AL"/>
        </w:rPr>
        <w:t>- Dokumentacioni teknik (nenin 9, pika 4.10) është paraqitur dhe plotësuar në mënyrë korrekte.</w:t>
      </w:r>
    </w:p>
    <w:p w:rsidR="00C87DD1" w:rsidRPr="0076656D" w:rsidRDefault="00C87DD1" w:rsidP="00C87DD1">
      <w:pPr>
        <w:pStyle w:val="Paragrafi"/>
        <w:rPr>
          <w:lang w:val="sq-AL"/>
        </w:rPr>
      </w:pPr>
      <w:r w:rsidRPr="0076656D">
        <w:rPr>
          <w:lang w:val="sq-AL"/>
        </w:rPr>
        <w:t xml:space="preserve">Për gjithë sa më sipër cituar, Bordi i Komisionerëve të ERE-s </w:t>
      </w:r>
    </w:p>
    <w:p w:rsidR="00C87DD1" w:rsidRPr="0076656D" w:rsidRDefault="00C87DD1" w:rsidP="00C87DD1">
      <w:pPr>
        <w:pStyle w:val="Paragrafi"/>
        <w:rPr>
          <w:lang w:val="sq-AL"/>
        </w:rPr>
      </w:pPr>
      <w:r w:rsidRPr="0076656D">
        <w:rPr>
          <w:lang w:val="sq-AL"/>
        </w:rPr>
        <w:t xml:space="preserve"> </w:t>
      </w:r>
    </w:p>
    <w:p w:rsidR="00C87DD1" w:rsidRPr="0076656D" w:rsidRDefault="00C87DD1" w:rsidP="00C87DD1">
      <w:pPr>
        <w:pStyle w:val="Paragrafi"/>
        <w:jc w:val="center"/>
        <w:rPr>
          <w:lang w:val="sq-AL"/>
        </w:rPr>
      </w:pPr>
      <w:r w:rsidRPr="0076656D">
        <w:rPr>
          <w:lang w:val="sq-AL"/>
        </w:rPr>
        <w:t>VENDOSI:</w:t>
      </w:r>
    </w:p>
    <w:p w:rsidR="00C87DD1" w:rsidRPr="0076656D" w:rsidRDefault="00C87DD1" w:rsidP="00C87DD1">
      <w:pPr>
        <w:pStyle w:val="Paragrafi"/>
        <w:rPr>
          <w:lang w:val="sq-AL"/>
        </w:rPr>
      </w:pPr>
    </w:p>
    <w:p w:rsidR="00C87DD1" w:rsidRPr="0076656D" w:rsidRDefault="00C87DD1" w:rsidP="00C87DD1">
      <w:pPr>
        <w:pStyle w:val="Paragrafi"/>
        <w:rPr>
          <w:lang w:val="sq-AL"/>
        </w:rPr>
      </w:pPr>
      <w:r w:rsidRPr="0076656D">
        <w:rPr>
          <w:lang w:val="sq-AL"/>
        </w:rPr>
        <w:t>1. Të licencojë shoqërinë “EVN Trading” sh.p.k. në aktivitetin e tregtimit të energjisë elektrike për një afat 5-vjeçar.</w:t>
      </w:r>
    </w:p>
    <w:p w:rsidR="00C87DD1" w:rsidRPr="0076656D" w:rsidRDefault="00C87DD1" w:rsidP="00C87DD1">
      <w:pPr>
        <w:pStyle w:val="Paragrafi"/>
        <w:rPr>
          <w:lang w:val="sq-AL"/>
        </w:rPr>
      </w:pPr>
      <w:r w:rsidRPr="0076656D">
        <w:rPr>
          <w:lang w:val="sq-AL"/>
        </w:rPr>
        <w:t xml:space="preserve"> 2. Drejtoria e Licencimit dhe</w:t>
      </w:r>
      <w:r w:rsidR="000F2287">
        <w:rPr>
          <w:lang w:val="sq-AL"/>
        </w:rPr>
        <w:t xml:space="preserve"> e</w:t>
      </w:r>
      <w:r w:rsidRPr="0076656D">
        <w:rPr>
          <w:lang w:val="sq-AL"/>
        </w:rPr>
        <w:t xml:space="preserve"> Monitorimit të Tregut të njoftojnë aplikuesin për vendimin e Bordit të Komisionerëve të ERE-s. </w:t>
      </w:r>
    </w:p>
    <w:p w:rsidR="00C87DD1" w:rsidRPr="0076656D" w:rsidRDefault="00C87DD1" w:rsidP="00C87DD1">
      <w:pPr>
        <w:pStyle w:val="Paragrafi"/>
        <w:rPr>
          <w:lang w:val="sq-AL"/>
        </w:rPr>
      </w:pPr>
      <w:r w:rsidRPr="0076656D">
        <w:rPr>
          <w:lang w:val="sq-AL"/>
        </w:rPr>
        <w:t>Ky vendim hyn në fuqi menjëherë.</w:t>
      </w:r>
    </w:p>
    <w:p w:rsidR="00C87DD1" w:rsidRPr="0076656D" w:rsidRDefault="00C87DD1" w:rsidP="00C87DD1">
      <w:pPr>
        <w:pStyle w:val="Paragrafi"/>
        <w:rPr>
          <w:lang w:val="sq-AL"/>
        </w:rPr>
      </w:pPr>
      <w:r w:rsidRPr="0076656D">
        <w:rPr>
          <w:lang w:val="sq-AL"/>
        </w:rPr>
        <w:t>Ky vendim botohet në Fletoren Zyrtare.</w:t>
      </w:r>
    </w:p>
    <w:p w:rsidR="00C87DD1" w:rsidRPr="0076656D" w:rsidRDefault="00C87DD1" w:rsidP="00C87DD1">
      <w:pPr>
        <w:pStyle w:val="Autoriteti"/>
        <w:keepNext w:val="0"/>
        <w:rPr>
          <w:lang w:val="sq-AL"/>
        </w:rPr>
      </w:pPr>
      <w:r w:rsidRPr="0076656D">
        <w:rPr>
          <w:lang w:val="sq-AL"/>
        </w:rPr>
        <w:t>KRYETARI</w:t>
      </w:r>
    </w:p>
    <w:p w:rsidR="00C87DD1" w:rsidRPr="0076656D" w:rsidRDefault="00C87DD1" w:rsidP="00C87DD1">
      <w:pPr>
        <w:pStyle w:val="AutoritetiEmer"/>
        <w:rPr>
          <w:lang w:val="sq-AL"/>
        </w:rPr>
      </w:pPr>
      <w:r w:rsidRPr="0076656D">
        <w:rPr>
          <w:lang w:val="sq-AL"/>
        </w:rPr>
        <w:t>Sokol Ramadani</w:t>
      </w:r>
    </w:p>
    <w:p w:rsidR="0076656D" w:rsidRDefault="0076656D" w:rsidP="00C87DD1">
      <w:pPr>
        <w:pStyle w:val="Paragrafi"/>
        <w:jc w:val="center"/>
        <w:rPr>
          <w:b/>
          <w:lang w:val="sq-AL"/>
        </w:rPr>
      </w:pPr>
    </w:p>
    <w:p w:rsidR="001A0229" w:rsidRDefault="001A0229" w:rsidP="00C87DD1">
      <w:pPr>
        <w:pStyle w:val="Paragrafi"/>
        <w:jc w:val="center"/>
        <w:rPr>
          <w:b/>
          <w:lang w:val="sq-AL"/>
        </w:rPr>
      </w:pPr>
    </w:p>
    <w:p w:rsidR="00E65EA6" w:rsidRDefault="00E65EA6" w:rsidP="00C87DD1">
      <w:pPr>
        <w:pStyle w:val="Paragrafi"/>
        <w:jc w:val="center"/>
        <w:rPr>
          <w:b/>
          <w:lang w:val="sq-AL"/>
        </w:rPr>
      </w:pPr>
    </w:p>
    <w:p w:rsidR="00C87DD1" w:rsidRPr="0076656D" w:rsidRDefault="00C87DD1" w:rsidP="00C87DD1">
      <w:pPr>
        <w:pStyle w:val="Paragrafi"/>
        <w:jc w:val="center"/>
        <w:rPr>
          <w:b/>
          <w:lang w:val="sq-AL"/>
        </w:rPr>
      </w:pPr>
      <w:r w:rsidRPr="0076656D">
        <w:rPr>
          <w:b/>
          <w:lang w:val="sq-AL"/>
        </w:rPr>
        <w:t>VENDIM</w:t>
      </w:r>
    </w:p>
    <w:p w:rsidR="00C87DD1" w:rsidRPr="0076656D" w:rsidRDefault="00C87DD1" w:rsidP="00C87DD1">
      <w:pPr>
        <w:pStyle w:val="Paragrafi"/>
        <w:jc w:val="center"/>
        <w:rPr>
          <w:b/>
          <w:lang w:val="sq-AL"/>
        </w:rPr>
      </w:pPr>
      <w:r w:rsidRPr="0076656D">
        <w:rPr>
          <w:b/>
          <w:lang w:val="sq-AL"/>
        </w:rPr>
        <w:t>Nr. 125, datë 29.8.2012</w:t>
      </w:r>
    </w:p>
    <w:p w:rsidR="00C87DD1" w:rsidRPr="0076656D" w:rsidRDefault="00C87DD1" w:rsidP="00C87DD1">
      <w:pPr>
        <w:pStyle w:val="Paragrafi"/>
        <w:rPr>
          <w:lang w:val="sq-AL"/>
        </w:rPr>
      </w:pPr>
    </w:p>
    <w:p w:rsidR="00C87DD1" w:rsidRPr="0076656D" w:rsidRDefault="00C87DD1" w:rsidP="00C87DD1">
      <w:pPr>
        <w:pStyle w:val="Titulli"/>
        <w:keepNext w:val="0"/>
        <w:rPr>
          <w:lang w:val="sq-AL"/>
        </w:rPr>
      </w:pPr>
      <w:r w:rsidRPr="0076656D">
        <w:rPr>
          <w:lang w:val="sq-AL"/>
        </w:rPr>
        <w:t xml:space="preserve"> PËR LICENCIMIN E SHOQËRISË “DANSKE COMMODITIES ALBANIA” SHPK NË AKTIVITETIN E TREGTIMIT TË ENERGJISË ELEKTRIKE</w:t>
      </w:r>
    </w:p>
    <w:p w:rsidR="00C87DD1" w:rsidRPr="0076656D" w:rsidRDefault="00C87DD1" w:rsidP="00C87DD1">
      <w:pPr>
        <w:pStyle w:val="Paragrafi"/>
        <w:rPr>
          <w:lang w:val="sq-AL"/>
        </w:rPr>
      </w:pPr>
    </w:p>
    <w:p w:rsidR="00C87DD1" w:rsidRPr="0076656D" w:rsidRDefault="00C87DD1" w:rsidP="00C87DD1">
      <w:pPr>
        <w:pStyle w:val="Paragrafi"/>
        <w:rPr>
          <w:lang w:val="sq-AL"/>
        </w:rPr>
      </w:pPr>
      <w:r w:rsidRPr="0076656D">
        <w:rPr>
          <w:lang w:val="sq-AL"/>
        </w:rPr>
        <w:t xml:space="preserve">Në mbështetje të nenit 8 pika 2 </w:t>
      </w:r>
      <w:r w:rsidR="000F2287">
        <w:rPr>
          <w:lang w:val="sq-AL"/>
        </w:rPr>
        <w:t>germa “a”, neneve 9 dhe 13 pika</w:t>
      </w:r>
      <w:r w:rsidRPr="0076656D">
        <w:rPr>
          <w:lang w:val="sq-AL"/>
        </w:rPr>
        <w:t xml:space="preserve"> 1, germa “d” të ligjit nr. 9072, datë 22.5.2003 “Për sektorin e energjisë elektrike”, të ndryshuar, neneve 4 pika 1 germa “g”, 5 pika 2, dhe neneve 13 dhe 14 pika 1 të rregullores “Për procedurat e licencimit, modifikimit, transferimit të plotë/të pjesshëm dhe rinovimit të licencave”, të miratuar me vendimin e Bordit të Komisionerëve nr. 108, datë 9.9.2008, Bordi i Komisionerëve të Entit Rregullator të Energjisë (ERE), në mbledhjen e tij të datës 29.8.2012, pasi shqyrtoi kërkesën e shoqërisë “Danske Commodities Albania” sh.p.k., si dhe relacionin e Drejtorisë së Licencimit dhe </w:t>
      </w:r>
      <w:r w:rsidR="000F2287">
        <w:rPr>
          <w:lang w:val="sq-AL"/>
        </w:rPr>
        <w:t xml:space="preserve">të </w:t>
      </w:r>
      <w:r w:rsidRPr="0076656D">
        <w:rPr>
          <w:lang w:val="sq-AL"/>
        </w:rPr>
        <w:t xml:space="preserve">Monitorimit të Tregut dhe Drejtorisë Juridike dhe </w:t>
      </w:r>
      <w:r w:rsidR="000F2287">
        <w:rPr>
          <w:lang w:val="sq-AL"/>
        </w:rPr>
        <w:t xml:space="preserve">të </w:t>
      </w:r>
      <w:r w:rsidRPr="0076656D">
        <w:rPr>
          <w:lang w:val="sq-AL"/>
        </w:rPr>
        <w:t xml:space="preserve">Mbrojtjes së Konsumatorit mbi licencimin në aktivitetin e tregtimit të energjisë elektrike, </w:t>
      </w:r>
    </w:p>
    <w:p w:rsidR="00C87DD1" w:rsidRPr="0076656D" w:rsidRDefault="00C87DD1" w:rsidP="00C87DD1">
      <w:pPr>
        <w:pStyle w:val="Paragrafi"/>
        <w:rPr>
          <w:lang w:val="sq-AL"/>
        </w:rPr>
      </w:pPr>
      <w:r w:rsidRPr="0076656D">
        <w:rPr>
          <w:lang w:val="sq-AL"/>
        </w:rPr>
        <w:t xml:space="preserve"> konstatoi se:</w:t>
      </w:r>
    </w:p>
    <w:p w:rsidR="00C87DD1" w:rsidRPr="0076656D" w:rsidRDefault="00C87DD1" w:rsidP="00C87DD1">
      <w:pPr>
        <w:pStyle w:val="Paragrafi"/>
        <w:rPr>
          <w:lang w:val="sq-AL"/>
        </w:rPr>
      </w:pPr>
      <w:r w:rsidRPr="0076656D">
        <w:rPr>
          <w:lang w:val="sq-AL"/>
        </w:rPr>
        <w:t xml:space="preserve">Aplikimi i shoqërisë “Danske Commodities Albania” sh.p.k., plotëson kërkesat e parashikuara nga ERE në rregulloren “Për procedurat e licencimit, modifikimit, transferimit të plotë/të pjesshëm dhe rinovimit të licencave”, si më poshtë: </w:t>
      </w:r>
    </w:p>
    <w:p w:rsidR="00C87DD1" w:rsidRPr="0076656D" w:rsidRDefault="00C87DD1" w:rsidP="00C87DD1">
      <w:pPr>
        <w:pStyle w:val="Paragrafi"/>
        <w:rPr>
          <w:lang w:val="sq-AL"/>
        </w:rPr>
      </w:pPr>
      <w:r w:rsidRPr="0076656D">
        <w:rPr>
          <w:lang w:val="sq-AL"/>
        </w:rPr>
        <w:t>- Formati i aplikimit (neni 9, pika 1) është paraqitur dhe plotësuar në mënyrë korrekte.</w:t>
      </w:r>
    </w:p>
    <w:p w:rsidR="00C87DD1" w:rsidRPr="0076656D" w:rsidRDefault="00C87DD1" w:rsidP="00C87DD1">
      <w:pPr>
        <w:pStyle w:val="Paragrafi"/>
        <w:rPr>
          <w:lang w:val="sq-AL"/>
        </w:rPr>
      </w:pPr>
      <w:r w:rsidRPr="0076656D">
        <w:rPr>
          <w:lang w:val="sq-AL"/>
        </w:rPr>
        <w:t>- Dokumentacioni juridik, administrativ dhe pronësor (neni 9, pika 2) është paraqitur dhe plotësuar në mënyrë korrekte.</w:t>
      </w:r>
    </w:p>
    <w:p w:rsidR="00C87DD1" w:rsidRPr="0076656D" w:rsidRDefault="00C87DD1" w:rsidP="00C87DD1">
      <w:pPr>
        <w:pStyle w:val="Paragrafi"/>
        <w:rPr>
          <w:lang w:val="sq-AL"/>
        </w:rPr>
      </w:pPr>
      <w:r w:rsidRPr="0076656D">
        <w:rPr>
          <w:lang w:val="sq-AL"/>
        </w:rPr>
        <w:t>- Dokumentacioni financiar dhe fiskal (neni 9, pika 3) është paraqitur dhe plotësuar në mënyrë korrekte.</w:t>
      </w:r>
    </w:p>
    <w:p w:rsidR="00C87DD1" w:rsidRPr="0076656D" w:rsidRDefault="00C87DD1" w:rsidP="00C87DD1">
      <w:pPr>
        <w:pStyle w:val="Paragrafi"/>
        <w:rPr>
          <w:lang w:val="sq-AL"/>
        </w:rPr>
      </w:pPr>
      <w:r w:rsidRPr="0076656D">
        <w:rPr>
          <w:lang w:val="sq-AL"/>
        </w:rPr>
        <w:t>- Dokumentacioni teknik (nenin 9, pika 4.10) është paraqitur dhe plotësuar në mënyrë korrekte.</w:t>
      </w:r>
    </w:p>
    <w:p w:rsidR="00C87DD1" w:rsidRPr="0076656D" w:rsidRDefault="00C87DD1" w:rsidP="00C87DD1">
      <w:pPr>
        <w:pStyle w:val="Paragrafi"/>
        <w:rPr>
          <w:lang w:val="sq-AL"/>
        </w:rPr>
      </w:pPr>
      <w:r w:rsidRPr="0076656D">
        <w:rPr>
          <w:lang w:val="sq-AL"/>
        </w:rPr>
        <w:t xml:space="preserve">Për gjithë sa më sipër cituar, Bordi i Komisionerëve të ERE-s </w:t>
      </w:r>
    </w:p>
    <w:p w:rsidR="00C87DD1" w:rsidRPr="0076656D" w:rsidRDefault="00C87DD1" w:rsidP="00C87DD1">
      <w:pPr>
        <w:pStyle w:val="Paragrafi"/>
        <w:rPr>
          <w:lang w:val="sq-AL"/>
        </w:rPr>
      </w:pPr>
      <w:r w:rsidRPr="0076656D">
        <w:rPr>
          <w:lang w:val="sq-AL"/>
        </w:rPr>
        <w:t xml:space="preserve"> </w:t>
      </w:r>
    </w:p>
    <w:p w:rsidR="00C87DD1" w:rsidRPr="0076656D" w:rsidRDefault="00C87DD1" w:rsidP="00C87DD1">
      <w:pPr>
        <w:pStyle w:val="Paragrafi"/>
        <w:jc w:val="center"/>
        <w:rPr>
          <w:lang w:val="sq-AL"/>
        </w:rPr>
      </w:pPr>
      <w:r w:rsidRPr="0076656D">
        <w:rPr>
          <w:lang w:val="sq-AL"/>
        </w:rPr>
        <w:t>VENDOSI:</w:t>
      </w:r>
    </w:p>
    <w:p w:rsidR="00C87DD1" w:rsidRPr="0076656D" w:rsidRDefault="00C87DD1" w:rsidP="00C87DD1">
      <w:pPr>
        <w:pStyle w:val="Paragrafi"/>
        <w:rPr>
          <w:lang w:val="sq-AL"/>
        </w:rPr>
      </w:pPr>
    </w:p>
    <w:p w:rsidR="00C87DD1" w:rsidRPr="0076656D" w:rsidRDefault="00C87DD1" w:rsidP="00C87DD1">
      <w:pPr>
        <w:pStyle w:val="Paragrafi"/>
        <w:rPr>
          <w:lang w:val="sq-AL"/>
        </w:rPr>
      </w:pPr>
      <w:r w:rsidRPr="0076656D">
        <w:rPr>
          <w:lang w:val="sq-AL"/>
        </w:rPr>
        <w:t>1. Të licencojë shoqërinë “Danske Commodities Albania” sh.p.k. në aktivitetin e tregtimit të energjisë elektrike për një afat 5-vjeçar.</w:t>
      </w:r>
    </w:p>
    <w:p w:rsidR="00C87DD1" w:rsidRPr="0076656D" w:rsidRDefault="00C87DD1" w:rsidP="00C87DD1">
      <w:pPr>
        <w:pStyle w:val="Paragrafi"/>
        <w:rPr>
          <w:lang w:val="sq-AL"/>
        </w:rPr>
      </w:pPr>
      <w:r w:rsidRPr="0076656D">
        <w:rPr>
          <w:lang w:val="sq-AL"/>
        </w:rPr>
        <w:t xml:space="preserve">2. Drejtoria e Licencimit dhe </w:t>
      </w:r>
      <w:r w:rsidR="000F2287">
        <w:rPr>
          <w:lang w:val="sq-AL"/>
        </w:rPr>
        <w:t xml:space="preserve">e </w:t>
      </w:r>
      <w:r w:rsidRPr="0076656D">
        <w:rPr>
          <w:lang w:val="sq-AL"/>
        </w:rPr>
        <w:t>Monitorimit të Tregut të njoftojnë aplikuesin për vendimin e Bordit të Komisionerëve të ERE-s. </w:t>
      </w:r>
    </w:p>
    <w:p w:rsidR="00C87DD1" w:rsidRPr="0076656D" w:rsidRDefault="00C87DD1" w:rsidP="00C87DD1">
      <w:pPr>
        <w:pStyle w:val="Paragrafi"/>
        <w:rPr>
          <w:lang w:val="sq-AL"/>
        </w:rPr>
      </w:pPr>
      <w:r w:rsidRPr="0076656D">
        <w:rPr>
          <w:lang w:val="sq-AL"/>
        </w:rPr>
        <w:t>Ky vendim hyn në fuqi menjëherë.</w:t>
      </w:r>
    </w:p>
    <w:p w:rsidR="00C87DD1" w:rsidRPr="0076656D" w:rsidRDefault="00C87DD1" w:rsidP="00C87DD1">
      <w:pPr>
        <w:pStyle w:val="Paragrafi"/>
        <w:rPr>
          <w:lang w:val="sq-AL"/>
        </w:rPr>
      </w:pPr>
      <w:r w:rsidRPr="0076656D">
        <w:rPr>
          <w:lang w:val="sq-AL"/>
        </w:rPr>
        <w:t>Ky vendim botohet në Fletoren Zyrtare.</w:t>
      </w:r>
    </w:p>
    <w:p w:rsidR="00C87DD1" w:rsidRPr="0076656D" w:rsidRDefault="00C87DD1" w:rsidP="00C87DD1">
      <w:pPr>
        <w:pStyle w:val="Paragrafi"/>
        <w:rPr>
          <w:lang w:val="sq-AL"/>
        </w:rPr>
      </w:pPr>
    </w:p>
    <w:p w:rsidR="00C87DD1" w:rsidRPr="0076656D" w:rsidRDefault="00C87DD1" w:rsidP="00C87DD1">
      <w:pPr>
        <w:pStyle w:val="Autoriteti"/>
        <w:keepNext w:val="0"/>
        <w:rPr>
          <w:lang w:val="sq-AL"/>
        </w:rPr>
      </w:pPr>
      <w:r w:rsidRPr="0076656D">
        <w:rPr>
          <w:lang w:val="sq-AL"/>
        </w:rPr>
        <w:t>KRYETARI</w:t>
      </w:r>
    </w:p>
    <w:p w:rsidR="00C87DD1" w:rsidRPr="0076656D" w:rsidRDefault="00C87DD1" w:rsidP="00C87DD1">
      <w:pPr>
        <w:pStyle w:val="AutoritetiEmer"/>
        <w:rPr>
          <w:lang w:val="sq-AL"/>
        </w:rPr>
      </w:pPr>
      <w:r w:rsidRPr="0076656D">
        <w:rPr>
          <w:lang w:val="sq-AL"/>
        </w:rPr>
        <w:t>Sokol Ramadani</w:t>
      </w:r>
    </w:p>
    <w:p w:rsidR="00C87DD1" w:rsidRPr="0076656D" w:rsidRDefault="00C87DD1" w:rsidP="00C87DD1">
      <w:pPr>
        <w:pStyle w:val="Paragrafi"/>
        <w:rPr>
          <w:lang w:val="sq-AL"/>
        </w:rPr>
      </w:pPr>
    </w:p>
    <w:p w:rsidR="00C87DD1" w:rsidRPr="0076656D" w:rsidRDefault="00C87DD1" w:rsidP="00C87DD1">
      <w:pPr>
        <w:pStyle w:val="Paragrafi"/>
        <w:rPr>
          <w:lang w:val="sq-AL"/>
        </w:rPr>
      </w:pPr>
    </w:p>
    <w:p w:rsidR="00C87DD1" w:rsidRPr="0076656D" w:rsidRDefault="00C87DD1" w:rsidP="00C87DD1">
      <w:pPr>
        <w:pStyle w:val="Paragrafi"/>
        <w:jc w:val="center"/>
        <w:rPr>
          <w:b/>
          <w:lang w:val="sq-AL"/>
        </w:rPr>
      </w:pPr>
    </w:p>
    <w:p w:rsidR="00C87DD1" w:rsidRPr="0076656D" w:rsidRDefault="00C87DD1" w:rsidP="00C87DD1">
      <w:pPr>
        <w:pStyle w:val="Paragrafi"/>
        <w:jc w:val="center"/>
        <w:rPr>
          <w:b/>
          <w:lang w:val="sq-AL"/>
        </w:rPr>
      </w:pPr>
    </w:p>
    <w:p w:rsidR="00C87DD1" w:rsidRPr="0076656D" w:rsidRDefault="00C87DD1" w:rsidP="00C87DD1">
      <w:pPr>
        <w:pStyle w:val="Paragrafi"/>
        <w:jc w:val="center"/>
        <w:rPr>
          <w:b/>
          <w:lang w:val="sq-AL"/>
        </w:rPr>
      </w:pPr>
    </w:p>
    <w:p w:rsidR="00C87DD1" w:rsidRPr="0076656D" w:rsidRDefault="00C87DD1" w:rsidP="00C87DD1">
      <w:pPr>
        <w:pStyle w:val="Paragrafi"/>
        <w:jc w:val="center"/>
        <w:rPr>
          <w:b/>
          <w:lang w:val="sq-AL"/>
        </w:rPr>
      </w:pPr>
    </w:p>
    <w:p w:rsidR="00C87DD1" w:rsidRPr="0076656D" w:rsidRDefault="00C87DD1" w:rsidP="00C87DD1">
      <w:pPr>
        <w:pStyle w:val="Paragrafi"/>
        <w:jc w:val="center"/>
        <w:rPr>
          <w:b/>
          <w:lang w:val="sq-AL"/>
        </w:rPr>
      </w:pPr>
    </w:p>
    <w:p w:rsidR="00C87DD1" w:rsidRPr="0076656D" w:rsidRDefault="00C87DD1" w:rsidP="00C87DD1">
      <w:pPr>
        <w:pStyle w:val="Paragrafi"/>
        <w:jc w:val="center"/>
        <w:rPr>
          <w:b/>
          <w:lang w:val="sq-AL"/>
        </w:rPr>
      </w:pPr>
    </w:p>
    <w:p w:rsidR="00C87DD1" w:rsidRPr="0076656D" w:rsidRDefault="00C87DD1" w:rsidP="00C87DD1">
      <w:pPr>
        <w:pStyle w:val="Paragrafi"/>
        <w:jc w:val="center"/>
        <w:rPr>
          <w:b/>
          <w:lang w:val="sq-AL"/>
        </w:rPr>
      </w:pPr>
    </w:p>
    <w:p w:rsidR="00C87DD1" w:rsidRPr="0076656D" w:rsidRDefault="00C87DD1" w:rsidP="00C87DD1">
      <w:pPr>
        <w:pStyle w:val="Paragrafi"/>
        <w:jc w:val="center"/>
        <w:rPr>
          <w:b/>
          <w:lang w:val="sq-AL"/>
        </w:rPr>
      </w:pPr>
      <w:r w:rsidRPr="0076656D">
        <w:rPr>
          <w:b/>
          <w:lang w:val="sq-AL"/>
        </w:rPr>
        <w:t>VENDIM</w:t>
      </w:r>
    </w:p>
    <w:p w:rsidR="00C87DD1" w:rsidRPr="0076656D" w:rsidRDefault="00C87DD1" w:rsidP="00C87DD1">
      <w:pPr>
        <w:pStyle w:val="Paragrafi"/>
        <w:jc w:val="center"/>
        <w:rPr>
          <w:b/>
          <w:lang w:val="sq-AL"/>
        </w:rPr>
      </w:pPr>
      <w:r w:rsidRPr="0076656D">
        <w:rPr>
          <w:b/>
          <w:lang w:val="sq-AL"/>
        </w:rPr>
        <w:t>Nr. 126, datë 29.8.2012</w:t>
      </w:r>
    </w:p>
    <w:p w:rsidR="00C87DD1" w:rsidRPr="0076656D" w:rsidRDefault="00C87DD1" w:rsidP="00C87DD1">
      <w:pPr>
        <w:pStyle w:val="Paragrafi"/>
        <w:rPr>
          <w:lang w:val="sq-AL"/>
        </w:rPr>
      </w:pPr>
    </w:p>
    <w:p w:rsidR="00C87DD1" w:rsidRPr="0076656D" w:rsidRDefault="00C87DD1" w:rsidP="00C87DD1">
      <w:pPr>
        <w:pStyle w:val="Titulli"/>
        <w:keepNext w:val="0"/>
        <w:rPr>
          <w:lang w:val="sq-AL"/>
        </w:rPr>
      </w:pPr>
      <w:r w:rsidRPr="0076656D">
        <w:rPr>
          <w:lang w:val="sq-AL"/>
        </w:rPr>
        <w:t>MBI ANKIMIN ADMINISTRATIV TË “CEZ SHPËRNDARJE” SHA NË LIDHJE ME VENDIMIN NR. 102, DATË 19.7.2012 “PËR MIRATIMIN E MARRËVESHJES SË TRANSMETIMIT TË ENERGJISË ELEKTRIKE MIDIS OST SHA DHE “CEZ SHPËRNDARJE” SHA” BORDIT TË KOMISIONERËVE</w:t>
      </w:r>
    </w:p>
    <w:p w:rsidR="00C87DD1" w:rsidRPr="0076656D" w:rsidRDefault="00C87DD1" w:rsidP="00C87DD1">
      <w:pPr>
        <w:pStyle w:val="Paragrafi"/>
        <w:rPr>
          <w:lang w:val="sq-AL"/>
        </w:rPr>
      </w:pPr>
    </w:p>
    <w:p w:rsidR="00C87DD1" w:rsidRPr="0076656D" w:rsidRDefault="00C87DD1" w:rsidP="00C87DD1">
      <w:pPr>
        <w:pStyle w:val="Paragrafi"/>
        <w:rPr>
          <w:lang w:val="sq-AL"/>
        </w:rPr>
      </w:pPr>
      <w:r w:rsidRPr="0076656D">
        <w:rPr>
          <w:lang w:val="sq-AL"/>
        </w:rPr>
        <w:t xml:space="preserve">Në mbështetje të nenit 9 të ligjit nr. 9072, datë 22.5.2003 “Për sektorin e energjisë elektrike”, të ndryshuar dhe nenit 16 pika 3 të Rregullave të Praktikës dhe Procedurave të ERE-s, të miratuar me vendimin nr. 21, datë 18.3.2009, Bordi i Komisionerëve të ERE-s në mbledhjen e tij të datës 29.8.2012, pasi u njoh me relacionin e përgatitur nga Drejtoria Juridike dhe e Mbrojtjes së Konsumatorit dhe Drejtoria e Licencimit dhe </w:t>
      </w:r>
      <w:r w:rsidR="000F2287">
        <w:rPr>
          <w:lang w:val="sq-AL"/>
        </w:rPr>
        <w:t xml:space="preserve">e </w:t>
      </w:r>
      <w:r w:rsidRPr="0076656D">
        <w:rPr>
          <w:lang w:val="sq-AL"/>
        </w:rPr>
        <w:t>Monitorimit të Tregut, mbi ankimin administrativ të shoqërisë “CEZ Shpërndarje” sh.a. për vendimin nr. 102, datë 19.7.2012,</w:t>
      </w:r>
    </w:p>
    <w:p w:rsidR="00C87DD1" w:rsidRPr="0076656D" w:rsidRDefault="00C87DD1" w:rsidP="00C87DD1">
      <w:pPr>
        <w:pStyle w:val="Paragrafi"/>
        <w:rPr>
          <w:lang w:val="sq-AL"/>
        </w:rPr>
      </w:pPr>
    </w:p>
    <w:p w:rsidR="00C87DD1" w:rsidRPr="0076656D" w:rsidRDefault="00C87DD1" w:rsidP="00C87DD1">
      <w:pPr>
        <w:pStyle w:val="Paragrafi"/>
        <w:jc w:val="center"/>
        <w:rPr>
          <w:lang w:val="sq-AL"/>
        </w:rPr>
      </w:pPr>
      <w:r w:rsidRPr="0076656D">
        <w:rPr>
          <w:lang w:val="sq-AL"/>
        </w:rPr>
        <w:t>VENDOSI:</w:t>
      </w:r>
    </w:p>
    <w:p w:rsidR="00C87DD1" w:rsidRPr="0076656D" w:rsidRDefault="00C87DD1" w:rsidP="00C87DD1">
      <w:pPr>
        <w:pStyle w:val="Paragrafi"/>
        <w:rPr>
          <w:lang w:val="sq-AL"/>
        </w:rPr>
      </w:pPr>
    </w:p>
    <w:p w:rsidR="00C87DD1" w:rsidRPr="0076656D" w:rsidRDefault="000F2287" w:rsidP="00C87DD1">
      <w:pPr>
        <w:pStyle w:val="Paragrafi"/>
        <w:rPr>
          <w:lang w:val="sq-AL"/>
        </w:rPr>
      </w:pPr>
      <w:r>
        <w:rPr>
          <w:lang w:val="sq-AL"/>
        </w:rPr>
        <w:t xml:space="preserve">1. </w:t>
      </w:r>
      <w:r w:rsidR="00C87DD1" w:rsidRPr="0076656D">
        <w:rPr>
          <w:lang w:val="sq-AL"/>
        </w:rPr>
        <w:t>Të mos pranojë ankimin e shoqërisë “CEZ Shpërndarje” si të pabazuar në prova të reja që mund të çojnë Bordin e Komisionerëve të ERE-s në një vendim të ndryshëm nga ai i marrë në datën 19.7.2012, dhe lënien në fuqi të vendimit nr. 102, datë 19.7.2012 “Për miratimin e marrëveshjes së transmetimit të energjisë elektrike midis OST sh.a. dhe CEZ Shpërndarje sh.a.”.</w:t>
      </w:r>
    </w:p>
    <w:p w:rsidR="00C87DD1" w:rsidRPr="0076656D" w:rsidRDefault="000F2287" w:rsidP="00C87DD1">
      <w:pPr>
        <w:pStyle w:val="Paragrafi"/>
        <w:rPr>
          <w:lang w:val="sq-AL"/>
        </w:rPr>
      </w:pPr>
      <w:r>
        <w:rPr>
          <w:lang w:val="sq-AL"/>
        </w:rPr>
        <w:t xml:space="preserve">2. </w:t>
      </w:r>
      <w:r w:rsidR="00C87DD1" w:rsidRPr="0076656D">
        <w:rPr>
          <w:lang w:val="sq-AL"/>
        </w:rPr>
        <w:t>Drejt</w:t>
      </w:r>
      <w:r w:rsidR="001769C0" w:rsidRPr="0076656D">
        <w:rPr>
          <w:lang w:val="sq-AL"/>
        </w:rPr>
        <w:t>oria Juridike dhe e Mbrojtjes së</w:t>
      </w:r>
      <w:r w:rsidR="00C87DD1" w:rsidRPr="0076656D">
        <w:rPr>
          <w:lang w:val="sq-AL"/>
        </w:rPr>
        <w:t xml:space="preserve"> Konsumatorit të njoftojë shoqërinë “CEZ Shpërndarje” sh.a. për vendimin e Bordit të Komisionerëve të ERE-s. </w:t>
      </w:r>
    </w:p>
    <w:p w:rsidR="00C87DD1" w:rsidRPr="0076656D" w:rsidRDefault="00C87DD1" w:rsidP="00C87DD1">
      <w:pPr>
        <w:pStyle w:val="Paragrafi"/>
        <w:rPr>
          <w:lang w:val="sq-AL"/>
        </w:rPr>
      </w:pPr>
      <w:r w:rsidRPr="0076656D">
        <w:rPr>
          <w:lang w:val="sq-AL"/>
        </w:rPr>
        <w:t>Ky vendim hyn në fuqi menjëherë.</w:t>
      </w:r>
    </w:p>
    <w:p w:rsidR="00C87DD1" w:rsidRPr="0076656D" w:rsidRDefault="00C87DD1" w:rsidP="00C87DD1">
      <w:pPr>
        <w:pStyle w:val="Paragrafi"/>
        <w:rPr>
          <w:lang w:val="sq-AL"/>
        </w:rPr>
      </w:pPr>
      <w:r w:rsidRPr="0076656D">
        <w:rPr>
          <w:lang w:val="sq-AL"/>
        </w:rPr>
        <w:t>Ky vendim botohet në Fletoren Zyrtare.</w:t>
      </w:r>
    </w:p>
    <w:p w:rsidR="00C87DD1" w:rsidRPr="0076656D" w:rsidRDefault="00C87DD1" w:rsidP="00C87DD1">
      <w:pPr>
        <w:pStyle w:val="Autoriteti"/>
        <w:keepNext w:val="0"/>
        <w:rPr>
          <w:lang w:val="sq-AL"/>
        </w:rPr>
      </w:pPr>
      <w:r w:rsidRPr="0076656D">
        <w:rPr>
          <w:lang w:val="sq-AL"/>
        </w:rPr>
        <w:t>KRYETARI</w:t>
      </w:r>
    </w:p>
    <w:p w:rsidR="00C87DD1" w:rsidRPr="0076656D" w:rsidRDefault="00C87DD1" w:rsidP="00C87DD1">
      <w:pPr>
        <w:pStyle w:val="AutoritetiEmer"/>
        <w:rPr>
          <w:lang w:val="sq-AL"/>
        </w:rPr>
      </w:pPr>
      <w:r w:rsidRPr="0076656D">
        <w:rPr>
          <w:lang w:val="sq-AL"/>
        </w:rPr>
        <w:t>Sokol Ramadani</w:t>
      </w:r>
    </w:p>
    <w:p w:rsidR="00C87DD1" w:rsidRPr="0076656D" w:rsidRDefault="00C87DD1" w:rsidP="00C87DD1">
      <w:pPr>
        <w:pStyle w:val="Paragrafi"/>
        <w:rPr>
          <w:lang w:val="sq-AL"/>
        </w:rPr>
      </w:pPr>
    </w:p>
    <w:p w:rsidR="00FA2680" w:rsidRPr="0076656D" w:rsidRDefault="00FA2680" w:rsidP="00C87DD1">
      <w:pPr>
        <w:pStyle w:val="Akti"/>
        <w:keepNext w:val="0"/>
      </w:pPr>
    </w:p>
    <w:p w:rsidR="00C87DD1" w:rsidRPr="0076656D" w:rsidRDefault="00C87DD1" w:rsidP="00C87DD1">
      <w:pPr>
        <w:pStyle w:val="Akti"/>
        <w:keepNext w:val="0"/>
      </w:pPr>
      <w:r w:rsidRPr="0076656D">
        <w:t>VENDIM</w:t>
      </w:r>
    </w:p>
    <w:p w:rsidR="00C87DD1" w:rsidRPr="0076656D" w:rsidRDefault="00C87DD1" w:rsidP="00C87DD1">
      <w:pPr>
        <w:pStyle w:val="NumriData"/>
        <w:keepNext w:val="0"/>
      </w:pPr>
      <w:r w:rsidRPr="0076656D">
        <w:t>Nr. 127, datë 30.8.2012</w:t>
      </w:r>
    </w:p>
    <w:p w:rsidR="00C87DD1" w:rsidRPr="0076656D" w:rsidRDefault="00C87DD1" w:rsidP="00C87DD1">
      <w:pPr>
        <w:pStyle w:val="Paragrafi"/>
      </w:pPr>
    </w:p>
    <w:p w:rsidR="00C87DD1" w:rsidRPr="0076656D" w:rsidRDefault="005E605B" w:rsidP="00C87DD1">
      <w:pPr>
        <w:pStyle w:val="Titulli"/>
        <w:keepNext w:val="0"/>
      </w:pPr>
      <w:r>
        <w:t>MBI KËRKESËN E GSA SHP</w:t>
      </w:r>
      <w:r w:rsidR="00C87DD1" w:rsidRPr="0076656D">
        <w:t>K DHE “RUDNAP ENERGY TIRANA” SHPK MBI ZBATIMIN E VENDIMIT NR.</w:t>
      </w:r>
      <w:r w:rsidR="000F2287">
        <w:t xml:space="preserve"> </w:t>
      </w:r>
      <w:r w:rsidR="00C87DD1" w:rsidRPr="0076656D">
        <w:t xml:space="preserve">114, DATË 22.8.2012 </w:t>
      </w:r>
    </w:p>
    <w:p w:rsidR="00C87DD1" w:rsidRPr="0076656D" w:rsidRDefault="00C87DD1" w:rsidP="00C87DD1">
      <w:pPr>
        <w:pStyle w:val="Paragrafi"/>
      </w:pPr>
    </w:p>
    <w:p w:rsidR="00C87DD1" w:rsidRPr="0076656D" w:rsidRDefault="001769C0" w:rsidP="00C87DD1">
      <w:pPr>
        <w:pStyle w:val="Paragrafi"/>
      </w:pPr>
      <w:r w:rsidRPr="0076656D">
        <w:t>Në mbështetje të nenit 8 pika 2 germa “ç” paragrafi “ii”</w:t>
      </w:r>
      <w:r w:rsidR="00C87DD1" w:rsidRPr="0076656D">
        <w:t xml:space="preserve"> dhe 9 të ligjit nr. 9072, datë 22.5.2003 “Për sektorin e energjisë el</w:t>
      </w:r>
      <w:r w:rsidR="000F2287">
        <w:t>ektrike”, të ndryshuar, pikës 7 germa “b”</w:t>
      </w:r>
      <w:r w:rsidR="00C87DD1" w:rsidRPr="0076656D">
        <w:t xml:space="preserve"> të Modelit të Tregut të Energjisë Elektrike</w:t>
      </w:r>
      <w:r w:rsidR="000F2287">
        <w:t>,</w:t>
      </w:r>
      <w:r w:rsidR="00C87DD1" w:rsidRPr="0076656D">
        <w:t xml:space="preserve"> të miratuar me vendimin e Këshillit të Ministrave nr. 338, datë 19.3.2008, të</w:t>
      </w:r>
      <w:r w:rsidR="000F2287">
        <w:t xml:space="preserve"> ndryshuar, si dhe kapitullit X</w:t>
      </w:r>
      <w:r w:rsidR="00C87DD1" w:rsidRPr="0076656D">
        <w:t xml:space="preserve"> të Rregullave të Tregut Shqiptar të Energjisë Elektrike të miratuara nga ERE me vendimin e Bordit të Komisionerëve nr. 68, datë 23.6.2008, Bordi i Komisionerëve të ERE-s në mbledhjen e tij të datës 30.8.2012, pasi shqyrtoi kërkesën e shoqërisë GSA sh.p.k. me nr. 29.8.2012 prot., datë 29.8.2012 dhe “Rudnap Energy Tirana” sh.p.k. mbi zbatimin e</w:t>
      </w:r>
      <w:r w:rsidR="000F2287">
        <w:t xml:space="preserve"> vendimit të ERE-s nr. 114, datë</w:t>
      </w:r>
      <w:r w:rsidR="00C87DD1" w:rsidRPr="0076656D">
        <w:t xml:space="preserve"> 22.8.2012, si dhe relacionin e Drejtorisë Juridike dhe Mbrojtjes së Konsumatorit dhe Drejtorisë së Licencimit dhe Monitorimit të Tregut, </w:t>
      </w:r>
    </w:p>
    <w:p w:rsidR="00C87DD1" w:rsidRPr="0076656D" w:rsidRDefault="00C87DD1" w:rsidP="00C87DD1">
      <w:pPr>
        <w:pStyle w:val="Paragrafi"/>
      </w:pPr>
      <w:r w:rsidRPr="0076656D">
        <w:t>duke konsideruar se:</w:t>
      </w:r>
    </w:p>
    <w:p w:rsidR="00C87DD1" w:rsidRPr="0076656D" w:rsidRDefault="00C87DD1" w:rsidP="00C87DD1">
      <w:pPr>
        <w:pStyle w:val="Paragrafi"/>
      </w:pPr>
      <w:r w:rsidRPr="0076656D">
        <w:t>Vendimi nr.</w:t>
      </w:r>
      <w:r w:rsidR="000F2287">
        <w:t xml:space="preserve"> </w:t>
      </w:r>
      <w:r w:rsidRPr="0076656D">
        <w:t>114, datë 22.8.2012, përcaktonte alokimin e kapaciteteve disponibël të interkonjeksionit për muajin shtator 2012 shoqërisë “CEZ Shpërndarje” sh.a. për sasinë 155 MW, për mbulimin e humbjeve të ndara sipas kufirit dhe periudhave të përcaktuara nga OST sh.a., si dhe klientëve të kualifikuar për sasinë 45 MW, të ndara proporcionalisht sipas kufirit dhe periudhave të përcaktuara nga OST sh.a. me kusht “CEZ Shpërndarje” sh.a. dhe furnizuesit e kualifikuar të bëjnë nominimet dhe pagesat për kapacitetet e interkonjeksionit.</w:t>
      </w:r>
    </w:p>
    <w:p w:rsidR="00C87DD1" w:rsidRPr="0076656D" w:rsidRDefault="00C87DD1" w:rsidP="00C87DD1">
      <w:pPr>
        <w:pStyle w:val="Paragrafi"/>
      </w:pPr>
      <w:r w:rsidRPr="0076656D">
        <w:t>Në datën 29.8.2012, në kushtet e moszbatimit nga “CEZ Shpërndarje” të detyrimit sipas pikës 3 të vendimit nr. 114, datë 22.8.2012, OST zhvilloi ankandin për alokimin e kapaciteteve të akorduara sipas pikës 1 të këtij vendimi shoqërisë “CEZ Shpërndarje”.</w:t>
      </w:r>
    </w:p>
    <w:p w:rsidR="00C87DD1" w:rsidRPr="0076656D" w:rsidRDefault="00C87DD1" w:rsidP="00C87DD1">
      <w:pPr>
        <w:pStyle w:val="Paragrafi"/>
      </w:pPr>
      <w:r w:rsidRPr="0076656D">
        <w:t>Çmimet për kapacitet sipas kufijve përkatës</w:t>
      </w:r>
      <w:r w:rsidR="000F2287">
        <w:t>,</w:t>
      </w:r>
      <w:r w:rsidRPr="0076656D">
        <w:t xml:space="preserve"> në përfundim të ankandit rezultuan të ndryshëm nga çmimet e përcaktuara në ankandin vjetor të zhvilluara nga OST, duke vendosur subjektet e përcaktuara në vendimin</w:t>
      </w:r>
      <w:r w:rsidR="000F2287">
        <w:t xml:space="preserve"> nr.</w:t>
      </w:r>
      <w:r w:rsidRPr="0076656D">
        <w:t xml:space="preserve"> 114, datë 22.8.2012 (furnizuesit e kualifikuar) në k</w:t>
      </w:r>
      <w:r w:rsidR="000F2287">
        <w:t>ushtet e pabarazisë me pjesëtarë</w:t>
      </w:r>
      <w:r w:rsidRPr="0076656D">
        <w:t>t e tjerë të tregut që ju alokuan kapacitet sipas ankandit të zhvilluar nga OST për muajin shtator 2012.</w:t>
      </w:r>
    </w:p>
    <w:p w:rsidR="00C87DD1" w:rsidRPr="0076656D" w:rsidRDefault="00C87DD1" w:rsidP="00C87DD1">
      <w:pPr>
        <w:pStyle w:val="Paragrafi"/>
      </w:pPr>
      <w:r w:rsidRPr="0076656D">
        <w:t>Vendimi</w:t>
      </w:r>
      <w:r w:rsidR="000F2287">
        <w:t xml:space="preserve"> nr.</w:t>
      </w:r>
      <w:r w:rsidRPr="0076656D">
        <w:t xml:space="preserve"> 114, datë 22.8.2012 reflektonte parimin e barazisë në alokimin e kapaciteteve dhe pagesës përkatëse ndërmjet pjesëtareve të tregut.</w:t>
      </w:r>
    </w:p>
    <w:p w:rsidR="00C87DD1" w:rsidRPr="0076656D" w:rsidRDefault="00C87DD1" w:rsidP="00C87DD1">
      <w:pPr>
        <w:pStyle w:val="Paragrafi"/>
      </w:pPr>
      <w:r w:rsidRPr="0076656D">
        <w:t>Rregullat e alokimit të kapaciteteve të interkonjeksionit të miratuara nga ERE me vendimin nr. 13, datë 22.2.2011, përcaktojnë se llogaritja e çmimit përfundimtar për kapacitet bazohet në renditjen e ofertave</w:t>
      </w:r>
      <w:r w:rsidR="000F2287">
        <w:t>,</w:t>
      </w:r>
      <w:r w:rsidRPr="0076656D">
        <w:t xml:space="preserve"> duke filluar nga çmimi më i lartë për të përfunduar me çmimin më të ulët. </w:t>
      </w:r>
    </w:p>
    <w:p w:rsidR="00C87DD1" w:rsidRPr="0076656D" w:rsidRDefault="00C87DD1" w:rsidP="00C87DD1">
      <w:pPr>
        <w:pStyle w:val="Paragrafi"/>
      </w:pPr>
      <w:r w:rsidRPr="0076656D">
        <w:t xml:space="preserve">Për sa më sipër, Bordi i Komisionerëve </w:t>
      </w:r>
    </w:p>
    <w:p w:rsidR="00C87DD1" w:rsidRPr="0076656D" w:rsidRDefault="00C87DD1" w:rsidP="00C87DD1">
      <w:pPr>
        <w:pStyle w:val="Paragrafi"/>
      </w:pPr>
    </w:p>
    <w:p w:rsidR="00C87DD1" w:rsidRPr="0076656D" w:rsidRDefault="00C87DD1" w:rsidP="00C87DD1">
      <w:pPr>
        <w:pStyle w:val="Paragrafi"/>
        <w:jc w:val="center"/>
      </w:pPr>
      <w:r w:rsidRPr="0076656D">
        <w:t>VENDOSI:</w:t>
      </w:r>
    </w:p>
    <w:p w:rsidR="00C87DD1" w:rsidRPr="0076656D" w:rsidRDefault="00C87DD1" w:rsidP="00C87DD1">
      <w:pPr>
        <w:pStyle w:val="Paragrafi"/>
      </w:pPr>
    </w:p>
    <w:p w:rsidR="00C87DD1" w:rsidRPr="0076656D" w:rsidRDefault="001769C0" w:rsidP="00C87DD1">
      <w:pPr>
        <w:pStyle w:val="Paragrafi"/>
      </w:pPr>
      <w:r w:rsidRPr="0076656D">
        <w:t xml:space="preserve">1. </w:t>
      </w:r>
      <w:r w:rsidR="00C87DD1" w:rsidRPr="0076656D">
        <w:t>Subjektet e përcaktuara sipas detyrimeve në pikën 3 të vendimit nr. 114, datë 22.8.2012, do t’i paguajnë OST për kapacitetet e interkonjeksionit, sipas rezultateve dhe drejtim</w:t>
      </w:r>
      <w:r w:rsidR="005E605B">
        <w:t xml:space="preserve">eve të përcaktuara në ankandin </w:t>
      </w:r>
      <w:r w:rsidR="00C87DD1" w:rsidRPr="0076656D">
        <w:t>e zhvilluar në datën 29.8.2012, nga OST, për muajin shtator 2012.</w:t>
      </w:r>
    </w:p>
    <w:p w:rsidR="00C87DD1" w:rsidRPr="0076656D" w:rsidRDefault="001769C0" w:rsidP="00C87DD1">
      <w:pPr>
        <w:pStyle w:val="Paragrafi"/>
      </w:pPr>
      <w:r w:rsidRPr="0076656D">
        <w:t xml:space="preserve">2. </w:t>
      </w:r>
      <w:r w:rsidR="00C87DD1" w:rsidRPr="0076656D">
        <w:t xml:space="preserve">Drejtoria Juridike dhe </w:t>
      </w:r>
      <w:r w:rsidR="000F2287">
        <w:t xml:space="preserve">e </w:t>
      </w:r>
      <w:r w:rsidR="00C87DD1" w:rsidRPr="0076656D">
        <w:t xml:space="preserve">Mbrojtjes së Konsumatorit të njoftojë për këtë vendim të Bordit të Komisionerëve, shoqëritë OST sh.a., GSA sh.p.k., dhe “Rudnap Energy Tirana” sh.p.k. që preken nga ky vendim. </w:t>
      </w:r>
    </w:p>
    <w:p w:rsidR="00C87DD1" w:rsidRPr="0076656D" w:rsidRDefault="00C87DD1" w:rsidP="00C87DD1">
      <w:pPr>
        <w:pStyle w:val="Paragrafi"/>
      </w:pPr>
      <w:r w:rsidRPr="0076656D">
        <w:t xml:space="preserve">Ky vendim hyn në fuqi menjëherë. </w:t>
      </w:r>
    </w:p>
    <w:p w:rsidR="00C87DD1" w:rsidRPr="0076656D" w:rsidRDefault="00C87DD1" w:rsidP="00C87DD1">
      <w:pPr>
        <w:pStyle w:val="Paragrafi"/>
      </w:pPr>
      <w:r w:rsidRPr="0076656D">
        <w:t>Ky vendim botohet në Fletoren Zyrtare.</w:t>
      </w:r>
    </w:p>
    <w:p w:rsidR="00C87DD1" w:rsidRPr="0076656D" w:rsidRDefault="00C87DD1" w:rsidP="00C87DD1">
      <w:pPr>
        <w:pStyle w:val="Paragrafi"/>
      </w:pPr>
      <w:r w:rsidRPr="0076656D">
        <w:tab/>
      </w:r>
    </w:p>
    <w:p w:rsidR="00C87DD1" w:rsidRPr="0076656D" w:rsidRDefault="00C87DD1" w:rsidP="00C87DD1">
      <w:pPr>
        <w:pStyle w:val="Paragrafi"/>
        <w:jc w:val="right"/>
      </w:pPr>
      <w:r w:rsidRPr="0076656D">
        <w:t>KRYETARI</w:t>
      </w:r>
    </w:p>
    <w:p w:rsidR="00C87DD1" w:rsidRPr="0076656D" w:rsidRDefault="00C87DD1" w:rsidP="00C87DD1">
      <w:pPr>
        <w:pStyle w:val="Paragrafi"/>
        <w:jc w:val="right"/>
        <w:rPr>
          <w:b/>
        </w:rPr>
      </w:pPr>
      <w:r w:rsidRPr="0076656D">
        <w:rPr>
          <w:b/>
        </w:rPr>
        <w:t>Sokol Ramadani</w:t>
      </w:r>
    </w:p>
    <w:p w:rsidR="00C87DD1" w:rsidRPr="0076656D" w:rsidRDefault="00C87DD1" w:rsidP="00C87DD1">
      <w:pPr>
        <w:pStyle w:val="Paragrafi"/>
      </w:pPr>
    </w:p>
    <w:p w:rsidR="00AC76A2" w:rsidRPr="0076656D" w:rsidRDefault="00AC76A2" w:rsidP="00B725DB">
      <w:pPr>
        <w:pStyle w:val="Paragrafi"/>
      </w:pPr>
    </w:p>
    <w:p w:rsidR="00E766C1" w:rsidRPr="0076656D" w:rsidRDefault="00E766C1" w:rsidP="00B725DB">
      <w:pPr>
        <w:pStyle w:val="Paragrafi"/>
      </w:pPr>
    </w:p>
    <w:p w:rsidR="00AC76A2" w:rsidRPr="0076656D" w:rsidRDefault="00AC76A2" w:rsidP="00CA279F">
      <w:pPr>
        <w:pStyle w:val="Paragrafi"/>
        <w:ind w:firstLine="0"/>
        <w:jc w:val="center"/>
      </w:pPr>
    </w:p>
    <w:p w:rsidR="00AC76A2" w:rsidRPr="0076656D" w:rsidRDefault="00AC76A2" w:rsidP="00B725DB">
      <w:pPr>
        <w:pStyle w:val="Paragrafi"/>
      </w:pPr>
    </w:p>
    <w:p w:rsidR="002D1A38" w:rsidRPr="0076656D" w:rsidRDefault="002D1A38" w:rsidP="00B725DB">
      <w:pPr>
        <w:pStyle w:val="Paragrafi"/>
        <w:rPr>
          <w:noProof/>
          <w:lang w:val="sq-AL"/>
        </w:rPr>
      </w:pPr>
    </w:p>
    <w:p w:rsidR="00881FAA" w:rsidRPr="0076656D" w:rsidRDefault="00881FAA" w:rsidP="00670723">
      <w:pPr>
        <w:pStyle w:val="Paragrafi"/>
        <w:ind w:firstLine="0"/>
        <w:rPr>
          <w:noProof/>
          <w:lang w:val="sq-AL"/>
        </w:rPr>
      </w:pPr>
    </w:p>
    <w:p w:rsidR="00881FAA" w:rsidRPr="0076656D" w:rsidRDefault="00881FAA" w:rsidP="00527985">
      <w:pPr>
        <w:pStyle w:val="Paragrafi"/>
        <w:jc w:val="center"/>
        <w:rPr>
          <w:noProof/>
          <w:lang w:val="sq-AL"/>
        </w:rPr>
      </w:pPr>
    </w:p>
    <w:p w:rsidR="00881FAA" w:rsidRPr="0076656D" w:rsidRDefault="00881FAA" w:rsidP="00B725DB">
      <w:pPr>
        <w:pStyle w:val="Paragrafi"/>
        <w:rPr>
          <w:noProof/>
          <w:lang w:val="sq-AL"/>
        </w:rPr>
      </w:pPr>
    </w:p>
    <w:p w:rsidR="00881FAA" w:rsidRPr="0076656D" w:rsidRDefault="00881FAA" w:rsidP="00B725DB">
      <w:pPr>
        <w:pStyle w:val="Paragrafi"/>
        <w:rPr>
          <w:noProof/>
          <w:lang w:val="sq-AL"/>
        </w:rPr>
      </w:pPr>
    </w:p>
    <w:p w:rsidR="00881FAA" w:rsidRPr="0076656D" w:rsidRDefault="00881FAA" w:rsidP="00B725DB">
      <w:pPr>
        <w:pStyle w:val="Paragrafi"/>
        <w:rPr>
          <w:noProof/>
          <w:lang w:val="sq-AL"/>
        </w:rPr>
      </w:pPr>
    </w:p>
    <w:p w:rsidR="00881FAA" w:rsidRPr="0076656D" w:rsidRDefault="00881FAA" w:rsidP="00B725DB">
      <w:pPr>
        <w:pStyle w:val="Paragrafi"/>
        <w:rPr>
          <w:noProof/>
          <w:lang w:val="sq-AL"/>
        </w:rPr>
      </w:pPr>
    </w:p>
    <w:p w:rsidR="00881FAA" w:rsidRPr="0076656D" w:rsidRDefault="00881FAA" w:rsidP="00B725DB">
      <w:pPr>
        <w:pStyle w:val="Paragrafi"/>
        <w:rPr>
          <w:noProof/>
          <w:lang w:val="sq-AL"/>
        </w:rPr>
      </w:pPr>
    </w:p>
    <w:p w:rsidR="00881FAA" w:rsidRPr="0076656D" w:rsidRDefault="00881FAA" w:rsidP="00B725DB">
      <w:pPr>
        <w:pStyle w:val="Paragrafi"/>
        <w:rPr>
          <w:noProof/>
          <w:lang w:val="sq-AL"/>
        </w:rPr>
      </w:pPr>
    </w:p>
    <w:p w:rsidR="00881FAA" w:rsidRPr="0076656D" w:rsidRDefault="00881FAA" w:rsidP="00B725DB">
      <w:pPr>
        <w:pStyle w:val="Paragrafi"/>
        <w:rPr>
          <w:noProof/>
          <w:lang w:val="sq-AL"/>
        </w:rPr>
      </w:pPr>
    </w:p>
    <w:p w:rsidR="00881FAA" w:rsidRPr="0076656D" w:rsidRDefault="00881FAA" w:rsidP="00B725DB">
      <w:pPr>
        <w:pStyle w:val="Paragrafi"/>
        <w:rPr>
          <w:noProof/>
          <w:lang w:val="sq-AL"/>
        </w:rPr>
      </w:pPr>
    </w:p>
    <w:p w:rsidR="00881FAA" w:rsidRPr="0076656D" w:rsidRDefault="00881FAA" w:rsidP="00B725DB">
      <w:pPr>
        <w:pStyle w:val="Paragrafi"/>
        <w:rPr>
          <w:noProof/>
          <w:lang w:val="sq-AL"/>
        </w:rPr>
      </w:pPr>
    </w:p>
    <w:p w:rsidR="00881FAA" w:rsidRPr="0076656D" w:rsidRDefault="00881FAA" w:rsidP="00B725DB">
      <w:pPr>
        <w:pStyle w:val="Paragrafi"/>
        <w:rPr>
          <w:noProof/>
          <w:lang w:val="sq-AL"/>
        </w:rPr>
      </w:pPr>
    </w:p>
    <w:p w:rsidR="00881FAA" w:rsidRPr="0076656D" w:rsidRDefault="00881FAA" w:rsidP="00B725DB">
      <w:pPr>
        <w:pStyle w:val="Paragrafi"/>
        <w:rPr>
          <w:noProof/>
          <w:lang w:val="sq-AL"/>
        </w:rPr>
      </w:pPr>
    </w:p>
    <w:p w:rsidR="00881FAA" w:rsidRPr="0076656D" w:rsidRDefault="00881FAA" w:rsidP="00881FAA">
      <w:pPr>
        <w:pStyle w:val="Paragrafi"/>
        <w:ind w:firstLine="0"/>
        <w:jc w:val="center"/>
        <w:rPr>
          <w:noProof/>
          <w:lang w:val="sq-AL"/>
        </w:rPr>
      </w:pPr>
    </w:p>
    <w:p w:rsidR="00AC76A2" w:rsidRPr="0076656D" w:rsidRDefault="00AC76A2" w:rsidP="00B725DB">
      <w:pPr>
        <w:pStyle w:val="Paragrafi"/>
        <w:rPr>
          <w:noProof/>
          <w:lang w:val="sq-AL"/>
        </w:rPr>
      </w:pPr>
    </w:p>
    <w:p w:rsidR="00AC76A2" w:rsidRPr="0076656D" w:rsidRDefault="00AC76A2" w:rsidP="00881FAA">
      <w:pPr>
        <w:pStyle w:val="Paragrafi"/>
        <w:ind w:firstLine="0"/>
      </w:pPr>
    </w:p>
    <w:p w:rsidR="00687038" w:rsidRPr="0076656D" w:rsidRDefault="00687038" w:rsidP="00881FAA">
      <w:pPr>
        <w:pStyle w:val="Paragrafi"/>
        <w:ind w:firstLine="0"/>
      </w:pPr>
    </w:p>
    <w:p w:rsidR="00687038" w:rsidRPr="0076656D" w:rsidRDefault="00687038" w:rsidP="00881FAA">
      <w:pPr>
        <w:pStyle w:val="Paragrafi"/>
        <w:ind w:firstLine="0"/>
      </w:pPr>
    </w:p>
    <w:p w:rsidR="00687038" w:rsidRPr="0076656D" w:rsidRDefault="00687038" w:rsidP="00881FAA">
      <w:pPr>
        <w:pStyle w:val="Paragrafi"/>
        <w:ind w:firstLine="0"/>
      </w:pPr>
    </w:p>
    <w:p w:rsidR="00687038" w:rsidRPr="0076656D" w:rsidRDefault="00687038" w:rsidP="00881FAA">
      <w:pPr>
        <w:pStyle w:val="Paragrafi"/>
        <w:ind w:firstLine="0"/>
      </w:pPr>
    </w:p>
    <w:p w:rsidR="00687038" w:rsidRPr="0076656D" w:rsidRDefault="00687038" w:rsidP="00881FAA">
      <w:pPr>
        <w:pStyle w:val="Paragrafi"/>
        <w:ind w:firstLine="0"/>
      </w:pPr>
    </w:p>
    <w:p w:rsidR="00AC76A2" w:rsidRPr="0076656D" w:rsidRDefault="00AC76A2" w:rsidP="00521C6C">
      <w:pPr>
        <w:pStyle w:val="Paragrafi"/>
        <w:rPr>
          <w:lang w:val="sq-AL"/>
        </w:rPr>
      </w:pPr>
    </w:p>
    <w:p w:rsidR="00CF69A6" w:rsidRPr="0076656D" w:rsidRDefault="00CF69A6" w:rsidP="00521C6C">
      <w:pPr>
        <w:pStyle w:val="Paragrafi"/>
        <w:rPr>
          <w:lang w:val="sq-AL"/>
        </w:rPr>
      </w:pPr>
    </w:p>
    <w:p w:rsidR="00CF69A6" w:rsidRPr="0076656D" w:rsidRDefault="00CF69A6" w:rsidP="00521C6C">
      <w:pPr>
        <w:pStyle w:val="Paragrafi"/>
        <w:rPr>
          <w:lang w:val="sq-AL"/>
        </w:rPr>
      </w:pPr>
    </w:p>
    <w:p w:rsidR="00CF69A6" w:rsidRPr="0076656D" w:rsidRDefault="00CF69A6" w:rsidP="00521C6C">
      <w:pPr>
        <w:pStyle w:val="Paragrafi"/>
        <w:rPr>
          <w:lang w:val="sq-AL"/>
        </w:rPr>
      </w:pPr>
    </w:p>
    <w:p w:rsidR="00CF69A6" w:rsidRPr="0076656D" w:rsidRDefault="00CF69A6" w:rsidP="00521C6C">
      <w:pPr>
        <w:pStyle w:val="Paragrafi"/>
        <w:rPr>
          <w:lang w:val="sq-AL"/>
        </w:rPr>
      </w:pPr>
    </w:p>
    <w:p w:rsidR="00CF69A6" w:rsidRPr="0076656D" w:rsidRDefault="00CF69A6" w:rsidP="00521C6C">
      <w:pPr>
        <w:pStyle w:val="Paragrafi"/>
        <w:rPr>
          <w:lang w:val="sq-AL"/>
        </w:rPr>
      </w:pPr>
    </w:p>
    <w:p w:rsidR="00CF69A6" w:rsidRPr="0076656D" w:rsidRDefault="00CF69A6" w:rsidP="00521C6C">
      <w:pPr>
        <w:pStyle w:val="Paragrafi"/>
        <w:rPr>
          <w:lang w:val="sq-AL"/>
        </w:rPr>
      </w:pPr>
    </w:p>
    <w:p w:rsidR="00CF69A6" w:rsidRPr="0076656D" w:rsidRDefault="00CF69A6" w:rsidP="00521C6C">
      <w:pPr>
        <w:pStyle w:val="Paragrafi"/>
        <w:rPr>
          <w:lang w:val="sq-AL"/>
        </w:rPr>
      </w:pPr>
    </w:p>
    <w:p w:rsidR="00CF69A6" w:rsidRPr="0076656D" w:rsidRDefault="00CF69A6" w:rsidP="00521C6C">
      <w:pPr>
        <w:pStyle w:val="Paragrafi"/>
        <w:rPr>
          <w:lang w:val="sq-AL"/>
        </w:rPr>
      </w:pPr>
    </w:p>
    <w:p w:rsidR="00CF69A6" w:rsidRPr="0076656D" w:rsidRDefault="00CF69A6" w:rsidP="00521C6C">
      <w:pPr>
        <w:pStyle w:val="Paragrafi"/>
        <w:rPr>
          <w:lang w:val="sq-AL"/>
        </w:rPr>
      </w:pPr>
    </w:p>
    <w:p w:rsidR="00CF69A6" w:rsidRPr="0076656D" w:rsidRDefault="00CF69A6" w:rsidP="00521C6C">
      <w:pPr>
        <w:pStyle w:val="Paragrafi"/>
        <w:rPr>
          <w:lang w:val="sq-AL"/>
        </w:rPr>
      </w:pPr>
    </w:p>
    <w:p w:rsidR="00CF69A6" w:rsidRPr="0076656D" w:rsidRDefault="00CF69A6" w:rsidP="00521C6C">
      <w:pPr>
        <w:pStyle w:val="Paragrafi"/>
        <w:rPr>
          <w:lang w:val="sq-AL"/>
        </w:rPr>
      </w:pPr>
    </w:p>
    <w:p w:rsidR="00CF69A6" w:rsidRPr="0076656D" w:rsidRDefault="00CF69A6" w:rsidP="00521C6C">
      <w:pPr>
        <w:pStyle w:val="Paragrafi"/>
        <w:rPr>
          <w:lang w:val="sq-AL"/>
        </w:rPr>
      </w:pPr>
    </w:p>
    <w:p w:rsidR="00CF69A6" w:rsidRPr="0076656D" w:rsidRDefault="00CF69A6" w:rsidP="00521C6C">
      <w:pPr>
        <w:pStyle w:val="Paragrafi"/>
        <w:rPr>
          <w:lang w:val="sq-AL"/>
        </w:rPr>
      </w:pPr>
    </w:p>
    <w:p w:rsidR="00CF69A6" w:rsidRPr="0076656D" w:rsidRDefault="00CF69A6" w:rsidP="00521C6C">
      <w:pPr>
        <w:pStyle w:val="Paragrafi"/>
        <w:rPr>
          <w:lang w:val="sq-AL"/>
        </w:rPr>
      </w:pPr>
    </w:p>
    <w:p w:rsidR="00CF69A6" w:rsidRPr="0076656D" w:rsidRDefault="00CF69A6" w:rsidP="00521C6C">
      <w:pPr>
        <w:pStyle w:val="Paragrafi"/>
        <w:rPr>
          <w:lang w:val="sq-AL"/>
        </w:rPr>
      </w:pPr>
    </w:p>
    <w:p w:rsidR="00CF69A6" w:rsidRPr="0076656D" w:rsidRDefault="00CF69A6" w:rsidP="00521C6C">
      <w:pPr>
        <w:pStyle w:val="Paragrafi"/>
        <w:rPr>
          <w:lang w:val="sq-AL"/>
        </w:rPr>
      </w:pPr>
    </w:p>
    <w:p w:rsidR="00CF69A6" w:rsidRPr="0076656D" w:rsidRDefault="00CF69A6" w:rsidP="00521C6C">
      <w:pPr>
        <w:pStyle w:val="Paragrafi"/>
        <w:rPr>
          <w:lang w:val="sq-AL"/>
        </w:rPr>
      </w:pPr>
    </w:p>
    <w:p w:rsidR="00CF69A6" w:rsidRPr="0076656D" w:rsidRDefault="00CF69A6" w:rsidP="00521C6C">
      <w:pPr>
        <w:pStyle w:val="Paragrafi"/>
        <w:rPr>
          <w:lang w:val="sq-AL"/>
        </w:rPr>
      </w:pPr>
    </w:p>
    <w:p w:rsidR="00CF69A6" w:rsidRPr="0076656D" w:rsidRDefault="00CF69A6" w:rsidP="00521C6C">
      <w:pPr>
        <w:pStyle w:val="Paragrafi"/>
        <w:rPr>
          <w:lang w:val="sq-AL"/>
        </w:rPr>
      </w:pPr>
    </w:p>
    <w:p w:rsidR="00CF69A6" w:rsidRPr="0076656D" w:rsidRDefault="00CF69A6" w:rsidP="00521C6C">
      <w:pPr>
        <w:pStyle w:val="Paragrafi"/>
        <w:rPr>
          <w:lang w:val="sq-AL"/>
        </w:rPr>
      </w:pPr>
    </w:p>
    <w:p w:rsidR="00CF69A6" w:rsidRPr="0076656D" w:rsidRDefault="00CF69A6" w:rsidP="00521C6C">
      <w:pPr>
        <w:pStyle w:val="Paragrafi"/>
        <w:rPr>
          <w:lang w:val="sq-AL"/>
        </w:rPr>
      </w:pPr>
    </w:p>
    <w:p w:rsidR="00CF69A6" w:rsidRPr="0076656D" w:rsidRDefault="00CF69A6" w:rsidP="00521C6C">
      <w:pPr>
        <w:pStyle w:val="Paragrafi"/>
        <w:rPr>
          <w:lang w:val="sq-AL"/>
        </w:rPr>
      </w:pPr>
    </w:p>
    <w:p w:rsidR="00CF69A6" w:rsidRPr="0076656D" w:rsidRDefault="00CF69A6" w:rsidP="00521C6C">
      <w:pPr>
        <w:pStyle w:val="Paragrafi"/>
        <w:rPr>
          <w:lang w:val="sq-AL"/>
        </w:rPr>
      </w:pPr>
    </w:p>
    <w:p w:rsidR="00CF69A6" w:rsidRPr="0076656D" w:rsidRDefault="00CF69A6" w:rsidP="00521C6C">
      <w:pPr>
        <w:pStyle w:val="Paragrafi"/>
        <w:rPr>
          <w:lang w:val="sq-AL"/>
        </w:rPr>
      </w:pPr>
    </w:p>
    <w:p w:rsidR="00CF69A6" w:rsidRPr="0076656D" w:rsidRDefault="00CF69A6" w:rsidP="00521C6C">
      <w:pPr>
        <w:pStyle w:val="Paragrafi"/>
        <w:rPr>
          <w:lang w:val="sq-AL"/>
        </w:rPr>
      </w:pPr>
    </w:p>
    <w:p w:rsidR="00CF69A6" w:rsidRPr="0076656D" w:rsidRDefault="00CF69A6" w:rsidP="00521C6C">
      <w:pPr>
        <w:pStyle w:val="Paragrafi"/>
        <w:rPr>
          <w:lang w:val="sq-AL"/>
        </w:rPr>
      </w:pPr>
    </w:p>
    <w:p w:rsidR="00CF69A6" w:rsidRPr="0076656D" w:rsidRDefault="00CF69A6" w:rsidP="00521C6C">
      <w:pPr>
        <w:pStyle w:val="Paragrafi"/>
        <w:rPr>
          <w:lang w:val="sq-AL"/>
        </w:rPr>
      </w:pPr>
    </w:p>
    <w:p w:rsidR="00CF69A6" w:rsidRPr="0076656D" w:rsidRDefault="00CF69A6" w:rsidP="00521C6C">
      <w:pPr>
        <w:pStyle w:val="Paragrafi"/>
        <w:rPr>
          <w:lang w:val="sq-AL"/>
        </w:rPr>
      </w:pPr>
    </w:p>
    <w:p w:rsidR="00CF69A6" w:rsidRPr="0076656D" w:rsidRDefault="00CF69A6" w:rsidP="00521C6C">
      <w:pPr>
        <w:pStyle w:val="Paragrafi"/>
        <w:rPr>
          <w:lang w:val="sq-AL"/>
        </w:rPr>
      </w:pPr>
    </w:p>
    <w:p w:rsidR="00CF69A6" w:rsidRPr="0076656D" w:rsidRDefault="00CF69A6" w:rsidP="00521C6C">
      <w:pPr>
        <w:pStyle w:val="Paragrafi"/>
        <w:rPr>
          <w:lang w:val="sq-AL"/>
        </w:rPr>
      </w:pPr>
    </w:p>
    <w:p w:rsidR="00CF69A6" w:rsidRPr="0076656D" w:rsidRDefault="00CF69A6" w:rsidP="00521C6C">
      <w:pPr>
        <w:pStyle w:val="Paragrafi"/>
        <w:rPr>
          <w:lang w:val="sq-AL"/>
        </w:rPr>
      </w:pPr>
    </w:p>
    <w:p w:rsidR="00CF69A6" w:rsidRPr="0076656D" w:rsidRDefault="00CF69A6" w:rsidP="00521C6C">
      <w:pPr>
        <w:pStyle w:val="Paragrafi"/>
        <w:rPr>
          <w:lang w:val="sq-AL"/>
        </w:rPr>
      </w:pPr>
    </w:p>
    <w:p w:rsidR="00CF69A6" w:rsidRPr="0076656D" w:rsidRDefault="00CF69A6" w:rsidP="00521C6C">
      <w:pPr>
        <w:pStyle w:val="Paragrafi"/>
        <w:rPr>
          <w:lang w:val="sq-AL"/>
        </w:rPr>
      </w:pPr>
    </w:p>
    <w:p w:rsidR="00CF69A6" w:rsidRPr="0076656D" w:rsidRDefault="00CF69A6" w:rsidP="00521C6C">
      <w:pPr>
        <w:pStyle w:val="Paragrafi"/>
        <w:rPr>
          <w:lang w:val="sq-AL"/>
        </w:rPr>
      </w:pPr>
    </w:p>
    <w:p w:rsidR="00CF69A6" w:rsidRPr="0076656D" w:rsidRDefault="00CF69A6" w:rsidP="00521C6C">
      <w:pPr>
        <w:pStyle w:val="Paragrafi"/>
        <w:rPr>
          <w:lang w:val="sq-AL"/>
        </w:rPr>
      </w:pPr>
    </w:p>
    <w:p w:rsidR="00CF69A6" w:rsidRPr="0076656D" w:rsidRDefault="00CF69A6" w:rsidP="00521C6C">
      <w:pPr>
        <w:pStyle w:val="Paragrafi"/>
        <w:rPr>
          <w:lang w:val="sq-AL"/>
        </w:rPr>
      </w:pPr>
    </w:p>
    <w:p w:rsidR="00CF69A6" w:rsidRPr="0076656D" w:rsidRDefault="00CF69A6" w:rsidP="00521C6C">
      <w:pPr>
        <w:pStyle w:val="Paragrafi"/>
        <w:rPr>
          <w:lang w:val="sq-AL"/>
        </w:rPr>
      </w:pPr>
    </w:p>
    <w:p w:rsidR="00CF69A6" w:rsidRPr="0076656D" w:rsidRDefault="00CF69A6" w:rsidP="00521C6C">
      <w:pPr>
        <w:pStyle w:val="Paragrafi"/>
        <w:rPr>
          <w:lang w:val="sq-AL"/>
        </w:rPr>
      </w:pPr>
    </w:p>
    <w:p w:rsidR="00CF69A6" w:rsidRPr="0076656D" w:rsidRDefault="00CF69A6" w:rsidP="00521C6C">
      <w:pPr>
        <w:pStyle w:val="Paragrafi"/>
        <w:rPr>
          <w:lang w:val="sq-AL"/>
        </w:rPr>
      </w:pPr>
    </w:p>
    <w:p w:rsidR="00CF69A6" w:rsidRPr="0076656D" w:rsidRDefault="00CF69A6" w:rsidP="00521C6C">
      <w:pPr>
        <w:pStyle w:val="Paragrafi"/>
        <w:rPr>
          <w:lang w:val="sq-AL"/>
        </w:rPr>
      </w:pPr>
    </w:p>
    <w:p w:rsidR="00CF69A6" w:rsidRPr="0076656D" w:rsidRDefault="00CF69A6" w:rsidP="00521C6C">
      <w:pPr>
        <w:pStyle w:val="Paragrafi"/>
        <w:rPr>
          <w:lang w:val="sq-AL"/>
        </w:rPr>
      </w:pPr>
    </w:p>
    <w:p w:rsidR="00CF69A6" w:rsidRPr="0076656D" w:rsidRDefault="00CF69A6" w:rsidP="00521C6C">
      <w:pPr>
        <w:pStyle w:val="Paragrafi"/>
        <w:rPr>
          <w:lang w:val="sq-AL"/>
        </w:rPr>
      </w:pPr>
    </w:p>
    <w:p w:rsidR="00CF69A6" w:rsidRPr="0076656D" w:rsidRDefault="00CF69A6" w:rsidP="00521C6C">
      <w:pPr>
        <w:pStyle w:val="Paragrafi"/>
        <w:rPr>
          <w:lang w:val="sq-AL"/>
        </w:rPr>
      </w:pPr>
    </w:p>
    <w:p w:rsidR="00CF69A6" w:rsidRPr="0076656D" w:rsidRDefault="00CF69A6" w:rsidP="00521C6C">
      <w:pPr>
        <w:pStyle w:val="Paragrafi"/>
        <w:rPr>
          <w:lang w:val="sq-AL"/>
        </w:rPr>
      </w:pPr>
    </w:p>
    <w:p w:rsidR="00CF69A6" w:rsidRPr="0076656D" w:rsidRDefault="00CF69A6" w:rsidP="00521C6C">
      <w:pPr>
        <w:pStyle w:val="Paragrafi"/>
        <w:rPr>
          <w:lang w:val="sq-AL"/>
        </w:rPr>
      </w:pPr>
    </w:p>
    <w:p w:rsidR="00CF69A6" w:rsidRPr="0076656D" w:rsidRDefault="00CF69A6" w:rsidP="00521C6C">
      <w:pPr>
        <w:pStyle w:val="Paragrafi"/>
        <w:rPr>
          <w:lang w:val="sq-AL"/>
        </w:rPr>
      </w:pPr>
    </w:p>
    <w:p w:rsidR="00CF69A6" w:rsidRPr="0076656D" w:rsidRDefault="00CF69A6" w:rsidP="00521C6C">
      <w:pPr>
        <w:pStyle w:val="Paragrafi"/>
        <w:rPr>
          <w:lang w:val="sq-AL"/>
        </w:rPr>
      </w:pPr>
    </w:p>
    <w:p w:rsidR="00CF69A6" w:rsidRPr="0076656D" w:rsidRDefault="00CF69A6" w:rsidP="00521C6C">
      <w:pPr>
        <w:pStyle w:val="Paragrafi"/>
        <w:rPr>
          <w:lang w:val="sq-AL"/>
        </w:rPr>
      </w:pPr>
    </w:p>
    <w:p w:rsidR="00CF69A6" w:rsidRPr="0076656D" w:rsidRDefault="00CF69A6" w:rsidP="00521C6C">
      <w:pPr>
        <w:pStyle w:val="Paragrafi"/>
        <w:rPr>
          <w:lang w:val="sq-AL"/>
        </w:rPr>
      </w:pPr>
    </w:p>
    <w:p w:rsidR="00CF69A6" w:rsidRPr="0076656D" w:rsidRDefault="00CF69A6" w:rsidP="00521C6C">
      <w:pPr>
        <w:pStyle w:val="Paragrafi"/>
        <w:rPr>
          <w:lang w:val="sq-AL"/>
        </w:rPr>
      </w:pPr>
    </w:p>
    <w:p w:rsidR="00CF69A6" w:rsidRPr="0076656D" w:rsidRDefault="00CF69A6" w:rsidP="00521C6C">
      <w:pPr>
        <w:pStyle w:val="Paragrafi"/>
        <w:rPr>
          <w:lang w:val="sq-AL"/>
        </w:rPr>
        <w:sectPr w:rsidR="00CF69A6" w:rsidRPr="0076656D" w:rsidSect="0076656D">
          <w:headerReference w:type="even" r:id="rId8"/>
          <w:headerReference w:type="default" r:id="rId9"/>
          <w:footerReference w:type="even" r:id="rId10"/>
          <w:footerReference w:type="default" r:id="rId11"/>
          <w:pgSz w:w="11907" w:h="16840" w:code="9"/>
          <w:pgMar w:top="1418" w:right="1418" w:bottom="1418" w:left="1418" w:header="1588" w:footer="1134" w:gutter="0"/>
          <w:pgNumType w:start="7105"/>
          <w:cols w:space="720"/>
          <w:docGrid w:linePitch="360"/>
        </w:sectPr>
      </w:pPr>
    </w:p>
    <w:p w:rsidR="00E766C1" w:rsidRPr="0076656D" w:rsidRDefault="00E766C1" w:rsidP="00521C6C">
      <w:pPr>
        <w:pStyle w:val="Paragrafi"/>
        <w:rPr>
          <w:lang w:val="sq-AL"/>
        </w:rPr>
      </w:pPr>
    </w:p>
    <w:p w:rsidR="00AC76A2" w:rsidRPr="0076656D" w:rsidRDefault="00AC76A2" w:rsidP="00521C6C">
      <w:pPr>
        <w:pStyle w:val="Paragrafi"/>
        <w:rPr>
          <w:lang w:val="sq-AL"/>
        </w:rPr>
      </w:pPr>
    </w:p>
    <w:p w:rsidR="007B3A4C" w:rsidRPr="0076656D" w:rsidRDefault="007B3A4C" w:rsidP="00521C6C">
      <w:pPr>
        <w:pStyle w:val="Paragrafi"/>
        <w:rPr>
          <w:lang w:val="sq-AL"/>
        </w:rPr>
      </w:pPr>
    </w:p>
    <w:p w:rsidR="00E766C1" w:rsidRPr="0076656D" w:rsidRDefault="00E766C1" w:rsidP="00521C6C">
      <w:pPr>
        <w:pStyle w:val="Paragrafi"/>
        <w:rPr>
          <w:lang w:val="sq-AL"/>
        </w:rPr>
      </w:pPr>
    </w:p>
    <w:p w:rsidR="00AC76A2" w:rsidRPr="0076656D" w:rsidRDefault="00AC76A2" w:rsidP="00521C6C">
      <w:pPr>
        <w:pStyle w:val="Paragrafi"/>
        <w:rPr>
          <w:lang w:val="sq-AL"/>
        </w:rPr>
      </w:pPr>
    </w:p>
    <w:p w:rsidR="007E39B1" w:rsidRPr="0076656D" w:rsidRDefault="007E39B1" w:rsidP="00521C6C">
      <w:pPr>
        <w:pStyle w:val="Paragrafi"/>
        <w:rPr>
          <w:lang w:val="sq-AL"/>
        </w:rPr>
        <w:sectPr w:rsidR="007E39B1" w:rsidRPr="0076656D" w:rsidSect="007B3A4C">
          <w:pgSz w:w="11907" w:h="16840" w:code="9"/>
          <w:pgMar w:top="1418" w:right="1418" w:bottom="1418" w:left="1418" w:header="1588" w:footer="1134" w:gutter="0"/>
          <w:pgNumType w:start="1"/>
          <w:cols w:space="720"/>
          <w:docGrid w:linePitch="360"/>
        </w:sectPr>
      </w:pPr>
    </w:p>
    <w:p w:rsidR="00AC76A2" w:rsidRPr="0076656D" w:rsidRDefault="00AC76A2" w:rsidP="00521C6C">
      <w:pPr>
        <w:pStyle w:val="Paragrafi"/>
        <w:rPr>
          <w:lang w:val="sq-AL"/>
        </w:rPr>
      </w:pPr>
    </w:p>
    <w:p w:rsidR="00AC76A2" w:rsidRPr="0076656D" w:rsidRDefault="00AC76A2" w:rsidP="00521C6C">
      <w:pPr>
        <w:pStyle w:val="Paragrafi"/>
        <w:rPr>
          <w:lang w:val="sq-AL"/>
        </w:rPr>
      </w:pPr>
    </w:p>
    <w:p w:rsidR="00AC76A2" w:rsidRPr="0076656D" w:rsidRDefault="00AC76A2" w:rsidP="00521C6C">
      <w:pPr>
        <w:pStyle w:val="Paragrafi"/>
        <w:rPr>
          <w:lang w:val="sq-AL"/>
        </w:rPr>
      </w:pPr>
    </w:p>
    <w:p w:rsidR="00AC76A2" w:rsidRPr="0076656D" w:rsidRDefault="00AC76A2" w:rsidP="00521C6C">
      <w:pPr>
        <w:pStyle w:val="Paragrafi"/>
        <w:rPr>
          <w:lang w:val="sq-AL"/>
        </w:rPr>
      </w:pPr>
    </w:p>
    <w:p w:rsidR="00AC76A2" w:rsidRPr="0076656D" w:rsidRDefault="00AC76A2" w:rsidP="00521C6C">
      <w:pPr>
        <w:pStyle w:val="Paragrafi"/>
        <w:rPr>
          <w:lang w:val="sq-AL"/>
        </w:rPr>
      </w:pPr>
    </w:p>
    <w:p w:rsidR="00AC76A2" w:rsidRPr="0076656D" w:rsidRDefault="00AC76A2" w:rsidP="00521C6C">
      <w:pPr>
        <w:pStyle w:val="Paragrafi"/>
        <w:rPr>
          <w:lang w:val="sq-AL"/>
        </w:rPr>
      </w:pPr>
    </w:p>
    <w:p w:rsidR="00AC76A2" w:rsidRPr="0076656D" w:rsidRDefault="00AC76A2" w:rsidP="00521C6C">
      <w:pPr>
        <w:pStyle w:val="Paragrafi"/>
        <w:rPr>
          <w:lang w:val="sq-AL"/>
        </w:rPr>
      </w:pPr>
    </w:p>
    <w:p w:rsidR="00AC76A2" w:rsidRPr="0076656D" w:rsidRDefault="00AC76A2" w:rsidP="00521C6C">
      <w:pPr>
        <w:pStyle w:val="Paragrafi"/>
        <w:rPr>
          <w:lang w:val="sq-AL"/>
        </w:rPr>
      </w:pPr>
    </w:p>
    <w:p w:rsidR="00AC76A2" w:rsidRPr="0076656D" w:rsidRDefault="00AC76A2" w:rsidP="00521C6C">
      <w:pPr>
        <w:pStyle w:val="Paragrafi"/>
        <w:rPr>
          <w:lang w:val="sq-AL"/>
        </w:rPr>
      </w:pPr>
    </w:p>
    <w:p w:rsidR="00AC76A2" w:rsidRPr="0076656D" w:rsidRDefault="00AC76A2" w:rsidP="00521C6C">
      <w:pPr>
        <w:pStyle w:val="Paragrafi"/>
        <w:rPr>
          <w:lang w:val="sq-AL"/>
        </w:rPr>
      </w:pPr>
    </w:p>
    <w:p w:rsidR="00AC76A2" w:rsidRPr="0076656D" w:rsidRDefault="00AC76A2" w:rsidP="00521C6C">
      <w:pPr>
        <w:pStyle w:val="Paragrafi"/>
        <w:rPr>
          <w:lang w:val="sq-AL"/>
        </w:rPr>
      </w:pPr>
    </w:p>
    <w:p w:rsidR="00AC76A2" w:rsidRPr="0076656D" w:rsidRDefault="00AC76A2" w:rsidP="00521C6C">
      <w:pPr>
        <w:pStyle w:val="Paragrafi"/>
        <w:rPr>
          <w:lang w:val="sq-AL"/>
        </w:rPr>
      </w:pPr>
    </w:p>
    <w:p w:rsidR="00AC76A2" w:rsidRPr="0076656D" w:rsidRDefault="00AC76A2" w:rsidP="00521C6C">
      <w:pPr>
        <w:pStyle w:val="Paragrafi"/>
        <w:rPr>
          <w:lang w:val="sq-AL"/>
        </w:rPr>
      </w:pPr>
    </w:p>
    <w:p w:rsidR="00AC76A2" w:rsidRPr="0076656D" w:rsidRDefault="00AC76A2" w:rsidP="00521C6C">
      <w:pPr>
        <w:pStyle w:val="Paragrafi"/>
        <w:rPr>
          <w:lang w:val="sq-AL"/>
        </w:rPr>
      </w:pPr>
    </w:p>
    <w:p w:rsidR="00AC76A2" w:rsidRPr="0076656D" w:rsidRDefault="00AC76A2" w:rsidP="00521C6C">
      <w:pPr>
        <w:pStyle w:val="Paragrafi"/>
        <w:rPr>
          <w:lang w:val="sq-AL"/>
        </w:rPr>
      </w:pPr>
    </w:p>
    <w:p w:rsidR="00AC76A2" w:rsidRPr="0076656D" w:rsidRDefault="00AC76A2" w:rsidP="00521C6C">
      <w:pPr>
        <w:pStyle w:val="Paragrafi"/>
        <w:rPr>
          <w:lang w:val="sq-AL"/>
        </w:rPr>
      </w:pPr>
    </w:p>
    <w:p w:rsidR="00AC76A2" w:rsidRPr="0076656D" w:rsidRDefault="00AC76A2" w:rsidP="00521C6C">
      <w:pPr>
        <w:pStyle w:val="Paragrafi"/>
        <w:rPr>
          <w:lang w:val="sq-AL"/>
        </w:rPr>
      </w:pPr>
    </w:p>
    <w:p w:rsidR="00AC76A2" w:rsidRPr="0076656D" w:rsidRDefault="00AC76A2" w:rsidP="00521C6C">
      <w:pPr>
        <w:pStyle w:val="Paragrafi"/>
        <w:rPr>
          <w:lang w:val="sq-AL"/>
        </w:rPr>
      </w:pPr>
    </w:p>
    <w:p w:rsidR="00AC76A2" w:rsidRPr="0076656D" w:rsidRDefault="00AC76A2" w:rsidP="00521C6C">
      <w:pPr>
        <w:pStyle w:val="Paragrafi"/>
        <w:rPr>
          <w:lang w:val="sq-AL"/>
        </w:rPr>
      </w:pPr>
    </w:p>
    <w:p w:rsidR="00AC76A2" w:rsidRPr="0076656D" w:rsidRDefault="00AC76A2" w:rsidP="00521C6C">
      <w:pPr>
        <w:pStyle w:val="Paragrafi"/>
        <w:rPr>
          <w:lang w:val="sq-AL"/>
        </w:rPr>
      </w:pPr>
    </w:p>
    <w:p w:rsidR="00AC76A2" w:rsidRPr="0076656D" w:rsidRDefault="00AC76A2" w:rsidP="00521C6C">
      <w:pPr>
        <w:pStyle w:val="Paragrafi"/>
        <w:rPr>
          <w:lang w:val="sq-AL"/>
        </w:rPr>
      </w:pPr>
    </w:p>
    <w:p w:rsidR="00AC76A2" w:rsidRPr="0076656D" w:rsidRDefault="00AC76A2" w:rsidP="00521C6C">
      <w:pPr>
        <w:pStyle w:val="Paragrafi"/>
        <w:rPr>
          <w:lang w:val="sq-AL"/>
        </w:rPr>
      </w:pPr>
    </w:p>
    <w:p w:rsidR="00AC76A2" w:rsidRPr="0076656D" w:rsidRDefault="00AC76A2" w:rsidP="00521C6C">
      <w:pPr>
        <w:pStyle w:val="Paragrafi"/>
        <w:rPr>
          <w:lang w:val="sq-AL"/>
        </w:rPr>
      </w:pPr>
    </w:p>
    <w:p w:rsidR="00AC76A2" w:rsidRPr="0076656D" w:rsidRDefault="00AC76A2" w:rsidP="00521C6C">
      <w:pPr>
        <w:pStyle w:val="Paragrafi"/>
        <w:rPr>
          <w:lang w:val="sq-AL"/>
        </w:rPr>
      </w:pPr>
    </w:p>
    <w:p w:rsidR="00AC76A2" w:rsidRPr="0076656D" w:rsidRDefault="00AC76A2" w:rsidP="00521C6C">
      <w:pPr>
        <w:pStyle w:val="Paragrafi"/>
        <w:rPr>
          <w:lang w:val="sq-AL"/>
        </w:rPr>
      </w:pPr>
    </w:p>
    <w:p w:rsidR="00AC76A2" w:rsidRPr="0076656D" w:rsidRDefault="00AC76A2" w:rsidP="00521C6C">
      <w:pPr>
        <w:pStyle w:val="Paragrafi"/>
        <w:rPr>
          <w:lang w:val="sq-AL"/>
        </w:rPr>
      </w:pPr>
    </w:p>
    <w:p w:rsidR="00AC76A2" w:rsidRPr="0076656D" w:rsidRDefault="00AC76A2" w:rsidP="00521C6C">
      <w:pPr>
        <w:pStyle w:val="Paragrafi"/>
        <w:rPr>
          <w:lang w:val="sq-AL"/>
        </w:rPr>
      </w:pPr>
    </w:p>
    <w:p w:rsidR="00AC76A2" w:rsidRPr="0076656D" w:rsidRDefault="00AC76A2" w:rsidP="00521C6C">
      <w:pPr>
        <w:pStyle w:val="Paragrafi"/>
        <w:rPr>
          <w:lang w:val="sq-AL"/>
        </w:rPr>
      </w:pPr>
    </w:p>
    <w:p w:rsidR="00AC76A2" w:rsidRPr="0076656D" w:rsidRDefault="00AC76A2" w:rsidP="00521C6C">
      <w:pPr>
        <w:pStyle w:val="Paragrafi"/>
        <w:rPr>
          <w:lang w:val="sq-AL"/>
        </w:rPr>
      </w:pPr>
    </w:p>
    <w:p w:rsidR="00AC76A2" w:rsidRPr="0076656D" w:rsidRDefault="00AC76A2" w:rsidP="00521C6C">
      <w:pPr>
        <w:pStyle w:val="Paragrafi"/>
        <w:rPr>
          <w:lang w:val="sq-AL"/>
        </w:rPr>
      </w:pPr>
    </w:p>
    <w:p w:rsidR="00AC76A2" w:rsidRPr="0076656D" w:rsidRDefault="00AC76A2" w:rsidP="00521C6C">
      <w:pPr>
        <w:pStyle w:val="Paragrafi"/>
        <w:rPr>
          <w:lang w:val="sq-AL"/>
        </w:rPr>
      </w:pPr>
    </w:p>
    <w:p w:rsidR="00AC76A2" w:rsidRPr="0076656D" w:rsidRDefault="00AC76A2" w:rsidP="00521C6C">
      <w:pPr>
        <w:pStyle w:val="Paragrafi"/>
        <w:rPr>
          <w:lang w:val="sq-AL"/>
        </w:rPr>
      </w:pPr>
    </w:p>
    <w:p w:rsidR="00AC76A2" w:rsidRPr="0076656D" w:rsidRDefault="00AC76A2" w:rsidP="00521C6C">
      <w:pPr>
        <w:pStyle w:val="Paragrafi"/>
        <w:rPr>
          <w:lang w:val="sq-AL"/>
        </w:rPr>
      </w:pPr>
    </w:p>
    <w:p w:rsidR="00AC76A2" w:rsidRPr="0076656D" w:rsidRDefault="00AC76A2" w:rsidP="00521C6C">
      <w:pPr>
        <w:pStyle w:val="Paragrafi"/>
        <w:rPr>
          <w:lang w:val="sq-AL"/>
        </w:rPr>
      </w:pPr>
    </w:p>
    <w:p w:rsidR="00AC76A2" w:rsidRPr="0076656D" w:rsidRDefault="00AC76A2" w:rsidP="00521C6C">
      <w:pPr>
        <w:pStyle w:val="Paragrafi"/>
        <w:rPr>
          <w:lang w:val="sq-AL"/>
        </w:rPr>
      </w:pPr>
    </w:p>
    <w:p w:rsidR="00AC76A2" w:rsidRPr="0076656D" w:rsidRDefault="00AC76A2" w:rsidP="00521C6C">
      <w:pPr>
        <w:pStyle w:val="Paragrafi"/>
        <w:rPr>
          <w:lang w:val="sq-AL"/>
        </w:rPr>
      </w:pPr>
    </w:p>
    <w:p w:rsidR="00AC76A2" w:rsidRPr="0076656D" w:rsidRDefault="00AC76A2" w:rsidP="00521C6C">
      <w:pPr>
        <w:pStyle w:val="Paragrafi"/>
        <w:rPr>
          <w:lang w:val="sq-AL"/>
        </w:rPr>
      </w:pPr>
    </w:p>
    <w:p w:rsidR="00AC76A2" w:rsidRPr="0076656D" w:rsidRDefault="00AC76A2" w:rsidP="00521C6C">
      <w:pPr>
        <w:pStyle w:val="Paragrafi"/>
        <w:rPr>
          <w:lang w:val="sq-AL"/>
        </w:rPr>
      </w:pPr>
    </w:p>
    <w:p w:rsidR="00AC76A2" w:rsidRPr="0076656D" w:rsidRDefault="00AC76A2" w:rsidP="00521C6C">
      <w:pPr>
        <w:pStyle w:val="Paragrafi"/>
        <w:rPr>
          <w:lang w:val="sq-AL"/>
        </w:rPr>
      </w:pPr>
    </w:p>
    <w:p w:rsidR="00AC76A2" w:rsidRPr="0076656D" w:rsidRDefault="00AC76A2" w:rsidP="00521C6C">
      <w:pPr>
        <w:pStyle w:val="Paragrafi"/>
        <w:rPr>
          <w:lang w:val="sq-AL"/>
        </w:rPr>
      </w:pPr>
    </w:p>
    <w:p w:rsidR="007E39B1" w:rsidRPr="0076656D" w:rsidRDefault="007E39B1" w:rsidP="00521C6C">
      <w:pPr>
        <w:pStyle w:val="Paragrafi"/>
        <w:rPr>
          <w:lang w:val="sq-AL"/>
        </w:rPr>
      </w:pPr>
    </w:p>
    <w:p w:rsidR="00AC76A2" w:rsidRPr="0076656D" w:rsidRDefault="00AC76A2" w:rsidP="00521C6C">
      <w:pPr>
        <w:pStyle w:val="Paragrafi"/>
        <w:rPr>
          <w:lang w:val="sq-AL"/>
        </w:rPr>
      </w:pPr>
    </w:p>
    <w:p w:rsidR="00FA48F7" w:rsidRPr="0076656D" w:rsidRDefault="00FA48F7" w:rsidP="00521C6C">
      <w:pPr>
        <w:pStyle w:val="Paragrafi"/>
        <w:rPr>
          <w:lang w:val="sq-AL"/>
        </w:rPr>
      </w:pPr>
    </w:p>
    <w:p w:rsidR="00FA48F7" w:rsidRPr="0076656D" w:rsidRDefault="00FA48F7" w:rsidP="00521C6C">
      <w:pPr>
        <w:pStyle w:val="Paragrafi"/>
        <w:rPr>
          <w:lang w:val="sq-AL"/>
        </w:rPr>
      </w:pPr>
    </w:p>
    <w:p w:rsidR="00FA48F7" w:rsidRPr="0076656D" w:rsidRDefault="00FA48F7" w:rsidP="00521C6C">
      <w:pPr>
        <w:pStyle w:val="Paragrafi"/>
        <w:rPr>
          <w:lang w:val="sq-AL"/>
        </w:rPr>
      </w:pPr>
    </w:p>
    <w:p w:rsidR="00FA48F7" w:rsidRPr="0076656D" w:rsidRDefault="00FA48F7" w:rsidP="00521C6C">
      <w:pPr>
        <w:pStyle w:val="Paragrafi"/>
        <w:rPr>
          <w:lang w:val="sq-AL"/>
        </w:rPr>
      </w:pPr>
    </w:p>
    <w:p w:rsidR="00FA48F7" w:rsidRPr="0076656D" w:rsidRDefault="00FA48F7" w:rsidP="00521C6C">
      <w:pPr>
        <w:pStyle w:val="Paragrafi"/>
        <w:rPr>
          <w:lang w:val="sq-AL"/>
        </w:rPr>
      </w:pPr>
    </w:p>
    <w:p w:rsidR="00FA48F7" w:rsidRPr="0076656D" w:rsidRDefault="00FA48F7" w:rsidP="00521C6C">
      <w:pPr>
        <w:pStyle w:val="Paragrafi"/>
        <w:rPr>
          <w:lang w:val="sq-AL"/>
        </w:rPr>
      </w:pPr>
    </w:p>
    <w:p w:rsidR="00FA48F7" w:rsidRPr="0076656D" w:rsidRDefault="00FA48F7" w:rsidP="00521C6C">
      <w:pPr>
        <w:pStyle w:val="Paragrafi"/>
        <w:rPr>
          <w:lang w:val="sq-AL"/>
        </w:rPr>
      </w:pPr>
    </w:p>
    <w:p w:rsidR="00FA48F7" w:rsidRPr="0076656D" w:rsidRDefault="00FA48F7" w:rsidP="00521C6C">
      <w:pPr>
        <w:pStyle w:val="Paragrafi"/>
        <w:rPr>
          <w:lang w:val="sq-AL"/>
        </w:rPr>
      </w:pPr>
    </w:p>
    <w:p w:rsidR="00FA48F7" w:rsidRPr="0076656D" w:rsidRDefault="00FA48F7" w:rsidP="00521C6C">
      <w:pPr>
        <w:pStyle w:val="Paragrafi"/>
        <w:rPr>
          <w:lang w:val="sq-AL"/>
        </w:rPr>
      </w:pPr>
    </w:p>
    <w:p w:rsidR="00FA48F7" w:rsidRPr="0076656D" w:rsidRDefault="00FA48F7" w:rsidP="00521C6C">
      <w:pPr>
        <w:pStyle w:val="Paragrafi"/>
        <w:rPr>
          <w:lang w:val="sq-AL"/>
        </w:rPr>
      </w:pPr>
    </w:p>
    <w:p w:rsidR="00FA48F7" w:rsidRPr="0076656D" w:rsidRDefault="00FA48F7" w:rsidP="00521C6C">
      <w:pPr>
        <w:pStyle w:val="Paragrafi"/>
        <w:rPr>
          <w:lang w:val="sq-AL"/>
        </w:rPr>
      </w:pPr>
    </w:p>
    <w:p w:rsidR="00FA48F7" w:rsidRPr="0076656D" w:rsidRDefault="00FA48F7" w:rsidP="00521C6C">
      <w:pPr>
        <w:pStyle w:val="Paragrafi"/>
        <w:rPr>
          <w:lang w:val="sq-AL"/>
        </w:rPr>
      </w:pPr>
    </w:p>
    <w:p w:rsidR="00FA48F7" w:rsidRPr="0076656D" w:rsidRDefault="00FA48F7" w:rsidP="00521C6C">
      <w:pPr>
        <w:pStyle w:val="Paragrafi"/>
        <w:rPr>
          <w:lang w:val="sq-AL"/>
        </w:rPr>
      </w:pPr>
    </w:p>
    <w:p w:rsidR="00FA48F7" w:rsidRPr="0076656D" w:rsidRDefault="00FA48F7" w:rsidP="00521C6C">
      <w:pPr>
        <w:pStyle w:val="Paragrafi"/>
        <w:rPr>
          <w:lang w:val="sq-AL"/>
        </w:rPr>
      </w:pPr>
    </w:p>
    <w:p w:rsidR="00FA48F7" w:rsidRPr="0076656D" w:rsidRDefault="00FA48F7" w:rsidP="00521C6C">
      <w:pPr>
        <w:pStyle w:val="Paragrafi"/>
        <w:rPr>
          <w:lang w:val="sq-AL"/>
        </w:rPr>
      </w:pPr>
    </w:p>
    <w:p w:rsidR="00FA48F7" w:rsidRPr="0076656D" w:rsidRDefault="00FA48F7" w:rsidP="00521C6C">
      <w:pPr>
        <w:pStyle w:val="Paragrafi"/>
        <w:rPr>
          <w:lang w:val="sq-AL"/>
        </w:rPr>
      </w:pPr>
    </w:p>
    <w:p w:rsidR="00FA48F7" w:rsidRPr="0076656D" w:rsidRDefault="00FA48F7" w:rsidP="00521C6C">
      <w:pPr>
        <w:pStyle w:val="Paragrafi"/>
        <w:rPr>
          <w:lang w:val="sq-AL"/>
        </w:rPr>
      </w:pPr>
    </w:p>
    <w:p w:rsidR="00FA48F7" w:rsidRPr="0076656D" w:rsidRDefault="00FA48F7" w:rsidP="00521C6C">
      <w:pPr>
        <w:pStyle w:val="Paragrafi"/>
        <w:rPr>
          <w:lang w:val="sq-AL"/>
        </w:rPr>
      </w:pPr>
    </w:p>
    <w:p w:rsidR="00FA48F7" w:rsidRPr="0076656D" w:rsidRDefault="00FA48F7" w:rsidP="00521C6C">
      <w:pPr>
        <w:pStyle w:val="Paragrafi"/>
        <w:rPr>
          <w:lang w:val="sq-AL"/>
        </w:rPr>
      </w:pPr>
    </w:p>
    <w:p w:rsidR="00FA48F7" w:rsidRPr="0076656D" w:rsidRDefault="00FA48F7" w:rsidP="00521C6C">
      <w:pPr>
        <w:pStyle w:val="Paragrafi"/>
        <w:rPr>
          <w:lang w:val="sq-AL"/>
        </w:rPr>
      </w:pPr>
    </w:p>
    <w:p w:rsidR="00C172B4" w:rsidRPr="0076656D" w:rsidRDefault="00C172B4" w:rsidP="00521C6C">
      <w:pPr>
        <w:pStyle w:val="Paragrafi"/>
        <w:rPr>
          <w:lang w:val="sq-AL"/>
        </w:rPr>
      </w:pPr>
    </w:p>
    <w:p w:rsidR="00C172B4" w:rsidRPr="0076656D" w:rsidRDefault="00C172B4" w:rsidP="00521C6C">
      <w:pPr>
        <w:pStyle w:val="Paragrafi"/>
        <w:rPr>
          <w:lang w:val="sq-AL"/>
        </w:rPr>
      </w:pPr>
    </w:p>
    <w:p w:rsidR="00C172B4" w:rsidRPr="0076656D" w:rsidRDefault="00C172B4" w:rsidP="00521C6C">
      <w:pPr>
        <w:pStyle w:val="Paragrafi"/>
        <w:rPr>
          <w:lang w:val="sq-AL"/>
        </w:rPr>
      </w:pPr>
    </w:p>
    <w:sectPr w:rsidR="00C172B4" w:rsidRPr="0076656D" w:rsidSect="007E57AE">
      <w:headerReference w:type="even" r:id="rId12"/>
      <w:headerReference w:type="default" r:id="rId13"/>
      <w:type w:val="continuous"/>
      <w:pgSz w:w="11907" w:h="16840" w:code="9"/>
      <w:pgMar w:top="1418" w:right="1418" w:bottom="1418" w:left="1418" w:header="1588" w:footer="1134" w:gutter="0"/>
      <w:pgNumType w:start="4"/>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E5827" w:rsidRDefault="002E5827" w:rsidP="0039754A">
      <w:pPr>
        <w:pStyle w:val="Paragrafi"/>
        <w:rPr>
          <w:rFonts w:cs="Times New Roman"/>
        </w:rPr>
      </w:pPr>
      <w:r>
        <w:rPr>
          <w:rFonts w:cs="Times New Roman"/>
        </w:rPr>
        <w:separator/>
      </w:r>
    </w:p>
  </w:endnote>
  <w:endnote w:type="continuationSeparator" w:id="0">
    <w:p w:rsidR="002E5827" w:rsidRDefault="002E5827"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0229" w:rsidRDefault="001A0229">
    <w:pPr>
      <w:pStyle w:val="Footer"/>
    </w:pPr>
  </w:p>
  <w:p w:rsidR="001A0229" w:rsidRPr="0076656D" w:rsidRDefault="001A0229" w:rsidP="0076656D">
    <w:pPr>
      <w:pStyle w:val="Footer"/>
      <w:rPr>
        <w:rFonts w:ascii="CG Times" w:hAnsi="CG Times"/>
        <w:sz w:val="22"/>
        <w:szCs w:val="22"/>
      </w:rPr>
    </w:pPr>
    <w:r w:rsidRPr="0076656D">
      <w:rPr>
        <w:rFonts w:ascii="CG Times" w:hAnsi="CG Times"/>
        <w:sz w:val="22"/>
        <w:szCs w:val="22"/>
      </w:rPr>
      <w:fldChar w:fldCharType="begin"/>
    </w:r>
    <w:r w:rsidRPr="0076656D">
      <w:rPr>
        <w:rFonts w:ascii="CG Times" w:hAnsi="CG Times"/>
        <w:sz w:val="22"/>
        <w:szCs w:val="22"/>
      </w:rPr>
      <w:instrText xml:space="preserve"> PAGE   \* MERGEFORMAT </w:instrText>
    </w:r>
    <w:r w:rsidRPr="0076656D">
      <w:rPr>
        <w:rFonts w:ascii="CG Times" w:hAnsi="CG Times"/>
        <w:sz w:val="22"/>
        <w:szCs w:val="22"/>
      </w:rPr>
      <w:fldChar w:fldCharType="separate"/>
    </w:r>
    <w:r w:rsidR="00FC2635">
      <w:rPr>
        <w:rFonts w:ascii="CG Times" w:hAnsi="CG Times"/>
        <w:sz w:val="22"/>
        <w:szCs w:val="22"/>
      </w:rPr>
      <w:t>7108</w:t>
    </w:r>
    <w:r w:rsidRPr="0076656D">
      <w:rPr>
        <w:rFonts w:ascii="CG Times" w:hAnsi="CG Times"/>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0229" w:rsidRDefault="001A0229">
    <w:pPr>
      <w:pStyle w:val="Footer"/>
      <w:jc w:val="right"/>
    </w:pPr>
  </w:p>
  <w:p w:rsidR="001A0229" w:rsidRPr="0076656D" w:rsidRDefault="001A0229" w:rsidP="0076656D">
    <w:pPr>
      <w:pStyle w:val="Footer"/>
      <w:jc w:val="right"/>
      <w:rPr>
        <w:rFonts w:ascii="CG Times" w:hAnsi="CG Times"/>
        <w:sz w:val="22"/>
        <w:szCs w:val="22"/>
      </w:rPr>
    </w:pPr>
    <w:r w:rsidRPr="0076656D">
      <w:rPr>
        <w:rFonts w:ascii="CG Times" w:hAnsi="CG Times"/>
        <w:sz w:val="22"/>
        <w:szCs w:val="22"/>
      </w:rPr>
      <w:fldChar w:fldCharType="begin"/>
    </w:r>
    <w:r w:rsidRPr="0076656D">
      <w:rPr>
        <w:rFonts w:ascii="CG Times" w:hAnsi="CG Times"/>
        <w:sz w:val="22"/>
        <w:szCs w:val="22"/>
      </w:rPr>
      <w:instrText xml:space="preserve"> PAGE   \* MERGEFORMAT </w:instrText>
    </w:r>
    <w:r w:rsidRPr="0076656D">
      <w:rPr>
        <w:rFonts w:ascii="CG Times" w:hAnsi="CG Times"/>
        <w:sz w:val="22"/>
        <w:szCs w:val="22"/>
      </w:rPr>
      <w:fldChar w:fldCharType="separate"/>
    </w:r>
    <w:r w:rsidR="00FC2635">
      <w:rPr>
        <w:rFonts w:ascii="CG Times" w:hAnsi="CG Times"/>
        <w:sz w:val="22"/>
        <w:szCs w:val="22"/>
      </w:rPr>
      <w:t>7109</w:t>
    </w:r>
    <w:r w:rsidRPr="0076656D">
      <w:rPr>
        <w:rFonts w:ascii="CG Times" w:hAnsi="CG Times"/>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E5827" w:rsidRDefault="002E5827" w:rsidP="0039754A">
      <w:pPr>
        <w:pStyle w:val="Paragrafi"/>
        <w:rPr>
          <w:rFonts w:cs="Times New Roman"/>
        </w:rPr>
      </w:pPr>
      <w:r>
        <w:rPr>
          <w:rFonts w:cs="Times New Roman"/>
        </w:rPr>
        <w:separator/>
      </w:r>
    </w:p>
  </w:footnote>
  <w:footnote w:type="continuationSeparator" w:id="0">
    <w:p w:rsidR="002E5827" w:rsidRDefault="002E5827" w:rsidP="0039754A">
      <w:pPr>
        <w:pStyle w:val="Paragrafi"/>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0229" w:rsidRDefault="00FC2635" w:rsidP="00FA48F7">
    <w:pPr>
      <w:pStyle w:val="Header"/>
    </w:pPr>
    <w:r>
      <w:rPr>
        <w:lang w:val="en-GB" w:eastAsia="en-GB"/>
      </w:rPr>
      <w:drawing>
        <wp:inline distT="0" distB="0" distL="0" distR="0">
          <wp:extent cx="1647825" cy="457200"/>
          <wp:effectExtent l="0" t="0" r="9525"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1A0229" w:rsidRPr="0029654F" w:rsidRDefault="001A0229"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0229" w:rsidRDefault="00FC2635" w:rsidP="00A0512E">
    <w:pPr>
      <w:pStyle w:val="Header"/>
      <w:tabs>
        <w:tab w:val="clear" w:pos="4680"/>
        <w:tab w:val="clear" w:pos="9360"/>
      </w:tabs>
      <w:ind w:right="1134"/>
      <w:jc w:val="right"/>
    </w:pPr>
    <w:r>
      <w:rPr>
        <w:lang w:val="en-GB" w:eastAsia="en-GB"/>
      </w:rPr>
      <w:drawing>
        <wp:inline distT="0" distB="0" distL="0" distR="0">
          <wp:extent cx="1352550" cy="371475"/>
          <wp:effectExtent l="0" t="0" r="0" b="9525"/>
          <wp:docPr id="2" name="Picture 2"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1A0229" w:rsidRPr="00213FDE" w:rsidRDefault="001A0229"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0229" w:rsidRDefault="001A0229"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0229" w:rsidRDefault="001A0229"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08EA398F"/>
    <w:multiLevelType w:val="hybridMultilevel"/>
    <w:tmpl w:val="B4C6BAEC"/>
    <w:lvl w:ilvl="0" w:tplc="CBB0DA7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num w:numId="1">
    <w:abstractNumId w:val="0"/>
  </w:num>
  <w:num w:numId="2">
    <w:abstractNumId w:val="2"/>
  </w:num>
  <w:num w:numId="3">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078BB"/>
    <w:rsid w:val="00014884"/>
    <w:rsid w:val="00015A45"/>
    <w:rsid w:val="0002411C"/>
    <w:rsid w:val="00027B42"/>
    <w:rsid w:val="000340A7"/>
    <w:rsid w:val="00041D19"/>
    <w:rsid w:val="000441B3"/>
    <w:rsid w:val="00051F6B"/>
    <w:rsid w:val="0006384A"/>
    <w:rsid w:val="00065F36"/>
    <w:rsid w:val="00070A0A"/>
    <w:rsid w:val="00085ACA"/>
    <w:rsid w:val="000949B1"/>
    <w:rsid w:val="000A7162"/>
    <w:rsid w:val="000C48ED"/>
    <w:rsid w:val="000D0E53"/>
    <w:rsid w:val="000F2287"/>
    <w:rsid w:val="000F3E08"/>
    <w:rsid w:val="000F65C3"/>
    <w:rsid w:val="001220F5"/>
    <w:rsid w:val="001222F7"/>
    <w:rsid w:val="001302D1"/>
    <w:rsid w:val="00136EB4"/>
    <w:rsid w:val="00142FD9"/>
    <w:rsid w:val="00157574"/>
    <w:rsid w:val="001632B6"/>
    <w:rsid w:val="001632CD"/>
    <w:rsid w:val="001659FA"/>
    <w:rsid w:val="001674A9"/>
    <w:rsid w:val="00171933"/>
    <w:rsid w:val="001769AC"/>
    <w:rsid w:val="001769C0"/>
    <w:rsid w:val="0018007B"/>
    <w:rsid w:val="0018389C"/>
    <w:rsid w:val="0018515E"/>
    <w:rsid w:val="001A0229"/>
    <w:rsid w:val="001A5A7F"/>
    <w:rsid w:val="001C3FCE"/>
    <w:rsid w:val="001D50E7"/>
    <w:rsid w:val="001D5148"/>
    <w:rsid w:val="001D69EE"/>
    <w:rsid w:val="001E3D92"/>
    <w:rsid w:val="001E5CC1"/>
    <w:rsid w:val="00202EDD"/>
    <w:rsid w:val="00203B37"/>
    <w:rsid w:val="00213FDE"/>
    <w:rsid w:val="002223D6"/>
    <w:rsid w:val="002229C3"/>
    <w:rsid w:val="00224947"/>
    <w:rsid w:val="00233A49"/>
    <w:rsid w:val="002340BC"/>
    <w:rsid w:val="00240677"/>
    <w:rsid w:val="002438C8"/>
    <w:rsid w:val="002504DA"/>
    <w:rsid w:val="00251027"/>
    <w:rsid w:val="002527BF"/>
    <w:rsid w:val="002618F1"/>
    <w:rsid w:val="00275AA8"/>
    <w:rsid w:val="0029654F"/>
    <w:rsid w:val="002A7EAA"/>
    <w:rsid w:val="002B2A62"/>
    <w:rsid w:val="002B3EA9"/>
    <w:rsid w:val="002D1A38"/>
    <w:rsid w:val="002D5F75"/>
    <w:rsid w:val="002E31D6"/>
    <w:rsid w:val="002E39DD"/>
    <w:rsid w:val="002E567A"/>
    <w:rsid w:val="002E5827"/>
    <w:rsid w:val="002F1647"/>
    <w:rsid w:val="00324FE2"/>
    <w:rsid w:val="00326B0C"/>
    <w:rsid w:val="00331183"/>
    <w:rsid w:val="00333B05"/>
    <w:rsid w:val="0034397C"/>
    <w:rsid w:val="00346EAD"/>
    <w:rsid w:val="00351469"/>
    <w:rsid w:val="00363BCC"/>
    <w:rsid w:val="00376AA6"/>
    <w:rsid w:val="003853C4"/>
    <w:rsid w:val="0039754A"/>
    <w:rsid w:val="003A660D"/>
    <w:rsid w:val="003B0EE6"/>
    <w:rsid w:val="003B329D"/>
    <w:rsid w:val="003C7C6D"/>
    <w:rsid w:val="003D44CD"/>
    <w:rsid w:val="003E08A8"/>
    <w:rsid w:val="003E3217"/>
    <w:rsid w:val="003E54AE"/>
    <w:rsid w:val="003F4FF5"/>
    <w:rsid w:val="003F7E56"/>
    <w:rsid w:val="004022CC"/>
    <w:rsid w:val="004048B2"/>
    <w:rsid w:val="00410CF9"/>
    <w:rsid w:val="00410E06"/>
    <w:rsid w:val="00412F60"/>
    <w:rsid w:val="004308E2"/>
    <w:rsid w:val="00435581"/>
    <w:rsid w:val="0045042C"/>
    <w:rsid w:val="00464EDD"/>
    <w:rsid w:val="00472C78"/>
    <w:rsid w:val="004864B8"/>
    <w:rsid w:val="004B6451"/>
    <w:rsid w:val="004D18CF"/>
    <w:rsid w:val="004D3456"/>
    <w:rsid w:val="004D6AF6"/>
    <w:rsid w:val="004E6739"/>
    <w:rsid w:val="004F33AC"/>
    <w:rsid w:val="00501C46"/>
    <w:rsid w:val="00502DAA"/>
    <w:rsid w:val="00507BAC"/>
    <w:rsid w:val="00510A74"/>
    <w:rsid w:val="005155FA"/>
    <w:rsid w:val="00520FA9"/>
    <w:rsid w:val="00521C6C"/>
    <w:rsid w:val="00523391"/>
    <w:rsid w:val="00527985"/>
    <w:rsid w:val="00531562"/>
    <w:rsid w:val="00572063"/>
    <w:rsid w:val="00581408"/>
    <w:rsid w:val="005927EE"/>
    <w:rsid w:val="005B6F09"/>
    <w:rsid w:val="005C51B3"/>
    <w:rsid w:val="005E3187"/>
    <w:rsid w:val="005E605B"/>
    <w:rsid w:val="005F1E40"/>
    <w:rsid w:val="00603E14"/>
    <w:rsid w:val="0061164D"/>
    <w:rsid w:val="00613502"/>
    <w:rsid w:val="0061419A"/>
    <w:rsid w:val="0061438C"/>
    <w:rsid w:val="00622F48"/>
    <w:rsid w:val="006418C8"/>
    <w:rsid w:val="00641A19"/>
    <w:rsid w:val="00647FDC"/>
    <w:rsid w:val="0065652B"/>
    <w:rsid w:val="00670723"/>
    <w:rsid w:val="0067465B"/>
    <w:rsid w:val="006746F6"/>
    <w:rsid w:val="006802E5"/>
    <w:rsid w:val="00685347"/>
    <w:rsid w:val="00687038"/>
    <w:rsid w:val="006878EF"/>
    <w:rsid w:val="006A0FCB"/>
    <w:rsid w:val="006C1456"/>
    <w:rsid w:val="006C6AE8"/>
    <w:rsid w:val="006C7296"/>
    <w:rsid w:val="006D1D30"/>
    <w:rsid w:val="006D4CF9"/>
    <w:rsid w:val="006D559E"/>
    <w:rsid w:val="006E553A"/>
    <w:rsid w:val="006F6985"/>
    <w:rsid w:val="006F7A34"/>
    <w:rsid w:val="0071305B"/>
    <w:rsid w:val="00726052"/>
    <w:rsid w:val="00734A43"/>
    <w:rsid w:val="0074080A"/>
    <w:rsid w:val="00740FC3"/>
    <w:rsid w:val="00753F89"/>
    <w:rsid w:val="00760BD9"/>
    <w:rsid w:val="00762B13"/>
    <w:rsid w:val="0076656D"/>
    <w:rsid w:val="0078320F"/>
    <w:rsid w:val="00783717"/>
    <w:rsid w:val="007B3A4C"/>
    <w:rsid w:val="007C4D74"/>
    <w:rsid w:val="007D6F7D"/>
    <w:rsid w:val="007E39B1"/>
    <w:rsid w:val="007E57AE"/>
    <w:rsid w:val="00801000"/>
    <w:rsid w:val="00812230"/>
    <w:rsid w:val="0082201D"/>
    <w:rsid w:val="00832364"/>
    <w:rsid w:val="00842091"/>
    <w:rsid w:val="00865ED3"/>
    <w:rsid w:val="00881FAA"/>
    <w:rsid w:val="0088207C"/>
    <w:rsid w:val="00886D8D"/>
    <w:rsid w:val="00897189"/>
    <w:rsid w:val="008A5FF8"/>
    <w:rsid w:val="008C591E"/>
    <w:rsid w:val="008E4B6B"/>
    <w:rsid w:val="008E6FBD"/>
    <w:rsid w:val="008F0362"/>
    <w:rsid w:val="008F11F6"/>
    <w:rsid w:val="008F2F73"/>
    <w:rsid w:val="00912CF3"/>
    <w:rsid w:val="009230C0"/>
    <w:rsid w:val="009245A7"/>
    <w:rsid w:val="009310C9"/>
    <w:rsid w:val="00944912"/>
    <w:rsid w:val="00945488"/>
    <w:rsid w:val="00947EE5"/>
    <w:rsid w:val="00951404"/>
    <w:rsid w:val="0095190A"/>
    <w:rsid w:val="00963090"/>
    <w:rsid w:val="00966D80"/>
    <w:rsid w:val="00970CB3"/>
    <w:rsid w:val="009762E8"/>
    <w:rsid w:val="0098397E"/>
    <w:rsid w:val="009A2F74"/>
    <w:rsid w:val="009B735F"/>
    <w:rsid w:val="009C3169"/>
    <w:rsid w:val="009C350D"/>
    <w:rsid w:val="009C46F6"/>
    <w:rsid w:val="009C6BAD"/>
    <w:rsid w:val="009D29F7"/>
    <w:rsid w:val="009F22ED"/>
    <w:rsid w:val="00A03646"/>
    <w:rsid w:val="00A0512E"/>
    <w:rsid w:val="00A10EAA"/>
    <w:rsid w:val="00A14011"/>
    <w:rsid w:val="00A36304"/>
    <w:rsid w:val="00A42544"/>
    <w:rsid w:val="00A604C0"/>
    <w:rsid w:val="00A640FA"/>
    <w:rsid w:val="00AA7BC0"/>
    <w:rsid w:val="00AB1802"/>
    <w:rsid w:val="00AB2500"/>
    <w:rsid w:val="00AB26B7"/>
    <w:rsid w:val="00AB73A0"/>
    <w:rsid w:val="00AC06B8"/>
    <w:rsid w:val="00AC76A2"/>
    <w:rsid w:val="00AF039E"/>
    <w:rsid w:val="00AF6F98"/>
    <w:rsid w:val="00B02EB2"/>
    <w:rsid w:val="00B04FDE"/>
    <w:rsid w:val="00B0651D"/>
    <w:rsid w:val="00B15ED9"/>
    <w:rsid w:val="00B23644"/>
    <w:rsid w:val="00B35A91"/>
    <w:rsid w:val="00B35AEF"/>
    <w:rsid w:val="00B511D2"/>
    <w:rsid w:val="00B640DC"/>
    <w:rsid w:val="00B725DB"/>
    <w:rsid w:val="00B736C7"/>
    <w:rsid w:val="00BA12AE"/>
    <w:rsid w:val="00BB7215"/>
    <w:rsid w:val="00BC2224"/>
    <w:rsid w:val="00BE075F"/>
    <w:rsid w:val="00BE1B84"/>
    <w:rsid w:val="00BF5FAA"/>
    <w:rsid w:val="00BF70FE"/>
    <w:rsid w:val="00C142D4"/>
    <w:rsid w:val="00C17124"/>
    <w:rsid w:val="00C172B4"/>
    <w:rsid w:val="00C32D1C"/>
    <w:rsid w:val="00C601BE"/>
    <w:rsid w:val="00C66E6D"/>
    <w:rsid w:val="00C71B4C"/>
    <w:rsid w:val="00C87DD1"/>
    <w:rsid w:val="00C95F8A"/>
    <w:rsid w:val="00C96B3B"/>
    <w:rsid w:val="00CA279F"/>
    <w:rsid w:val="00CA38C3"/>
    <w:rsid w:val="00CB2150"/>
    <w:rsid w:val="00CB2A0C"/>
    <w:rsid w:val="00CD1705"/>
    <w:rsid w:val="00CD2E8F"/>
    <w:rsid w:val="00CE16EB"/>
    <w:rsid w:val="00CF1D39"/>
    <w:rsid w:val="00CF3BCA"/>
    <w:rsid w:val="00CF69A6"/>
    <w:rsid w:val="00D21F06"/>
    <w:rsid w:val="00D23E2C"/>
    <w:rsid w:val="00D34BF9"/>
    <w:rsid w:val="00D54A22"/>
    <w:rsid w:val="00D61E92"/>
    <w:rsid w:val="00D66513"/>
    <w:rsid w:val="00D66C8F"/>
    <w:rsid w:val="00D72C5A"/>
    <w:rsid w:val="00D76E7C"/>
    <w:rsid w:val="00D973E9"/>
    <w:rsid w:val="00DB0F64"/>
    <w:rsid w:val="00DB3D2B"/>
    <w:rsid w:val="00DC2F7A"/>
    <w:rsid w:val="00DC5099"/>
    <w:rsid w:val="00DE48C9"/>
    <w:rsid w:val="00DE7A48"/>
    <w:rsid w:val="00DF401F"/>
    <w:rsid w:val="00DF4D45"/>
    <w:rsid w:val="00E0390A"/>
    <w:rsid w:val="00E07FB9"/>
    <w:rsid w:val="00E1075B"/>
    <w:rsid w:val="00E17771"/>
    <w:rsid w:val="00E22876"/>
    <w:rsid w:val="00E51779"/>
    <w:rsid w:val="00E537B4"/>
    <w:rsid w:val="00E62523"/>
    <w:rsid w:val="00E65EA6"/>
    <w:rsid w:val="00E65F32"/>
    <w:rsid w:val="00E6687D"/>
    <w:rsid w:val="00E71D10"/>
    <w:rsid w:val="00E766C1"/>
    <w:rsid w:val="00EC53E0"/>
    <w:rsid w:val="00ED2133"/>
    <w:rsid w:val="00EE0A44"/>
    <w:rsid w:val="00F02CF6"/>
    <w:rsid w:val="00F11597"/>
    <w:rsid w:val="00F17FF3"/>
    <w:rsid w:val="00F2141B"/>
    <w:rsid w:val="00F24A61"/>
    <w:rsid w:val="00F27F46"/>
    <w:rsid w:val="00F31259"/>
    <w:rsid w:val="00F36E09"/>
    <w:rsid w:val="00F37E3D"/>
    <w:rsid w:val="00F41E09"/>
    <w:rsid w:val="00F42489"/>
    <w:rsid w:val="00F46710"/>
    <w:rsid w:val="00F535C8"/>
    <w:rsid w:val="00F823DD"/>
    <w:rsid w:val="00F931F7"/>
    <w:rsid w:val="00F97A4A"/>
    <w:rsid w:val="00FA2680"/>
    <w:rsid w:val="00FA3881"/>
    <w:rsid w:val="00FA48F7"/>
    <w:rsid w:val="00FB2F77"/>
    <w:rsid w:val="00FB6666"/>
    <w:rsid w:val="00FC20BC"/>
    <w:rsid w:val="00FC2635"/>
    <w:rsid w:val="00FD4FCF"/>
    <w:rsid w:val="00FE142A"/>
    <w:rsid w:val="00FF5F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BF9CBEB8-169E-4502-A92C-3408975847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locked="1" w:uiPriority="0"/>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noProof/>
      <w:sz w:val="24"/>
      <w:szCs w:val="24"/>
      <w:lang w:val="sq-AL" w:eastAsia="en-US"/>
    </w:rPr>
  </w:style>
  <w:style w:type="paragraph" w:styleId="Heading1">
    <w:name w:val="heading 1"/>
    <w:basedOn w:val="Normal"/>
    <w:next w:val="Normal"/>
    <w:link w:val="Heading1Char"/>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qFormat/>
    <w:rsid w:val="00251027"/>
    <w:pPr>
      <w:spacing w:before="200"/>
      <w:outlineLvl w:val="3"/>
    </w:pPr>
    <w:rPr>
      <w:rFonts w:ascii="Cambria" w:hAnsi="Cambria" w:cs="Cambria"/>
      <w:b/>
      <w:bCs/>
      <w:i/>
      <w:iCs/>
    </w:rPr>
  </w:style>
  <w:style w:type="paragraph" w:styleId="Heading5">
    <w:name w:val="heading 5"/>
    <w:basedOn w:val="Normal"/>
    <w:next w:val="Normal"/>
    <w:link w:val="Heading5Char"/>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qFormat/>
    <w:rsid w:val="00251027"/>
    <w:pPr>
      <w:outlineLvl w:val="6"/>
    </w:pPr>
    <w:rPr>
      <w:rFonts w:ascii="Cambria" w:hAnsi="Cambria" w:cs="Cambria"/>
      <w:i/>
      <w:iCs/>
    </w:rPr>
  </w:style>
  <w:style w:type="paragraph" w:styleId="Heading8">
    <w:name w:val="heading 8"/>
    <w:aliases w:val="h"/>
    <w:basedOn w:val="Normal"/>
    <w:next w:val="Normal"/>
    <w:link w:val="Heading8Char"/>
    <w:qFormat/>
    <w:rsid w:val="00251027"/>
    <w:pPr>
      <w:outlineLvl w:val="7"/>
    </w:pPr>
    <w:rPr>
      <w:rFonts w:ascii="Cambria" w:hAnsi="Cambria" w:cs="Cambria"/>
      <w:sz w:val="20"/>
      <w:szCs w:val="20"/>
    </w:rPr>
  </w:style>
  <w:style w:type="paragraph" w:styleId="Heading9">
    <w:name w:val="heading 9"/>
    <w:basedOn w:val="Normal"/>
    <w:next w:val="Normal"/>
    <w:link w:val="Heading9Char"/>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locked/>
    <w:rsid w:val="00251027"/>
    <w:rPr>
      <w:rFonts w:ascii="Cambria" w:hAnsi="Cambria" w:cs="Cambria"/>
      <w:i/>
      <w:iCs/>
      <w:sz w:val="24"/>
      <w:szCs w:val="24"/>
      <w:lang w:val="en-US" w:eastAsia="en-US"/>
    </w:rPr>
  </w:style>
  <w:style w:type="character" w:customStyle="1" w:styleId="Heading8Char">
    <w:name w:val="Heading 8 Char"/>
    <w:aliases w:val="h Char"/>
    <w:basedOn w:val="DefaultParagraphFont"/>
    <w:link w:val="Heading8"/>
    <w:locked/>
    <w:rsid w:val="00251027"/>
    <w:rPr>
      <w:rFonts w:ascii="Cambria" w:hAnsi="Cambria" w:cs="Cambria"/>
      <w:lang w:val="en-US" w:eastAsia="en-US"/>
    </w:rPr>
  </w:style>
  <w:style w:type="character" w:customStyle="1" w:styleId="Heading9Char">
    <w:name w:val="Heading 9 Char"/>
    <w:basedOn w:val="DefaultParagraphFont"/>
    <w:link w:val="Heading9"/>
    <w:semiHidden/>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uiPriority w:val="99"/>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uiPriority w:val="99"/>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uiPriority w:val="99"/>
    <w:rsid w:val="00251027"/>
    <w:rPr>
      <w:rFonts w:ascii="CG Times" w:hAnsi="CG Times" w:cs="CG Times"/>
      <w:sz w:val="22"/>
      <w:szCs w:val="22"/>
      <w:lang w:eastAsia="en-US"/>
    </w:rPr>
  </w:style>
  <w:style w:type="paragraph" w:customStyle="1" w:styleId="AneksiNr">
    <w:name w:val="Aneksi_Nr"/>
    <w:next w:val="Normal"/>
    <w:uiPriority w:val="99"/>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uiPriority w:val="99"/>
    <w:rsid w:val="00251027"/>
    <w:pPr>
      <w:jc w:val="center"/>
    </w:pPr>
    <w:rPr>
      <w:rFonts w:ascii="CG Times" w:hAnsi="CG Times" w:cs="CG Times"/>
      <w:sz w:val="24"/>
      <w:szCs w:val="24"/>
      <w:lang w:eastAsia="en-US"/>
    </w:rPr>
  </w:style>
  <w:style w:type="paragraph" w:customStyle="1" w:styleId="Autoriteti">
    <w:name w:val="Autoriteti"/>
    <w:next w:val="Normal"/>
    <w:link w:val="AutoritetiChar"/>
    <w:uiPriority w:val="99"/>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uiPriority w:val="99"/>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uiPriority w:val="99"/>
    <w:rsid w:val="00251027"/>
    <w:rPr>
      <w:rFonts w:ascii="CG Times" w:eastAsia="MS Mincho" w:hAnsi="CG Times" w:cs="CG Times"/>
      <w:b/>
      <w:bCs/>
      <w:sz w:val="22"/>
      <w:szCs w:val="22"/>
      <w:lang w:val="en-GB" w:eastAsia="en-US"/>
    </w:rPr>
  </w:style>
  <w:style w:type="paragraph" w:customStyle="1" w:styleId="BazLigjPropozues">
    <w:name w:val="Baz_Ligj_Propozues"/>
    <w:uiPriority w:val="99"/>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uiPriority w:val="99"/>
    <w:rsid w:val="00251027"/>
    <w:pPr>
      <w:spacing w:after="240" w:line="240" w:lineRule="atLeast"/>
      <w:ind w:left="1134"/>
      <w:jc w:val="both"/>
    </w:pPr>
    <w:rPr>
      <w:rFonts w:ascii="Arial" w:hAnsi="Arial" w:cs="Arial"/>
      <w:sz w:val="20"/>
      <w:szCs w:val="20"/>
      <w:lang w:val="en-GB"/>
    </w:rPr>
  </w:style>
  <w:style w:type="paragraph" w:customStyle="1" w:styleId="bcparaa">
    <w:name w:val="bc para (a)"/>
    <w:basedOn w:val="Normal"/>
    <w:uiPriority w:val="99"/>
    <w:rsid w:val="00251027"/>
    <w:pPr>
      <w:tabs>
        <w:tab w:val="left" w:pos="1843"/>
      </w:tabs>
      <w:spacing w:after="240" w:line="240" w:lineRule="atLeast"/>
      <w:ind w:left="1843" w:hanging="709"/>
      <w:jc w:val="both"/>
    </w:pPr>
    <w:rPr>
      <w:rFonts w:ascii="Arial" w:hAnsi="Arial" w:cs="Arial"/>
      <w:sz w:val="20"/>
      <w:szCs w:val="20"/>
      <w:lang w:val="nl-NL"/>
    </w:rPr>
  </w:style>
  <w:style w:type="paragraph" w:customStyle="1" w:styleId="bcverylastpara">
    <w:name w:val="bc very last para"/>
    <w:basedOn w:val="Normal"/>
    <w:uiPriority w:val="99"/>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uiPriority w:val="99"/>
    <w:rsid w:val="00251027"/>
    <w:pPr>
      <w:widowControl w:val="0"/>
      <w:spacing w:after="720"/>
      <w:ind w:left="1843" w:hanging="709"/>
      <w:jc w:val="both"/>
    </w:pPr>
    <w:rPr>
      <w:rFonts w:ascii="Arial" w:hAnsi="Arial" w:cs="Arial"/>
      <w:sz w:val="20"/>
      <w:szCs w:val="20"/>
      <w:lang w:val="en-GB"/>
    </w:rPr>
  </w:style>
  <w:style w:type="paragraph" w:customStyle="1" w:styleId="Bllok">
    <w:name w:val="Bllok"/>
    <w:next w:val="Normal"/>
    <w:uiPriority w:val="99"/>
    <w:rsid w:val="00251027"/>
    <w:pPr>
      <w:jc w:val="center"/>
    </w:pPr>
    <w:rPr>
      <w:rFonts w:ascii="CG Times" w:hAnsi="CG Times" w:cs="CG Times"/>
      <w:caps/>
      <w:sz w:val="22"/>
      <w:szCs w:val="22"/>
      <w:lang w:eastAsia="en-US"/>
    </w:rPr>
  </w:style>
  <w:style w:type="paragraph" w:customStyle="1" w:styleId="BoxText">
    <w:name w:val="Box Text"/>
    <w:basedOn w:val="Normal"/>
    <w:uiPriority w:val="99"/>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uiPriority w:val="99"/>
    <w:rsid w:val="00251027"/>
    <w:pPr>
      <w:widowControl w:val="0"/>
      <w:spacing w:before="240" w:after="240"/>
      <w:jc w:val="both"/>
    </w:pPr>
    <w:rPr>
      <w:rFonts w:ascii="Trebuchet MS" w:hAnsi="Trebuchet MS" w:cs="Trebuchet MS"/>
      <w:sz w:val="20"/>
      <w:szCs w:val="20"/>
    </w:rPr>
  </w:style>
  <w:style w:type="character" w:customStyle="1" w:styleId="bulletmenumraChar">
    <w:name w:val="bullet me numra Char"/>
    <w:basedOn w:val="DefaultParagraphFont"/>
    <w:uiPriority w:val="99"/>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uiPriority w:val="99"/>
    <w:rsid w:val="00251027"/>
    <w:pPr>
      <w:widowControl w:val="0"/>
      <w:spacing w:before="60" w:after="60"/>
      <w:jc w:val="both"/>
    </w:pPr>
    <w:rPr>
      <w:rFonts w:ascii="Trebuchet MS" w:hAnsi="Trebuchet MS" w:cs="Trebuchet MS"/>
      <w:sz w:val="22"/>
      <w:szCs w:val="22"/>
    </w:rPr>
  </w:style>
  <w:style w:type="paragraph" w:customStyle="1" w:styleId="BULLETUDHEZIM">
    <w:name w:val="BULLET UDHEZIM"/>
    <w:basedOn w:val="Normal"/>
    <w:uiPriority w:val="99"/>
    <w:rsid w:val="00251027"/>
    <w:pPr>
      <w:widowControl w:val="0"/>
      <w:tabs>
        <w:tab w:val="num" w:pos="360"/>
      </w:tabs>
      <w:spacing w:before="120" w:after="120"/>
      <w:jc w:val="both"/>
    </w:pPr>
    <w:rPr>
      <w:rFonts w:ascii="Book Antiqua" w:hAnsi="Book Antiqua" w:cs="Book Antiqua"/>
      <w:sz w:val="22"/>
      <w:szCs w:val="22"/>
    </w:rPr>
  </w:style>
  <w:style w:type="paragraph" w:customStyle="1" w:styleId="Default">
    <w:name w:val="Default"/>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uiPriority w:val="99"/>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uiPriority w:val="99"/>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uiPriority w:val="99"/>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uiPriority w:val="99"/>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uiPriority w:val="99"/>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uiPriority w:val="99"/>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uiPriority w:val="99"/>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uiPriority w:val="99"/>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uiPriority w:val="99"/>
    <w:rsid w:val="00251027"/>
    <w:pPr>
      <w:pageBreakBefore/>
    </w:pPr>
    <w:rPr>
      <w:rFonts w:ascii="CG Times" w:hAnsi="CG Times" w:cs="CG Times"/>
      <w:b/>
      <w:bCs/>
      <w:sz w:val="22"/>
      <w:szCs w:val="22"/>
      <w:lang w:val="en-US" w:eastAsia="en-US"/>
    </w:rPr>
  </w:style>
  <w:style w:type="paragraph" w:customStyle="1" w:styleId="KapitulliNr">
    <w:name w:val="Kapitulli_Nr"/>
    <w:uiPriority w:val="99"/>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uiPriority w:val="99"/>
    <w:rsid w:val="00251027"/>
    <w:pPr>
      <w:keepNext/>
      <w:widowControl w:val="0"/>
      <w:jc w:val="center"/>
    </w:pPr>
    <w:rPr>
      <w:rFonts w:ascii="CG Times" w:hAnsi="CG Times" w:cs="CG Times"/>
      <w:caps/>
      <w:sz w:val="22"/>
      <w:szCs w:val="22"/>
      <w:lang w:eastAsia="en-US"/>
    </w:rPr>
  </w:style>
  <w:style w:type="paragraph" w:customStyle="1" w:styleId="KreuNr">
    <w:name w:val="Kreu_Nr"/>
    <w:uiPriority w:val="99"/>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uiPriority w:val="99"/>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uiPriority w:val="99"/>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uiPriority w:val="99"/>
    <w:rsid w:val="00251027"/>
    <w:pPr>
      <w:widowControl w:val="0"/>
      <w:spacing w:after="120"/>
    </w:pPr>
    <w:rPr>
      <w:rFonts w:ascii="Trebuchet MS" w:hAnsi="Trebuchet MS" w:cs="Trebuchet MS"/>
      <w:sz w:val="22"/>
      <w:szCs w:val="22"/>
      <w:lang w:eastAsia="zh-CN"/>
    </w:rPr>
  </w:style>
  <w:style w:type="character" w:customStyle="1" w:styleId="ListBullet2Char">
    <w:name w:val="List Bullet 2 Char"/>
    <w:aliases w:val="List me numra Char"/>
    <w:basedOn w:val="DefaultParagraphFont"/>
    <w:uiPriority w:val="99"/>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uiPriority w:val="99"/>
    <w:rsid w:val="00251027"/>
    <w:rPr>
      <w:rFonts w:ascii="Trebuchet MS" w:eastAsia="MS Mincho" w:hAnsi="Trebuchet MS" w:cs="Trebuchet MS"/>
      <w:sz w:val="22"/>
      <w:szCs w:val="22"/>
      <w:lang w:val="en-US" w:eastAsia="en-US"/>
    </w:rPr>
  </w:style>
  <w:style w:type="paragraph" w:customStyle="1" w:styleId="listmenumra">
    <w:name w:val="list me numra"/>
    <w:basedOn w:val="ListBullet2"/>
    <w:uiPriority w:val="99"/>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uiPriority w:val="99"/>
    <w:rsid w:val="00251027"/>
    <w:pPr>
      <w:numPr>
        <w:numId w:val="1"/>
      </w:numPr>
    </w:pPr>
  </w:style>
  <w:style w:type="character" w:customStyle="1" w:styleId="listmenumraCharChar">
    <w:name w:val="list me numra Char Char"/>
    <w:basedOn w:val="ListBullet2Char"/>
    <w:uiPriority w:val="99"/>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uiPriority w:val="99"/>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uiPriority w:val="99"/>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uiPriority w:val="99"/>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uiPriority w:val="99"/>
    <w:rsid w:val="00251027"/>
    <w:pPr>
      <w:keepNext/>
      <w:widowControl w:val="0"/>
      <w:jc w:val="center"/>
    </w:pPr>
    <w:rPr>
      <w:rFonts w:ascii="CG Times" w:hAnsi="CG Times" w:cs="CG Times"/>
      <w:caps/>
      <w:sz w:val="22"/>
      <w:szCs w:val="22"/>
      <w:lang w:eastAsia="en-US"/>
    </w:rPr>
  </w:style>
  <w:style w:type="paragraph" w:customStyle="1" w:styleId="NenkreuTitull">
    <w:name w:val="Nenkreu_Titull"/>
    <w:uiPriority w:val="99"/>
    <w:rsid w:val="00251027"/>
    <w:pPr>
      <w:jc w:val="center"/>
    </w:pPr>
    <w:rPr>
      <w:rFonts w:ascii="CG Times" w:hAnsi="CG Times" w:cs="CG Times"/>
      <w:caps/>
      <w:sz w:val="22"/>
      <w:szCs w:val="22"/>
      <w:lang w:eastAsia="en-US"/>
    </w:rPr>
  </w:style>
  <w:style w:type="paragraph" w:customStyle="1" w:styleId="Nenpika">
    <w:name w:val="Nenpika"/>
    <w:next w:val="Normal"/>
    <w:autoRedefine/>
    <w:uiPriority w:val="99"/>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uiPriority w:val="99"/>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uiPriority w:val="99"/>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uiPriority w:val="99"/>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uiPriority w:val="99"/>
    <w:locked/>
    <w:rsid w:val="00251027"/>
    <w:rPr>
      <w:rFonts w:ascii="CG Times" w:hAnsi="CG Times" w:cs="CG Times"/>
      <w:b/>
      <w:bCs/>
      <w:sz w:val="22"/>
      <w:szCs w:val="22"/>
      <w:lang w:val="en-GB" w:eastAsia="en-US" w:bidi="ar-SA"/>
    </w:rPr>
  </w:style>
  <w:style w:type="paragraph" w:customStyle="1" w:styleId="para">
    <w:name w:val="para"/>
    <w:basedOn w:val="Normal"/>
    <w:uiPriority w:val="99"/>
    <w:rsid w:val="00251027"/>
    <w:pPr>
      <w:widowControl w:val="0"/>
      <w:spacing w:before="120" w:after="240"/>
      <w:jc w:val="both"/>
    </w:pPr>
    <w:rPr>
      <w:rFonts w:ascii="Trebuchet MS" w:hAnsi="Trebuchet MS" w:cs="Trebuchet MS"/>
      <w:sz w:val="22"/>
      <w:szCs w:val="22"/>
    </w:rPr>
  </w:style>
  <w:style w:type="character" w:customStyle="1" w:styleId="paraChar">
    <w:name w:val="para Char"/>
    <w:basedOn w:val="DefaultParagraphFont"/>
    <w:uiPriority w:val="99"/>
    <w:rsid w:val="00251027"/>
    <w:rPr>
      <w:rFonts w:ascii="Arial" w:eastAsia="MS Mincho" w:hAnsi="Arial" w:cs="Arial"/>
      <w:sz w:val="24"/>
      <w:szCs w:val="24"/>
      <w:lang w:val="en-US" w:eastAsia="en-US"/>
    </w:rPr>
  </w:style>
  <w:style w:type="paragraph" w:customStyle="1" w:styleId="Paragrafi">
    <w:name w:val="Paragrafi"/>
    <w:link w:val="ParagrafiChar"/>
    <w:uiPriority w:val="99"/>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uiPriority w:val="99"/>
    <w:locked/>
    <w:rsid w:val="00251027"/>
    <w:rPr>
      <w:rFonts w:ascii="CG Times" w:hAnsi="CG Times" w:cs="CG Times"/>
      <w:sz w:val="22"/>
      <w:szCs w:val="22"/>
      <w:lang w:val="en-US" w:eastAsia="en-US" w:bidi="ar-SA"/>
    </w:rPr>
  </w:style>
  <w:style w:type="paragraph" w:customStyle="1" w:styleId="ParagraphNumbering">
    <w:name w:val="Paragraph Numbering"/>
    <w:basedOn w:val="Normal"/>
    <w:uiPriority w:val="99"/>
    <w:rsid w:val="00251027"/>
    <w:pPr>
      <w:widowControl w:val="0"/>
      <w:tabs>
        <w:tab w:val="num" w:pos="720"/>
      </w:tabs>
      <w:spacing w:after="240"/>
      <w:ind w:left="720" w:hanging="720"/>
      <w:jc w:val="both"/>
    </w:pPr>
    <w:rPr>
      <w:rFonts w:ascii="CG Times" w:hAnsi="CG Times" w:cs="CG Times"/>
      <w:sz w:val="22"/>
      <w:szCs w:val="22"/>
    </w:rPr>
  </w:style>
  <w:style w:type="paragraph" w:customStyle="1" w:styleId="para-indent">
    <w:name w:val="para-indent"/>
    <w:basedOn w:val="para"/>
    <w:uiPriority w:val="99"/>
    <w:rsid w:val="00251027"/>
    <w:pPr>
      <w:ind w:left="720"/>
    </w:pPr>
  </w:style>
  <w:style w:type="paragraph" w:customStyle="1" w:styleId="Pas">
    <w:name w:val="Pas"/>
    <w:basedOn w:val="Normal"/>
    <w:uiPriority w:val="99"/>
    <w:rsid w:val="00251027"/>
    <w:pPr>
      <w:widowControl w:val="0"/>
    </w:pPr>
    <w:rPr>
      <w:rFonts w:ascii="CG Times" w:hAnsi="CG Times" w:cs="CG Times"/>
      <w:sz w:val="22"/>
      <w:szCs w:val="22"/>
    </w:rPr>
  </w:style>
  <w:style w:type="paragraph" w:customStyle="1" w:styleId="Pika">
    <w:name w:val="Pika"/>
    <w:next w:val="Normal"/>
    <w:autoRedefine/>
    <w:uiPriority w:val="99"/>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uiPriority w:val="99"/>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uiPriority w:val="99"/>
    <w:rsid w:val="00251027"/>
    <w:pPr>
      <w:keepNext/>
      <w:widowControl w:val="0"/>
      <w:jc w:val="center"/>
    </w:pPr>
    <w:rPr>
      <w:rFonts w:ascii="CG Times" w:hAnsi="CG Times" w:cs="CG Times"/>
      <w:caps/>
      <w:sz w:val="22"/>
      <w:szCs w:val="22"/>
      <w:lang w:eastAsia="en-US"/>
    </w:rPr>
  </w:style>
  <w:style w:type="paragraph" w:customStyle="1" w:styleId="PjesaTitull">
    <w:name w:val="Pjesa_Titull"/>
    <w:uiPriority w:val="99"/>
    <w:rsid w:val="00251027"/>
    <w:pPr>
      <w:keepNext/>
      <w:widowControl w:val="0"/>
      <w:jc w:val="center"/>
    </w:pPr>
    <w:rPr>
      <w:rFonts w:ascii="CG Times" w:hAnsi="CG Times" w:cs="CG Times"/>
      <w:caps/>
      <w:sz w:val="22"/>
      <w:szCs w:val="22"/>
      <w:lang w:eastAsia="en-US"/>
    </w:rPr>
  </w:style>
  <w:style w:type="paragraph" w:customStyle="1" w:styleId="Section">
    <w:name w:val="Section"/>
    <w:uiPriority w:val="99"/>
    <w:rsid w:val="00251027"/>
    <w:rPr>
      <w:rFonts w:ascii="Arial" w:hAnsi="Arial" w:cs="Arial"/>
      <w:kern w:val="32"/>
      <w:sz w:val="48"/>
      <w:szCs w:val="48"/>
      <w:lang w:val="en-US" w:eastAsia="en-US"/>
    </w:rPr>
  </w:style>
  <w:style w:type="paragraph" w:customStyle="1" w:styleId="SectionNUM">
    <w:name w:val="Section NUM"/>
    <w:next w:val="Heading1"/>
    <w:uiPriority w:val="99"/>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uiPriority w:val="99"/>
    <w:rsid w:val="00251027"/>
    <w:pPr>
      <w:widowControl w:val="0"/>
      <w:jc w:val="both"/>
    </w:pPr>
    <w:rPr>
      <w:rFonts w:ascii="CG Times" w:hAnsi="CG Times" w:cs="CG Times"/>
      <w:b/>
      <w:bCs/>
      <w:color w:val="000000"/>
      <w:sz w:val="22"/>
      <w:szCs w:val="22"/>
      <w:lang w:val="sq-AL" w:eastAsia="en-US"/>
    </w:rPr>
  </w:style>
  <w:style w:type="paragraph" w:customStyle="1" w:styleId="Style">
    <w:name w:val="Style"/>
    <w:uiPriority w:val="99"/>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uiPriority w:val="99"/>
    <w:rsid w:val="00251027"/>
    <w:pPr>
      <w:keepNext/>
      <w:widowControl w:val="0"/>
      <w:spacing w:before="240" w:after="60"/>
      <w:jc w:val="both"/>
    </w:pPr>
    <w:rPr>
      <w:rFonts w:ascii="Trebuchet MS" w:hAnsi="Trebuchet MS" w:cs="Trebuchet MS"/>
      <w:sz w:val="18"/>
      <w:szCs w:val="18"/>
    </w:rPr>
  </w:style>
  <w:style w:type="character" w:customStyle="1" w:styleId="StyleCaptionChar">
    <w:name w:val="Style Caption Char"/>
    <w:basedOn w:val="DefaultParagraphFont"/>
    <w:uiPriority w:val="99"/>
    <w:rsid w:val="00251027"/>
    <w:rPr>
      <w:rFonts w:ascii="Trebuchet MS" w:eastAsia="MS Mincho" w:hAnsi="Trebuchet MS" w:cs="Trebuchet MS"/>
      <w:sz w:val="18"/>
      <w:szCs w:val="18"/>
      <w:lang w:val="en-US" w:eastAsia="en-US"/>
    </w:rPr>
  </w:style>
  <w:style w:type="paragraph" w:customStyle="1" w:styleId="sub-list">
    <w:name w:val="sub-list"/>
    <w:uiPriority w:val="99"/>
    <w:rsid w:val="00251027"/>
    <w:pPr>
      <w:spacing w:before="60" w:after="120"/>
    </w:pPr>
    <w:rPr>
      <w:rFonts w:ascii="Arial" w:hAnsi="Arial" w:cs="Arial"/>
      <w:sz w:val="22"/>
      <w:szCs w:val="22"/>
      <w:lang w:val="en-US" w:eastAsia="en-US"/>
    </w:rPr>
  </w:style>
  <w:style w:type="paragraph" w:customStyle="1" w:styleId="tabela">
    <w:name w:val="tabela"/>
    <w:basedOn w:val="Normal"/>
    <w:uiPriority w:val="99"/>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uiPriority w:val="99"/>
    <w:rsid w:val="00251027"/>
    <w:rPr>
      <w:rFonts w:ascii="CG Times" w:hAnsi="CG Times" w:cs="CG Times"/>
      <w:sz w:val="22"/>
      <w:szCs w:val="22"/>
      <w:lang w:eastAsia="en-US"/>
    </w:rPr>
  </w:style>
  <w:style w:type="paragraph" w:customStyle="1" w:styleId="Table">
    <w:name w:val="Table"/>
    <w:basedOn w:val="Normal"/>
    <w:next w:val="BodyText"/>
    <w:autoRedefine/>
    <w:uiPriority w:val="99"/>
    <w:rsid w:val="00251027"/>
    <w:pPr>
      <w:keepNext/>
      <w:widowControl w:val="0"/>
      <w:tabs>
        <w:tab w:val="num" w:pos="1008"/>
      </w:tabs>
      <w:spacing w:before="360" w:after="240"/>
      <w:ind w:left="1008" w:hanging="1008"/>
      <w:jc w:val="both"/>
    </w:pPr>
    <w:rPr>
      <w:rFonts w:ascii="Trebuchet MS" w:hAnsi="Trebuchet MS" w:cs="Trebuchet MS"/>
      <w:b/>
      <w:bCs/>
      <w:sz w:val="22"/>
      <w:szCs w:val="22"/>
      <w:lang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uiPriority w:val="99"/>
    <w:locked/>
    <w:rsid w:val="00251027"/>
    <w:rPr>
      <w:sz w:val="24"/>
      <w:szCs w:val="24"/>
      <w:lang w:val="en-US" w:eastAsia="en-US"/>
    </w:rPr>
  </w:style>
  <w:style w:type="paragraph" w:customStyle="1" w:styleId="TableFootnote">
    <w:name w:val="Table Footnote"/>
    <w:basedOn w:val="Normal"/>
    <w:uiPriority w:val="99"/>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uiPriority w:val="99"/>
    <w:rsid w:val="00251027"/>
    <w:pPr>
      <w:spacing w:before="40" w:after="40"/>
      <w:jc w:val="both"/>
    </w:pPr>
    <w:rPr>
      <w:rFonts w:ascii="Trebuchet MS" w:hAnsi="Trebuchet MS" w:cs="Trebuchet MS"/>
      <w:sz w:val="18"/>
      <w:szCs w:val="18"/>
      <w:lang w:val="it-IT"/>
    </w:rPr>
  </w:style>
  <w:style w:type="paragraph" w:customStyle="1" w:styleId="text">
    <w:name w:val="text"/>
    <w:basedOn w:val="Normal"/>
    <w:uiPriority w:val="99"/>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uiPriority w:val="99"/>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uiPriority w:val="99"/>
    <w:rsid w:val="00251027"/>
    <w:rPr>
      <w:rFonts w:ascii="CG Times" w:eastAsia="MS Mincho" w:hAnsi="CG Times" w:cs="CG Times"/>
      <w:b/>
      <w:bCs/>
      <w:caps/>
      <w:sz w:val="22"/>
      <w:szCs w:val="22"/>
      <w:lang w:val="en-GB" w:eastAsia="en-US"/>
    </w:rPr>
  </w:style>
  <w:style w:type="paragraph" w:customStyle="1" w:styleId="TitulliNr">
    <w:name w:val="Titulli_Nr"/>
    <w:uiPriority w:val="99"/>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uiPriority w:val="99"/>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uiPriority w:val="99"/>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uiPriority w:val="99"/>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99"/>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99"/>
    <w:locked/>
    <w:rsid w:val="00251027"/>
    <w:rPr>
      <w:rFonts w:ascii="Cambria" w:hAnsi="Cambria" w:cs="Cambria"/>
      <w:i/>
      <w:iCs/>
      <w:spacing w:val="13"/>
      <w:sz w:val="24"/>
      <w:szCs w:val="24"/>
      <w:lang w:val="en-US" w:eastAsia="en-US"/>
    </w:rPr>
  </w:style>
  <w:style w:type="character" w:styleId="Strong">
    <w:name w:val="Strong"/>
    <w:basedOn w:val="DefaultParagraphFont"/>
    <w:uiPriority w:val="22"/>
    <w:qFormat/>
    <w:rsid w:val="00251027"/>
    <w:rPr>
      <w:b/>
      <w:bCs/>
    </w:rPr>
  </w:style>
  <w:style w:type="character" w:styleId="Emphasis">
    <w:name w:val="Emphasis"/>
    <w:basedOn w:val="DefaultParagraphFont"/>
    <w:uiPriority w:val="20"/>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uiPriority w:val="99"/>
    <w:rsid w:val="00251027"/>
    <w:pPr>
      <w:tabs>
        <w:tab w:val="center" w:pos="4680"/>
        <w:tab w:val="right" w:pos="9360"/>
      </w:tabs>
    </w:pPr>
  </w:style>
  <w:style w:type="character" w:customStyle="1" w:styleId="HeaderChar">
    <w:name w:val="Header Char"/>
    <w:basedOn w:val="DefaultParagraphFont"/>
    <w:link w:val="Header"/>
    <w:uiPriority w:val="99"/>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uiPriority w:val="99"/>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uiPriority w:val="99"/>
    <w:rsid w:val="00251027"/>
    <w:pPr>
      <w:shd w:val="clear" w:color="000000" w:fill="FFFFFF"/>
      <w:spacing w:before="100" w:beforeAutospacing="1" w:after="100" w:afterAutospacing="1"/>
      <w:jc w:val="center"/>
      <w:textAlignment w:val="center"/>
    </w:pPr>
  </w:style>
  <w:style w:type="paragraph" w:customStyle="1" w:styleId="xl69">
    <w:name w:val="xl69"/>
    <w:basedOn w:val="Normal"/>
    <w:uiPriority w:val="99"/>
    <w:rsid w:val="00251027"/>
    <w:pPr>
      <w:shd w:val="clear" w:color="000000" w:fill="FFFFFF"/>
      <w:spacing w:before="100" w:beforeAutospacing="1" w:after="100" w:afterAutospacing="1"/>
      <w:jc w:val="center"/>
      <w:textAlignment w:val="center"/>
    </w:pPr>
  </w:style>
  <w:style w:type="paragraph" w:customStyle="1" w:styleId="xl70">
    <w:name w:val="xl70"/>
    <w:basedOn w:val="Normal"/>
    <w:uiPriority w:val="99"/>
    <w:rsid w:val="00251027"/>
    <w:pPr>
      <w:shd w:val="clear" w:color="000000" w:fill="FFFFFF"/>
      <w:spacing w:before="100" w:beforeAutospacing="1" w:after="100" w:afterAutospacing="1"/>
      <w:textAlignment w:val="center"/>
    </w:pPr>
  </w:style>
  <w:style w:type="paragraph" w:customStyle="1" w:styleId="xl71">
    <w:name w:val="xl7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uiPriority w:val="99"/>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uiPriority w:val="99"/>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uiPriority w:val="99"/>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uiPriority w:val="99"/>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uiPriority w:val="99"/>
    <w:rsid w:val="00251027"/>
  </w:style>
  <w:style w:type="character" w:customStyle="1" w:styleId="longtext">
    <w:name w:val="long_text"/>
    <w:basedOn w:val="DefaultParagraphFont"/>
    <w:uiPriority w:val="99"/>
    <w:rsid w:val="00251027"/>
  </w:style>
  <w:style w:type="paragraph" w:styleId="FootnoteText">
    <w:name w:val="footnote text"/>
    <w:basedOn w:val="Normal"/>
    <w:link w:val="FootnoteTextChar"/>
    <w:semiHidden/>
    <w:rsid w:val="00251027"/>
    <w:rPr>
      <w:sz w:val="20"/>
      <w:szCs w:val="20"/>
    </w:rPr>
  </w:style>
  <w:style w:type="character" w:customStyle="1" w:styleId="FootnoteTextChar">
    <w:name w:val="Footnote Text Char"/>
    <w:basedOn w:val="DefaultParagraphFont"/>
    <w:link w:val="FootnoteText"/>
    <w:uiPriority w:val="99"/>
    <w:semiHidden/>
    <w:rsid w:val="00DC2205"/>
    <w:rPr>
      <w:sz w:val="20"/>
      <w:szCs w:val="20"/>
    </w:rPr>
  </w:style>
  <w:style w:type="character" w:styleId="FootnoteReference">
    <w:name w:val="footnote reference"/>
    <w:basedOn w:val="DefaultParagraphFont"/>
    <w:semiHidden/>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rsid w:val="00251027"/>
    <w:rPr>
      <w:rFonts w:ascii="Lucida Grande" w:hAnsi="Lucida Grande" w:cs="Lucida Grande"/>
      <w:sz w:val="18"/>
      <w:szCs w:val="18"/>
    </w:rPr>
  </w:style>
  <w:style w:type="character" w:customStyle="1" w:styleId="BalloonTextChar">
    <w:name w:val="Balloon Text Char"/>
    <w:basedOn w:val="DefaultParagraphFont"/>
    <w:link w:val="BalloonText"/>
    <w:locked/>
    <w:rsid w:val="00251027"/>
    <w:rPr>
      <w:rFonts w:ascii="Lucida Grande" w:hAnsi="Lucida Grande" w:cs="Lucida Grande"/>
      <w:sz w:val="18"/>
      <w:szCs w:val="18"/>
    </w:rPr>
  </w:style>
  <w:style w:type="paragraph" w:customStyle="1" w:styleId="Char">
    <w:name w:val="Char"/>
    <w:basedOn w:val="Normal"/>
    <w:uiPriority w:val="99"/>
    <w:rsid w:val="00251027"/>
    <w:pPr>
      <w:spacing w:after="160" w:line="240" w:lineRule="exact"/>
    </w:pPr>
    <w:rPr>
      <w:rFonts w:ascii="Tahoma" w:hAnsi="Tahoma" w:cs="Tahoma"/>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noProof w:val="0"/>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uiPriority w:val="34"/>
    <w:qFormat/>
    <w:rsid w:val="00AC76A2"/>
    <w:pPr>
      <w:spacing w:after="200" w:line="276" w:lineRule="auto"/>
      <w:ind w:left="720"/>
      <w:contextualSpacing/>
    </w:pPr>
    <w:rPr>
      <w:rFonts w:ascii="Calibri" w:eastAsia="Times New Roman" w:hAnsi="Calibri"/>
      <w:sz w:val="22"/>
      <w:szCs w:val="22"/>
    </w:rPr>
  </w:style>
  <w:style w:type="paragraph" w:styleId="NoSpacing">
    <w:name w:val="No Spacing"/>
    <w:qFormat/>
    <w:rsid w:val="00AC76A2"/>
    <w:rPr>
      <w:rFonts w:eastAsia="Times New Roman"/>
      <w:sz w:val="24"/>
      <w:szCs w:val="22"/>
      <w:lang w:val="en-US" w:eastAsia="en-US"/>
    </w:rPr>
  </w:style>
  <w:style w:type="character" w:customStyle="1" w:styleId="TitulliChar">
    <w:name w:val="Titulli Char"/>
    <w:basedOn w:val="DefaultParagraphFont"/>
    <w:link w:val="Titulli"/>
    <w:uiPriority w:val="99"/>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basedOn w:val="DefaultParagraphFont"/>
    <w:uiPriority w:val="99"/>
    <w:unhideWhenUsed/>
    <w:rsid w:val="00AC76A2"/>
    <w:rPr>
      <w:color w:val="0000FF"/>
      <w:u w:val="single"/>
    </w:rPr>
  </w:style>
  <w:style w:type="character" w:customStyle="1" w:styleId="NeniNrChar">
    <w:name w:val="Neni_Nr Char"/>
    <w:basedOn w:val="DefaultParagraphFont"/>
    <w:link w:val="NeniNr"/>
    <w:uiPriority w:val="99"/>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uiPriority w:val="99"/>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link w:val="BodyText2Char"/>
    <w:rsid w:val="00AC76A2"/>
    <w:pPr>
      <w:jc w:val="center"/>
    </w:pPr>
    <w:rPr>
      <w:rFonts w:ascii="Arial" w:eastAsia="Times New Roman" w:hAnsi="Arial"/>
      <w:b/>
      <w:caps/>
      <w:noProof w:val="0"/>
      <w:sz w:val="28"/>
      <w:szCs w:val="20"/>
      <w:lang w:eastAsia="x-none"/>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rPr>
  </w:style>
  <w:style w:type="paragraph" w:customStyle="1" w:styleId="Normal0">
    <w:name w:val="[Normal]"/>
    <w:rsid w:val="0095190A"/>
    <w:pPr>
      <w:autoSpaceDE w:val="0"/>
      <w:autoSpaceDN w:val="0"/>
      <w:adjustRightInd w:val="0"/>
    </w:pPr>
    <w:rPr>
      <w:rFonts w:ascii="Arial" w:hAnsi="Arial" w:cs="Arial"/>
      <w:sz w:val="24"/>
      <w:szCs w:val="24"/>
      <w:lang w:val="en-US" w:eastAsia="en-US"/>
    </w:rPr>
  </w:style>
  <w:style w:type="paragraph" w:customStyle="1" w:styleId="a0">
    <w:name w:val="a0"/>
    <w:basedOn w:val="Normal"/>
    <w:rsid w:val="0095190A"/>
    <w:pPr>
      <w:spacing w:before="100" w:beforeAutospacing="1" w:after="100" w:afterAutospacing="1"/>
      <w:jc w:val="center"/>
    </w:pPr>
  </w:style>
  <w:style w:type="paragraph" w:customStyle="1" w:styleId="a1">
    <w:name w:val="a1"/>
    <w:basedOn w:val="Normal"/>
    <w:rsid w:val="0095190A"/>
    <w:pPr>
      <w:spacing w:before="100" w:beforeAutospacing="1" w:after="100" w:afterAutospacing="1"/>
    </w:pPr>
  </w:style>
  <w:style w:type="paragraph" w:customStyle="1" w:styleId="a2">
    <w:name w:val="a2"/>
    <w:basedOn w:val="Normal"/>
    <w:rsid w:val="0095190A"/>
    <w:pPr>
      <w:spacing w:before="100" w:beforeAutospacing="1" w:after="100" w:afterAutospacing="1"/>
      <w:jc w:val="both"/>
    </w:p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eastAsia="de-DE"/>
    </w:rPr>
  </w:style>
  <w:style w:type="paragraph" w:customStyle="1" w:styleId="anrede">
    <w:name w:val="anrede"/>
    <w:basedOn w:val="Normal"/>
    <w:next w:val="Normal"/>
    <w:rsid w:val="0095190A"/>
    <w:pPr>
      <w:spacing w:after="240" w:line="360" w:lineRule="atLeast"/>
      <w:jc w:val="both"/>
    </w:pPr>
    <w:rPr>
      <w:rFonts w:ascii="Arial" w:hAnsi="Arial"/>
      <w:szCs w:val="20"/>
      <w:lang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eastAsia="de-DE"/>
    </w:rPr>
  </w:style>
  <w:style w:type="paragraph" w:customStyle="1" w:styleId="Normal115pt">
    <w:name w:val="Normal + 11.5 pt"/>
    <w:aliases w:val="Black,Justified"/>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style>
  <w:style w:type="paragraph" w:customStyle="1" w:styleId="bodytext212pt">
    <w:name w:val="bodytext212pt"/>
    <w:basedOn w:val="Normal"/>
    <w:rsid w:val="0095190A"/>
    <w:pPr>
      <w:spacing w:before="100" w:beforeAutospacing="1" w:after="100" w:afterAutospacing="1"/>
    </w:pPr>
    <w:rPr>
      <w:rFonts w:ascii="Arial Unicode MS" w:eastAsia="Arial Unicode MS" w:hAnsi="Arial Unicode MS" w:cs="Arial Unicode MS"/>
    </w:rPr>
  </w:style>
  <w:style w:type="character" w:styleId="BookTitle">
    <w:name w:val="Book Title"/>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style>
  <w:style w:type="paragraph" w:customStyle="1" w:styleId="ColorfulList-Accent12">
    <w:name w:val="Colorful List - Accent 12"/>
    <w:basedOn w:val="Normal"/>
    <w:qFormat/>
    <w:rsid w:val="0095190A"/>
    <w:pPr>
      <w:ind w:left="720"/>
    </w:pPr>
    <w:rPr>
      <w:lang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eastAsia="de-DE"/>
    </w:rPr>
  </w:style>
  <w:style w:type="paragraph" w:customStyle="1" w:styleId="Einrckung2">
    <w:name w:val="Einrückung 2"/>
    <w:basedOn w:val="Normal"/>
    <w:rsid w:val="0095190A"/>
    <w:pPr>
      <w:spacing w:line="360" w:lineRule="atLeast"/>
      <w:ind w:left="1701" w:hanging="851"/>
    </w:pPr>
    <w:rPr>
      <w:rFonts w:ascii="Arial" w:hAnsi="Arial"/>
      <w:szCs w:val="20"/>
      <w:lang w:eastAsia="de-DE"/>
    </w:rPr>
  </w:style>
  <w:style w:type="paragraph" w:customStyle="1" w:styleId="Einrckung3">
    <w:name w:val="Einrückung 3"/>
    <w:basedOn w:val="Normal"/>
    <w:rsid w:val="0095190A"/>
    <w:pPr>
      <w:spacing w:line="360" w:lineRule="atLeast"/>
      <w:ind w:left="2552" w:hanging="851"/>
    </w:pPr>
    <w:rPr>
      <w:rFonts w:ascii="Arial" w:hAnsi="Arial"/>
      <w:szCs w:val="20"/>
      <w:lang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eastAsia="en-US"/>
    </w:rPr>
  </w:style>
  <w:style w:type="character" w:styleId="IntenseEmphasis">
    <w:name w:val="Intense Emphasis"/>
    <w:qFormat/>
    <w:rsid w:val="0095190A"/>
    <w:rPr>
      <w:b/>
      <w:bCs/>
    </w:rPr>
  </w:style>
  <w:style w:type="paragraph" w:styleId="IntenseQuote">
    <w:name w:val="Intense Quote"/>
    <w:basedOn w:val="Normal"/>
    <w:next w:val="Normal"/>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qFormat/>
    <w:rsid w:val="0095190A"/>
    <w:rPr>
      <w:smallCaps/>
      <w:spacing w:val="5"/>
      <w:u w:val="single"/>
    </w:rPr>
  </w:style>
  <w:style w:type="paragraph" w:customStyle="1" w:styleId="JuPara">
    <w:name w:val="Ju_Para"/>
    <w:basedOn w:val="Normal"/>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eastAsia="de-DE"/>
    </w:rPr>
  </w:style>
  <w:style w:type="paragraph" w:customStyle="1" w:styleId="Style1">
    <w:name w:val="Style 1"/>
    <w:rsid w:val="0095190A"/>
    <w:pPr>
      <w:widowControl w:val="0"/>
      <w:autoSpaceDE w:val="0"/>
      <w:autoSpaceDN w:val="0"/>
      <w:adjustRightInd w:val="0"/>
    </w:pPr>
    <w:rPr>
      <w:rFonts w:eastAsia="SimSun"/>
      <w:lang w:val="en-US"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val="en-US" w:eastAsia="zh-CN"/>
    </w:rPr>
  </w:style>
  <w:style w:type="paragraph" w:customStyle="1" w:styleId="style5">
    <w:name w:val="style5"/>
    <w:basedOn w:val="Normal"/>
    <w:rsid w:val="0095190A"/>
    <w:pPr>
      <w:spacing w:before="100" w:beforeAutospacing="1" w:after="100" w:afterAutospacing="1"/>
    </w:pPr>
  </w:style>
  <w:style w:type="character" w:styleId="SubtleEmphasis">
    <w:name w:val="Subtle Emphasis"/>
    <w:qFormat/>
    <w:rsid w:val="0095190A"/>
    <w:rPr>
      <w:i/>
      <w:iCs/>
    </w:rPr>
  </w:style>
  <w:style w:type="character" w:styleId="SubtleReference">
    <w:name w:val="Subtle Reference"/>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eastAsia="de-DE"/>
    </w:rPr>
  </w:style>
  <w:style w:type="paragraph" w:styleId="TOCHeading">
    <w:name w:val="TOC Heading"/>
    <w:basedOn w:val="Heading1"/>
    <w:next w:val="Normal"/>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rsid w:val="0095190A"/>
    <w:pPr>
      <w:spacing w:after="120"/>
    </w:pPr>
    <w:rPr>
      <w:sz w:val="16"/>
      <w:szCs w:val="16"/>
      <w:lang w:val="en-GB"/>
    </w:rPr>
  </w:style>
  <w:style w:type="paragraph" w:styleId="BodyTextIndent">
    <w:name w:val="Body Text Indent"/>
    <w:basedOn w:val="Normal"/>
    <w:rsid w:val="0095190A"/>
    <w:pPr>
      <w:spacing w:after="120"/>
      <w:ind w:left="360"/>
    </w:pPr>
    <w:rPr>
      <w:sz w:val="20"/>
      <w:szCs w:val="20"/>
      <w:lang w:val="en-GB"/>
    </w:rPr>
  </w:style>
  <w:style w:type="character" w:styleId="CommentReference">
    <w:name w:val="annotation reference"/>
    <w:unhideWhenUsed/>
    <w:rsid w:val="0095190A"/>
    <w:rPr>
      <w:sz w:val="16"/>
      <w:szCs w:val="16"/>
    </w:rPr>
  </w:style>
  <w:style w:type="paragraph" w:styleId="CommentText">
    <w:name w:val="annotation text"/>
    <w:basedOn w:val="Normal"/>
    <w:link w:val="CommentTextChar"/>
    <w:unhideWhenUsed/>
    <w:rsid w:val="0095190A"/>
    <w:pPr>
      <w:spacing w:after="200" w:line="276" w:lineRule="auto"/>
    </w:pPr>
    <w:rPr>
      <w:rFonts w:ascii="Calibri" w:hAnsi="Calibri"/>
      <w:noProof w:val="0"/>
      <w:sz w:val="20"/>
      <w:szCs w:val="20"/>
      <w:lang w:eastAsia="x-none"/>
    </w:rPr>
  </w:style>
  <w:style w:type="paragraph" w:styleId="CommentSubject">
    <w:name w:val="annotation subject"/>
    <w:basedOn w:val="CommentText"/>
    <w:next w:val="CommentText"/>
    <w:link w:val="CommentSubjectChar"/>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styleId="EndnoteText">
    <w:name w:val="endnote text"/>
    <w:basedOn w:val="Normal"/>
    <w:semiHidden/>
    <w:unhideWhenUsed/>
    <w:rsid w:val="00CA38C3"/>
    <w:rPr>
      <w:rFonts w:ascii="Tahoma" w:eastAsia="Times New Roman" w:hAnsi="Tahoma" w:cs="Tahoma"/>
      <w:sz w:val="20"/>
      <w:szCs w:val="20"/>
    </w:rPr>
  </w:style>
  <w:style w:type="character" w:styleId="EndnoteReference">
    <w:name w:val="endnote reference"/>
    <w:semiHidden/>
    <w:unhideWhenUsed/>
    <w:rsid w:val="00CA38C3"/>
    <w:rPr>
      <w:vertAlign w:val="superscript"/>
    </w:rPr>
  </w:style>
  <w:style w:type="character" w:customStyle="1" w:styleId="AutoritetiChar">
    <w:name w:val="Autoriteti Char"/>
    <w:basedOn w:val="DefaultParagraphFont"/>
    <w:link w:val="Autoriteti"/>
    <w:uiPriority w:val="99"/>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uiPriority w:val="99"/>
    <w:rsid w:val="00CA38C3"/>
    <w:rPr>
      <w:rFonts w:ascii="CG Times" w:hAnsi="CG Times" w:cs="CG Times"/>
      <w:b/>
      <w:bCs/>
      <w:caps/>
      <w:color w:val="000000"/>
      <w:sz w:val="22"/>
      <w:szCs w:val="22"/>
      <w:lang w:val="en-GB" w:eastAsia="en-US" w:bidi="ar-SA"/>
    </w:rPr>
  </w:style>
  <w:style w:type="character" w:customStyle="1" w:styleId="CommentTextChar">
    <w:name w:val="Comment Text Char"/>
    <w:link w:val="CommentText"/>
    <w:rsid w:val="00EE0A44"/>
    <w:rPr>
      <w:rFonts w:ascii="Calibri" w:hAnsi="Calibri"/>
      <w:lang w:val="sq-AL"/>
    </w:rPr>
  </w:style>
  <w:style w:type="character" w:customStyle="1" w:styleId="CommentSubjectChar">
    <w:name w:val="Comment Subject Char"/>
    <w:link w:val="CommentSubject"/>
    <w:rsid w:val="00EE0A44"/>
    <w:rPr>
      <w:rFonts w:ascii="Calibri" w:hAnsi="Calibri"/>
      <w:b/>
      <w:bCs/>
      <w:lang w:val="sq-AL"/>
    </w:rPr>
  </w:style>
  <w:style w:type="paragraph" w:customStyle="1" w:styleId="CM49">
    <w:name w:val="CM49"/>
    <w:basedOn w:val="Normal"/>
    <w:next w:val="Normal"/>
    <w:rsid w:val="001769AC"/>
    <w:pPr>
      <w:widowControl w:val="0"/>
      <w:autoSpaceDE w:val="0"/>
      <w:autoSpaceDN w:val="0"/>
      <w:adjustRightInd w:val="0"/>
      <w:spacing w:after="270"/>
    </w:pPr>
    <w:rPr>
      <w:rFonts w:ascii="Helvetica" w:eastAsia="Times New Roman" w:hAnsi="Helvetica" w:cs="Helvetica"/>
    </w:rPr>
  </w:style>
  <w:style w:type="paragraph" w:customStyle="1" w:styleId="CM56">
    <w:name w:val="CM56"/>
    <w:basedOn w:val="Normal"/>
    <w:next w:val="Normal"/>
    <w:rsid w:val="001769AC"/>
    <w:pPr>
      <w:widowControl w:val="0"/>
      <w:autoSpaceDE w:val="0"/>
      <w:autoSpaceDN w:val="0"/>
      <w:adjustRightInd w:val="0"/>
      <w:spacing w:after="1000"/>
    </w:pPr>
    <w:rPr>
      <w:rFonts w:ascii="Helvetica" w:eastAsia="Times New Roman" w:hAnsi="Helvetica" w:cs="Helvetica"/>
    </w:rPr>
  </w:style>
  <w:style w:type="paragraph" w:customStyle="1" w:styleId="CM6">
    <w:name w:val="CM6"/>
    <w:basedOn w:val="Default"/>
    <w:next w:val="Default"/>
    <w:rsid w:val="001769AC"/>
    <w:pPr>
      <w:widowControl w:val="0"/>
    </w:pPr>
    <w:rPr>
      <w:rFonts w:ascii="Helvetica" w:eastAsia="Times New Roman" w:hAnsi="Helvetica" w:cs="Helvetica"/>
      <w:color w:val="auto"/>
    </w:rPr>
  </w:style>
  <w:style w:type="paragraph" w:customStyle="1" w:styleId="CM57">
    <w:name w:val="CM57"/>
    <w:basedOn w:val="Normal"/>
    <w:next w:val="Normal"/>
    <w:rsid w:val="001769AC"/>
    <w:pPr>
      <w:widowControl w:val="0"/>
      <w:autoSpaceDE w:val="0"/>
      <w:autoSpaceDN w:val="0"/>
      <w:adjustRightInd w:val="0"/>
      <w:spacing w:after="113"/>
    </w:pPr>
    <w:rPr>
      <w:rFonts w:ascii="Helvetica" w:eastAsia="Times New Roman" w:hAnsi="Helvetica" w:cs="Helvetica"/>
    </w:rPr>
  </w:style>
  <w:style w:type="paragraph" w:customStyle="1" w:styleId="CM11">
    <w:name w:val="CM11"/>
    <w:basedOn w:val="Normal"/>
    <w:next w:val="Normal"/>
    <w:rsid w:val="001769AC"/>
    <w:pPr>
      <w:widowControl w:val="0"/>
      <w:autoSpaceDE w:val="0"/>
      <w:autoSpaceDN w:val="0"/>
      <w:adjustRightInd w:val="0"/>
      <w:spacing w:line="253" w:lineRule="atLeast"/>
    </w:pPr>
    <w:rPr>
      <w:rFonts w:ascii="Helvetica" w:eastAsia="Times New Roman" w:hAnsi="Helvetica" w:cs="Helvetica"/>
    </w:rPr>
  </w:style>
  <w:style w:type="paragraph" w:styleId="TOC1">
    <w:name w:val="toc 1"/>
    <w:basedOn w:val="Normal"/>
    <w:next w:val="Normal"/>
    <w:autoRedefine/>
    <w:semiHidden/>
    <w:rsid w:val="001769AC"/>
    <w:pPr>
      <w:spacing w:before="120" w:after="120"/>
    </w:pPr>
    <w:rPr>
      <w:rFonts w:eastAsia="Times New Roman"/>
      <w:b/>
      <w:caps/>
      <w:sz w:val="20"/>
      <w:szCs w:val="20"/>
    </w:rPr>
  </w:style>
  <w:style w:type="paragraph" w:styleId="TOC2">
    <w:name w:val="toc 2"/>
    <w:basedOn w:val="Normal"/>
    <w:next w:val="Normal"/>
    <w:autoRedefine/>
    <w:semiHidden/>
    <w:rsid w:val="001769AC"/>
    <w:pPr>
      <w:tabs>
        <w:tab w:val="left" w:pos="540"/>
        <w:tab w:val="right" w:leader="dot" w:pos="9090"/>
      </w:tabs>
      <w:spacing w:before="100" w:after="100"/>
    </w:pPr>
    <w:rPr>
      <w:rFonts w:ascii="Arial" w:eastAsia="Times New Roman" w:hAnsi="Arial" w:cs="Arial"/>
      <w:smallCaps/>
      <w:sz w:val="22"/>
      <w:szCs w:val="22"/>
    </w:rPr>
  </w:style>
  <w:style w:type="paragraph" w:styleId="TOC4">
    <w:name w:val="toc 4"/>
    <w:basedOn w:val="Normal"/>
    <w:next w:val="Normal"/>
    <w:autoRedefine/>
    <w:semiHidden/>
    <w:rsid w:val="001769AC"/>
    <w:pPr>
      <w:ind w:left="660"/>
    </w:pPr>
    <w:rPr>
      <w:rFonts w:eastAsia="Times New Roman"/>
      <w:sz w:val="18"/>
      <w:szCs w:val="20"/>
    </w:rPr>
  </w:style>
  <w:style w:type="paragraph" w:customStyle="1" w:styleId="note">
    <w:name w:val="note"/>
    <w:rsid w:val="001769AC"/>
    <w:pPr>
      <w:spacing w:after="220"/>
      <w:ind w:left="864" w:right="288"/>
    </w:pPr>
    <w:rPr>
      <w:rFonts w:ascii="Arial Narrow" w:eastAsia="Times New Roman" w:hAnsi="Arial Narrow"/>
      <w:i/>
      <w:sz w:val="22"/>
      <w:lang w:val="en-US" w:eastAsia="en-US"/>
    </w:rPr>
  </w:style>
  <w:style w:type="paragraph" w:customStyle="1" w:styleId="StyleHeading6Bold">
    <w:name w:val="Style Heading 6 + Bold"/>
    <w:basedOn w:val="Heading6"/>
    <w:link w:val="StyleHeading6BoldChar"/>
    <w:rsid w:val="001769AC"/>
    <w:pPr>
      <w:numPr>
        <w:ilvl w:val="5"/>
      </w:numPr>
      <w:spacing w:after="220" w:line="240" w:lineRule="auto"/>
      <w:ind w:left="1800" w:hanging="504"/>
    </w:pPr>
    <w:rPr>
      <w:rFonts w:ascii="Arial Narrow" w:eastAsia="Times New Roman" w:hAnsi="Arial Narrow" w:cs="Times New Roman"/>
      <w:i w:val="0"/>
      <w:iCs w:val="0"/>
      <w:noProof w:val="0"/>
      <w:color w:val="auto"/>
      <w:sz w:val="22"/>
      <w:szCs w:val="22"/>
      <w:lang w:val="x-none" w:eastAsia="x-none"/>
    </w:rPr>
  </w:style>
  <w:style w:type="character" w:customStyle="1" w:styleId="StyleHeading6BoldChar">
    <w:name w:val="Style Heading 6 + Bold Char"/>
    <w:link w:val="StyleHeading6Bold"/>
    <w:rsid w:val="001769AC"/>
    <w:rPr>
      <w:rFonts w:ascii="Arial Narrow" w:eastAsia="Times New Roman" w:hAnsi="Arial Narrow"/>
      <w:b/>
      <w:bCs/>
      <w:sz w:val="22"/>
      <w:szCs w:val="22"/>
      <w:lang w:val="x-none" w:eastAsia="x-none"/>
    </w:rPr>
  </w:style>
  <w:style w:type="paragraph" w:customStyle="1" w:styleId="tableheaders">
    <w:name w:val="table headers"/>
    <w:rsid w:val="001769AC"/>
    <w:rPr>
      <w:rFonts w:ascii="Arial Narrow" w:eastAsia="Times New Roman" w:hAnsi="Arial Narrow"/>
      <w:b/>
      <w:sz w:val="22"/>
      <w:lang w:val="en-US" w:eastAsia="en-US"/>
    </w:rPr>
  </w:style>
  <w:style w:type="paragraph" w:customStyle="1" w:styleId="tablebody">
    <w:name w:val="table body"/>
    <w:basedOn w:val="tableheaders"/>
    <w:rsid w:val="001769AC"/>
    <w:rPr>
      <w:b w:val="0"/>
    </w:rPr>
  </w:style>
  <w:style w:type="paragraph" w:styleId="PlainText">
    <w:name w:val="Plain Text"/>
    <w:basedOn w:val="Normal"/>
    <w:link w:val="PlainTextChar"/>
    <w:uiPriority w:val="99"/>
    <w:unhideWhenUsed/>
    <w:rsid w:val="001769AC"/>
    <w:rPr>
      <w:rFonts w:ascii="Consolas" w:eastAsia="Calibri" w:hAnsi="Consolas"/>
      <w:sz w:val="21"/>
      <w:szCs w:val="21"/>
      <w:lang w:val="x-none" w:eastAsia="x-none"/>
    </w:rPr>
  </w:style>
  <w:style w:type="character" w:customStyle="1" w:styleId="PlainTextChar">
    <w:name w:val="Plain Text Char"/>
    <w:basedOn w:val="DefaultParagraphFont"/>
    <w:link w:val="PlainText"/>
    <w:uiPriority w:val="99"/>
    <w:rsid w:val="001769AC"/>
    <w:rPr>
      <w:rFonts w:ascii="Consolas" w:eastAsia="Calibri" w:hAnsi="Consolas"/>
      <w:sz w:val="21"/>
      <w:szCs w:val="21"/>
      <w:lang w:val="x-none" w:eastAsia="x-none"/>
    </w:rPr>
  </w:style>
  <w:style w:type="paragraph" w:customStyle="1" w:styleId="Style10">
    <w:name w:val="Style1"/>
    <w:basedOn w:val="Normal"/>
    <w:qFormat/>
    <w:rsid w:val="001769AC"/>
    <w:pPr>
      <w:jc w:val="center"/>
    </w:pPr>
    <w:rPr>
      <w:rFonts w:eastAsia="Times New Roman" w:cs="Arial"/>
      <w:b/>
      <w:szCs w:val="22"/>
    </w:rPr>
  </w:style>
  <w:style w:type="paragraph" w:customStyle="1" w:styleId="StyleStyle1Bold">
    <w:name w:val="Style Style1 + Bold"/>
    <w:basedOn w:val="Style10"/>
    <w:rsid w:val="001769AC"/>
    <w:rPr>
      <w:b w:val="0"/>
      <w:bCs/>
    </w:rPr>
  </w:style>
  <w:style w:type="character" w:customStyle="1" w:styleId="BodyText2Char">
    <w:name w:val="Body Text 2 Char"/>
    <w:link w:val="BodyText2"/>
    <w:rsid w:val="001769AC"/>
    <w:rPr>
      <w:rFonts w:ascii="Arial" w:eastAsia="Times New Roman" w:hAnsi="Arial"/>
      <w:b/>
      <w:caps/>
      <w:sz w:val="28"/>
      <w:lang w:val="sq-AL"/>
    </w:rPr>
  </w:style>
  <w:style w:type="paragraph" w:styleId="DocumentMap">
    <w:name w:val="Document Map"/>
    <w:basedOn w:val="Normal"/>
    <w:link w:val="DocumentMapChar"/>
    <w:rsid w:val="001769AC"/>
    <w:rPr>
      <w:rFonts w:ascii="Tahoma" w:eastAsia="Times New Roman" w:hAnsi="Tahoma" w:cs="Tahoma"/>
      <w:sz w:val="16"/>
      <w:szCs w:val="16"/>
    </w:rPr>
  </w:style>
  <w:style w:type="character" w:customStyle="1" w:styleId="DocumentMapChar">
    <w:name w:val="Document Map Char"/>
    <w:basedOn w:val="DefaultParagraphFont"/>
    <w:link w:val="DocumentMap"/>
    <w:rsid w:val="001769AC"/>
    <w:rPr>
      <w:rFonts w:ascii="Tahoma" w:eastAsia="Times New Roman" w:hAnsi="Tahoma" w:cs="Tahoma"/>
      <w:sz w:val="16"/>
      <w:szCs w:val="16"/>
      <w:lang w:val="sq-AL"/>
    </w:rPr>
  </w:style>
  <w:style w:type="paragraph" w:styleId="BlockText">
    <w:name w:val="Block Text"/>
    <w:basedOn w:val="Normal"/>
    <w:rsid w:val="001769AC"/>
    <w:pPr>
      <w:widowControl w:val="0"/>
      <w:autoSpaceDE w:val="0"/>
      <w:autoSpaceDN w:val="0"/>
      <w:adjustRightInd w:val="0"/>
      <w:spacing w:before="228" w:line="280" w:lineRule="exact"/>
      <w:ind w:left="1800" w:right="32"/>
      <w:jc w:val="center"/>
    </w:pPr>
    <w:rPr>
      <w:rFonts w:ascii="Bookman Old Style" w:eastAsia="Times New Roman" w:hAnsi="Bookman Old Style"/>
      <w:color w:val="000000"/>
      <w:spacing w:val="-3"/>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936298">
      <w:bodyDiv w:val="1"/>
      <w:marLeft w:val="0"/>
      <w:marRight w:val="0"/>
      <w:marTop w:val="0"/>
      <w:marBottom w:val="0"/>
      <w:divBdr>
        <w:top w:val="none" w:sz="0" w:space="0" w:color="auto"/>
        <w:left w:val="none" w:sz="0" w:space="0" w:color="auto"/>
        <w:bottom w:val="none" w:sz="0" w:space="0" w:color="auto"/>
        <w:right w:val="none" w:sz="0" w:space="0" w:color="auto"/>
      </w:divBdr>
    </w:div>
    <w:div w:id="116224147">
      <w:bodyDiv w:val="1"/>
      <w:marLeft w:val="0"/>
      <w:marRight w:val="0"/>
      <w:marTop w:val="0"/>
      <w:marBottom w:val="0"/>
      <w:divBdr>
        <w:top w:val="none" w:sz="0" w:space="0" w:color="auto"/>
        <w:left w:val="none" w:sz="0" w:space="0" w:color="auto"/>
        <w:bottom w:val="none" w:sz="0" w:space="0" w:color="auto"/>
        <w:right w:val="none" w:sz="0" w:space="0" w:color="auto"/>
      </w:divBdr>
      <w:divsChild>
        <w:div w:id="46532335">
          <w:marLeft w:val="0"/>
          <w:marRight w:val="0"/>
          <w:marTop w:val="0"/>
          <w:marBottom w:val="0"/>
          <w:divBdr>
            <w:top w:val="none" w:sz="0" w:space="0" w:color="auto"/>
            <w:left w:val="none" w:sz="0" w:space="0" w:color="auto"/>
            <w:bottom w:val="none" w:sz="0" w:space="0" w:color="auto"/>
            <w:right w:val="none" w:sz="0" w:space="0" w:color="auto"/>
          </w:divBdr>
        </w:div>
      </w:divsChild>
    </w:div>
    <w:div w:id="437024673">
      <w:bodyDiv w:val="1"/>
      <w:marLeft w:val="0"/>
      <w:marRight w:val="0"/>
      <w:marTop w:val="0"/>
      <w:marBottom w:val="0"/>
      <w:divBdr>
        <w:top w:val="none" w:sz="0" w:space="0" w:color="auto"/>
        <w:left w:val="none" w:sz="0" w:space="0" w:color="auto"/>
        <w:bottom w:val="none" w:sz="0" w:space="0" w:color="auto"/>
        <w:right w:val="none" w:sz="0" w:space="0" w:color="auto"/>
      </w:divBdr>
    </w:div>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733239291">
      <w:bodyDiv w:val="1"/>
      <w:marLeft w:val="0"/>
      <w:marRight w:val="0"/>
      <w:marTop w:val="0"/>
      <w:marBottom w:val="0"/>
      <w:divBdr>
        <w:top w:val="none" w:sz="0" w:space="0" w:color="auto"/>
        <w:left w:val="none" w:sz="0" w:space="0" w:color="auto"/>
        <w:bottom w:val="none" w:sz="0" w:space="0" w:color="auto"/>
        <w:right w:val="none" w:sz="0" w:space="0" w:color="auto"/>
      </w:divBdr>
    </w:div>
    <w:div w:id="772821320">
      <w:bodyDiv w:val="1"/>
      <w:marLeft w:val="0"/>
      <w:marRight w:val="0"/>
      <w:marTop w:val="0"/>
      <w:marBottom w:val="0"/>
      <w:divBdr>
        <w:top w:val="none" w:sz="0" w:space="0" w:color="auto"/>
        <w:left w:val="none" w:sz="0" w:space="0" w:color="auto"/>
        <w:bottom w:val="none" w:sz="0" w:space="0" w:color="auto"/>
        <w:right w:val="none" w:sz="0" w:space="0" w:color="auto"/>
      </w:divBdr>
      <w:divsChild>
        <w:div w:id="1086417969">
          <w:marLeft w:val="0"/>
          <w:marRight w:val="0"/>
          <w:marTop w:val="0"/>
          <w:marBottom w:val="0"/>
          <w:divBdr>
            <w:top w:val="none" w:sz="0" w:space="0" w:color="auto"/>
            <w:left w:val="none" w:sz="0" w:space="0" w:color="auto"/>
            <w:bottom w:val="none" w:sz="0" w:space="0" w:color="auto"/>
            <w:right w:val="none" w:sz="0" w:space="0" w:color="auto"/>
          </w:divBdr>
        </w:div>
      </w:divsChild>
    </w:div>
    <w:div w:id="879976184">
      <w:bodyDiv w:val="1"/>
      <w:marLeft w:val="0"/>
      <w:marRight w:val="0"/>
      <w:marTop w:val="0"/>
      <w:marBottom w:val="0"/>
      <w:divBdr>
        <w:top w:val="none" w:sz="0" w:space="0" w:color="auto"/>
        <w:left w:val="none" w:sz="0" w:space="0" w:color="auto"/>
        <w:bottom w:val="none" w:sz="0" w:space="0" w:color="auto"/>
        <w:right w:val="none" w:sz="0" w:space="0" w:color="auto"/>
      </w:divBdr>
    </w:div>
    <w:div w:id="1358432582">
      <w:bodyDiv w:val="1"/>
      <w:marLeft w:val="0"/>
      <w:marRight w:val="0"/>
      <w:marTop w:val="0"/>
      <w:marBottom w:val="0"/>
      <w:divBdr>
        <w:top w:val="none" w:sz="0" w:space="0" w:color="auto"/>
        <w:left w:val="none" w:sz="0" w:space="0" w:color="auto"/>
        <w:bottom w:val="none" w:sz="0" w:space="0" w:color="auto"/>
        <w:right w:val="none" w:sz="0" w:space="0" w:color="auto"/>
      </w:divBdr>
    </w:div>
    <w:div w:id="1694576913">
      <w:bodyDiv w:val="1"/>
      <w:marLeft w:val="0"/>
      <w:marRight w:val="0"/>
      <w:marTop w:val="0"/>
      <w:marBottom w:val="0"/>
      <w:divBdr>
        <w:top w:val="none" w:sz="0" w:space="0" w:color="auto"/>
        <w:left w:val="none" w:sz="0" w:space="0" w:color="auto"/>
        <w:bottom w:val="none" w:sz="0" w:space="0" w:color="auto"/>
        <w:right w:val="none" w:sz="0" w:space="0" w:color="auto"/>
      </w:divBdr>
      <w:divsChild>
        <w:div w:id="699745581">
          <w:marLeft w:val="0"/>
          <w:marRight w:val="0"/>
          <w:marTop w:val="0"/>
          <w:marBottom w:val="0"/>
          <w:divBdr>
            <w:top w:val="none" w:sz="0" w:space="0" w:color="auto"/>
            <w:left w:val="none" w:sz="0" w:space="0" w:color="auto"/>
            <w:bottom w:val="none" w:sz="0" w:space="0" w:color="auto"/>
            <w:right w:val="none" w:sz="0" w:space="0" w:color="auto"/>
          </w:divBdr>
        </w:div>
      </w:divsChild>
    </w:div>
    <w:div w:id="1727215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890E5A0-4B08-4172-91E8-E3D60BAEDC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3392</Words>
  <Characters>19340</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VENDIM</vt:lpstr>
    </vt:vector>
  </TitlesOfParts>
  <Company>Hewlett-Packard Company</Company>
  <LinksUpToDate>false</LinksUpToDate>
  <CharactersWithSpaces>22687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cp:lastModifiedBy>Inida Noga</cp:lastModifiedBy>
  <cp:revision>2</cp:revision>
  <cp:lastPrinted>2012-12-27T09:25:00Z</cp:lastPrinted>
  <dcterms:created xsi:type="dcterms:W3CDTF">2019-02-15T16:33:00Z</dcterms:created>
  <dcterms:modified xsi:type="dcterms:W3CDTF">2019-02-15T16:33:00Z</dcterms:modified>
</cp:coreProperties>
</file>