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F2C" w:rsidRPr="00036C5C" w:rsidRDefault="00DF4F2C" w:rsidP="00B500A0">
      <w:pPr>
        <w:pStyle w:val="Akti"/>
        <w:rPr>
          <w:lang w:val="sq-AL"/>
        </w:rPr>
      </w:pPr>
      <w:r w:rsidRPr="00036C5C">
        <w:rPr>
          <w:lang w:val="sq-AL"/>
        </w:rPr>
        <w:t>DEKRET</w:t>
      </w:r>
    </w:p>
    <w:p w:rsidR="00DF4F2C" w:rsidRPr="00036C5C" w:rsidRDefault="00DF4F2C" w:rsidP="00B500A0">
      <w:pPr>
        <w:pStyle w:val="Numri"/>
        <w:rPr>
          <w:lang w:val="sq-AL"/>
        </w:rPr>
      </w:pPr>
      <w:r w:rsidRPr="00036C5C">
        <w:rPr>
          <w:lang w:val="sq-AL"/>
        </w:rPr>
        <w:t>Nr.7852, datë 7.12.2012</w:t>
      </w:r>
    </w:p>
    <w:p w:rsidR="00DF4F2C" w:rsidRPr="00036C5C" w:rsidRDefault="00DF4F2C" w:rsidP="00B500A0">
      <w:pPr>
        <w:pStyle w:val="Paragrafi"/>
        <w:rPr>
          <w:rFonts w:cs="Times New Roman"/>
          <w:lang w:val="sq-AL"/>
        </w:rPr>
      </w:pPr>
    </w:p>
    <w:p w:rsidR="00DF4F2C" w:rsidRPr="00036C5C" w:rsidRDefault="00DF4F2C" w:rsidP="00B500A0">
      <w:pPr>
        <w:pStyle w:val="Titulli"/>
        <w:rPr>
          <w:lang w:val="sq-AL"/>
        </w:rPr>
      </w:pPr>
      <w:r w:rsidRPr="00036C5C">
        <w:rPr>
          <w:lang w:val="sq-AL"/>
        </w:rPr>
        <w:t>PËR DHËNIE TË SHTETËSISË SHQIPTARE</w:t>
      </w:r>
    </w:p>
    <w:p w:rsidR="00DF4F2C" w:rsidRPr="00036C5C" w:rsidRDefault="00DF4F2C" w:rsidP="00B500A0">
      <w:pPr>
        <w:pStyle w:val="Paragrafi"/>
        <w:rPr>
          <w:rFonts w:cs="Times New Roman"/>
          <w:lang w:val="sq-AL"/>
        </w:rPr>
      </w:pPr>
    </w:p>
    <w:p w:rsidR="00DF4F2C" w:rsidRPr="00036C5C" w:rsidRDefault="00DF4F2C" w:rsidP="00B500A0">
      <w:pPr>
        <w:pStyle w:val="Paragrafi"/>
        <w:rPr>
          <w:lang w:val="sq-AL"/>
        </w:rPr>
      </w:pPr>
      <w:r w:rsidRPr="00036C5C">
        <w:rPr>
          <w:lang w:val="sq-AL"/>
        </w:rPr>
        <w:t>Në mbështetje të nenit 92, pika “c”, dhe 93 të Kushtetutës,  si dhe neneve 9, 10 dhe 20 të</w:t>
      </w:r>
      <w:r w:rsidR="00AE56CF">
        <w:rPr>
          <w:lang w:val="sq-AL"/>
        </w:rPr>
        <w:t xml:space="preserve"> ligjit nr. 8389, datë 5.8.1998</w:t>
      </w:r>
      <w:r w:rsidRPr="00036C5C">
        <w:rPr>
          <w:lang w:val="sq-AL"/>
        </w:rPr>
        <w:t xml:space="preserve"> “Për shtetësinë shqiptare”, të ndryshuar, bazuar edhe në propozimin e Ministrit të Brendshëm,</w:t>
      </w:r>
    </w:p>
    <w:p w:rsidR="00DF4F2C" w:rsidRPr="007D7C24" w:rsidRDefault="00DF4F2C" w:rsidP="00B500A0">
      <w:pPr>
        <w:pStyle w:val="Paragrafi"/>
        <w:rPr>
          <w:sz w:val="12"/>
          <w:lang w:val="sq-AL"/>
        </w:rPr>
      </w:pPr>
    </w:p>
    <w:p w:rsidR="00DF4F2C" w:rsidRPr="00036C5C" w:rsidRDefault="00DF4F2C" w:rsidP="00B500A0">
      <w:pPr>
        <w:pStyle w:val="VENDOSI"/>
        <w:rPr>
          <w:rFonts w:cs="Times New Roman"/>
          <w:lang w:val="sq-AL"/>
        </w:rPr>
      </w:pPr>
      <w:r w:rsidRPr="00036C5C">
        <w:rPr>
          <w:lang w:val="sq-AL"/>
        </w:rPr>
        <w:t>DEKRETOJ:</w:t>
      </w:r>
    </w:p>
    <w:p w:rsidR="00DF4F2C" w:rsidRPr="007D7C24" w:rsidRDefault="00DF4F2C" w:rsidP="00B500A0">
      <w:pPr>
        <w:pStyle w:val="Paragrafi"/>
        <w:rPr>
          <w:rFonts w:cs="Times New Roman"/>
          <w:sz w:val="14"/>
          <w:lang w:val="sq-AL"/>
        </w:rPr>
      </w:pPr>
    </w:p>
    <w:p w:rsidR="00DF4F2C" w:rsidRPr="00036C5C" w:rsidRDefault="00DF4F2C" w:rsidP="00B500A0">
      <w:pPr>
        <w:pStyle w:val="NeniNr"/>
        <w:rPr>
          <w:lang w:val="sq-AL"/>
        </w:rPr>
      </w:pPr>
      <w:r w:rsidRPr="00036C5C">
        <w:rPr>
          <w:lang w:val="sq-AL"/>
        </w:rPr>
        <w:t>Neni 1</w:t>
      </w:r>
    </w:p>
    <w:p w:rsidR="00DF4F2C" w:rsidRPr="007D7C24" w:rsidRDefault="00DF4F2C" w:rsidP="00B500A0">
      <w:pPr>
        <w:pStyle w:val="Paragrafi"/>
        <w:rPr>
          <w:rFonts w:cs="Times New Roman"/>
          <w:sz w:val="16"/>
          <w:lang w:val="sq-AL"/>
        </w:rPr>
      </w:pPr>
    </w:p>
    <w:p w:rsidR="00DF4F2C" w:rsidRPr="00036C5C" w:rsidRDefault="00DF4F2C" w:rsidP="00B500A0">
      <w:pPr>
        <w:pStyle w:val="Paragrafi"/>
        <w:rPr>
          <w:lang w:val="sq-AL"/>
        </w:rPr>
      </w:pPr>
      <w:r w:rsidRPr="00036C5C">
        <w:rPr>
          <w:lang w:val="sq-AL"/>
        </w:rPr>
        <w:t>U jepet shtetësia shqiptare me kërkesë të tyre personave të mëposhtëm:</w:t>
      </w:r>
    </w:p>
    <w:p w:rsidR="00DF4F2C" w:rsidRPr="00036C5C" w:rsidRDefault="00DF4F2C" w:rsidP="00B500A0">
      <w:pPr>
        <w:pStyle w:val="Paragrafi"/>
        <w:rPr>
          <w:lang w:val="sq-AL"/>
        </w:rPr>
      </w:pPr>
      <w:r w:rsidRPr="00036C5C">
        <w:rPr>
          <w:lang w:val="sq-AL"/>
        </w:rPr>
        <w:t xml:space="preserve"> 1. Enis Hilmi Kamberi</w:t>
      </w:r>
    </w:p>
    <w:p w:rsidR="00DF4F2C" w:rsidRPr="00036C5C" w:rsidRDefault="00DF4F2C" w:rsidP="00B500A0">
      <w:pPr>
        <w:pStyle w:val="Paragrafi"/>
        <w:rPr>
          <w:lang w:val="sq-AL"/>
        </w:rPr>
      </w:pPr>
      <w:r w:rsidRPr="00036C5C">
        <w:rPr>
          <w:lang w:val="sq-AL"/>
        </w:rPr>
        <w:t xml:space="preserve"> 2. Gjyltene Avdi Vladi (Rexhepi)</w:t>
      </w:r>
    </w:p>
    <w:p w:rsidR="00DF4F2C" w:rsidRPr="00036C5C" w:rsidRDefault="00DF4F2C" w:rsidP="00B500A0">
      <w:pPr>
        <w:pStyle w:val="Paragrafi"/>
        <w:rPr>
          <w:rFonts w:ascii="CG Times Tur" w:hAnsi="CG Times Tur" w:cs="CG Times Tur"/>
          <w:lang w:val="sq-AL"/>
        </w:rPr>
      </w:pPr>
      <w:r w:rsidRPr="00036C5C">
        <w:rPr>
          <w:lang w:val="sq-AL"/>
        </w:rPr>
        <w:t xml:space="preserve"> 3. </w:t>
      </w:r>
      <w:r w:rsidRPr="00036C5C">
        <w:rPr>
          <w:rFonts w:ascii="CG Times Tur" w:hAnsi="CG Times Tur" w:cs="CG Times Tur"/>
          <w:lang w:val="sq-AL"/>
        </w:rPr>
        <w:t>Makbule Arif Zeytinoğlu (Kanay)</w:t>
      </w:r>
    </w:p>
    <w:p w:rsidR="00DF4F2C" w:rsidRPr="00036C5C" w:rsidRDefault="00DF4F2C" w:rsidP="00B500A0">
      <w:pPr>
        <w:pStyle w:val="Paragrafi"/>
        <w:rPr>
          <w:lang w:val="sq-AL"/>
        </w:rPr>
      </w:pPr>
      <w:r w:rsidRPr="00036C5C">
        <w:rPr>
          <w:lang w:val="sq-AL"/>
        </w:rPr>
        <w:t xml:space="preserve"> 4. Mahmoud Taha Mahmoud Shehata</w:t>
      </w:r>
    </w:p>
    <w:p w:rsidR="00DF4F2C" w:rsidRPr="00036C5C" w:rsidRDefault="00DF4F2C" w:rsidP="00B500A0">
      <w:pPr>
        <w:pStyle w:val="Paragrafi"/>
        <w:rPr>
          <w:lang w:val="sq-AL"/>
        </w:rPr>
      </w:pPr>
      <w:r w:rsidRPr="00036C5C">
        <w:rPr>
          <w:lang w:val="sq-AL"/>
        </w:rPr>
        <w:t xml:space="preserve"> 5. Ismet Ramadan Rexhaj</w:t>
      </w:r>
    </w:p>
    <w:p w:rsidR="00DF4F2C" w:rsidRPr="00036C5C" w:rsidRDefault="00DF4F2C" w:rsidP="00B500A0">
      <w:pPr>
        <w:pStyle w:val="Paragrafi"/>
        <w:rPr>
          <w:lang w:val="sq-AL"/>
        </w:rPr>
      </w:pPr>
      <w:r w:rsidRPr="00036C5C">
        <w:rPr>
          <w:lang w:val="sq-AL"/>
        </w:rPr>
        <w:t xml:space="preserve"> 6. Hüseyin Cemal Yavuz</w:t>
      </w:r>
    </w:p>
    <w:p w:rsidR="00DF4F2C" w:rsidRPr="00036C5C" w:rsidRDefault="00DF4F2C" w:rsidP="00B500A0">
      <w:pPr>
        <w:pStyle w:val="Paragrafi"/>
        <w:rPr>
          <w:lang w:val="sq-AL"/>
        </w:rPr>
      </w:pPr>
      <w:r w:rsidRPr="00036C5C">
        <w:rPr>
          <w:lang w:val="sq-AL"/>
        </w:rPr>
        <w:t xml:space="preserve"> 7.  Duygu Mahmut Yavuz</w:t>
      </w:r>
    </w:p>
    <w:p w:rsidR="00DF4F2C" w:rsidRPr="00036C5C" w:rsidRDefault="00DF4F2C" w:rsidP="00B500A0">
      <w:pPr>
        <w:pStyle w:val="Paragrafi"/>
        <w:rPr>
          <w:rFonts w:ascii="CG Times CE" w:hAnsi="CG Times CE" w:cs="CG Times CE"/>
          <w:lang w:val="sq-AL"/>
        </w:rPr>
      </w:pPr>
      <w:r w:rsidRPr="00036C5C">
        <w:rPr>
          <w:rFonts w:ascii="CG Times CE" w:hAnsi="CG Times CE" w:cs="CG Times CE"/>
          <w:lang w:val="sq-AL"/>
        </w:rPr>
        <w:t xml:space="preserve"> 8.  Ahmet Hasan Ertaş</w:t>
      </w:r>
    </w:p>
    <w:p w:rsidR="00DF4F2C" w:rsidRPr="00036C5C" w:rsidRDefault="00DF4F2C" w:rsidP="00B500A0">
      <w:pPr>
        <w:pStyle w:val="Paragrafi"/>
        <w:rPr>
          <w:lang w:val="sq-AL"/>
        </w:rPr>
      </w:pPr>
      <w:r w:rsidRPr="00036C5C">
        <w:rPr>
          <w:lang w:val="sq-AL"/>
        </w:rPr>
        <w:t xml:space="preserve"> 9.  Ferhan Hasan Gökdemir</w:t>
      </w:r>
    </w:p>
    <w:p w:rsidR="00DF4F2C" w:rsidRPr="00036C5C" w:rsidRDefault="00DF4F2C" w:rsidP="00B500A0">
      <w:pPr>
        <w:pStyle w:val="Paragrafi"/>
        <w:rPr>
          <w:lang w:val="sq-AL"/>
        </w:rPr>
      </w:pPr>
      <w:r w:rsidRPr="00036C5C">
        <w:rPr>
          <w:lang w:val="sq-AL"/>
        </w:rPr>
        <w:t>10. Rana Erva Yusuf Gökdemir</w:t>
      </w:r>
    </w:p>
    <w:p w:rsidR="00DF4F2C" w:rsidRPr="00036C5C" w:rsidRDefault="00DF4F2C" w:rsidP="00B500A0">
      <w:pPr>
        <w:pStyle w:val="Paragrafi"/>
        <w:rPr>
          <w:lang w:val="sq-AL"/>
        </w:rPr>
      </w:pPr>
      <w:r w:rsidRPr="00036C5C">
        <w:rPr>
          <w:lang w:val="sq-AL"/>
        </w:rPr>
        <w:t>11. Syzana Veli Zeqiri (Xhaka)</w:t>
      </w:r>
    </w:p>
    <w:p w:rsidR="00DF4F2C" w:rsidRPr="00036C5C" w:rsidRDefault="00DF4F2C" w:rsidP="00B500A0">
      <w:pPr>
        <w:pStyle w:val="Paragrafi"/>
        <w:rPr>
          <w:lang w:val="sq-AL"/>
        </w:rPr>
      </w:pPr>
      <w:r w:rsidRPr="00036C5C">
        <w:rPr>
          <w:lang w:val="sq-AL"/>
        </w:rPr>
        <w:t>12. Emmanuel Delphin Etienne Assako Ella</w:t>
      </w:r>
    </w:p>
    <w:p w:rsidR="00DF4F2C" w:rsidRPr="00036C5C" w:rsidRDefault="00DF4F2C" w:rsidP="00B500A0">
      <w:pPr>
        <w:pStyle w:val="Paragrafi"/>
        <w:rPr>
          <w:lang w:val="sq-AL"/>
        </w:rPr>
      </w:pPr>
      <w:r w:rsidRPr="00036C5C">
        <w:rPr>
          <w:lang w:val="sq-AL"/>
        </w:rPr>
        <w:t>13. Alberto Innocenzo Carlini</w:t>
      </w:r>
    </w:p>
    <w:p w:rsidR="00DF4F2C" w:rsidRPr="00036C5C" w:rsidRDefault="00DF4F2C" w:rsidP="00B500A0">
      <w:pPr>
        <w:pStyle w:val="Paragrafi"/>
        <w:rPr>
          <w:lang w:val="sq-AL"/>
        </w:rPr>
      </w:pPr>
      <w:r w:rsidRPr="00036C5C">
        <w:rPr>
          <w:lang w:val="sq-AL"/>
        </w:rPr>
        <w:t>14. Pren Nue Bezhi</w:t>
      </w:r>
    </w:p>
    <w:p w:rsidR="00DF4F2C" w:rsidRPr="00036C5C" w:rsidRDefault="00DF4F2C" w:rsidP="00B500A0">
      <w:pPr>
        <w:pStyle w:val="Paragrafi"/>
        <w:rPr>
          <w:lang w:val="sq-AL"/>
        </w:rPr>
      </w:pPr>
      <w:r w:rsidRPr="00036C5C">
        <w:rPr>
          <w:lang w:val="sq-AL"/>
        </w:rPr>
        <w:t>15. Muja Shabi Shabija</w:t>
      </w:r>
    </w:p>
    <w:p w:rsidR="00DF4F2C" w:rsidRPr="007D7C24" w:rsidRDefault="00DF4F2C" w:rsidP="00B500A0">
      <w:pPr>
        <w:pStyle w:val="Paragrafi"/>
        <w:rPr>
          <w:sz w:val="14"/>
          <w:lang w:val="sq-AL"/>
        </w:rPr>
      </w:pPr>
    </w:p>
    <w:p w:rsidR="00DF4F2C" w:rsidRPr="00036C5C" w:rsidRDefault="00DF4F2C" w:rsidP="00B500A0">
      <w:pPr>
        <w:pStyle w:val="NeniNr"/>
        <w:rPr>
          <w:lang w:val="sq-AL"/>
        </w:rPr>
      </w:pPr>
      <w:r w:rsidRPr="00036C5C">
        <w:rPr>
          <w:lang w:val="sq-AL"/>
        </w:rPr>
        <w:t>Neni 2</w:t>
      </w:r>
    </w:p>
    <w:p w:rsidR="00DF4F2C" w:rsidRPr="007D7C24" w:rsidRDefault="00DF4F2C" w:rsidP="00B500A0">
      <w:pPr>
        <w:pStyle w:val="Paragrafi"/>
        <w:rPr>
          <w:rFonts w:cs="Times New Roman"/>
          <w:sz w:val="14"/>
          <w:lang w:val="sq-AL"/>
        </w:rPr>
      </w:pPr>
    </w:p>
    <w:p w:rsidR="00DF4F2C" w:rsidRPr="00036C5C" w:rsidRDefault="00DF4F2C" w:rsidP="00B500A0">
      <w:pPr>
        <w:pStyle w:val="Paragrafi"/>
        <w:rPr>
          <w:lang w:val="sq-AL"/>
        </w:rPr>
      </w:pPr>
      <w:r w:rsidRPr="00036C5C">
        <w:rPr>
          <w:lang w:val="sq-AL"/>
        </w:rPr>
        <w:t>Ky dekret hyn në fuqi menjëherë.</w:t>
      </w:r>
    </w:p>
    <w:p w:rsidR="00DF4F2C" w:rsidRPr="00036C5C" w:rsidRDefault="00DF4F2C" w:rsidP="00B500A0">
      <w:pPr>
        <w:pStyle w:val="Autoriteti"/>
        <w:rPr>
          <w:lang w:val="sq-AL"/>
        </w:rPr>
      </w:pPr>
      <w:r w:rsidRPr="00036C5C">
        <w:rPr>
          <w:lang w:val="sq-AL"/>
        </w:rPr>
        <w:t>PRESIDENTI  I  REPUBLIKËS SË SHQIPËRISË</w:t>
      </w:r>
    </w:p>
    <w:p w:rsidR="00DF4F2C" w:rsidRPr="00036C5C" w:rsidRDefault="00DF4F2C" w:rsidP="007B00EC">
      <w:pPr>
        <w:pStyle w:val="AutoritetiEmer"/>
        <w:rPr>
          <w:lang w:val="sq-AL"/>
        </w:rPr>
      </w:pPr>
      <w:r w:rsidRPr="00036C5C">
        <w:rPr>
          <w:lang w:val="sq-AL"/>
        </w:rPr>
        <w:t>Bujar Nishani</w:t>
      </w:r>
    </w:p>
    <w:p w:rsidR="00DF4F2C" w:rsidRPr="00036C5C" w:rsidRDefault="00DF4F2C" w:rsidP="00B500A0">
      <w:pPr>
        <w:pStyle w:val="Paragrafi"/>
        <w:rPr>
          <w:rFonts w:cs="Times New Roman"/>
          <w:lang w:val="sq-AL"/>
        </w:rPr>
      </w:pPr>
    </w:p>
    <w:p w:rsidR="00DF4F2C" w:rsidRDefault="00DF4F2C" w:rsidP="00B500A0">
      <w:pPr>
        <w:pStyle w:val="Paragrafi"/>
        <w:rPr>
          <w:rFonts w:cs="Times New Roman"/>
          <w:lang w:val="sq-AL"/>
        </w:rPr>
      </w:pPr>
    </w:p>
    <w:p w:rsidR="002616F1" w:rsidRDefault="002616F1" w:rsidP="00B500A0">
      <w:pPr>
        <w:pStyle w:val="Paragrafi"/>
        <w:rPr>
          <w:rFonts w:cs="Times New Roman"/>
          <w:lang w:val="sq-AL"/>
        </w:rPr>
      </w:pPr>
    </w:p>
    <w:p w:rsidR="002616F1" w:rsidRPr="00036C5C" w:rsidRDefault="002616F1" w:rsidP="002616F1">
      <w:pPr>
        <w:pStyle w:val="Akti"/>
        <w:rPr>
          <w:lang w:val="sq-AL"/>
        </w:rPr>
      </w:pPr>
      <w:r w:rsidRPr="00036C5C">
        <w:rPr>
          <w:lang w:val="sq-AL"/>
        </w:rPr>
        <w:t>AKT NORMATIV</w:t>
      </w:r>
    </w:p>
    <w:p w:rsidR="002616F1" w:rsidRPr="00036C5C" w:rsidRDefault="002616F1" w:rsidP="002616F1">
      <w:pPr>
        <w:pStyle w:val="Numri"/>
        <w:rPr>
          <w:lang w:val="sq-AL"/>
        </w:rPr>
      </w:pPr>
      <w:r w:rsidRPr="00036C5C">
        <w:rPr>
          <w:lang w:val="sq-AL"/>
        </w:rPr>
        <w:t>Nr. 6, datë 12.12.2012</w:t>
      </w:r>
    </w:p>
    <w:p w:rsidR="002616F1" w:rsidRPr="00036C5C" w:rsidRDefault="002616F1" w:rsidP="002616F1">
      <w:pPr>
        <w:pStyle w:val="Paragrafi"/>
        <w:rPr>
          <w:rFonts w:cs="Times New Roman"/>
          <w:lang w:val="sq-AL"/>
        </w:rPr>
      </w:pPr>
    </w:p>
    <w:p w:rsidR="002616F1" w:rsidRPr="00036C5C" w:rsidRDefault="002616F1" w:rsidP="002616F1">
      <w:pPr>
        <w:pStyle w:val="Titulli"/>
        <w:rPr>
          <w:lang w:val="sq-AL"/>
        </w:rPr>
      </w:pPr>
      <w:r w:rsidRPr="00036C5C">
        <w:rPr>
          <w:lang w:val="sq-AL"/>
        </w:rPr>
        <w:t xml:space="preserve">PËR DISA NDRYSHIME NË </w:t>
      </w:r>
      <w:r>
        <w:rPr>
          <w:lang w:val="sq-AL"/>
        </w:rPr>
        <w:t>LIGJIN NR.10487, DATË 5.12.2011</w:t>
      </w:r>
    </w:p>
    <w:p w:rsidR="002616F1" w:rsidRPr="00036C5C" w:rsidRDefault="002616F1" w:rsidP="002616F1">
      <w:pPr>
        <w:pStyle w:val="Titulli"/>
        <w:rPr>
          <w:lang w:val="sq-AL"/>
        </w:rPr>
      </w:pPr>
      <w:r w:rsidRPr="00036C5C">
        <w:rPr>
          <w:lang w:val="sq-AL"/>
        </w:rPr>
        <w:t>“PËR BUXHETIN E VITIT 2012”</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Në mbështetje të nenit 101 të Kushtetutës, me propozimin e Ministrit të Financave, Këshilli i Ministrave</w:t>
      </w:r>
    </w:p>
    <w:p w:rsidR="002616F1" w:rsidRPr="00036C5C" w:rsidRDefault="002616F1" w:rsidP="002616F1">
      <w:pPr>
        <w:pStyle w:val="Paragrafi"/>
        <w:rPr>
          <w:lang w:val="sq-AL"/>
        </w:rPr>
      </w:pPr>
    </w:p>
    <w:p w:rsidR="002616F1" w:rsidRPr="00036C5C" w:rsidRDefault="002616F1" w:rsidP="002616F1">
      <w:pPr>
        <w:pStyle w:val="VENDOSI"/>
        <w:rPr>
          <w:lang w:val="sq-AL"/>
        </w:rPr>
      </w:pPr>
      <w:r w:rsidRPr="00036C5C">
        <w:rPr>
          <w:lang w:val="sq-AL"/>
        </w:rPr>
        <w:t>VENDOSI:</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Në ligjin nr.10487, datë 5.12.2011, “Për buxhetin e vitit 2012”, bëhen këto ndryshime:</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lastRenderedPageBreak/>
        <w:t>Neni 1</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1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1</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Buxheti për vitin 2012 është:</w:t>
      </w:r>
    </w:p>
    <w:p w:rsidR="002616F1" w:rsidRPr="00036C5C" w:rsidRDefault="002616F1" w:rsidP="002616F1">
      <w:pPr>
        <w:pStyle w:val="Paragrafi"/>
        <w:rPr>
          <w:lang w:val="sq-AL"/>
        </w:rPr>
      </w:pPr>
    </w:p>
    <w:tbl>
      <w:tblPr>
        <w:tblW w:w="0" w:type="auto"/>
        <w:jc w:val="center"/>
        <w:tblLook w:val="00A0"/>
      </w:tblPr>
      <w:tblGrid>
        <w:gridCol w:w="1766"/>
        <w:gridCol w:w="1048"/>
        <w:gridCol w:w="1498"/>
      </w:tblGrid>
      <w:tr w:rsidR="002616F1" w:rsidRPr="00036C5C" w:rsidTr="00EE3F54">
        <w:trPr>
          <w:jc w:val="center"/>
        </w:trPr>
        <w:tc>
          <w:tcPr>
            <w:tcW w:w="1766" w:type="dxa"/>
          </w:tcPr>
          <w:p w:rsidR="002616F1" w:rsidRPr="00036C5C" w:rsidRDefault="002616F1" w:rsidP="00EE3F54">
            <w:pPr>
              <w:pStyle w:val="Paragrafi"/>
              <w:ind w:firstLine="0"/>
              <w:rPr>
                <w:lang w:val="sq-AL"/>
              </w:rPr>
            </w:pPr>
            <w:r w:rsidRPr="00036C5C">
              <w:rPr>
                <w:lang w:val="sq-AL"/>
              </w:rPr>
              <w:t xml:space="preserve">Të ardhurat </w:t>
            </w:r>
            <w:r w:rsidRPr="00036C5C">
              <w:rPr>
                <w:lang w:val="sq-AL"/>
              </w:rPr>
              <w:tab/>
            </w:r>
          </w:p>
        </w:tc>
        <w:tc>
          <w:tcPr>
            <w:tcW w:w="1048" w:type="dxa"/>
          </w:tcPr>
          <w:p w:rsidR="002616F1" w:rsidRPr="00036C5C" w:rsidRDefault="002616F1" w:rsidP="00EE3F54">
            <w:pPr>
              <w:pStyle w:val="Paragrafi"/>
              <w:ind w:firstLine="0"/>
              <w:jc w:val="right"/>
              <w:rPr>
                <w:lang w:val="sq-AL"/>
              </w:rPr>
            </w:pPr>
            <w:r w:rsidRPr="00036C5C">
              <w:rPr>
                <w:lang w:val="sq-AL"/>
              </w:rPr>
              <w:t>332 758</w:t>
            </w:r>
          </w:p>
        </w:tc>
        <w:tc>
          <w:tcPr>
            <w:tcW w:w="1498"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1766" w:type="dxa"/>
          </w:tcPr>
          <w:p w:rsidR="002616F1" w:rsidRPr="00036C5C" w:rsidRDefault="002616F1" w:rsidP="00EE3F54">
            <w:pPr>
              <w:pStyle w:val="Paragrafi"/>
              <w:ind w:firstLine="0"/>
              <w:rPr>
                <w:lang w:val="sq-AL"/>
              </w:rPr>
            </w:pPr>
            <w:r w:rsidRPr="00036C5C">
              <w:rPr>
                <w:lang w:val="sq-AL"/>
              </w:rPr>
              <w:t>Shpenzimet</w:t>
            </w:r>
          </w:p>
        </w:tc>
        <w:tc>
          <w:tcPr>
            <w:tcW w:w="1048" w:type="dxa"/>
          </w:tcPr>
          <w:p w:rsidR="002616F1" w:rsidRPr="00036C5C" w:rsidRDefault="002616F1" w:rsidP="00EE3F54">
            <w:pPr>
              <w:pStyle w:val="Paragrafi"/>
              <w:ind w:firstLine="0"/>
              <w:jc w:val="right"/>
              <w:rPr>
                <w:lang w:val="sq-AL"/>
              </w:rPr>
            </w:pPr>
            <w:r w:rsidRPr="00036C5C">
              <w:rPr>
                <w:lang w:val="sq-AL"/>
              </w:rPr>
              <w:t>382 296</w:t>
            </w:r>
          </w:p>
        </w:tc>
        <w:tc>
          <w:tcPr>
            <w:tcW w:w="1498"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1766" w:type="dxa"/>
          </w:tcPr>
          <w:p w:rsidR="002616F1" w:rsidRPr="00036C5C" w:rsidRDefault="002616F1" w:rsidP="00EE3F54">
            <w:pPr>
              <w:pStyle w:val="Paragrafi"/>
              <w:ind w:firstLine="0"/>
              <w:rPr>
                <w:lang w:val="sq-AL"/>
              </w:rPr>
            </w:pPr>
            <w:r w:rsidRPr="00036C5C">
              <w:rPr>
                <w:lang w:val="sq-AL"/>
              </w:rPr>
              <w:t xml:space="preserve">Deficiti   </w:t>
            </w:r>
          </w:p>
        </w:tc>
        <w:tc>
          <w:tcPr>
            <w:tcW w:w="1048" w:type="dxa"/>
          </w:tcPr>
          <w:p w:rsidR="002616F1" w:rsidRPr="00036C5C" w:rsidRDefault="002616F1" w:rsidP="00EE3F54">
            <w:pPr>
              <w:pStyle w:val="Paragrafi"/>
              <w:ind w:firstLine="0"/>
              <w:jc w:val="right"/>
              <w:rPr>
                <w:lang w:val="sq-AL"/>
              </w:rPr>
            </w:pPr>
            <w:r w:rsidRPr="00036C5C">
              <w:rPr>
                <w:lang w:val="sq-AL"/>
              </w:rPr>
              <w:t>49 538</w:t>
            </w:r>
          </w:p>
        </w:tc>
        <w:tc>
          <w:tcPr>
            <w:tcW w:w="1498" w:type="dxa"/>
          </w:tcPr>
          <w:p w:rsidR="002616F1" w:rsidRPr="00036C5C" w:rsidRDefault="002616F1" w:rsidP="00EE3F54">
            <w:pPr>
              <w:pStyle w:val="Paragrafi"/>
              <w:ind w:firstLine="0"/>
              <w:jc w:val="right"/>
              <w:rPr>
                <w:lang w:val="sq-AL"/>
              </w:rPr>
            </w:pPr>
            <w:r w:rsidRPr="00036C5C">
              <w:rPr>
                <w:lang w:val="sq-AL"/>
              </w:rPr>
              <w:t>milionë lekë.</w:t>
            </w:r>
          </w:p>
        </w:tc>
      </w:tr>
    </w:tbl>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Ai përbëhet nga buxheti i shtetit, buxheti vendor dhe fondet speciale: sigurimet shoqërore, sigurimet shëndetësore dhe kompensimi i pronarëve.”.</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2</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2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2</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Buxheti i shtetit  për vitin 2012 është:</w:t>
      </w:r>
    </w:p>
    <w:p w:rsidR="002616F1" w:rsidRPr="00036C5C" w:rsidRDefault="002616F1" w:rsidP="002616F1">
      <w:pPr>
        <w:pStyle w:val="Paragrafi"/>
        <w:rPr>
          <w:lang w:val="sq-AL"/>
        </w:rPr>
      </w:pPr>
    </w:p>
    <w:tbl>
      <w:tblPr>
        <w:tblW w:w="0" w:type="auto"/>
        <w:jc w:val="center"/>
        <w:tblLook w:val="00A0"/>
      </w:tblPr>
      <w:tblGrid>
        <w:gridCol w:w="1373"/>
        <w:gridCol w:w="1048"/>
        <w:gridCol w:w="1815"/>
      </w:tblGrid>
      <w:tr w:rsidR="002616F1" w:rsidRPr="00036C5C" w:rsidTr="00EE3F54">
        <w:trPr>
          <w:jc w:val="center"/>
        </w:trPr>
        <w:tc>
          <w:tcPr>
            <w:tcW w:w="1373" w:type="dxa"/>
          </w:tcPr>
          <w:p w:rsidR="002616F1" w:rsidRPr="00036C5C" w:rsidRDefault="002616F1" w:rsidP="00EE3F54">
            <w:pPr>
              <w:pStyle w:val="Paragrafi"/>
              <w:ind w:firstLine="0"/>
              <w:rPr>
                <w:lang w:val="sq-AL"/>
              </w:rPr>
            </w:pPr>
            <w:r w:rsidRPr="00036C5C">
              <w:rPr>
                <w:lang w:val="sq-AL"/>
              </w:rPr>
              <w:t>Të ardhurat</w:t>
            </w:r>
          </w:p>
        </w:tc>
        <w:tc>
          <w:tcPr>
            <w:tcW w:w="1048" w:type="dxa"/>
          </w:tcPr>
          <w:p w:rsidR="002616F1" w:rsidRPr="00036C5C" w:rsidRDefault="002616F1" w:rsidP="00EE3F54">
            <w:pPr>
              <w:pStyle w:val="Paragrafi"/>
              <w:ind w:firstLine="0"/>
              <w:jc w:val="right"/>
              <w:rPr>
                <w:lang w:val="sq-AL"/>
              </w:rPr>
            </w:pPr>
            <w:r w:rsidRPr="00036C5C">
              <w:rPr>
                <w:lang w:val="sq-AL"/>
              </w:rPr>
              <w:t>263 172</w:t>
            </w:r>
          </w:p>
        </w:tc>
        <w:tc>
          <w:tcPr>
            <w:tcW w:w="1815" w:type="dxa"/>
          </w:tcPr>
          <w:p w:rsidR="002616F1" w:rsidRPr="00036C5C" w:rsidRDefault="002616F1" w:rsidP="00EE3F54">
            <w:pPr>
              <w:pStyle w:val="Paragrafi"/>
              <w:ind w:firstLine="0"/>
              <w:jc w:val="center"/>
              <w:rPr>
                <w:lang w:val="sq-AL"/>
              </w:rPr>
            </w:pPr>
            <w:r w:rsidRPr="00036C5C">
              <w:rPr>
                <w:lang w:val="sq-AL"/>
              </w:rPr>
              <w:t>milionë lekë;</w:t>
            </w:r>
          </w:p>
        </w:tc>
      </w:tr>
      <w:tr w:rsidR="002616F1" w:rsidRPr="00036C5C" w:rsidTr="00EE3F54">
        <w:trPr>
          <w:jc w:val="center"/>
        </w:trPr>
        <w:tc>
          <w:tcPr>
            <w:tcW w:w="1373" w:type="dxa"/>
          </w:tcPr>
          <w:p w:rsidR="002616F1" w:rsidRPr="00036C5C" w:rsidRDefault="002616F1" w:rsidP="00EE3F54">
            <w:pPr>
              <w:pStyle w:val="Paragrafi"/>
              <w:ind w:firstLine="0"/>
              <w:rPr>
                <w:lang w:val="sq-AL"/>
              </w:rPr>
            </w:pPr>
            <w:r w:rsidRPr="00036C5C">
              <w:rPr>
                <w:lang w:val="sq-AL"/>
              </w:rPr>
              <w:t>Shpenzimet</w:t>
            </w:r>
          </w:p>
        </w:tc>
        <w:tc>
          <w:tcPr>
            <w:tcW w:w="1048" w:type="dxa"/>
          </w:tcPr>
          <w:p w:rsidR="002616F1" w:rsidRPr="00036C5C" w:rsidRDefault="002616F1" w:rsidP="00EE3F54">
            <w:pPr>
              <w:pStyle w:val="Paragrafi"/>
              <w:ind w:firstLine="0"/>
              <w:jc w:val="right"/>
              <w:rPr>
                <w:lang w:val="sq-AL"/>
              </w:rPr>
            </w:pPr>
            <w:r w:rsidRPr="00036C5C">
              <w:rPr>
                <w:lang w:val="sq-AL"/>
              </w:rPr>
              <w:t>312 710</w:t>
            </w:r>
          </w:p>
        </w:tc>
        <w:tc>
          <w:tcPr>
            <w:tcW w:w="1815" w:type="dxa"/>
          </w:tcPr>
          <w:p w:rsidR="002616F1" w:rsidRPr="00036C5C" w:rsidRDefault="002616F1" w:rsidP="00EE3F54">
            <w:pPr>
              <w:pStyle w:val="Paragrafi"/>
              <w:ind w:firstLine="0"/>
              <w:jc w:val="center"/>
              <w:rPr>
                <w:lang w:val="sq-AL"/>
              </w:rPr>
            </w:pPr>
            <w:r w:rsidRPr="00036C5C">
              <w:rPr>
                <w:lang w:val="sq-AL"/>
              </w:rPr>
              <w:t>milionë lekë;</w:t>
            </w:r>
          </w:p>
        </w:tc>
      </w:tr>
      <w:tr w:rsidR="002616F1" w:rsidRPr="00036C5C" w:rsidTr="00EE3F54">
        <w:trPr>
          <w:jc w:val="center"/>
        </w:trPr>
        <w:tc>
          <w:tcPr>
            <w:tcW w:w="1373" w:type="dxa"/>
          </w:tcPr>
          <w:p w:rsidR="002616F1" w:rsidRPr="00036C5C" w:rsidRDefault="002616F1" w:rsidP="00EE3F54">
            <w:pPr>
              <w:pStyle w:val="Paragrafi"/>
              <w:ind w:firstLine="0"/>
              <w:rPr>
                <w:lang w:val="sq-AL"/>
              </w:rPr>
            </w:pPr>
            <w:r w:rsidRPr="00036C5C">
              <w:rPr>
                <w:lang w:val="sq-AL"/>
              </w:rPr>
              <w:t>Deficiti</w:t>
            </w:r>
            <w:r w:rsidRPr="00036C5C">
              <w:rPr>
                <w:lang w:val="sq-AL"/>
              </w:rPr>
              <w:tab/>
            </w:r>
          </w:p>
        </w:tc>
        <w:tc>
          <w:tcPr>
            <w:tcW w:w="1048" w:type="dxa"/>
          </w:tcPr>
          <w:p w:rsidR="002616F1" w:rsidRPr="00036C5C" w:rsidRDefault="002616F1" w:rsidP="00EE3F54">
            <w:pPr>
              <w:pStyle w:val="Paragrafi"/>
              <w:ind w:firstLine="0"/>
              <w:jc w:val="right"/>
              <w:rPr>
                <w:lang w:val="sq-AL"/>
              </w:rPr>
            </w:pPr>
            <w:r w:rsidRPr="00036C5C">
              <w:rPr>
                <w:lang w:val="sq-AL"/>
              </w:rPr>
              <w:t>49  538</w:t>
            </w:r>
          </w:p>
        </w:tc>
        <w:tc>
          <w:tcPr>
            <w:tcW w:w="1815" w:type="dxa"/>
          </w:tcPr>
          <w:p w:rsidR="002616F1" w:rsidRPr="00036C5C" w:rsidRDefault="002616F1" w:rsidP="00EE3F54">
            <w:pPr>
              <w:pStyle w:val="Paragrafi"/>
              <w:ind w:firstLine="0"/>
              <w:jc w:val="center"/>
              <w:rPr>
                <w:lang w:val="sq-AL"/>
              </w:rPr>
            </w:pPr>
            <w:r w:rsidRPr="00036C5C">
              <w:rPr>
                <w:lang w:val="sq-AL"/>
              </w:rPr>
              <w:t xml:space="preserve">   milionë lekë.”.</w:t>
            </w:r>
          </w:p>
        </w:tc>
      </w:tr>
    </w:tbl>
    <w:p w:rsidR="002616F1" w:rsidRPr="00036C5C" w:rsidRDefault="002616F1" w:rsidP="002616F1">
      <w:pPr>
        <w:pStyle w:val="Paragrafi"/>
        <w:rPr>
          <w:lang w:val="sq-AL"/>
        </w:rPr>
      </w:pPr>
      <w:r w:rsidRPr="00036C5C">
        <w:rPr>
          <w:rFonts w:cs="Times New Roman"/>
          <w:lang w:val="sq-AL"/>
        </w:rPr>
        <w:tab/>
      </w:r>
      <w:r w:rsidRPr="00036C5C">
        <w:rPr>
          <w:rFonts w:cs="Times New Roman"/>
          <w:lang w:val="sq-AL"/>
        </w:rPr>
        <w:tab/>
      </w:r>
      <w:r w:rsidRPr="00036C5C">
        <w:rPr>
          <w:rFonts w:cs="Times New Roman"/>
          <w:lang w:val="sq-AL"/>
        </w:rPr>
        <w:tab/>
      </w:r>
      <w:r w:rsidRPr="00036C5C">
        <w:rPr>
          <w:rFonts w:cs="Times New Roman"/>
          <w:lang w:val="sq-AL"/>
        </w:rPr>
        <w:tab/>
      </w:r>
      <w:r w:rsidRPr="00036C5C">
        <w:rPr>
          <w:rFonts w:cs="Times New Roman"/>
          <w:lang w:val="sq-AL"/>
        </w:rPr>
        <w:tab/>
      </w:r>
      <w:r w:rsidRPr="00036C5C">
        <w:rPr>
          <w:lang w:val="sq-AL"/>
        </w:rPr>
        <w:t xml:space="preserve">  </w:t>
      </w:r>
      <w:r w:rsidRPr="00036C5C">
        <w:rPr>
          <w:lang w:val="sq-AL"/>
        </w:rPr>
        <w:tab/>
      </w:r>
      <w:r w:rsidRPr="00036C5C">
        <w:rPr>
          <w:lang w:val="sq-AL"/>
        </w:rPr>
        <w:tab/>
      </w:r>
      <w:r w:rsidRPr="00036C5C">
        <w:rPr>
          <w:lang w:val="sq-AL"/>
        </w:rPr>
        <w:tab/>
        <w:t xml:space="preserve">  </w:t>
      </w:r>
      <w:r w:rsidRPr="00036C5C">
        <w:rPr>
          <w:lang w:val="sq-AL"/>
        </w:rPr>
        <w:tab/>
      </w:r>
      <w:r w:rsidRPr="00036C5C">
        <w:rPr>
          <w:lang w:val="sq-AL"/>
        </w:rPr>
        <w:tab/>
      </w:r>
    </w:p>
    <w:p w:rsidR="002616F1" w:rsidRPr="00036C5C" w:rsidRDefault="002616F1" w:rsidP="002616F1">
      <w:pPr>
        <w:pStyle w:val="NeniNr"/>
        <w:rPr>
          <w:lang w:val="sq-AL"/>
        </w:rPr>
      </w:pPr>
      <w:r w:rsidRPr="00036C5C">
        <w:rPr>
          <w:lang w:val="sq-AL"/>
        </w:rPr>
        <w:t>Neni 3</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3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 xml:space="preserve"> “Neni 3</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Buxheti vendor për vitin 2012 është:</w:t>
      </w:r>
    </w:p>
    <w:p w:rsidR="002616F1" w:rsidRPr="00036C5C" w:rsidRDefault="002616F1" w:rsidP="002616F1">
      <w:pPr>
        <w:pStyle w:val="Paragrafi"/>
        <w:rPr>
          <w:lang w:val="sq-AL"/>
        </w:rPr>
      </w:pP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 xml:space="preserve">Të ardhurat </w:t>
      </w:r>
      <w:r w:rsidRPr="00036C5C">
        <w:rPr>
          <w:lang w:val="sq-AL"/>
        </w:rPr>
        <w:tab/>
        <w:t xml:space="preserve"> </w:t>
      </w:r>
      <w:r w:rsidRPr="00036C5C">
        <w:rPr>
          <w:lang w:val="sq-AL"/>
        </w:rPr>
        <w:tab/>
      </w:r>
      <w:r w:rsidRPr="00036C5C">
        <w:rPr>
          <w:lang w:val="sq-AL"/>
        </w:rPr>
        <w:tab/>
      </w:r>
      <w:r w:rsidRPr="00036C5C">
        <w:rPr>
          <w:lang w:val="sq-AL"/>
        </w:rPr>
        <w:tab/>
        <w:t xml:space="preserve">        </w:t>
      </w:r>
      <w:r w:rsidRPr="00036C5C">
        <w:rPr>
          <w:lang w:val="sq-AL"/>
        </w:rPr>
        <w:tab/>
        <w:t xml:space="preserve">       27 049            milionë lekë;</w:t>
      </w: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Nga të cilat:</w:t>
      </w:r>
    </w:p>
    <w:p w:rsidR="002616F1" w:rsidRPr="00036C5C" w:rsidRDefault="002616F1" w:rsidP="002616F1">
      <w:pPr>
        <w:pStyle w:val="Paragrafi"/>
        <w:rPr>
          <w:lang w:val="sq-AL"/>
        </w:rPr>
      </w:pPr>
    </w:p>
    <w:tbl>
      <w:tblPr>
        <w:tblW w:w="0" w:type="auto"/>
        <w:jc w:val="center"/>
        <w:tblLook w:val="00A0"/>
      </w:tblPr>
      <w:tblGrid>
        <w:gridCol w:w="4077"/>
        <w:gridCol w:w="1418"/>
        <w:gridCol w:w="2153"/>
      </w:tblGrid>
      <w:tr w:rsidR="002616F1" w:rsidRPr="00036C5C" w:rsidTr="00EE3F54">
        <w:trPr>
          <w:jc w:val="center"/>
        </w:trPr>
        <w:tc>
          <w:tcPr>
            <w:tcW w:w="4077" w:type="dxa"/>
          </w:tcPr>
          <w:p w:rsidR="002616F1" w:rsidRPr="00036C5C" w:rsidRDefault="002616F1" w:rsidP="00EE3F54">
            <w:pPr>
              <w:pStyle w:val="Paragrafi"/>
              <w:ind w:firstLine="0"/>
              <w:rPr>
                <w:lang w:val="sq-AL"/>
              </w:rPr>
            </w:pPr>
            <w:r w:rsidRPr="00036C5C">
              <w:rPr>
                <w:lang w:val="sq-AL"/>
              </w:rPr>
              <w:t>Granti i pakushtëzuar nga buxheti qendror</w:t>
            </w:r>
          </w:p>
        </w:tc>
        <w:tc>
          <w:tcPr>
            <w:tcW w:w="1418" w:type="dxa"/>
          </w:tcPr>
          <w:p w:rsidR="002616F1" w:rsidRPr="00036C5C" w:rsidRDefault="002616F1" w:rsidP="00EE3F54">
            <w:pPr>
              <w:pStyle w:val="Paragrafi"/>
              <w:ind w:firstLine="0"/>
              <w:jc w:val="right"/>
              <w:rPr>
                <w:lang w:val="sq-AL"/>
              </w:rPr>
            </w:pPr>
            <w:r w:rsidRPr="00036C5C">
              <w:rPr>
                <w:lang w:val="sq-AL"/>
              </w:rPr>
              <w:t xml:space="preserve">13 876   </w:t>
            </w:r>
          </w:p>
        </w:tc>
        <w:tc>
          <w:tcPr>
            <w:tcW w:w="2153" w:type="dxa"/>
          </w:tcPr>
          <w:p w:rsidR="002616F1" w:rsidRPr="00036C5C" w:rsidRDefault="002616F1" w:rsidP="00EE3F54">
            <w:pPr>
              <w:pStyle w:val="Paragrafi"/>
              <w:ind w:firstLine="0"/>
              <w:jc w:val="center"/>
              <w:rPr>
                <w:lang w:val="sq-AL"/>
              </w:rPr>
            </w:pPr>
            <w:r w:rsidRPr="00036C5C">
              <w:rPr>
                <w:lang w:val="sq-AL"/>
              </w:rPr>
              <w:t xml:space="preserve">      milionë lekë;</w:t>
            </w:r>
          </w:p>
        </w:tc>
      </w:tr>
      <w:tr w:rsidR="002616F1" w:rsidRPr="00036C5C" w:rsidTr="00EE3F54">
        <w:trPr>
          <w:jc w:val="center"/>
        </w:trPr>
        <w:tc>
          <w:tcPr>
            <w:tcW w:w="4077" w:type="dxa"/>
          </w:tcPr>
          <w:p w:rsidR="002616F1" w:rsidRPr="00036C5C" w:rsidRDefault="002616F1" w:rsidP="00EE3F54">
            <w:pPr>
              <w:pStyle w:val="Paragrafi"/>
              <w:ind w:firstLine="0"/>
              <w:rPr>
                <w:lang w:val="sq-AL"/>
              </w:rPr>
            </w:pPr>
            <w:r w:rsidRPr="00036C5C">
              <w:rPr>
                <w:lang w:val="sq-AL"/>
              </w:rPr>
              <w:t>Të ardhurat</w:t>
            </w:r>
          </w:p>
        </w:tc>
        <w:tc>
          <w:tcPr>
            <w:tcW w:w="1418" w:type="dxa"/>
          </w:tcPr>
          <w:p w:rsidR="002616F1" w:rsidRPr="00036C5C" w:rsidRDefault="002616F1" w:rsidP="00EE3F54">
            <w:pPr>
              <w:pStyle w:val="Paragrafi"/>
              <w:ind w:firstLine="0"/>
              <w:jc w:val="right"/>
              <w:rPr>
                <w:lang w:val="sq-AL"/>
              </w:rPr>
            </w:pPr>
            <w:r w:rsidRPr="00036C5C">
              <w:rPr>
                <w:lang w:val="sq-AL"/>
              </w:rPr>
              <w:t xml:space="preserve">13 173  </w:t>
            </w:r>
          </w:p>
        </w:tc>
        <w:tc>
          <w:tcPr>
            <w:tcW w:w="2153" w:type="dxa"/>
          </w:tcPr>
          <w:p w:rsidR="002616F1" w:rsidRPr="00036C5C" w:rsidRDefault="002616F1" w:rsidP="00EE3F54">
            <w:pPr>
              <w:pStyle w:val="Paragrafi"/>
              <w:ind w:firstLine="0"/>
              <w:jc w:val="center"/>
              <w:rPr>
                <w:lang w:val="sq-AL"/>
              </w:rPr>
            </w:pPr>
            <w:r w:rsidRPr="00036C5C">
              <w:rPr>
                <w:lang w:val="sq-AL"/>
              </w:rPr>
              <w:t xml:space="preserve">      milionë lekë;</w:t>
            </w:r>
          </w:p>
        </w:tc>
      </w:tr>
      <w:tr w:rsidR="002616F1" w:rsidRPr="00036C5C" w:rsidTr="00EE3F54">
        <w:trPr>
          <w:jc w:val="center"/>
        </w:trPr>
        <w:tc>
          <w:tcPr>
            <w:tcW w:w="4077" w:type="dxa"/>
          </w:tcPr>
          <w:p w:rsidR="002616F1" w:rsidRPr="00036C5C" w:rsidRDefault="002616F1" w:rsidP="00EE3F54">
            <w:pPr>
              <w:pStyle w:val="Paragrafi"/>
              <w:ind w:firstLine="0"/>
              <w:rPr>
                <w:lang w:val="sq-AL"/>
              </w:rPr>
            </w:pPr>
            <w:r w:rsidRPr="00036C5C">
              <w:rPr>
                <w:lang w:val="sq-AL"/>
              </w:rPr>
              <w:t>Shpenzimet</w:t>
            </w:r>
          </w:p>
        </w:tc>
        <w:tc>
          <w:tcPr>
            <w:tcW w:w="1418" w:type="dxa"/>
          </w:tcPr>
          <w:p w:rsidR="002616F1" w:rsidRPr="00036C5C" w:rsidRDefault="002616F1" w:rsidP="00EE3F54">
            <w:pPr>
              <w:pStyle w:val="Paragrafi"/>
              <w:ind w:firstLine="0"/>
              <w:jc w:val="right"/>
              <w:rPr>
                <w:lang w:val="sq-AL"/>
              </w:rPr>
            </w:pPr>
            <w:r w:rsidRPr="00036C5C">
              <w:rPr>
                <w:lang w:val="sq-AL"/>
              </w:rPr>
              <w:t xml:space="preserve">27 049  </w:t>
            </w:r>
          </w:p>
        </w:tc>
        <w:tc>
          <w:tcPr>
            <w:tcW w:w="2153" w:type="dxa"/>
          </w:tcPr>
          <w:p w:rsidR="002616F1" w:rsidRPr="00036C5C" w:rsidRDefault="002616F1" w:rsidP="00EE3F54">
            <w:pPr>
              <w:pStyle w:val="Paragrafi"/>
              <w:ind w:firstLine="0"/>
              <w:jc w:val="right"/>
              <w:rPr>
                <w:lang w:val="sq-AL"/>
              </w:rPr>
            </w:pPr>
            <w:r w:rsidRPr="00036C5C">
              <w:rPr>
                <w:lang w:val="sq-AL"/>
              </w:rPr>
              <w:t xml:space="preserve"> milionë lekë.”.</w:t>
            </w:r>
          </w:p>
        </w:tc>
      </w:tr>
    </w:tbl>
    <w:p w:rsidR="002616F1" w:rsidRPr="00036C5C" w:rsidRDefault="002616F1" w:rsidP="002616F1">
      <w:pPr>
        <w:pStyle w:val="Paragrafi"/>
        <w:rPr>
          <w:rFonts w:cs="Times New Roman"/>
          <w:lang w:val="sq-AL"/>
        </w:rPr>
      </w:pPr>
    </w:p>
    <w:p w:rsidR="002616F1" w:rsidRPr="00036C5C" w:rsidRDefault="002616F1" w:rsidP="002616F1">
      <w:pPr>
        <w:pStyle w:val="NeniNr"/>
        <w:rPr>
          <w:lang w:val="sq-AL"/>
        </w:rPr>
      </w:pPr>
      <w:r w:rsidRPr="00036C5C">
        <w:rPr>
          <w:lang w:val="sq-AL"/>
        </w:rPr>
        <w:t>Neni 4</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4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lastRenderedPageBreak/>
        <w:t>“Neni 4</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 xml:space="preserve">Buxheti i sigurimeve shoqërore për vitin 2012 është: </w:t>
      </w: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l. Skema e sigurimit të detyrueshëm shoqëror</w:t>
      </w: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 xml:space="preserve">Të ardhurat, gjithsej                           </w:t>
      </w:r>
      <w:r>
        <w:rPr>
          <w:lang w:val="sq-AL"/>
        </w:rPr>
        <w:tab/>
        <w:t xml:space="preserve">                    </w:t>
      </w:r>
      <w:r w:rsidR="004046C2">
        <w:rPr>
          <w:lang w:val="sq-AL"/>
        </w:rPr>
        <w:t xml:space="preserve">  </w:t>
      </w:r>
      <w:r w:rsidRPr="00036C5C">
        <w:rPr>
          <w:lang w:val="sq-AL"/>
        </w:rPr>
        <w:t>83 360</w:t>
      </w:r>
      <w:r w:rsidRPr="00036C5C">
        <w:rPr>
          <w:lang w:val="sq-AL"/>
        </w:rPr>
        <w:tab/>
      </w:r>
      <w:r>
        <w:rPr>
          <w:lang w:val="sq-AL"/>
        </w:rPr>
        <w:t xml:space="preserve">     </w:t>
      </w:r>
      <w:r w:rsidRPr="00036C5C">
        <w:rPr>
          <w:lang w:val="sq-AL"/>
        </w:rPr>
        <w:t>milionë lekë;</w:t>
      </w: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Nga të cilat:</w:t>
      </w:r>
    </w:p>
    <w:p w:rsidR="002616F1" w:rsidRPr="00036C5C" w:rsidRDefault="002616F1" w:rsidP="002616F1">
      <w:pPr>
        <w:pStyle w:val="Paragrafi"/>
        <w:rPr>
          <w:lang w:val="sq-AL"/>
        </w:rPr>
      </w:pPr>
    </w:p>
    <w:tbl>
      <w:tblPr>
        <w:tblW w:w="0" w:type="auto"/>
        <w:jc w:val="center"/>
        <w:tblLook w:val="00A0"/>
      </w:tblPr>
      <w:tblGrid>
        <w:gridCol w:w="3936"/>
        <w:gridCol w:w="1648"/>
        <w:gridCol w:w="1701"/>
      </w:tblGrid>
      <w:tr w:rsidR="002616F1" w:rsidRPr="00036C5C" w:rsidTr="00EE3F54">
        <w:trPr>
          <w:jc w:val="center"/>
        </w:trPr>
        <w:tc>
          <w:tcPr>
            <w:tcW w:w="3936" w:type="dxa"/>
          </w:tcPr>
          <w:p w:rsidR="002616F1" w:rsidRPr="00036C5C" w:rsidRDefault="002616F1" w:rsidP="00EE3F54">
            <w:pPr>
              <w:pStyle w:val="Paragrafi"/>
              <w:ind w:firstLine="0"/>
              <w:rPr>
                <w:lang w:val="sq-AL"/>
              </w:rPr>
            </w:pPr>
            <w:r w:rsidRPr="00036C5C">
              <w:rPr>
                <w:lang w:val="sq-AL"/>
              </w:rPr>
              <w:t>- kontributet</w:t>
            </w:r>
          </w:p>
        </w:tc>
        <w:tc>
          <w:tcPr>
            <w:tcW w:w="1648" w:type="dxa"/>
          </w:tcPr>
          <w:p w:rsidR="002616F1" w:rsidRPr="00036C5C" w:rsidRDefault="002616F1" w:rsidP="00EE3F54">
            <w:pPr>
              <w:pStyle w:val="Paragrafi"/>
              <w:ind w:firstLine="0"/>
              <w:jc w:val="right"/>
              <w:rPr>
                <w:lang w:val="sq-AL"/>
              </w:rPr>
            </w:pPr>
            <w:r w:rsidRPr="00036C5C">
              <w:rPr>
                <w:lang w:val="sq-AL"/>
              </w:rPr>
              <w:t>50 287</w:t>
            </w:r>
          </w:p>
        </w:tc>
        <w:tc>
          <w:tcPr>
            <w:tcW w:w="1701"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3936" w:type="dxa"/>
          </w:tcPr>
          <w:p w:rsidR="002616F1" w:rsidRPr="00036C5C" w:rsidRDefault="002616F1" w:rsidP="00EE3F54">
            <w:pPr>
              <w:pStyle w:val="Paragrafi"/>
              <w:ind w:firstLine="0"/>
              <w:rPr>
                <w:lang w:val="sq-AL"/>
              </w:rPr>
            </w:pPr>
            <w:r w:rsidRPr="00036C5C">
              <w:rPr>
                <w:lang w:val="sq-AL"/>
              </w:rPr>
              <w:t>- transferimet nga buxheti i shtetit</w:t>
            </w:r>
          </w:p>
        </w:tc>
        <w:tc>
          <w:tcPr>
            <w:tcW w:w="1648" w:type="dxa"/>
          </w:tcPr>
          <w:p w:rsidR="002616F1" w:rsidRPr="00036C5C" w:rsidRDefault="002616F1" w:rsidP="00EE3F54">
            <w:pPr>
              <w:pStyle w:val="Paragrafi"/>
              <w:ind w:firstLine="0"/>
              <w:jc w:val="right"/>
              <w:rPr>
                <w:lang w:val="sq-AL"/>
              </w:rPr>
            </w:pPr>
            <w:r w:rsidRPr="00036C5C">
              <w:rPr>
                <w:lang w:val="sq-AL"/>
              </w:rPr>
              <w:t>33 073</w:t>
            </w:r>
          </w:p>
        </w:tc>
        <w:tc>
          <w:tcPr>
            <w:tcW w:w="1701"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3936" w:type="dxa"/>
          </w:tcPr>
          <w:p w:rsidR="002616F1" w:rsidRPr="00036C5C" w:rsidRDefault="002616F1" w:rsidP="00EE3F54">
            <w:pPr>
              <w:pStyle w:val="Paragrafi"/>
              <w:ind w:firstLine="0"/>
              <w:rPr>
                <w:lang w:val="sq-AL"/>
              </w:rPr>
            </w:pPr>
            <w:r w:rsidRPr="00036C5C">
              <w:rPr>
                <w:lang w:val="sq-AL"/>
              </w:rPr>
              <w:t>- shpenzimet</w:t>
            </w:r>
          </w:p>
        </w:tc>
        <w:tc>
          <w:tcPr>
            <w:tcW w:w="1648" w:type="dxa"/>
          </w:tcPr>
          <w:p w:rsidR="002616F1" w:rsidRPr="00036C5C" w:rsidRDefault="002616F1" w:rsidP="00EE3F54">
            <w:pPr>
              <w:pStyle w:val="Paragrafi"/>
              <w:ind w:firstLine="0"/>
              <w:jc w:val="right"/>
              <w:rPr>
                <w:lang w:val="sq-AL"/>
              </w:rPr>
            </w:pPr>
            <w:r w:rsidRPr="00036C5C">
              <w:rPr>
                <w:lang w:val="sq-AL"/>
              </w:rPr>
              <w:t>83 360</w:t>
            </w:r>
          </w:p>
        </w:tc>
        <w:tc>
          <w:tcPr>
            <w:tcW w:w="1701" w:type="dxa"/>
          </w:tcPr>
          <w:p w:rsidR="002616F1" w:rsidRPr="00036C5C" w:rsidRDefault="002616F1" w:rsidP="00EE3F54">
            <w:pPr>
              <w:pStyle w:val="Paragrafi"/>
              <w:ind w:firstLine="0"/>
              <w:jc w:val="right"/>
              <w:rPr>
                <w:lang w:val="sq-AL"/>
              </w:rPr>
            </w:pPr>
            <w:r w:rsidRPr="00036C5C">
              <w:rPr>
                <w:lang w:val="sq-AL"/>
              </w:rPr>
              <w:t>milionë lekë.</w:t>
            </w:r>
          </w:p>
        </w:tc>
      </w:tr>
    </w:tbl>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2012, teprica e të ardhurave, sipas degëve të sigurimit shoqëror, përdoret për mbulimin e deficitit të degës së pensioneve.</w:t>
      </w: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2. Skema e sigurimit suplementar</w:t>
      </w:r>
    </w:p>
    <w:p w:rsidR="002616F1" w:rsidRPr="00036C5C" w:rsidRDefault="002616F1" w:rsidP="002616F1">
      <w:pPr>
        <w:pStyle w:val="Paragrafi"/>
        <w:rPr>
          <w:lang w:val="sq-AL"/>
        </w:rPr>
      </w:pPr>
      <w:r w:rsidRPr="00036C5C">
        <w:rPr>
          <w:lang w:val="sq-AL"/>
        </w:rPr>
        <w:t xml:space="preserve"> </w:t>
      </w:r>
    </w:p>
    <w:p w:rsidR="002616F1" w:rsidRPr="00036C5C" w:rsidRDefault="002616F1" w:rsidP="002616F1">
      <w:pPr>
        <w:pStyle w:val="Paragrafi"/>
        <w:rPr>
          <w:lang w:val="sq-AL"/>
        </w:rPr>
      </w:pPr>
      <w:r w:rsidRPr="00036C5C">
        <w:rPr>
          <w:lang w:val="sq-AL"/>
        </w:rPr>
        <w:t xml:space="preserve">Të ardhurat, gjithsej </w:t>
      </w:r>
      <w:r w:rsidRPr="00036C5C">
        <w:rPr>
          <w:lang w:val="sq-AL"/>
        </w:rPr>
        <w:tab/>
      </w:r>
      <w:r w:rsidRPr="00036C5C">
        <w:rPr>
          <w:lang w:val="sq-AL"/>
        </w:rPr>
        <w:tab/>
        <w:t xml:space="preserve">            </w:t>
      </w:r>
      <w:r w:rsidRPr="00036C5C">
        <w:rPr>
          <w:lang w:val="sq-AL"/>
        </w:rPr>
        <w:tab/>
      </w:r>
      <w:r>
        <w:rPr>
          <w:lang w:val="sq-AL"/>
        </w:rPr>
        <w:t xml:space="preserve">             </w:t>
      </w:r>
      <w:r w:rsidRPr="00036C5C">
        <w:rPr>
          <w:lang w:val="sq-AL"/>
        </w:rPr>
        <w:t>5 405</w:t>
      </w:r>
      <w:r w:rsidRPr="00036C5C">
        <w:rPr>
          <w:lang w:val="sq-AL"/>
        </w:rPr>
        <w:tab/>
      </w:r>
      <w:r>
        <w:rPr>
          <w:lang w:val="sq-AL"/>
        </w:rPr>
        <w:t xml:space="preserve">       </w:t>
      </w:r>
      <w:r w:rsidRPr="00036C5C">
        <w:rPr>
          <w:lang w:val="sq-AL"/>
        </w:rPr>
        <w:t>milionë lekë;</w:t>
      </w:r>
    </w:p>
    <w:p w:rsidR="002616F1" w:rsidRPr="00036C5C" w:rsidRDefault="002616F1" w:rsidP="002616F1">
      <w:pPr>
        <w:pStyle w:val="Paragrafi"/>
        <w:rPr>
          <w:lang w:val="sq-AL"/>
        </w:rPr>
      </w:pPr>
    </w:p>
    <w:p w:rsidR="002616F1" w:rsidRPr="00036C5C" w:rsidRDefault="002616F1" w:rsidP="002616F1">
      <w:pPr>
        <w:pStyle w:val="Paragrafi"/>
        <w:rPr>
          <w:lang w:val="sq-AL"/>
        </w:rPr>
      </w:pPr>
      <w:r w:rsidRPr="00036C5C">
        <w:rPr>
          <w:lang w:val="sq-AL"/>
        </w:rPr>
        <w:t>Nga të cilat:</w:t>
      </w:r>
    </w:p>
    <w:p w:rsidR="002616F1" w:rsidRPr="00036C5C" w:rsidRDefault="002616F1" w:rsidP="002616F1">
      <w:pPr>
        <w:pStyle w:val="Paragrafi"/>
        <w:rPr>
          <w:lang w:val="sq-AL"/>
        </w:rPr>
      </w:pPr>
    </w:p>
    <w:tbl>
      <w:tblPr>
        <w:tblW w:w="0" w:type="auto"/>
        <w:jc w:val="center"/>
        <w:tblLook w:val="00A0"/>
      </w:tblPr>
      <w:tblGrid>
        <w:gridCol w:w="4361"/>
        <w:gridCol w:w="1830"/>
        <w:gridCol w:w="2281"/>
      </w:tblGrid>
      <w:tr w:rsidR="002616F1" w:rsidRPr="00036C5C" w:rsidTr="00EE3F54">
        <w:trPr>
          <w:jc w:val="center"/>
        </w:trPr>
        <w:tc>
          <w:tcPr>
            <w:tcW w:w="4361" w:type="dxa"/>
          </w:tcPr>
          <w:p w:rsidR="002616F1" w:rsidRPr="00036C5C" w:rsidRDefault="002616F1" w:rsidP="00EE3F54">
            <w:pPr>
              <w:pStyle w:val="Paragrafi"/>
              <w:ind w:firstLine="0"/>
              <w:rPr>
                <w:lang w:val="sq-AL"/>
              </w:rPr>
            </w:pPr>
            <w:r w:rsidRPr="00036C5C">
              <w:rPr>
                <w:lang w:val="sq-AL"/>
              </w:rPr>
              <w:t>-  kontributet</w:t>
            </w:r>
          </w:p>
        </w:tc>
        <w:tc>
          <w:tcPr>
            <w:tcW w:w="1830" w:type="dxa"/>
          </w:tcPr>
          <w:p w:rsidR="002616F1" w:rsidRPr="00036C5C" w:rsidRDefault="002616F1" w:rsidP="00EE3F54">
            <w:pPr>
              <w:pStyle w:val="Paragrafi"/>
              <w:ind w:firstLine="0"/>
              <w:jc w:val="right"/>
              <w:rPr>
                <w:lang w:val="sq-AL"/>
              </w:rPr>
            </w:pPr>
            <w:r w:rsidRPr="00036C5C">
              <w:rPr>
                <w:lang w:val="sq-AL"/>
              </w:rPr>
              <w:t>290</w:t>
            </w:r>
          </w:p>
        </w:tc>
        <w:tc>
          <w:tcPr>
            <w:tcW w:w="2281" w:type="dxa"/>
          </w:tcPr>
          <w:p w:rsidR="002616F1" w:rsidRPr="00036C5C" w:rsidRDefault="002616F1" w:rsidP="00EE3F54">
            <w:pPr>
              <w:pStyle w:val="Paragrafi"/>
              <w:ind w:firstLine="0"/>
              <w:rPr>
                <w:lang w:val="sq-AL"/>
              </w:rPr>
            </w:pPr>
            <w:r>
              <w:rPr>
                <w:lang w:val="sq-AL"/>
              </w:rPr>
              <w:t xml:space="preserve">      </w:t>
            </w:r>
            <w:r w:rsidRPr="00036C5C">
              <w:rPr>
                <w:lang w:val="sq-AL"/>
              </w:rPr>
              <w:t>milionë lekë;</w:t>
            </w:r>
          </w:p>
        </w:tc>
      </w:tr>
      <w:tr w:rsidR="002616F1" w:rsidRPr="00036C5C" w:rsidTr="00EE3F54">
        <w:trPr>
          <w:jc w:val="center"/>
        </w:trPr>
        <w:tc>
          <w:tcPr>
            <w:tcW w:w="4361" w:type="dxa"/>
          </w:tcPr>
          <w:p w:rsidR="002616F1" w:rsidRPr="00036C5C" w:rsidRDefault="002616F1" w:rsidP="00EE3F54">
            <w:pPr>
              <w:pStyle w:val="Paragrafi"/>
              <w:ind w:firstLine="0"/>
              <w:rPr>
                <w:lang w:val="sq-AL"/>
              </w:rPr>
            </w:pPr>
            <w:r w:rsidRPr="00036C5C">
              <w:rPr>
                <w:lang w:val="sq-AL"/>
              </w:rPr>
              <w:t>-  transferimet nga buxheti i shtetit</w:t>
            </w:r>
          </w:p>
        </w:tc>
        <w:tc>
          <w:tcPr>
            <w:tcW w:w="1830" w:type="dxa"/>
          </w:tcPr>
          <w:p w:rsidR="002616F1" w:rsidRPr="00036C5C" w:rsidRDefault="002616F1" w:rsidP="00EE3F54">
            <w:pPr>
              <w:pStyle w:val="Paragrafi"/>
              <w:ind w:firstLine="0"/>
              <w:jc w:val="right"/>
              <w:rPr>
                <w:lang w:val="sq-AL"/>
              </w:rPr>
            </w:pPr>
            <w:r w:rsidRPr="00036C5C">
              <w:rPr>
                <w:lang w:val="sq-AL"/>
              </w:rPr>
              <w:t>5 115</w:t>
            </w:r>
          </w:p>
        </w:tc>
        <w:tc>
          <w:tcPr>
            <w:tcW w:w="2281" w:type="dxa"/>
          </w:tcPr>
          <w:p w:rsidR="002616F1" w:rsidRPr="00036C5C" w:rsidRDefault="002616F1" w:rsidP="00EE3F54">
            <w:pPr>
              <w:pStyle w:val="Paragrafi"/>
              <w:ind w:firstLine="0"/>
              <w:rPr>
                <w:lang w:val="sq-AL"/>
              </w:rPr>
            </w:pPr>
            <w:r>
              <w:rPr>
                <w:lang w:val="sq-AL"/>
              </w:rPr>
              <w:t xml:space="preserve">      </w:t>
            </w:r>
            <w:r w:rsidRPr="00036C5C">
              <w:rPr>
                <w:lang w:val="sq-AL"/>
              </w:rPr>
              <w:t>milionë lekë;</w:t>
            </w:r>
          </w:p>
        </w:tc>
      </w:tr>
      <w:tr w:rsidR="002616F1" w:rsidRPr="00036C5C" w:rsidTr="00EE3F54">
        <w:trPr>
          <w:jc w:val="center"/>
        </w:trPr>
        <w:tc>
          <w:tcPr>
            <w:tcW w:w="4361" w:type="dxa"/>
          </w:tcPr>
          <w:p w:rsidR="002616F1" w:rsidRPr="00036C5C" w:rsidRDefault="002616F1" w:rsidP="00EE3F54">
            <w:pPr>
              <w:pStyle w:val="Paragrafi"/>
              <w:ind w:firstLine="0"/>
              <w:rPr>
                <w:lang w:val="sq-AL"/>
              </w:rPr>
            </w:pPr>
            <w:r w:rsidRPr="00036C5C">
              <w:rPr>
                <w:lang w:val="sq-AL"/>
              </w:rPr>
              <w:t>-  shpenzimet</w:t>
            </w:r>
          </w:p>
        </w:tc>
        <w:tc>
          <w:tcPr>
            <w:tcW w:w="1830" w:type="dxa"/>
          </w:tcPr>
          <w:p w:rsidR="002616F1" w:rsidRPr="00036C5C" w:rsidRDefault="002616F1" w:rsidP="00EE3F54">
            <w:pPr>
              <w:pStyle w:val="Paragrafi"/>
              <w:ind w:firstLine="0"/>
              <w:jc w:val="right"/>
              <w:rPr>
                <w:lang w:val="sq-AL"/>
              </w:rPr>
            </w:pPr>
            <w:r w:rsidRPr="00036C5C">
              <w:rPr>
                <w:lang w:val="sq-AL"/>
              </w:rPr>
              <w:t>5 405</w:t>
            </w:r>
          </w:p>
        </w:tc>
        <w:tc>
          <w:tcPr>
            <w:tcW w:w="2281" w:type="dxa"/>
          </w:tcPr>
          <w:p w:rsidR="002616F1" w:rsidRPr="00036C5C" w:rsidRDefault="002616F1" w:rsidP="00EE3F54">
            <w:pPr>
              <w:pStyle w:val="Paragrafi"/>
              <w:ind w:firstLine="0"/>
              <w:jc w:val="center"/>
              <w:rPr>
                <w:lang w:val="sq-AL"/>
              </w:rPr>
            </w:pPr>
            <w:r w:rsidRPr="00036C5C">
              <w:rPr>
                <w:lang w:val="sq-AL"/>
              </w:rPr>
              <w:t>milionë lekë.”.</w:t>
            </w:r>
          </w:p>
        </w:tc>
      </w:tr>
    </w:tbl>
    <w:p w:rsidR="002616F1" w:rsidRPr="00036C5C" w:rsidRDefault="002616F1" w:rsidP="002616F1">
      <w:pPr>
        <w:pStyle w:val="Paragrafi"/>
        <w:rPr>
          <w:rFonts w:cs="Times New Roman"/>
          <w:lang w:val="sq-AL"/>
        </w:rPr>
      </w:pPr>
    </w:p>
    <w:p w:rsidR="002616F1" w:rsidRPr="00036C5C" w:rsidRDefault="002616F1" w:rsidP="004046C2">
      <w:pPr>
        <w:pStyle w:val="NeniNr"/>
      </w:pPr>
      <w:r w:rsidRPr="00036C5C">
        <w:t>Neni 5</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8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8</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Të ardhurat e buxhetit të shtetit, sipas grupeve kryesore, janë:</w:t>
      </w:r>
    </w:p>
    <w:p w:rsidR="002616F1" w:rsidRPr="00036C5C" w:rsidRDefault="002616F1" w:rsidP="002616F1">
      <w:pPr>
        <w:pStyle w:val="Paragrafi"/>
        <w:rPr>
          <w:lang w:val="sq-AL"/>
        </w:rPr>
      </w:pPr>
    </w:p>
    <w:tbl>
      <w:tblPr>
        <w:tblW w:w="0" w:type="auto"/>
        <w:jc w:val="center"/>
        <w:tblLook w:val="00A0"/>
      </w:tblPr>
      <w:tblGrid>
        <w:gridCol w:w="3510"/>
        <w:gridCol w:w="1560"/>
        <w:gridCol w:w="2409"/>
      </w:tblGrid>
      <w:tr w:rsidR="002616F1" w:rsidRPr="00036C5C" w:rsidTr="00EE3F54">
        <w:trPr>
          <w:jc w:val="center"/>
        </w:trPr>
        <w:tc>
          <w:tcPr>
            <w:tcW w:w="3510" w:type="dxa"/>
          </w:tcPr>
          <w:p w:rsidR="002616F1" w:rsidRPr="00036C5C" w:rsidRDefault="002616F1" w:rsidP="00EE3F54">
            <w:pPr>
              <w:pStyle w:val="Paragrafi"/>
              <w:ind w:firstLine="0"/>
              <w:rPr>
                <w:lang w:val="sq-AL"/>
              </w:rPr>
            </w:pPr>
            <w:r w:rsidRPr="00036C5C">
              <w:rPr>
                <w:lang w:val="sq-AL"/>
              </w:rPr>
              <w:t>Grantet</w:t>
            </w:r>
            <w:r w:rsidRPr="00036C5C">
              <w:rPr>
                <w:lang w:val="sq-AL"/>
              </w:rPr>
              <w:tab/>
            </w:r>
          </w:p>
        </w:tc>
        <w:tc>
          <w:tcPr>
            <w:tcW w:w="1560" w:type="dxa"/>
          </w:tcPr>
          <w:p w:rsidR="002616F1" w:rsidRPr="00036C5C" w:rsidRDefault="002616F1" w:rsidP="00EE3F54">
            <w:pPr>
              <w:pStyle w:val="Paragrafi"/>
              <w:ind w:firstLine="0"/>
              <w:jc w:val="right"/>
              <w:rPr>
                <w:lang w:val="sq-AL"/>
              </w:rPr>
            </w:pPr>
            <w:r w:rsidRPr="00036C5C">
              <w:rPr>
                <w:lang w:val="sq-AL"/>
              </w:rPr>
              <w:t>4 020</w:t>
            </w:r>
          </w:p>
        </w:tc>
        <w:tc>
          <w:tcPr>
            <w:tcW w:w="2409"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3510" w:type="dxa"/>
          </w:tcPr>
          <w:p w:rsidR="002616F1" w:rsidRPr="00036C5C" w:rsidRDefault="002616F1" w:rsidP="00EE3F54">
            <w:pPr>
              <w:pStyle w:val="Paragrafi"/>
              <w:ind w:firstLine="0"/>
              <w:rPr>
                <w:lang w:val="sq-AL"/>
              </w:rPr>
            </w:pPr>
            <w:r w:rsidRPr="00036C5C">
              <w:rPr>
                <w:lang w:val="sq-AL"/>
              </w:rPr>
              <w:t>Të ardhurat tatimore</w:t>
            </w:r>
          </w:p>
        </w:tc>
        <w:tc>
          <w:tcPr>
            <w:tcW w:w="1560" w:type="dxa"/>
          </w:tcPr>
          <w:p w:rsidR="002616F1" w:rsidRPr="00036C5C" w:rsidRDefault="002616F1" w:rsidP="00EE3F54">
            <w:pPr>
              <w:pStyle w:val="Paragrafi"/>
              <w:ind w:firstLine="0"/>
              <w:jc w:val="right"/>
              <w:rPr>
                <w:lang w:val="sq-AL"/>
              </w:rPr>
            </w:pPr>
            <w:r w:rsidRPr="00036C5C">
              <w:rPr>
                <w:lang w:val="sq-AL"/>
              </w:rPr>
              <w:t xml:space="preserve">235 922  </w:t>
            </w:r>
          </w:p>
        </w:tc>
        <w:tc>
          <w:tcPr>
            <w:tcW w:w="2409"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3510" w:type="dxa"/>
          </w:tcPr>
          <w:p w:rsidR="002616F1" w:rsidRPr="00036C5C" w:rsidRDefault="002616F1" w:rsidP="00EE3F54">
            <w:pPr>
              <w:pStyle w:val="Paragrafi"/>
              <w:ind w:firstLine="0"/>
              <w:rPr>
                <w:lang w:val="sq-AL"/>
              </w:rPr>
            </w:pPr>
            <w:r w:rsidRPr="00036C5C">
              <w:rPr>
                <w:lang w:val="sq-AL"/>
              </w:rPr>
              <w:t>Të ardhurat jotatimore</w:t>
            </w:r>
          </w:p>
        </w:tc>
        <w:tc>
          <w:tcPr>
            <w:tcW w:w="1560" w:type="dxa"/>
          </w:tcPr>
          <w:p w:rsidR="002616F1" w:rsidRPr="00036C5C" w:rsidRDefault="002616F1" w:rsidP="00EE3F54">
            <w:pPr>
              <w:pStyle w:val="Paragrafi"/>
              <w:ind w:firstLine="0"/>
              <w:jc w:val="right"/>
              <w:rPr>
                <w:lang w:val="sq-AL"/>
              </w:rPr>
            </w:pPr>
            <w:r w:rsidRPr="00036C5C">
              <w:rPr>
                <w:lang w:val="sq-AL"/>
              </w:rPr>
              <w:t xml:space="preserve">23 230  </w:t>
            </w:r>
          </w:p>
        </w:tc>
        <w:tc>
          <w:tcPr>
            <w:tcW w:w="2409" w:type="dxa"/>
          </w:tcPr>
          <w:p w:rsidR="002616F1" w:rsidRPr="00036C5C" w:rsidRDefault="002616F1" w:rsidP="00EE3F54">
            <w:pPr>
              <w:pStyle w:val="Paragrafi"/>
              <w:ind w:firstLine="0"/>
              <w:jc w:val="right"/>
              <w:rPr>
                <w:lang w:val="sq-AL"/>
              </w:rPr>
            </w:pPr>
            <w:r w:rsidRPr="00036C5C">
              <w:rPr>
                <w:lang w:val="sq-AL"/>
              </w:rPr>
              <w:t>milionë lekë.”.</w:t>
            </w:r>
          </w:p>
        </w:tc>
      </w:tr>
    </w:tbl>
    <w:p w:rsidR="002616F1" w:rsidRPr="00036C5C" w:rsidRDefault="002616F1" w:rsidP="002616F1">
      <w:pPr>
        <w:pStyle w:val="Paragrafi"/>
        <w:rPr>
          <w:rFonts w:cs="Times New Roman"/>
          <w:lang w:val="sq-AL"/>
        </w:rPr>
      </w:pPr>
    </w:p>
    <w:p w:rsidR="00EB3768" w:rsidRDefault="00EB3768" w:rsidP="00EB3768">
      <w:pPr>
        <w:pStyle w:val="NeniNr"/>
        <w:keepNext w:val="0"/>
        <w:rPr>
          <w:lang w:val="sq-AL"/>
        </w:rPr>
      </w:pPr>
    </w:p>
    <w:p w:rsidR="00EB3768" w:rsidRDefault="00EB3768" w:rsidP="00EB3768">
      <w:pPr>
        <w:pStyle w:val="NeniNr"/>
        <w:keepNext w:val="0"/>
        <w:rPr>
          <w:lang w:val="sq-AL"/>
        </w:rPr>
      </w:pPr>
    </w:p>
    <w:p w:rsidR="00EB3768" w:rsidRDefault="00EB3768" w:rsidP="00EB3768">
      <w:pPr>
        <w:pStyle w:val="NeniNr"/>
        <w:keepNext w:val="0"/>
        <w:rPr>
          <w:lang w:val="sq-AL"/>
        </w:rPr>
      </w:pPr>
    </w:p>
    <w:p w:rsidR="00EB3768" w:rsidRDefault="00EB3768" w:rsidP="00EB3768">
      <w:pPr>
        <w:pStyle w:val="NeniNr"/>
        <w:keepNext w:val="0"/>
        <w:rPr>
          <w:lang w:val="sq-AL"/>
        </w:rPr>
      </w:pPr>
    </w:p>
    <w:p w:rsidR="002616F1" w:rsidRPr="00036C5C" w:rsidRDefault="002616F1" w:rsidP="002616F1">
      <w:pPr>
        <w:pStyle w:val="NeniNr"/>
        <w:rPr>
          <w:lang w:val="sq-AL"/>
        </w:rPr>
      </w:pPr>
      <w:r w:rsidRPr="00036C5C">
        <w:rPr>
          <w:lang w:val="sq-AL"/>
        </w:rPr>
        <w:lastRenderedPageBreak/>
        <w:t>Neni 6</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9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9</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 xml:space="preserve">Kufiri i financimit të deficitit të buxhetit të shtetit nga burime të brendshme dhe të huaja është 49 538 milionë lekë, nga i cili 900 milionë lekë financohen nga të ardhurat e privatizimit. Në rast mosrealizimi të të ardhurave të buxhetit dhe të të ardhurave nga privatizimi, huamarrja totale për financimin e deficitit prej  48 638 milionë lekësh nuk ndryshon. Këshilli i Ministrave merr masa për kompensimin e diferencave nga burime suplementare ose nga shkurtimi i shpenzimeve. </w:t>
      </w:r>
    </w:p>
    <w:p w:rsidR="002616F1" w:rsidRPr="00036C5C" w:rsidRDefault="002616F1" w:rsidP="002616F1">
      <w:pPr>
        <w:pStyle w:val="Paragrafi"/>
        <w:rPr>
          <w:lang w:val="sq-AL"/>
        </w:rPr>
      </w:pPr>
      <w:r w:rsidRPr="00036C5C">
        <w:rPr>
          <w:lang w:val="sq-AL"/>
        </w:rPr>
        <w:t>Çdo e ardhur nga privatizimi, e arkëtuar mbi shumën e parashikuar në këtë ligj, përdoret me vendim të Këshillit të Ministrave për rritjen e kufirit të shpenzimeve për investime dhe uljen e huamarrjes, e cila, automatikisht, rrit kufirin e deficitit të buxhetit të shtetit, të përcaktuar në nenet 1 dhe 2 të këtij ligji.”.</w:t>
      </w:r>
    </w:p>
    <w:p w:rsidR="002616F1" w:rsidRPr="00036C5C" w:rsidRDefault="002616F1" w:rsidP="002616F1">
      <w:pPr>
        <w:pStyle w:val="Paragrafi"/>
        <w:rPr>
          <w:lang w:val="sq-AL"/>
        </w:rPr>
      </w:pPr>
      <w:r w:rsidRPr="00036C5C">
        <w:rPr>
          <w:lang w:val="sq-AL"/>
        </w:rPr>
        <w:t xml:space="preserve"> </w:t>
      </w:r>
    </w:p>
    <w:p w:rsidR="002616F1" w:rsidRPr="00036C5C" w:rsidRDefault="002616F1" w:rsidP="002616F1">
      <w:pPr>
        <w:pStyle w:val="NeniNr"/>
        <w:rPr>
          <w:lang w:val="sq-AL"/>
        </w:rPr>
      </w:pPr>
      <w:r w:rsidRPr="00036C5C">
        <w:rPr>
          <w:lang w:val="sq-AL"/>
        </w:rPr>
        <w:t>Neni 7</w:t>
      </w:r>
    </w:p>
    <w:p w:rsidR="002616F1" w:rsidRPr="002616F1" w:rsidRDefault="002616F1" w:rsidP="002616F1">
      <w:pPr>
        <w:pStyle w:val="Paragrafi"/>
        <w:rPr>
          <w:rFonts w:cs="Times New Roman"/>
          <w:sz w:val="16"/>
          <w:lang w:val="sq-AL"/>
        </w:rPr>
      </w:pPr>
    </w:p>
    <w:p w:rsidR="002616F1" w:rsidRPr="00036C5C" w:rsidRDefault="002616F1" w:rsidP="002616F1">
      <w:pPr>
        <w:pStyle w:val="Paragrafi"/>
        <w:rPr>
          <w:lang w:val="sq-AL"/>
        </w:rPr>
      </w:pPr>
      <w:r w:rsidRPr="00036C5C">
        <w:rPr>
          <w:lang w:val="sq-AL"/>
        </w:rPr>
        <w:t xml:space="preserve">Neni 10 ndryshohet, si më poshtë vijon: </w:t>
      </w:r>
    </w:p>
    <w:p w:rsidR="002616F1" w:rsidRPr="002616F1" w:rsidRDefault="002616F1" w:rsidP="002616F1">
      <w:pPr>
        <w:pStyle w:val="Paragrafi"/>
        <w:rPr>
          <w:sz w:val="16"/>
          <w:lang w:val="sq-AL"/>
        </w:rPr>
      </w:pPr>
    </w:p>
    <w:p w:rsidR="002616F1" w:rsidRPr="00036C5C" w:rsidRDefault="002616F1" w:rsidP="002616F1">
      <w:pPr>
        <w:pStyle w:val="NeniNr"/>
        <w:rPr>
          <w:lang w:val="sq-AL"/>
        </w:rPr>
      </w:pPr>
      <w:r w:rsidRPr="00036C5C">
        <w:rPr>
          <w:lang w:val="sq-AL"/>
        </w:rPr>
        <w:t>“Neni 10</w:t>
      </w:r>
    </w:p>
    <w:p w:rsidR="002616F1" w:rsidRPr="00036C5C" w:rsidRDefault="002616F1" w:rsidP="002616F1">
      <w:pPr>
        <w:pStyle w:val="NeniNr"/>
        <w:rPr>
          <w:lang w:val="sq-AL"/>
        </w:rPr>
      </w:pPr>
    </w:p>
    <w:p w:rsidR="002616F1" w:rsidRPr="00036C5C" w:rsidRDefault="002616F1" w:rsidP="002616F1">
      <w:pPr>
        <w:pStyle w:val="Paragrafi"/>
        <w:rPr>
          <w:lang w:val="sq-AL"/>
        </w:rPr>
      </w:pPr>
      <w:r w:rsidRPr="00036C5C">
        <w:rPr>
          <w:lang w:val="sq-AL"/>
        </w:rPr>
        <w:t>Shpenzimet e buxhetit të shtetit, sipas grupeve kryesore, janë:</w:t>
      </w:r>
    </w:p>
    <w:p w:rsidR="002616F1" w:rsidRPr="00036C5C" w:rsidRDefault="002616F1" w:rsidP="002616F1">
      <w:pPr>
        <w:pStyle w:val="Paragrafi"/>
        <w:rPr>
          <w:lang w:val="sq-AL"/>
        </w:rPr>
      </w:pPr>
    </w:p>
    <w:tbl>
      <w:tblPr>
        <w:tblW w:w="0" w:type="auto"/>
        <w:jc w:val="center"/>
        <w:tblLook w:val="00A0"/>
      </w:tblPr>
      <w:tblGrid>
        <w:gridCol w:w="4786"/>
        <w:gridCol w:w="1559"/>
        <w:gridCol w:w="2268"/>
      </w:tblGrid>
      <w:tr w:rsidR="002616F1" w:rsidRPr="00036C5C" w:rsidTr="00EE3F54">
        <w:trPr>
          <w:jc w:val="center"/>
        </w:trPr>
        <w:tc>
          <w:tcPr>
            <w:tcW w:w="4786" w:type="dxa"/>
          </w:tcPr>
          <w:p w:rsidR="002616F1" w:rsidRPr="00036C5C" w:rsidRDefault="002616F1" w:rsidP="00EE3F54">
            <w:pPr>
              <w:pStyle w:val="Paragrafi"/>
              <w:ind w:firstLine="0"/>
              <w:rPr>
                <w:lang w:val="sq-AL"/>
              </w:rPr>
            </w:pPr>
            <w:r w:rsidRPr="00036C5C">
              <w:rPr>
                <w:lang w:val="sq-AL"/>
              </w:rPr>
              <w:t>Shpenzimet korente</w:t>
            </w:r>
          </w:p>
        </w:tc>
        <w:tc>
          <w:tcPr>
            <w:tcW w:w="1559" w:type="dxa"/>
          </w:tcPr>
          <w:p w:rsidR="002616F1" w:rsidRPr="00036C5C" w:rsidRDefault="002616F1" w:rsidP="00EE3F54">
            <w:pPr>
              <w:pStyle w:val="Paragrafi"/>
              <w:ind w:firstLine="0"/>
              <w:jc w:val="right"/>
              <w:rPr>
                <w:lang w:val="sq-AL"/>
              </w:rPr>
            </w:pPr>
            <w:r w:rsidRPr="00036C5C">
              <w:rPr>
                <w:lang w:val="sq-AL"/>
              </w:rPr>
              <w:t>241 365</w:t>
            </w:r>
          </w:p>
        </w:tc>
        <w:tc>
          <w:tcPr>
            <w:tcW w:w="2268"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4786" w:type="dxa"/>
          </w:tcPr>
          <w:p w:rsidR="002616F1" w:rsidRPr="00036C5C" w:rsidRDefault="002616F1" w:rsidP="00EE3F54">
            <w:pPr>
              <w:pStyle w:val="Paragrafi"/>
              <w:ind w:firstLine="0"/>
              <w:rPr>
                <w:lang w:val="sq-AL"/>
              </w:rPr>
            </w:pPr>
            <w:r w:rsidRPr="00036C5C">
              <w:rPr>
                <w:lang w:val="sq-AL"/>
              </w:rPr>
              <w:t>Shpenzimet kapitale</w:t>
            </w:r>
          </w:p>
        </w:tc>
        <w:tc>
          <w:tcPr>
            <w:tcW w:w="1559" w:type="dxa"/>
          </w:tcPr>
          <w:p w:rsidR="002616F1" w:rsidRPr="00036C5C" w:rsidRDefault="002616F1" w:rsidP="00EE3F54">
            <w:pPr>
              <w:pStyle w:val="Paragrafi"/>
              <w:ind w:firstLine="0"/>
              <w:jc w:val="right"/>
              <w:rPr>
                <w:lang w:val="sq-AL"/>
              </w:rPr>
            </w:pPr>
            <w:r w:rsidRPr="00036C5C">
              <w:rPr>
                <w:lang w:val="sq-AL"/>
              </w:rPr>
              <w:t>64 690</w:t>
            </w:r>
          </w:p>
        </w:tc>
        <w:tc>
          <w:tcPr>
            <w:tcW w:w="2268"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4786" w:type="dxa"/>
          </w:tcPr>
          <w:p w:rsidR="002616F1" w:rsidRPr="00036C5C" w:rsidRDefault="002616F1" w:rsidP="00EE3F54">
            <w:pPr>
              <w:pStyle w:val="Paragrafi"/>
              <w:ind w:firstLine="0"/>
              <w:rPr>
                <w:lang w:val="sq-AL"/>
              </w:rPr>
            </w:pPr>
            <w:r w:rsidRPr="00036C5C">
              <w:rPr>
                <w:lang w:val="sq-AL"/>
              </w:rPr>
              <w:t>Fondi rezervë</w:t>
            </w:r>
          </w:p>
        </w:tc>
        <w:tc>
          <w:tcPr>
            <w:tcW w:w="1559" w:type="dxa"/>
          </w:tcPr>
          <w:p w:rsidR="002616F1" w:rsidRPr="00036C5C" w:rsidRDefault="002616F1" w:rsidP="00EE3F54">
            <w:pPr>
              <w:pStyle w:val="Paragrafi"/>
              <w:ind w:firstLine="0"/>
              <w:jc w:val="right"/>
              <w:rPr>
                <w:lang w:val="sq-AL"/>
              </w:rPr>
            </w:pPr>
            <w:r w:rsidRPr="00036C5C">
              <w:rPr>
                <w:lang w:val="sq-AL"/>
              </w:rPr>
              <w:t xml:space="preserve">1 800     </w:t>
            </w:r>
          </w:p>
        </w:tc>
        <w:tc>
          <w:tcPr>
            <w:tcW w:w="2268"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4786" w:type="dxa"/>
          </w:tcPr>
          <w:p w:rsidR="002616F1" w:rsidRPr="00036C5C" w:rsidRDefault="002616F1" w:rsidP="00EE3F54">
            <w:pPr>
              <w:pStyle w:val="Paragrafi"/>
              <w:ind w:firstLine="0"/>
              <w:rPr>
                <w:lang w:val="sq-AL"/>
              </w:rPr>
            </w:pPr>
            <w:r w:rsidRPr="00036C5C">
              <w:rPr>
                <w:lang w:val="sq-AL"/>
              </w:rPr>
              <w:t xml:space="preserve">Fondi i kontingjencës për ruajtjen e deficitit                                       </w:t>
            </w:r>
          </w:p>
        </w:tc>
        <w:tc>
          <w:tcPr>
            <w:tcW w:w="1559" w:type="dxa"/>
          </w:tcPr>
          <w:p w:rsidR="002616F1" w:rsidRPr="00036C5C" w:rsidRDefault="002616F1" w:rsidP="00EE3F54">
            <w:pPr>
              <w:pStyle w:val="Paragrafi"/>
              <w:ind w:firstLine="0"/>
              <w:jc w:val="right"/>
              <w:rPr>
                <w:lang w:val="sq-AL"/>
              </w:rPr>
            </w:pPr>
            <w:r w:rsidRPr="00036C5C">
              <w:rPr>
                <w:lang w:val="sq-AL"/>
              </w:rPr>
              <w:t xml:space="preserve">2 600    </w:t>
            </w:r>
          </w:p>
        </w:tc>
        <w:tc>
          <w:tcPr>
            <w:tcW w:w="2268" w:type="dxa"/>
          </w:tcPr>
          <w:p w:rsidR="002616F1" w:rsidRPr="00036C5C" w:rsidRDefault="002616F1" w:rsidP="00EE3F54">
            <w:pPr>
              <w:pStyle w:val="Paragrafi"/>
              <w:ind w:firstLine="0"/>
              <w:jc w:val="right"/>
              <w:rPr>
                <w:lang w:val="sq-AL"/>
              </w:rPr>
            </w:pPr>
            <w:r w:rsidRPr="00036C5C">
              <w:rPr>
                <w:lang w:val="sq-AL"/>
              </w:rPr>
              <w:t>milionë lekë;</w:t>
            </w:r>
          </w:p>
        </w:tc>
      </w:tr>
      <w:tr w:rsidR="002616F1" w:rsidRPr="00036C5C" w:rsidTr="00EE3F54">
        <w:trPr>
          <w:jc w:val="center"/>
        </w:trPr>
        <w:tc>
          <w:tcPr>
            <w:tcW w:w="4786" w:type="dxa"/>
          </w:tcPr>
          <w:p w:rsidR="002616F1" w:rsidRPr="00036C5C" w:rsidRDefault="002616F1" w:rsidP="00EE3F54">
            <w:pPr>
              <w:pStyle w:val="Paragrafi"/>
              <w:ind w:firstLine="0"/>
              <w:rPr>
                <w:lang w:val="sq-AL"/>
              </w:rPr>
            </w:pPr>
            <w:r w:rsidRPr="00036C5C">
              <w:rPr>
                <w:lang w:val="sq-AL"/>
              </w:rPr>
              <w:t>Fondi për rritjen e pagave dhe pensioneve</w:t>
            </w:r>
          </w:p>
        </w:tc>
        <w:tc>
          <w:tcPr>
            <w:tcW w:w="1559" w:type="dxa"/>
          </w:tcPr>
          <w:p w:rsidR="002616F1" w:rsidRPr="00036C5C" w:rsidRDefault="002616F1" w:rsidP="00EE3F54">
            <w:pPr>
              <w:pStyle w:val="Paragrafi"/>
              <w:ind w:firstLine="0"/>
              <w:jc w:val="right"/>
              <w:rPr>
                <w:lang w:val="sq-AL"/>
              </w:rPr>
            </w:pPr>
            <w:r w:rsidRPr="00036C5C">
              <w:rPr>
                <w:lang w:val="sq-AL"/>
              </w:rPr>
              <w:t xml:space="preserve">2 255    </w:t>
            </w:r>
          </w:p>
        </w:tc>
        <w:tc>
          <w:tcPr>
            <w:tcW w:w="2268" w:type="dxa"/>
          </w:tcPr>
          <w:p w:rsidR="002616F1" w:rsidRPr="00036C5C" w:rsidRDefault="002616F1" w:rsidP="00EE3F54">
            <w:pPr>
              <w:pStyle w:val="Paragrafi"/>
              <w:ind w:firstLine="0"/>
              <w:jc w:val="right"/>
              <w:rPr>
                <w:lang w:val="sq-AL"/>
              </w:rPr>
            </w:pPr>
            <w:r w:rsidRPr="00036C5C">
              <w:rPr>
                <w:lang w:val="sq-AL"/>
              </w:rPr>
              <w:t>milionë lekë.</w:t>
            </w:r>
          </w:p>
        </w:tc>
      </w:tr>
    </w:tbl>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 xml:space="preserve">Kufiri i shpenzimeve për çdo ministri dhe institucion, në nivel programi, është sipas tabelës 1, që i bashkëlidhet këtij ligji. </w:t>
      </w:r>
    </w:p>
    <w:p w:rsidR="002616F1" w:rsidRPr="00036C5C" w:rsidRDefault="002616F1" w:rsidP="002616F1">
      <w:pPr>
        <w:pStyle w:val="Paragrafi"/>
        <w:rPr>
          <w:lang w:val="sq-AL"/>
        </w:rPr>
      </w:pPr>
      <w:r w:rsidRPr="00036C5C">
        <w:rPr>
          <w:lang w:val="sq-AL"/>
        </w:rPr>
        <w:t>Këshilli i Ministrave vendos norma dhe standarde financiare për shpenzimet publike, të cilat janë të detyrueshme për t’u zbatuar nga të gjitha njësitë e qeverisjes së përgjithshme.</w:t>
      </w:r>
    </w:p>
    <w:p w:rsidR="002616F1" w:rsidRPr="00036C5C" w:rsidRDefault="002616F1" w:rsidP="002616F1">
      <w:pPr>
        <w:pStyle w:val="Paragrafi"/>
        <w:rPr>
          <w:lang w:val="sq-AL"/>
        </w:rPr>
      </w:pPr>
      <w:r w:rsidRPr="00036C5C">
        <w:rPr>
          <w:lang w:val="sq-AL"/>
        </w:rPr>
        <w:t>Gjendja e mjeteve monetare, që do të rezultojë në fund të vitit buxhetor në llogarinë unike të thesarit, si rezultat i mosrealizimit të shpenzimeve ose tejkalimit të të ardhurave, të transferohet  në llogarinë e shpronësimeve për interesa publikë.”.</w:t>
      </w:r>
    </w:p>
    <w:p w:rsidR="002616F1" w:rsidRDefault="002616F1" w:rsidP="002616F1">
      <w:pPr>
        <w:pStyle w:val="NeniNr"/>
        <w:rPr>
          <w:lang w:val="sq-AL"/>
        </w:rPr>
      </w:pPr>
    </w:p>
    <w:p w:rsidR="002616F1" w:rsidRPr="00036C5C" w:rsidRDefault="002616F1" w:rsidP="002616F1">
      <w:pPr>
        <w:pStyle w:val="NeniNr"/>
        <w:rPr>
          <w:lang w:val="sq-AL"/>
        </w:rPr>
      </w:pPr>
      <w:r w:rsidRPr="00036C5C">
        <w:rPr>
          <w:lang w:val="sq-AL"/>
        </w:rPr>
        <w:t>Neni 8</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Në nenin 11, shuma e fondit të veçantë, prej 1931 milionë lekësh, ndryshohet në 1145 milionë lekë.</w:t>
      </w:r>
    </w:p>
    <w:p w:rsidR="002616F1" w:rsidRPr="002616F1" w:rsidRDefault="002616F1" w:rsidP="002616F1">
      <w:pPr>
        <w:pStyle w:val="Paragrafi"/>
        <w:rPr>
          <w:sz w:val="12"/>
          <w:lang w:val="sq-AL"/>
        </w:rPr>
      </w:pPr>
    </w:p>
    <w:p w:rsidR="002616F1" w:rsidRPr="00036C5C" w:rsidRDefault="002616F1" w:rsidP="002616F1">
      <w:pPr>
        <w:pStyle w:val="NeniNr"/>
        <w:rPr>
          <w:lang w:val="sq-AL"/>
        </w:rPr>
      </w:pPr>
      <w:r w:rsidRPr="00036C5C">
        <w:rPr>
          <w:lang w:val="sq-AL"/>
        </w:rPr>
        <w:t>Neni 9</w:t>
      </w:r>
    </w:p>
    <w:p w:rsidR="002616F1" w:rsidRPr="002616F1" w:rsidRDefault="002616F1" w:rsidP="002616F1">
      <w:pPr>
        <w:pStyle w:val="NeniNr"/>
        <w:rPr>
          <w:sz w:val="16"/>
          <w:lang w:val="sq-AL"/>
        </w:rPr>
      </w:pPr>
    </w:p>
    <w:p w:rsidR="002616F1" w:rsidRPr="00036C5C" w:rsidRDefault="002616F1" w:rsidP="002616F1">
      <w:pPr>
        <w:pStyle w:val="Paragrafi"/>
        <w:rPr>
          <w:lang w:val="sq-AL"/>
        </w:rPr>
      </w:pPr>
      <w:r w:rsidRPr="00036C5C">
        <w:rPr>
          <w:lang w:val="sq-AL"/>
        </w:rPr>
        <w:t>Neni 13 ndryshohet, si më poshtë vijon:</w:t>
      </w:r>
    </w:p>
    <w:p w:rsidR="002616F1" w:rsidRPr="002616F1" w:rsidRDefault="002616F1" w:rsidP="002616F1">
      <w:pPr>
        <w:pStyle w:val="Paragrafi"/>
        <w:rPr>
          <w:sz w:val="14"/>
          <w:lang w:val="sq-AL"/>
        </w:rPr>
      </w:pPr>
    </w:p>
    <w:p w:rsidR="002616F1" w:rsidRPr="00036C5C" w:rsidRDefault="002616F1" w:rsidP="002616F1">
      <w:pPr>
        <w:pStyle w:val="NeniNr"/>
        <w:rPr>
          <w:lang w:val="sq-AL"/>
        </w:rPr>
      </w:pPr>
      <w:r w:rsidRPr="00036C5C">
        <w:rPr>
          <w:lang w:val="sq-AL"/>
        </w:rPr>
        <w:t>“Neni 13</w:t>
      </w:r>
    </w:p>
    <w:p w:rsidR="002616F1" w:rsidRPr="002616F1" w:rsidRDefault="002616F1" w:rsidP="002616F1">
      <w:pPr>
        <w:pStyle w:val="Paragrafi"/>
        <w:rPr>
          <w:rFonts w:cs="Times New Roman"/>
          <w:sz w:val="16"/>
          <w:lang w:val="sq-AL"/>
        </w:rPr>
      </w:pPr>
    </w:p>
    <w:p w:rsidR="002616F1" w:rsidRPr="00036C5C" w:rsidRDefault="002616F1" w:rsidP="002616F1">
      <w:pPr>
        <w:pStyle w:val="Paragrafi"/>
        <w:rPr>
          <w:lang w:val="sq-AL"/>
        </w:rPr>
      </w:pPr>
      <w:r w:rsidRPr="00036C5C">
        <w:rPr>
          <w:lang w:val="sq-AL"/>
        </w:rPr>
        <w:t xml:space="preserve">Fondi rezervë i Këshillit të Ministrave, prej 1 800 milionë lekësh, përdoret për raste të paparashikuara të institucioneve buxhetore. Fondi i kontingjencës për ruajtjen e deficitit, prej 2 600 </w:t>
      </w:r>
      <w:r w:rsidRPr="00036C5C">
        <w:rPr>
          <w:lang w:val="sq-AL"/>
        </w:rPr>
        <w:lastRenderedPageBreak/>
        <w:t>milionë lekësh, përdoret me vendime të Këshillit të Ministrave. Fondi për rritjen e pagave e të pensioneve, prej 2 255milionë lekësh, shpërndahet nga ministri i Financave, sipas vendimeve të Këshillit të Ministrave.”.</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10</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Neni 18 ndryshohet, si më poshtë vijon:</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18</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Kufiri për rritjen vjetore të totalit ekzistues të borxhit të shtetit dhe atij të garantuar të shtetit, në dobi të palëve të treta përfituese, për vitin 2012, është 87,740 milionë  milionë lekë, i dhënë me hollësi si më poshtë:</w:t>
      </w:r>
    </w:p>
    <w:p w:rsidR="002616F1" w:rsidRPr="00036C5C" w:rsidRDefault="002616F1" w:rsidP="002616F1">
      <w:pPr>
        <w:pStyle w:val="Paragrafi"/>
        <w:rPr>
          <w:lang w:val="sq-AL"/>
        </w:rPr>
      </w:pPr>
      <w:r w:rsidRPr="00036C5C">
        <w:rPr>
          <w:lang w:val="sq-AL"/>
        </w:rPr>
        <w:t xml:space="preserve">1. Për huamarrjen vjetore neto, për mbështetjen buxhetore, deri në 26,290 milionë lekë. </w:t>
      </w:r>
    </w:p>
    <w:p w:rsidR="002616F1" w:rsidRPr="00036C5C" w:rsidRDefault="002616F1" w:rsidP="002616F1">
      <w:pPr>
        <w:pStyle w:val="Paragrafi"/>
        <w:rPr>
          <w:lang w:val="sq-AL"/>
        </w:rPr>
      </w:pPr>
      <w:r w:rsidRPr="00036C5C">
        <w:rPr>
          <w:lang w:val="sq-AL"/>
        </w:rPr>
        <w:t>2. Për huamarrjen neto, për financimin e projekteve të huaja, deri në 46,000 milionë lekë.</w:t>
      </w:r>
    </w:p>
    <w:p w:rsidR="002616F1" w:rsidRPr="00036C5C" w:rsidRDefault="002616F1" w:rsidP="002616F1">
      <w:pPr>
        <w:pStyle w:val="Paragrafi"/>
        <w:rPr>
          <w:lang w:val="sq-AL"/>
        </w:rPr>
      </w:pPr>
      <w:r w:rsidRPr="00036C5C">
        <w:rPr>
          <w:lang w:val="sq-AL"/>
        </w:rPr>
        <w:t>Për rritjen vjetore të garancive të shtetit, në dobi të palëve të treta përfituese, deri në 13,700 milionë lekë.</w:t>
      </w:r>
    </w:p>
    <w:p w:rsidR="002616F1" w:rsidRPr="00036C5C" w:rsidRDefault="002616F1" w:rsidP="002616F1">
      <w:pPr>
        <w:pStyle w:val="Paragrafi"/>
        <w:rPr>
          <w:lang w:val="sq-AL"/>
        </w:rPr>
      </w:pPr>
      <w:r w:rsidRPr="00036C5C">
        <w:rPr>
          <w:lang w:val="sq-AL"/>
        </w:rPr>
        <w:t>3. Kufiri për rritjen vjetore të stokut të borxhit, si rezultat i riskedulimit të borxheve të vjetra të huaja, të papaguara, deri në 1,750  milionë lekë.</w:t>
      </w:r>
    </w:p>
    <w:p w:rsidR="002616F1" w:rsidRPr="00036C5C" w:rsidRDefault="002616F1" w:rsidP="002616F1">
      <w:pPr>
        <w:pStyle w:val="Paragrafi"/>
        <w:rPr>
          <w:lang w:val="sq-AL"/>
        </w:rPr>
      </w:pPr>
      <w:r w:rsidRPr="00036C5C">
        <w:rPr>
          <w:lang w:val="sq-AL"/>
        </w:rPr>
        <w:t>4. Niveli i stokut të borxhit shtetëror parashikohet të arrijë deri në 792,694 milionë lekë, ndërsa niveli i stokut të garancive deri në 62,683 milionë lekë.”.</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11</w:t>
      </w:r>
    </w:p>
    <w:p w:rsidR="002616F1" w:rsidRPr="00036C5C" w:rsidRDefault="002616F1" w:rsidP="002616F1">
      <w:pPr>
        <w:pStyle w:val="Paragrafi"/>
        <w:rPr>
          <w:rFonts w:cs="Times New Roman"/>
          <w:lang w:val="sq-AL"/>
        </w:rPr>
      </w:pPr>
    </w:p>
    <w:p w:rsidR="002616F1" w:rsidRPr="00036C5C" w:rsidRDefault="002616F1" w:rsidP="002616F1">
      <w:pPr>
        <w:pStyle w:val="Paragrafi"/>
        <w:rPr>
          <w:lang w:val="sq-AL"/>
        </w:rPr>
      </w:pPr>
      <w:r w:rsidRPr="00036C5C">
        <w:rPr>
          <w:lang w:val="sq-AL"/>
        </w:rPr>
        <w:t>Ngarkohet Ministria e Financave të nxjerrë udhëzime për zbatimin e këtij ligji.</w:t>
      </w:r>
    </w:p>
    <w:p w:rsidR="002616F1" w:rsidRPr="00036C5C" w:rsidRDefault="002616F1" w:rsidP="002616F1">
      <w:pPr>
        <w:pStyle w:val="Paragrafi"/>
        <w:rPr>
          <w:lang w:val="sq-AL"/>
        </w:rPr>
      </w:pPr>
    </w:p>
    <w:p w:rsidR="002616F1" w:rsidRPr="00036C5C" w:rsidRDefault="002616F1" w:rsidP="002616F1">
      <w:pPr>
        <w:pStyle w:val="NeniNr"/>
        <w:rPr>
          <w:lang w:val="sq-AL"/>
        </w:rPr>
      </w:pPr>
      <w:r w:rsidRPr="00036C5C">
        <w:rPr>
          <w:lang w:val="sq-AL"/>
        </w:rPr>
        <w:t>Neni 12</w:t>
      </w:r>
    </w:p>
    <w:p w:rsidR="002616F1" w:rsidRPr="00036C5C" w:rsidRDefault="002616F1" w:rsidP="002616F1">
      <w:pPr>
        <w:pStyle w:val="Paragrafi"/>
        <w:rPr>
          <w:rFonts w:cs="Times New Roman"/>
          <w:lang w:val="sq-AL"/>
        </w:rPr>
      </w:pPr>
    </w:p>
    <w:p w:rsidR="002616F1" w:rsidRPr="00A206AD" w:rsidRDefault="002616F1" w:rsidP="002616F1">
      <w:pPr>
        <w:pStyle w:val="Paragrafi"/>
      </w:pPr>
      <w:r w:rsidRPr="00A206AD">
        <w:t xml:space="preserve">Ky akt normativ hyn në fuqi menjëherë  dhe botohet në Fletoren Zyrtare. </w:t>
      </w:r>
    </w:p>
    <w:p w:rsidR="002616F1" w:rsidRDefault="002616F1" w:rsidP="002616F1">
      <w:pPr>
        <w:pStyle w:val="Paragrafi"/>
        <w:ind w:firstLine="0"/>
        <w:jc w:val="center"/>
        <w:rPr>
          <w:lang w:val="sq-AL"/>
        </w:rPr>
      </w:pPr>
    </w:p>
    <w:p w:rsidR="002616F1" w:rsidRDefault="002616F1" w:rsidP="002616F1">
      <w:pPr>
        <w:pStyle w:val="Paragrafi"/>
        <w:ind w:firstLine="0"/>
        <w:jc w:val="right"/>
        <w:rPr>
          <w:b/>
          <w:bCs/>
          <w:lang w:val="sq-AL"/>
        </w:rPr>
      </w:pPr>
      <w:r w:rsidRPr="00036C5C">
        <w:rPr>
          <w:lang w:val="sq-AL"/>
        </w:rPr>
        <w:t>KRYEMINISTRI</w:t>
      </w:r>
      <w:r w:rsidRPr="00A206AD">
        <w:rPr>
          <w:b/>
          <w:bCs/>
          <w:lang w:val="sq-AL"/>
        </w:rPr>
        <w:t xml:space="preserve"> </w:t>
      </w:r>
    </w:p>
    <w:p w:rsidR="002616F1" w:rsidRPr="00036C5C" w:rsidRDefault="002616F1" w:rsidP="002616F1">
      <w:pPr>
        <w:pStyle w:val="Paragrafi"/>
        <w:ind w:firstLine="0"/>
        <w:jc w:val="right"/>
        <w:rPr>
          <w:lang w:val="sq-AL"/>
        </w:rPr>
      </w:pPr>
      <w:r w:rsidRPr="00036C5C">
        <w:rPr>
          <w:b/>
          <w:bCs/>
          <w:lang w:val="sq-AL"/>
        </w:rPr>
        <w:t>Sali Berisha</w:t>
      </w:r>
    </w:p>
    <w:p w:rsidR="002616F1" w:rsidRPr="00036C5C" w:rsidRDefault="002616F1" w:rsidP="002616F1">
      <w:pPr>
        <w:pStyle w:val="Paragrafi"/>
        <w:rPr>
          <w:lang w:val="sq-AL"/>
        </w:rPr>
      </w:pPr>
    </w:p>
    <w:p w:rsidR="002616F1" w:rsidRPr="00036C5C" w:rsidRDefault="002616F1" w:rsidP="002616F1">
      <w:pPr>
        <w:pStyle w:val="Paragrafi"/>
        <w:jc w:val="center"/>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C501FD" w:rsidRDefault="00C501FD" w:rsidP="002616F1">
      <w:pPr>
        <w:pStyle w:val="Paragrafi"/>
        <w:rPr>
          <w:rFonts w:cs="Times New Roman"/>
          <w:lang w:val="sq-AL"/>
        </w:rPr>
      </w:pPr>
    </w:p>
    <w:p w:rsidR="00C501FD" w:rsidRDefault="00C501FD" w:rsidP="002616F1">
      <w:pPr>
        <w:pStyle w:val="Paragrafi"/>
        <w:rPr>
          <w:rFonts w:cs="Times New Roman"/>
          <w:lang w:val="sq-AL"/>
        </w:rPr>
      </w:pPr>
    </w:p>
    <w:p w:rsidR="00C501FD" w:rsidRDefault="00C501FD"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Paragrafi"/>
        <w:rPr>
          <w:rFonts w:cs="Times New Roman"/>
          <w:lang w:val="sq-AL"/>
        </w:rPr>
      </w:pPr>
    </w:p>
    <w:p w:rsidR="002616F1" w:rsidRDefault="002616F1" w:rsidP="002616F1">
      <w:pPr>
        <w:pStyle w:val="Titulli"/>
      </w:pPr>
      <w:r w:rsidRPr="00036C5C">
        <w:lastRenderedPageBreak/>
        <w:t xml:space="preserve">Akti normativ i vitit 2012 sipas ministrive të linjës </w:t>
      </w:r>
    </w:p>
    <w:p w:rsidR="002616F1" w:rsidRPr="00036C5C" w:rsidRDefault="002616F1" w:rsidP="002616F1">
      <w:pPr>
        <w:pStyle w:val="Titulli"/>
      </w:pPr>
      <w:r w:rsidRPr="00036C5C">
        <w:t>dhe institucioneve buxhetore</w:t>
      </w:r>
    </w:p>
    <w:p w:rsidR="002616F1" w:rsidRPr="00036C5C" w:rsidRDefault="002616F1" w:rsidP="002616F1">
      <w:pPr>
        <w:pStyle w:val="Paragrafi"/>
        <w:ind w:left="2160"/>
        <w:jc w:val="right"/>
        <w:rPr>
          <w:sz w:val="16"/>
          <w:szCs w:val="16"/>
          <w:lang w:val="sq-AL"/>
        </w:rPr>
      </w:pPr>
      <w:r w:rsidRPr="00036C5C">
        <w:rPr>
          <w:sz w:val="16"/>
          <w:szCs w:val="16"/>
          <w:lang w:val="sq-AL"/>
        </w:rPr>
        <w:t xml:space="preserve">                                        në 000/lekë    </w:t>
      </w:r>
      <w:r w:rsidRPr="00036C5C">
        <w:rPr>
          <w:sz w:val="16"/>
          <w:szCs w:val="16"/>
          <w:lang w:val="sq-AL"/>
        </w:rPr>
        <w:tab/>
      </w:r>
      <w:r w:rsidRPr="00036C5C">
        <w:rPr>
          <w:sz w:val="16"/>
          <w:szCs w:val="16"/>
          <w:lang w:val="sq-AL"/>
        </w:rPr>
        <w:tab/>
      </w:r>
    </w:p>
    <w:tbl>
      <w:tblPr>
        <w:tblW w:w="9355" w:type="dxa"/>
        <w:tblInd w:w="-106" w:type="dxa"/>
        <w:tblLook w:val="00A0"/>
      </w:tblPr>
      <w:tblGrid>
        <w:gridCol w:w="582"/>
        <w:gridCol w:w="3931"/>
        <w:gridCol w:w="907"/>
        <w:gridCol w:w="767"/>
        <w:gridCol w:w="625"/>
        <w:gridCol w:w="767"/>
        <w:gridCol w:w="907"/>
        <w:gridCol w:w="907"/>
      </w:tblGrid>
      <w:tr w:rsidR="002616F1" w:rsidRPr="00036C5C" w:rsidTr="00EE3F54">
        <w:trPr>
          <w:trHeight w:val="120"/>
        </w:trPr>
        <w:tc>
          <w:tcPr>
            <w:tcW w:w="617" w:type="dxa"/>
            <w:vMerge w:val="restart"/>
            <w:tcBorders>
              <w:top w:val="double" w:sz="6" w:space="0" w:color="auto"/>
              <w:left w:val="double" w:sz="6" w:space="0" w:color="auto"/>
              <w:bottom w:val="single" w:sz="4" w:space="0" w:color="000000"/>
              <w:right w:val="nil"/>
            </w:tcBorders>
            <w:noWrap/>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Emërtimi i iInstitucionit / programit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 xml:space="preserve">Totali i shpenzimeve Korrente </w:t>
            </w:r>
          </w:p>
        </w:tc>
        <w:tc>
          <w:tcPr>
            <w:tcW w:w="0" w:type="auto"/>
            <w:gridSpan w:val="4"/>
            <w:tcBorders>
              <w:top w:val="double" w:sz="6" w:space="0" w:color="auto"/>
              <w:left w:val="nil"/>
              <w:bottom w:val="nil"/>
              <w:right w:val="single" w:sz="4" w:space="0" w:color="auto"/>
            </w:tcBorders>
            <w:noWrap/>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Totali i shpenzimeve buxhetore</w:t>
            </w:r>
          </w:p>
        </w:tc>
      </w:tr>
      <w:tr w:rsidR="002616F1" w:rsidRPr="00036C5C" w:rsidTr="00EE3F54">
        <w:trPr>
          <w:trHeight w:val="120"/>
        </w:trPr>
        <w:tc>
          <w:tcPr>
            <w:tcW w:w="617" w:type="dxa"/>
            <w:vMerge/>
            <w:tcBorders>
              <w:top w:val="double" w:sz="6" w:space="0" w:color="auto"/>
              <w:left w:val="double" w:sz="6" w:space="0" w:color="auto"/>
              <w:bottom w:val="single" w:sz="4" w:space="0" w:color="000000"/>
              <w:right w:val="nil"/>
            </w:tcBorders>
            <w:vAlign w:val="center"/>
          </w:tcPr>
          <w:p w:rsidR="002616F1" w:rsidRPr="00036C5C" w:rsidRDefault="002616F1" w:rsidP="00EE3F54">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2616F1" w:rsidRPr="00036C5C" w:rsidRDefault="002616F1" w:rsidP="00EE3F54">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2616F1" w:rsidRPr="00036C5C" w:rsidRDefault="002616F1" w:rsidP="00EE3F54">
            <w:pPr>
              <w:rPr>
                <w:rFonts w:ascii="Arial" w:hAnsi="Arial" w:cs="Arial"/>
                <w:b/>
                <w:bCs/>
                <w:sz w:val="12"/>
                <w:szCs w:val="12"/>
              </w:rPr>
            </w:pP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Nga</w:t>
            </w:r>
            <w:r w:rsidRPr="00036C5C">
              <w:rPr>
                <w:rFonts w:ascii="Arial" w:hAnsi="Arial" w:cs="Arial"/>
                <w:sz w:val="12"/>
                <w:szCs w:val="12"/>
              </w:rPr>
              <w:br/>
              <w:t>buxheti</w:t>
            </w: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Nga t</w:t>
            </w:r>
            <w:r>
              <w:rPr>
                <w:rFonts w:ascii="Arial" w:hAnsi="Arial" w:cs="Arial"/>
                <w:sz w:val="12"/>
                <w:szCs w:val="12"/>
              </w:rPr>
              <w:t>ë</w:t>
            </w:r>
            <w:r w:rsidRPr="00036C5C">
              <w:rPr>
                <w:rFonts w:ascii="Arial" w:hAnsi="Arial" w:cs="Arial"/>
                <w:sz w:val="12"/>
                <w:szCs w:val="12"/>
              </w:rPr>
              <w:t xml:space="preserve"> </w:t>
            </w:r>
            <w:r w:rsidRPr="00036C5C">
              <w:rPr>
                <w:rFonts w:ascii="Arial" w:hAnsi="Arial" w:cs="Arial"/>
                <w:sz w:val="12"/>
                <w:szCs w:val="12"/>
              </w:rPr>
              <w:br/>
              <w:t>ardhurat</w:t>
            </w: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Financimi i</w:t>
            </w:r>
            <w:r w:rsidRPr="00036C5C">
              <w:rPr>
                <w:rFonts w:ascii="Arial"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Totali i shp</w:t>
            </w:r>
            <w:r>
              <w:rPr>
                <w:rFonts w:ascii="Arial" w:hAnsi="Arial" w:cs="Arial"/>
                <w:b/>
                <w:bCs/>
                <w:sz w:val="12"/>
                <w:szCs w:val="12"/>
              </w:rPr>
              <w:t>enzimeve</w:t>
            </w:r>
            <w:r w:rsidRPr="00036C5C">
              <w:rPr>
                <w:rFonts w:ascii="Arial" w:hAnsi="Arial" w:cs="Arial"/>
                <w:b/>
                <w:bCs/>
                <w:sz w:val="12"/>
                <w:szCs w:val="12"/>
              </w:rPr>
              <w:t xml:space="preserve"> </w:t>
            </w:r>
            <w:r>
              <w:rPr>
                <w:rFonts w:ascii="Arial" w:hAnsi="Arial" w:cs="Arial"/>
                <w:b/>
                <w:bCs/>
                <w:sz w:val="12"/>
                <w:szCs w:val="12"/>
              </w:rPr>
              <w:t>k</w:t>
            </w:r>
            <w:r w:rsidRPr="00036C5C">
              <w:rPr>
                <w:rFonts w:ascii="Arial" w:hAnsi="Arial" w:cs="Arial"/>
                <w:b/>
                <w:bCs/>
                <w:sz w:val="12"/>
                <w:szCs w:val="12"/>
              </w:rPr>
              <w:t>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2616F1" w:rsidRPr="00036C5C" w:rsidRDefault="002616F1" w:rsidP="00EE3F54">
            <w:pPr>
              <w:rPr>
                <w:rFonts w:ascii="Arial" w:hAnsi="Arial" w:cs="Arial"/>
                <w:b/>
                <w:bCs/>
                <w:sz w:val="12"/>
                <w:szCs w:val="12"/>
              </w:rPr>
            </w:pPr>
          </w:p>
        </w:tc>
      </w:tr>
      <w:tr w:rsidR="002616F1" w:rsidRPr="00036C5C" w:rsidTr="00EE3F54">
        <w:trPr>
          <w:trHeight w:val="120"/>
        </w:trPr>
        <w:tc>
          <w:tcPr>
            <w:tcW w:w="617" w:type="dxa"/>
            <w:tcBorders>
              <w:top w:val="nil"/>
              <w:left w:val="double" w:sz="6" w:space="0" w:color="auto"/>
              <w:bottom w:val="nil"/>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w:t>
            </w:r>
          </w:p>
        </w:tc>
        <w:tc>
          <w:tcPr>
            <w:tcW w:w="0" w:type="auto"/>
            <w:tcBorders>
              <w:top w:val="nil"/>
              <w:left w:val="single" w:sz="4" w:space="0" w:color="auto"/>
              <w:bottom w:val="nil"/>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Presidenca</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143,750</w:t>
            </w:r>
          </w:p>
        </w:tc>
        <w:tc>
          <w:tcPr>
            <w:tcW w:w="0" w:type="auto"/>
            <w:tcBorders>
              <w:top w:val="nil"/>
              <w:left w:val="nil"/>
              <w:bottom w:val="nil"/>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15,000</w:t>
            </w:r>
          </w:p>
        </w:tc>
        <w:tc>
          <w:tcPr>
            <w:tcW w:w="0" w:type="auto"/>
            <w:tcBorders>
              <w:top w:val="nil"/>
              <w:left w:val="nil"/>
              <w:bottom w:val="nil"/>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158,750</w:t>
            </w:r>
          </w:p>
        </w:tc>
      </w:tr>
      <w:tr w:rsidR="002616F1" w:rsidRPr="00036C5C" w:rsidTr="00EE3F54">
        <w:trPr>
          <w:trHeight w:val="120"/>
        </w:trPr>
        <w:tc>
          <w:tcPr>
            <w:tcW w:w="617" w:type="dxa"/>
            <w:tcBorders>
              <w:top w:val="dotted" w:sz="4" w:space="0" w:color="auto"/>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01120</w:t>
            </w:r>
          </w:p>
        </w:tc>
        <w:tc>
          <w:tcPr>
            <w:tcW w:w="0" w:type="auto"/>
            <w:tcBorders>
              <w:top w:val="dotted" w:sz="4" w:space="0" w:color="auto"/>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e Presidentit</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143,750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15,000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15,000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158,750</w:t>
            </w:r>
          </w:p>
        </w:tc>
      </w:tr>
      <w:tr w:rsidR="002616F1" w:rsidRPr="00036C5C" w:rsidTr="00EE3F54">
        <w:trPr>
          <w:trHeight w:val="120"/>
        </w:trPr>
        <w:tc>
          <w:tcPr>
            <w:tcW w:w="617" w:type="dxa"/>
            <w:tcBorders>
              <w:top w:val="nil"/>
              <w:left w:val="double" w:sz="6" w:space="0" w:color="auto"/>
              <w:bottom w:val="nil"/>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w:t>
            </w:r>
          </w:p>
        </w:tc>
        <w:tc>
          <w:tcPr>
            <w:tcW w:w="0" w:type="auto"/>
            <w:tcBorders>
              <w:top w:val="nil"/>
              <w:left w:val="single" w:sz="4" w:space="0" w:color="auto"/>
              <w:bottom w:val="nil"/>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Kuvendi</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808,000</w:t>
            </w:r>
          </w:p>
        </w:tc>
        <w:tc>
          <w:tcPr>
            <w:tcW w:w="0" w:type="auto"/>
            <w:tcBorders>
              <w:top w:val="nil"/>
              <w:left w:val="nil"/>
              <w:bottom w:val="nil"/>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156,000</w:t>
            </w:r>
          </w:p>
        </w:tc>
        <w:tc>
          <w:tcPr>
            <w:tcW w:w="0" w:type="auto"/>
            <w:tcBorders>
              <w:top w:val="nil"/>
              <w:left w:val="nil"/>
              <w:bottom w:val="nil"/>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156,000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964,000</w:t>
            </w:r>
          </w:p>
        </w:tc>
      </w:tr>
      <w:tr w:rsidR="002616F1" w:rsidRPr="00036C5C" w:rsidTr="00EE3F54">
        <w:trPr>
          <w:trHeight w:val="120"/>
        </w:trPr>
        <w:tc>
          <w:tcPr>
            <w:tcW w:w="617" w:type="dxa"/>
            <w:tcBorders>
              <w:top w:val="dotted" w:sz="4" w:space="0" w:color="auto"/>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dotted" w:sz="4" w:space="0" w:color="auto"/>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808,000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156,000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156,000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964,000</w:t>
            </w:r>
          </w:p>
        </w:tc>
      </w:tr>
      <w:tr w:rsidR="002616F1" w:rsidRPr="00036C5C" w:rsidTr="00EE3F54">
        <w:trPr>
          <w:trHeight w:val="120"/>
        </w:trPr>
        <w:tc>
          <w:tcPr>
            <w:tcW w:w="617" w:type="dxa"/>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3</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Keshilli Ministrave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372,313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392,313</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354,664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374,664</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Teknologjia e Informac</w:t>
            </w:r>
            <w:r>
              <w:rPr>
                <w:rFonts w:ascii="Arial" w:hAnsi="Arial" w:cs="Arial"/>
                <w:sz w:val="12"/>
                <w:szCs w:val="12"/>
              </w:rPr>
              <w:t>ionit</w:t>
            </w:r>
            <w:r w:rsidRPr="00036C5C">
              <w:rPr>
                <w:rFonts w:ascii="Arial" w:hAnsi="Arial" w:cs="Arial"/>
                <w:sz w:val="12"/>
                <w:szCs w:val="12"/>
              </w:rPr>
              <w:t xml:space="preserve"> dhe Komun</w:t>
            </w:r>
            <w:r>
              <w:rPr>
                <w:rFonts w:ascii="Arial" w:hAnsi="Arial" w:cs="Arial"/>
                <w:sz w:val="12"/>
                <w:szCs w:val="12"/>
              </w:rPr>
              <w:t>unikimeve</w:t>
            </w:r>
            <w:r w:rsidRPr="00036C5C">
              <w:rPr>
                <w:rFonts w:ascii="Arial" w:hAnsi="Arial" w:cs="Arial"/>
                <w:sz w:val="12"/>
                <w:szCs w:val="12"/>
              </w:rPr>
              <w:t xml:space="preserve"> Elekt</w:t>
            </w:r>
            <w:r>
              <w:rPr>
                <w:rFonts w:ascii="Arial" w:hAnsi="Arial" w:cs="Arial"/>
                <w:sz w:val="12"/>
                <w:szCs w:val="12"/>
              </w:rPr>
              <w:t>ronike</w:t>
            </w:r>
            <w:r w:rsidRPr="00036C5C">
              <w:rPr>
                <w:rFonts w:ascii="Arial" w:hAnsi="Arial" w:cs="Arial"/>
                <w:sz w:val="12"/>
                <w:szCs w:val="12"/>
              </w:rPr>
              <w:t xml:space="preserve"> dhe Postare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17,649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17,649</w:t>
            </w:r>
          </w:p>
        </w:tc>
      </w:tr>
      <w:tr w:rsidR="002616F1" w:rsidRPr="00036C5C" w:rsidTr="00EE3F54">
        <w:trPr>
          <w:trHeight w:val="120"/>
        </w:trPr>
        <w:tc>
          <w:tcPr>
            <w:tcW w:w="617" w:type="dxa"/>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4</w:t>
            </w:r>
          </w:p>
        </w:tc>
        <w:tc>
          <w:tcPr>
            <w:tcW w:w="0" w:type="auto"/>
            <w:tcBorders>
              <w:top w:val="single" w:sz="4" w:space="0" w:color="auto"/>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Ekonomise, Tregtise dhe Energjitikes</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1,021,875</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281,961</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2,150,000</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2,431,961</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3,453,836</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287,435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50,671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50,671</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338,106</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04320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Mbështetje për </w:t>
            </w:r>
            <w:r>
              <w:rPr>
                <w:rFonts w:ascii="Arial" w:hAnsi="Arial" w:cs="Arial"/>
                <w:sz w:val="12"/>
                <w:szCs w:val="12"/>
              </w:rPr>
              <w:t>e</w:t>
            </w:r>
            <w:r w:rsidRPr="00036C5C">
              <w:rPr>
                <w:rFonts w:ascii="Arial" w:hAnsi="Arial" w:cs="Arial"/>
                <w:sz w:val="12"/>
                <w:szCs w:val="12"/>
              </w:rPr>
              <w:t>nergjinë</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10,875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140,875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04430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Mbështetje për burimet natyrore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187,406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101,250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201,250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388,656</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04130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zhvillim ekonomik</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236,095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58,000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1,750,000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1,808,000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2,044,095</w:t>
            </w:r>
          </w:p>
        </w:tc>
      </w:tr>
      <w:tr w:rsidR="002616F1" w:rsidRPr="00036C5C" w:rsidTr="00EE3F54">
        <w:trPr>
          <w:trHeight w:val="120"/>
        </w:trPr>
        <w:tc>
          <w:tcPr>
            <w:tcW w:w="617" w:type="dxa"/>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04160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w:t>
            </w:r>
            <w:r>
              <w:rPr>
                <w:rFonts w:ascii="Arial" w:hAnsi="Arial" w:cs="Arial"/>
                <w:sz w:val="12"/>
                <w:szCs w:val="12"/>
              </w:rPr>
              <w:t xml:space="preserve"> mbikqyrjen</w:t>
            </w:r>
            <w:r w:rsidRPr="00036C5C">
              <w:rPr>
                <w:rFonts w:ascii="Arial" w:hAnsi="Arial" w:cs="Arial"/>
                <w:sz w:val="12"/>
                <w:szCs w:val="12"/>
              </w:rPr>
              <w:t xml:space="preserve"> e tre</w:t>
            </w:r>
            <w:r>
              <w:rPr>
                <w:rFonts w:ascii="Arial" w:hAnsi="Arial" w:cs="Arial"/>
                <w:sz w:val="12"/>
                <w:szCs w:val="12"/>
              </w:rPr>
              <w:t>gut, infrast. e ciles. dhe pronësinë</w:t>
            </w:r>
            <w:r w:rsidRPr="00036C5C">
              <w:rPr>
                <w:rFonts w:ascii="Arial" w:hAnsi="Arial" w:cs="Arial"/>
                <w:sz w:val="12"/>
                <w:szCs w:val="12"/>
              </w:rPr>
              <w:t xml:space="preserve"> industr</w:t>
            </w:r>
            <w:r>
              <w:rPr>
                <w:rFonts w:ascii="Arial" w:hAnsi="Arial" w:cs="Arial"/>
                <w:sz w:val="12"/>
                <w:szCs w:val="12"/>
              </w:rPr>
              <w:t>iale</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300,064</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42,040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200,000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242,040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542,104</w:t>
            </w:r>
          </w:p>
        </w:tc>
      </w:tr>
      <w:tr w:rsidR="002616F1" w:rsidRPr="00036C5C" w:rsidTr="00EE3F54">
        <w:trPr>
          <w:trHeight w:val="120"/>
        </w:trPr>
        <w:tc>
          <w:tcPr>
            <w:tcW w:w="617" w:type="dxa"/>
            <w:tcBorders>
              <w:top w:val="dotted" w:sz="4" w:space="0" w:color="auto"/>
              <w:left w:val="double" w:sz="6" w:space="0" w:color="auto"/>
              <w:bottom w:val="single" w:sz="4" w:space="0" w:color="auto"/>
              <w:right w:val="single"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04770</w:t>
            </w:r>
          </w:p>
        </w:tc>
        <w:tc>
          <w:tcPr>
            <w:tcW w:w="0" w:type="auto"/>
            <w:tcBorders>
              <w:top w:val="dotted" w:sz="4" w:space="0" w:color="auto"/>
              <w:left w:val="nil"/>
              <w:bottom w:val="single" w:sz="4" w:space="0" w:color="auto"/>
              <w:right w:val="nil"/>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zhvillim rajonal</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r>
      <w:tr w:rsidR="002616F1" w:rsidRPr="00036C5C" w:rsidTr="00EE3F54">
        <w:trPr>
          <w:trHeight w:val="120"/>
        </w:trPr>
        <w:tc>
          <w:tcPr>
            <w:tcW w:w="617" w:type="dxa"/>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5</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Bujqësisë, Ushqimit dhe Mbrojtjes s</w:t>
            </w:r>
            <w:r>
              <w:rPr>
                <w:rFonts w:ascii="Arial" w:hAnsi="Arial" w:cs="Arial"/>
                <w:b/>
                <w:bCs/>
                <w:color w:val="000000"/>
                <w:sz w:val="12"/>
                <w:szCs w:val="12"/>
              </w:rPr>
              <w:t>ë</w:t>
            </w:r>
            <w:r w:rsidRPr="00036C5C">
              <w:rPr>
                <w:rFonts w:ascii="Arial" w:hAnsi="Arial" w:cs="Arial"/>
                <w:b/>
                <w:bCs/>
                <w:color w:val="000000"/>
                <w:sz w:val="12"/>
                <w:szCs w:val="12"/>
              </w:rPr>
              <w:t xml:space="preserve"> Konsumatorit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3,673,869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1,328,424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715,000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2,043,424</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5,717,293</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226,470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4,960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4,960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231,430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04220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Siguria ushqimore dhe mbrojtja e konsumatorit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1,243,147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70,500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320,500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1,563,647</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04240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i infrastrukturës se kullimit dhe ujitjes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760,776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1,128,800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1,228,800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1,989,576</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04250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Zhvillimi rural duke mbesht. prodh. bujq, blek, agroind dhe market.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1,234,963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90,460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365,000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455,460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1,690,423</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04860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Këshillimi dhe Informacioni Bujqësor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200,773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33,704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33,704</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234,477</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05470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qëndrueshëm i tokës bujqësore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7,740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7,740</w:t>
            </w:r>
          </w:p>
        </w:tc>
      </w:tr>
      <w:tr w:rsidR="002616F1" w:rsidRPr="00036C5C" w:rsidTr="00EE3F54">
        <w:trPr>
          <w:trHeight w:val="120"/>
        </w:trPr>
        <w:tc>
          <w:tcPr>
            <w:tcW w:w="617" w:type="dxa"/>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6</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Punëve Publike dhe Transportit</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3,693,769</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12,474,448</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22,317,711</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34,792,159</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38,485,928</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297,300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300,300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04520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Rrjeti i rrugëve nacionale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1,246,060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8,926,695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17,116,300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26,042,995</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27,289,055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04530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Menaxhimi i </w:t>
            </w:r>
            <w:r>
              <w:rPr>
                <w:rFonts w:ascii="Arial" w:hAnsi="Arial" w:cs="Arial"/>
                <w:sz w:val="12"/>
                <w:szCs w:val="12"/>
              </w:rPr>
              <w:t>t</w:t>
            </w:r>
            <w:r w:rsidRPr="00036C5C">
              <w:rPr>
                <w:rFonts w:ascii="Arial" w:hAnsi="Arial" w:cs="Arial"/>
                <w:sz w:val="12"/>
                <w:szCs w:val="12"/>
              </w:rPr>
              <w:t xml:space="preserve">ransportit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21,345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21,345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04540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Portet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71,795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275,544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760,000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1,035,544</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1,107,339</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04550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Hekurudhat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461,386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531,386</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04560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Aviacioni </w:t>
            </w:r>
            <w:r>
              <w:rPr>
                <w:rFonts w:ascii="Arial" w:hAnsi="Arial" w:cs="Arial"/>
                <w:sz w:val="12"/>
                <w:szCs w:val="12"/>
              </w:rPr>
              <w:t>c</w:t>
            </w:r>
            <w:r w:rsidRPr="00036C5C">
              <w:rPr>
                <w:rFonts w:ascii="Arial" w:hAnsi="Arial" w:cs="Arial"/>
                <w:sz w:val="12"/>
                <w:szCs w:val="12"/>
              </w:rPr>
              <w:t>ivil</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21,790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33,790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06370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Ujësjellës</w:t>
            </w:r>
            <w:r>
              <w:rPr>
                <w:rFonts w:ascii="Arial" w:hAnsi="Arial" w:cs="Arial"/>
                <w:sz w:val="12"/>
                <w:szCs w:val="12"/>
              </w:rPr>
              <w:t>-</w:t>
            </w:r>
            <w:r w:rsidRPr="00036C5C">
              <w:rPr>
                <w:rFonts w:ascii="Arial" w:hAnsi="Arial" w:cs="Arial"/>
                <w:sz w:val="12"/>
                <w:szCs w:val="12"/>
              </w:rPr>
              <w:t>kanalizime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717,802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2,948,040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3,488,713</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6,436,753</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7,154,555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06180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Strehimi dhe </w:t>
            </w:r>
            <w:r>
              <w:rPr>
                <w:rFonts w:ascii="Arial" w:hAnsi="Arial" w:cs="Arial"/>
                <w:sz w:val="12"/>
                <w:szCs w:val="12"/>
              </w:rPr>
              <w:t>u</w:t>
            </w:r>
            <w:r w:rsidRPr="00036C5C">
              <w:rPr>
                <w:rFonts w:ascii="Arial" w:hAnsi="Arial" w:cs="Arial"/>
                <w:sz w:val="12"/>
                <w:szCs w:val="12"/>
              </w:rPr>
              <w:t>rbanistika</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675,144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153,727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872,698</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1,026,425</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1,701,569</w:t>
            </w:r>
          </w:p>
        </w:tc>
      </w:tr>
      <w:tr w:rsidR="002616F1" w:rsidRPr="00036C5C" w:rsidTr="00EE3F54">
        <w:trPr>
          <w:trHeight w:val="120"/>
        </w:trPr>
        <w:tc>
          <w:tcPr>
            <w:tcW w:w="617" w:type="dxa"/>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06220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Shërbimet publike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181,147</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85,442</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80,000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165,442</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346,589</w:t>
            </w:r>
          </w:p>
        </w:tc>
      </w:tr>
      <w:tr w:rsidR="002616F1" w:rsidRPr="00036C5C" w:rsidTr="00EE3F54">
        <w:trPr>
          <w:trHeight w:val="120"/>
        </w:trPr>
        <w:tc>
          <w:tcPr>
            <w:tcW w:w="617" w:type="dxa"/>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10</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 xml:space="preserve">Ministria e Financave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5,969,294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483,977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298,582</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782,559</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6,751,853</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233,775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162,600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82,582</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245,182</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478,957</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i shpenzimeve publike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482,375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485,375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Ekzekutimi i pagesave te ndryshme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107,600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107,600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i te ardhurave tatimore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1,935,878</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91,200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91,200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2,027,078</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i te ardhurave doganore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1,357,072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144,177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160,177</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1,517,249</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01160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Lufta kunder transaksioneve financiare jo-ligjore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52,594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55,594</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i Sigurimeve Shoqerore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1,800,000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280,000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2,080,000</w:t>
            </w:r>
          </w:p>
        </w:tc>
      </w:tr>
      <w:tr w:rsidR="002616F1" w:rsidRPr="00036C5C" w:rsidTr="00EE3F54">
        <w:trPr>
          <w:trHeight w:val="120"/>
        </w:trPr>
        <w:tc>
          <w:tcPr>
            <w:tcW w:w="617" w:type="dxa"/>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11</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Arsimit dhe Shkencës</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34,221,434</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2,401,918</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1,649,598</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4,051,516</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38,272,950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686,100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62,739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45,900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108,639</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794,739</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09120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Arsimi </w:t>
            </w:r>
            <w:r>
              <w:rPr>
                <w:rFonts w:ascii="Arial" w:hAnsi="Arial" w:cs="Arial"/>
                <w:sz w:val="12"/>
                <w:szCs w:val="12"/>
              </w:rPr>
              <w:t>b</w:t>
            </w:r>
            <w:r w:rsidRPr="00036C5C">
              <w:rPr>
                <w:rFonts w:ascii="Arial" w:hAnsi="Arial" w:cs="Arial"/>
                <w:sz w:val="12"/>
                <w:szCs w:val="12"/>
              </w:rPr>
              <w:t>az</w:t>
            </w:r>
            <w:r>
              <w:rPr>
                <w:rFonts w:ascii="Arial" w:hAnsi="Arial" w:cs="Arial"/>
                <w:sz w:val="12"/>
                <w:szCs w:val="12"/>
              </w:rPr>
              <w:t>ë</w:t>
            </w:r>
            <w:r w:rsidRPr="00036C5C">
              <w:rPr>
                <w:rFonts w:ascii="Arial" w:hAnsi="Arial" w:cs="Arial"/>
                <w:sz w:val="12"/>
                <w:szCs w:val="12"/>
              </w:rPr>
              <w:t xml:space="preserve"> (përfshirë parashkollorin)</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21,459,610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1,068,060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1,052,990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2,121,050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23,580,660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09230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Arsimi i </w:t>
            </w:r>
            <w:r>
              <w:rPr>
                <w:rFonts w:ascii="Arial" w:hAnsi="Arial" w:cs="Arial"/>
                <w:sz w:val="12"/>
                <w:szCs w:val="12"/>
              </w:rPr>
              <w:t>m</w:t>
            </w:r>
            <w:r w:rsidRPr="00036C5C">
              <w:rPr>
                <w:rFonts w:ascii="Arial" w:hAnsi="Arial" w:cs="Arial"/>
                <w:sz w:val="12"/>
                <w:szCs w:val="12"/>
              </w:rPr>
              <w:t>esëm (i përgjithshëm)</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4,473,354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430,460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347,025</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777,485</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5,250,839</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09240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Arsimi i  </w:t>
            </w:r>
            <w:r>
              <w:rPr>
                <w:rFonts w:ascii="Arial" w:hAnsi="Arial" w:cs="Arial"/>
                <w:sz w:val="12"/>
                <w:szCs w:val="12"/>
              </w:rPr>
              <w:t>m</w:t>
            </w:r>
            <w:r w:rsidRPr="00036C5C">
              <w:rPr>
                <w:rFonts w:ascii="Arial" w:hAnsi="Arial" w:cs="Arial"/>
                <w:sz w:val="12"/>
                <w:szCs w:val="12"/>
              </w:rPr>
              <w:t>esëm (profesional)</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1,794,681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294,742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384,742</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2,179,423</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09450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Arsimi </w:t>
            </w:r>
            <w:r>
              <w:rPr>
                <w:rFonts w:ascii="Arial" w:hAnsi="Arial" w:cs="Arial"/>
                <w:sz w:val="12"/>
                <w:szCs w:val="12"/>
              </w:rPr>
              <w:t>u</w:t>
            </w:r>
            <w:r w:rsidRPr="00036C5C">
              <w:rPr>
                <w:rFonts w:ascii="Arial" w:hAnsi="Arial" w:cs="Arial"/>
                <w:sz w:val="12"/>
                <w:szCs w:val="12"/>
              </w:rPr>
              <w:t>niversitar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5,484,451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545,917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113,683</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659,600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6,144,051</w:t>
            </w:r>
          </w:p>
        </w:tc>
      </w:tr>
      <w:tr w:rsidR="002616F1" w:rsidRPr="00036C5C" w:rsidTr="00EE3F54">
        <w:trPr>
          <w:trHeight w:val="120"/>
        </w:trPr>
        <w:tc>
          <w:tcPr>
            <w:tcW w:w="617" w:type="dxa"/>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09770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Fonde për </w:t>
            </w:r>
            <w:r>
              <w:rPr>
                <w:rFonts w:ascii="Arial" w:hAnsi="Arial" w:cs="Arial"/>
                <w:sz w:val="12"/>
                <w:szCs w:val="12"/>
              </w:rPr>
              <w:t>s</w:t>
            </w:r>
            <w:r w:rsidRPr="00036C5C">
              <w:rPr>
                <w:rFonts w:ascii="Arial" w:hAnsi="Arial" w:cs="Arial"/>
                <w:sz w:val="12"/>
                <w:szCs w:val="12"/>
              </w:rPr>
              <w:t>hkencën</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323,238</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323,238</w:t>
            </w:r>
          </w:p>
        </w:tc>
      </w:tr>
      <w:tr w:rsidR="002616F1" w:rsidRPr="00036C5C" w:rsidTr="00EE3F54">
        <w:trPr>
          <w:trHeight w:val="120"/>
        </w:trPr>
        <w:tc>
          <w:tcPr>
            <w:tcW w:w="617" w:type="dxa"/>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12</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Turizmit, Kulturës, Rinis</w:t>
            </w:r>
            <w:r>
              <w:rPr>
                <w:rFonts w:ascii="Arial" w:hAnsi="Arial" w:cs="Arial"/>
                <w:b/>
                <w:bCs/>
                <w:color w:val="000000"/>
                <w:sz w:val="12"/>
                <w:szCs w:val="12"/>
              </w:rPr>
              <w:t>ë</w:t>
            </w:r>
            <w:r w:rsidRPr="00036C5C">
              <w:rPr>
                <w:rFonts w:ascii="Arial" w:hAnsi="Arial" w:cs="Arial"/>
                <w:b/>
                <w:bCs/>
                <w:color w:val="000000"/>
                <w:sz w:val="12"/>
                <w:szCs w:val="12"/>
              </w:rPr>
              <w:t xml:space="preserve"> dhe Sporteve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1,419,053</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331,627</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381,627</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1,800,680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141,965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144,465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08220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Trashëgimia kulturore dhe muzetë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314,857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201,612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251,612</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566,469</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08230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Arti dhe </w:t>
            </w:r>
            <w:r>
              <w:rPr>
                <w:rFonts w:ascii="Arial" w:hAnsi="Arial" w:cs="Arial"/>
                <w:sz w:val="12"/>
                <w:szCs w:val="12"/>
              </w:rPr>
              <w:t>k</w:t>
            </w:r>
            <w:r w:rsidRPr="00036C5C">
              <w:rPr>
                <w:rFonts w:ascii="Arial" w:hAnsi="Arial" w:cs="Arial"/>
                <w:sz w:val="12"/>
                <w:szCs w:val="12"/>
              </w:rPr>
              <w:t xml:space="preserve">ultura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593,956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65,479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65,479</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659,435</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08140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Zhvillimi i </w:t>
            </w:r>
            <w:r>
              <w:rPr>
                <w:rFonts w:ascii="Arial" w:hAnsi="Arial" w:cs="Arial"/>
                <w:sz w:val="12"/>
                <w:szCs w:val="12"/>
              </w:rPr>
              <w:t>s</w:t>
            </w:r>
            <w:r w:rsidRPr="00036C5C">
              <w:rPr>
                <w:rFonts w:ascii="Arial" w:hAnsi="Arial" w:cs="Arial"/>
                <w:sz w:val="12"/>
                <w:szCs w:val="12"/>
              </w:rPr>
              <w:t>portit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141,911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61,536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61,536</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203,447</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08170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Programe për </w:t>
            </w:r>
            <w:r>
              <w:rPr>
                <w:rFonts w:ascii="Arial" w:hAnsi="Arial" w:cs="Arial"/>
                <w:sz w:val="12"/>
                <w:szCs w:val="12"/>
              </w:rPr>
              <w:t>r</w:t>
            </w:r>
            <w:r w:rsidRPr="00036C5C">
              <w:rPr>
                <w:rFonts w:ascii="Arial" w:hAnsi="Arial" w:cs="Arial"/>
                <w:sz w:val="12"/>
                <w:szCs w:val="12"/>
              </w:rPr>
              <w:t>ininë</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8,693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8,693</w:t>
            </w:r>
          </w:p>
        </w:tc>
      </w:tr>
      <w:tr w:rsidR="002616F1" w:rsidRPr="00036C5C" w:rsidTr="00EE3F54">
        <w:trPr>
          <w:trHeight w:val="120"/>
        </w:trPr>
        <w:tc>
          <w:tcPr>
            <w:tcW w:w="617" w:type="dxa"/>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04760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Zhvillimi i </w:t>
            </w:r>
            <w:r>
              <w:rPr>
                <w:rFonts w:ascii="Arial" w:hAnsi="Arial" w:cs="Arial"/>
                <w:sz w:val="12"/>
                <w:szCs w:val="12"/>
              </w:rPr>
              <w:t>t</w:t>
            </w:r>
            <w:r w:rsidRPr="00036C5C">
              <w:rPr>
                <w:rFonts w:ascii="Arial" w:hAnsi="Arial" w:cs="Arial"/>
                <w:sz w:val="12"/>
                <w:szCs w:val="12"/>
              </w:rPr>
              <w:t>urizmit</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101,914</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101,914</w:t>
            </w:r>
          </w:p>
        </w:tc>
      </w:tr>
      <w:tr w:rsidR="002616F1" w:rsidRPr="00036C5C" w:rsidTr="00EE3F54">
        <w:trPr>
          <w:trHeight w:val="120"/>
        </w:trPr>
        <w:tc>
          <w:tcPr>
            <w:tcW w:w="617" w:type="dxa"/>
            <w:tcBorders>
              <w:top w:val="dotted" w:sz="4" w:space="0" w:color="auto"/>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08480</w:t>
            </w:r>
          </w:p>
        </w:tc>
        <w:tc>
          <w:tcPr>
            <w:tcW w:w="0" w:type="auto"/>
            <w:tcBorders>
              <w:top w:val="dotted" w:sz="4" w:space="0" w:color="auto"/>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Kultet Fetare</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115,757</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116,257</w:t>
            </w:r>
          </w:p>
        </w:tc>
      </w:tr>
      <w:tr w:rsidR="002616F1" w:rsidRPr="00036C5C" w:rsidTr="00EE3F54">
        <w:trPr>
          <w:trHeight w:val="120"/>
        </w:trPr>
        <w:tc>
          <w:tcPr>
            <w:tcW w:w="617" w:type="dxa"/>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13</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Shëndet</w:t>
            </w:r>
            <w:r>
              <w:rPr>
                <w:rFonts w:ascii="Arial" w:hAnsi="Arial" w:cs="Arial"/>
                <w:b/>
                <w:bCs/>
                <w:color w:val="000000"/>
                <w:sz w:val="12"/>
                <w:szCs w:val="12"/>
              </w:rPr>
              <w:t>ë</w:t>
            </w:r>
            <w:r w:rsidRPr="00036C5C">
              <w:rPr>
                <w:rFonts w:ascii="Arial" w:hAnsi="Arial" w:cs="Arial"/>
                <w:b/>
                <w:bCs/>
                <w:color w:val="000000"/>
                <w:sz w:val="12"/>
                <w:szCs w:val="12"/>
              </w:rPr>
              <w:t>sis</w:t>
            </w:r>
            <w:r>
              <w:rPr>
                <w:rFonts w:ascii="Arial" w:hAnsi="Arial" w:cs="Arial"/>
                <w:b/>
                <w:bCs/>
                <w:color w:val="000000"/>
                <w:sz w:val="12"/>
                <w:szCs w:val="12"/>
              </w:rPr>
              <w:t>ë</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26,209,281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1,620,927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1,645,000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3,280,927</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29,490,208</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217,400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3,380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3,380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220,780</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07220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Shërbimet e kujdesit parësor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9,191,550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219,191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635,000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857,191</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10,048,741</w:t>
            </w:r>
          </w:p>
        </w:tc>
      </w:tr>
      <w:tr w:rsidR="002616F1" w:rsidRPr="00036C5C" w:rsidTr="00EE3F54">
        <w:trPr>
          <w:trHeight w:val="120"/>
        </w:trPr>
        <w:tc>
          <w:tcPr>
            <w:tcW w:w="617" w:type="dxa"/>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07330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Shërbimet e kujdesit dytësor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14,447,951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1,366,776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1,010,000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2,386,776</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16,834,727</w:t>
            </w:r>
          </w:p>
        </w:tc>
      </w:tr>
      <w:tr w:rsidR="002616F1" w:rsidRPr="00036C5C" w:rsidTr="00EE3F54">
        <w:trPr>
          <w:trHeight w:val="120"/>
        </w:trPr>
        <w:tc>
          <w:tcPr>
            <w:tcW w:w="617" w:type="dxa"/>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07450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Shërbimet e shëndetit publik</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2,352,380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31,580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33,580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2,385,960</w:t>
            </w:r>
          </w:p>
        </w:tc>
      </w:tr>
    </w:tbl>
    <w:p w:rsidR="002616F1" w:rsidRPr="00036C5C" w:rsidRDefault="002616F1" w:rsidP="002616F1"/>
    <w:p w:rsidR="002616F1" w:rsidRPr="00036C5C" w:rsidRDefault="002616F1" w:rsidP="002616F1"/>
    <w:p w:rsidR="002616F1" w:rsidRPr="00036C5C" w:rsidRDefault="002616F1" w:rsidP="002616F1">
      <w:r w:rsidRPr="00036C5C">
        <w:t xml:space="preserve">                                                             </w:t>
      </w:r>
    </w:p>
    <w:p w:rsidR="002616F1" w:rsidRPr="00036C5C" w:rsidRDefault="002616F1" w:rsidP="002616F1"/>
    <w:p w:rsidR="002616F1" w:rsidRPr="00036C5C" w:rsidRDefault="002616F1" w:rsidP="002616F1"/>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ind w:left="4320"/>
        <w:rPr>
          <w:rFonts w:cs="Times New Roman"/>
          <w:b w:val="0"/>
          <w:bCs w:val="0"/>
          <w:lang w:val="sq-AL"/>
        </w:rPr>
      </w:pPr>
      <w:r w:rsidRPr="00036C5C">
        <w:rPr>
          <w:b w:val="0"/>
          <w:bCs w:val="0"/>
          <w:caps w:val="0"/>
          <w:sz w:val="16"/>
          <w:szCs w:val="16"/>
          <w:lang w:val="sq-AL"/>
        </w:rPr>
        <w:lastRenderedPageBreak/>
        <w:t xml:space="preserve">                                                          në 000/lekë    </w:t>
      </w:r>
      <w:r w:rsidRPr="00036C5C">
        <w:rPr>
          <w:rFonts w:cs="Times New Roman"/>
          <w:b w:val="0"/>
          <w:bCs w:val="0"/>
          <w:sz w:val="16"/>
          <w:szCs w:val="16"/>
          <w:lang w:val="sq-AL"/>
        </w:rPr>
        <w:tab/>
      </w:r>
    </w:p>
    <w:tbl>
      <w:tblPr>
        <w:tblW w:w="0" w:type="auto"/>
        <w:jc w:val="center"/>
        <w:tblInd w:w="-106" w:type="dxa"/>
        <w:tblLook w:val="00A0"/>
      </w:tblPr>
      <w:tblGrid>
        <w:gridCol w:w="551"/>
        <w:gridCol w:w="3490"/>
        <w:gridCol w:w="933"/>
        <w:gridCol w:w="837"/>
        <w:gridCol w:w="740"/>
        <w:gridCol w:w="794"/>
        <w:gridCol w:w="872"/>
        <w:gridCol w:w="1176"/>
      </w:tblGrid>
      <w:tr w:rsidR="002616F1" w:rsidRPr="00036C5C" w:rsidTr="00EE3F54">
        <w:trPr>
          <w:trHeight w:val="120"/>
          <w:jc w:val="center"/>
        </w:trPr>
        <w:tc>
          <w:tcPr>
            <w:tcW w:w="0" w:type="auto"/>
            <w:vMerge w:val="restart"/>
            <w:tcBorders>
              <w:top w:val="double" w:sz="6" w:space="0" w:color="auto"/>
              <w:left w:val="double" w:sz="6" w:space="0" w:color="auto"/>
              <w:bottom w:val="single" w:sz="4" w:space="0" w:color="000000"/>
              <w:right w:val="nil"/>
            </w:tcBorders>
            <w:noWrap/>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vAlign w:val="bottom"/>
          </w:tcPr>
          <w:p w:rsidR="002616F1" w:rsidRPr="00036C5C" w:rsidRDefault="002616F1" w:rsidP="00EE3F54">
            <w:pPr>
              <w:rPr>
                <w:rFonts w:ascii="Arial" w:hAnsi="Arial" w:cs="Arial"/>
                <w:b/>
                <w:bCs/>
                <w:sz w:val="12"/>
                <w:szCs w:val="12"/>
              </w:rPr>
            </w:pPr>
            <w:r w:rsidRPr="00036C5C">
              <w:rPr>
                <w:rFonts w:ascii="Arial" w:hAnsi="Arial" w:cs="Arial"/>
                <w:b/>
                <w:bCs/>
                <w:sz w:val="12"/>
                <w:szCs w:val="12"/>
              </w:rPr>
              <w:t xml:space="preserve">Emërtimi i </w:t>
            </w:r>
            <w:r>
              <w:rPr>
                <w:rFonts w:ascii="Arial" w:hAnsi="Arial" w:cs="Arial"/>
                <w:b/>
                <w:bCs/>
                <w:sz w:val="12"/>
                <w:szCs w:val="12"/>
              </w:rPr>
              <w:t>i</w:t>
            </w:r>
            <w:r w:rsidRPr="00036C5C">
              <w:rPr>
                <w:rFonts w:ascii="Arial" w:hAnsi="Arial" w:cs="Arial"/>
                <w:b/>
                <w:bCs/>
                <w:sz w:val="12"/>
                <w:szCs w:val="12"/>
              </w:rPr>
              <w:t xml:space="preserve">nstitucionit / </w:t>
            </w:r>
            <w:r>
              <w:rPr>
                <w:rFonts w:ascii="Arial" w:hAnsi="Arial" w:cs="Arial"/>
                <w:b/>
                <w:bCs/>
                <w:sz w:val="12"/>
                <w:szCs w:val="12"/>
              </w:rPr>
              <w:t>p</w:t>
            </w:r>
            <w:r w:rsidRPr="00036C5C">
              <w:rPr>
                <w:rFonts w:ascii="Arial" w:hAnsi="Arial" w:cs="Arial"/>
                <w:b/>
                <w:bCs/>
                <w:sz w:val="12"/>
                <w:szCs w:val="12"/>
              </w:rPr>
              <w:t>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 xml:space="preserve">Totali i </w:t>
            </w:r>
            <w:r>
              <w:rPr>
                <w:rFonts w:ascii="Arial" w:hAnsi="Arial" w:cs="Arial"/>
                <w:b/>
                <w:bCs/>
                <w:sz w:val="12"/>
                <w:szCs w:val="12"/>
              </w:rPr>
              <w:t>s</w:t>
            </w:r>
            <w:r w:rsidRPr="00036C5C">
              <w:rPr>
                <w:rFonts w:ascii="Arial" w:hAnsi="Arial" w:cs="Arial"/>
                <w:b/>
                <w:bCs/>
                <w:sz w:val="12"/>
                <w:szCs w:val="12"/>
              </w:rPr>
              <w:t xml:space="preserve">hp. </w:t>
            </w:r>
            <w:r>
              <w:rPr>
                <w:rFonts w:ascii="Arial" w:hAnsi="Arial" w:cs="Arial"/>
                <w:b/>
                <w:bCs/>
                <w:sz w:val="12"/>
                <w:szCs w:val="12"/>
              </w:rPr>
              <w:t>k</w:t>
            </w:r>
            <w:r w:rsidRPr="00036C5C">
              <w:rPr>
                <w:rFonts w:ascii="Arial" w:hAnsi="Arial" w:cs="Arial"/>
                <w:b/>
                <w:bCs/>
                <w:sz w:val="12"/>
                <w:szCs w:val="12"/>
              </w:rPr>
              <w:t xml:space="preserve">orrente </w:t>
            </w:r>
          </w:p>
        </w:tc>
        <w:tc>
          <w:tcPr>
            <w:tcW w:w="0" w:type="auto"/>
            <w:gridSpan w:val="4"/>
            <w:tcBorders>
              <w:top w:val="double" w:sz="6" w:space="0" w:color="auto"/>
              <w:left w:val="nil"/>
              <w:bottom w:val="nil"/>
              <w:right w:val="single" w:sz="4" w:space="0" w:color="auto"/>
            </w:tcBorders>
            <w:noWrap/>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 xml:space="preserve">Shpenzimet </w:t>
            </w:r>
            <w:r>
              <w:rPr>
                <w:rFonts w:ascii="Arial" w:hAnsi="Arial" w:cs="Arial"/>
                <w:b/>
                <w:bCs/>
                <w:sz w:val="12"/>
                <w:szCs w:val="12"/>
              </w:rPr>
              <w:t>k</w:t>
            </w:r>
            <w:r w:rsidRPr="00036C5C">
              <w:rPr>
                <w:rFonts w:ascii="Arial" w:hAnsi="Arial" w:cs="Arial"/>
                <w:b/>
                <w:bCs/>
                <w:sz w:val="12"/>
                <w:szCs w:val="12"/>
              </w:rPr>
              <w:t>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Totali i shpenzimeve buxhetore</w:t>
            </w:r>
          </w:p>
        </w:tc>
      </w:tr>
      <w:tr w:rsidR="002616F1" w:rsidRPr="00036C5C" w:rsidTr="00EE3F54">
        <w:trPr>
          <w:trHeight w:val="120"/>
          <w:jc w:val="center"/>
        </w:trPr>
        <w:tc>
          <w:tcPr>
            <w:tcW w:w="0" w:type="auto"/>
            <w:vMerge/>
            <w:tcBorders>
              <w:top w:val="double" w:sz="6" w:space="0" w:color="auto"/>
              <w:left w:val="double" w:sz="6" w:space="0" w:color="auto"/>
              <w:bottom w:val="single" w:sz="4" w:space="0" w:color="000000"/>
              <w:right w:val="nil"/>
            </w:tcBorders>
            <w:vAlign w:val="center"/>
          </w:tcPr>
          <w:p w:rsidR="002616F1" w:rsidRPr="00036C5C" w:rsidRDefault="002616F1" w:rsidP="00EE3F54">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2616F1" w:rsidRPr="00036C5C" w:rsidRDefault="002616F1" w:rsidP="00EE3F54">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2616F1" w:rsidRPr="00036C5C" w:rsidRDefault="002616F1" w:rsidP="00EE3F54">
            <w:pPr>
              <w:rPr>
                <w:rFonts w:ascii="Arial" w:hAnsi="Arial" w:cs="Arial"/>
                <w:b/>
                <w:bCs/>
                <w:sz w:val="12"/>
                <w:szCs w:val="12"/>
              </w:rPr>
            </w:pP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Nga</w:t>
            </w:r>
            <w:r w:rsidRPr="00036C5C">
              <w:rPr>
                <w:rFonts w:ascii="Arial" w:hAnsi="Arial" w:cs="Arial"/>
                <w:sz w:val="12"/>
                <w:szCs w:val="12"/>
              </w:rPr>
              <w:br w:type="page"/>
              <w:t>Buxheti</w:t>
            </w: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 xml:space="preserve">Nga te </w:t>
            </w:r>
            <w:r w:rsidRPr="00036C5C">
              <w:rPr>
                <w:rFonts w:ascii="Arial" w:hAnsi="Arial" w:cs="Arial"/>
                <w:sz w:val="12"/>
                <w:szCs w:val="12"/>
              </w:rPr>
              <w:br w:type="page"/>
            </w:r>
            <w:r>
              <w:rPr>
                <w:rFonts w:ascii="Arial" w:hAnsi="Arial" w:cs="Arial"/>
                <w:sz w:val="12"/>
                <w:szCs w:val="12"/>
              </w:rPr>
              <w:t>a</w:t>
            </w:r>
            <w:r w:rsidRPr="00036C5C">
              <w:rPr>
                <w:rFonts w:ascii="Arial" w:hAnsi="Arial" w:cs="Arial"/>
                <w:sz w:val="12"/>
                <w:szCs w:val="12"/>
              </w:rPr>
              <w:t>rdhurat</w:t>
            </w: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Financimi i</w:t>
            </w:r>
            <w:r w:rsidRPr="00036C5C">
              <w:rPr>
                <w:rFonts w:ascii="Arial" w:hAnsi="Arial" w:cs="Arial"/>
                <w:sz w:val="12"/>
                <w:szCs w:val="12"/>
              </w:rPr>
              <w:br w:type="page"/>
            </w:r>
            <w:r>
              <w:rPr>
                <w:rFonts w:ascii="Arial" w:hAnsi="Arial" w:cs="Arial"/>
                <w:sz w:val="12"/>
                <w:szCs w:val="12"/>
              </w:rPr>
              <w:t xml:space="preserve"> </w:t>
            </w:r>
            <w:r w:rsidRPr="00036C5C">
              <w:rPr>
                <w:rFonts w:ascii="Arial" w:hAnsi="Arial" w:cs="Arial"/>
                <w:sz w:val="12"/>
                <w:szCs w:val="12"/>
              </w:rPr>
              <w:t>huaj</w:t>
            </w:r>
          </w:p>
        </w:tc>
        <w:tc>
          <w:tcPr>
            <w:tcW w:w="0" w:type="auto"/>
            <w:tcBorders>
              <w:top w:val="dashed" w:sz="4" w:space="0" w:color="auto"/>
              <w:left w:val="nil"/>
              <w:bottom w:val="single" w:sz="4" w:space="0" w:color="auto"/>
              <w:right w:val="single" w:sz="4"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 xml:space="preserve">Totali i </w:t>
            </w:r>
            <w:r>
              <w:rPr>
                <w:rFonts w:ascii="Arial" w:hAnsi="Arial" w:cs="Arial"/>
                <w:b/>
                <w:bCs/>
                <w:sz w:val="12"/>
                <w:szCs w:val="12"/>
              </w:rPr>
              <w:t>s</w:t>
            </w:r>
            <w:r w:rsidRPr="00036C5C">
              <w:rPr>
                <w:rFonts w:ascii="Arial" w:hAnsi="Arial" w:cs="Arial"/>
                <w:b/>
                <w:bCs/>
                <w:sz w:val="12"/>
                <w:szCs w:val="12"/>
              </w:rPr>
              <w:t xml:space="preserve">hp. </w:t>
            </w:r>
            <w:r>
              <w:rPr>
                <w:rFonts w:ascii="Arial" w:hAnsi="Arial" w:cs="Arial"/>
                <w:b/>
                <w:bCs/>
                <w:sz w:val="12"/>
                <w:szCs w:val="12"/>
              </w:rPr>
              <w:t>s</w:t>
            </w:r>
            <w:r w:rsidRPr="00036C5C">
              <w:rPr>
                <w:rFonts w:ascii="Arial" w:hAnsi="Arial" w:cs="Arial"/>
                <w:b/>
                <w:bCs/>
                <w:sz w:val="12"/>
                <w:szCs w:val="12"/>
              </w:rPr>
              <w:t>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2616F1" w:rsidRPr="00036C5C" w:rsidRDefault="002616F1" w:rsidP="00EE3F54">
            <w:pPr>
              <w:rPr>
                <w:rFonts w:ascii="Arial" w:hAnsi="Arial" w:cs="Arial"/>
                <w:b/>
                <w:bCs/>
                <w:sz w:val="12"/>
                <w:szCs w:val="12"/>
              </w:rPr>
            </w:pPr>
          </w:p>
        </w:tc>
      </w:tr>
      <w:tr w:rsidR="002616F1" w:rsidRPr="00036C5C" w:rsidTr="00EE3F54">
        <w:trPr>
          <w:trHeight w:val="120"/>
          <w:jc w:val="center"/>
        </w:trPr>
        <w:tc>
          <w:tcPr>
            <w:tcW w:w="0" w:type="auto"/>
            <w:tcBorders>
              <w:top w:val="dotted" w:sz="4" w:space="0" w:color="auto"/>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dotted" w:sz="4" w:space="0" w:color="auto"/>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dotted"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288,763</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86,380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86,380</w:t>
            </w:r>
          </w:p>
        </w:tc>
        <w:tc>
          <w:tcPr>
            <w:tcW w:w="0" w:type="auto"/>
            <w:tcBorders>
              <w:top w:val="dotted"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375,143</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Publikimet Zyrtare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51,477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52,477</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Mjekësia Ligjore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41,440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45,440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03440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Sistemi i Burgjeve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3,334,656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357,980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457,980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3,792,636</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03350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Përmbarimit Gjyqësor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101,500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102,500</w:t>
            </w:r>
          </w:p>
        </w:tc>
      </w:tr>
      <w:tr w:rsidR="002616F1" w:rsidRPr="00036C5C" w:rsidTr="00EE3F54">
        <w:trPr>
          <w:trHeight w:val="120"/>
          <w:jc w:val="center"/>
        </w:trPr>
        <w:tc>
          <w:tcPr>
            <w:tcW w:w="0" w:type="auto"/>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01160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Shërbimet për çështjet e birësimeve</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11,455</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11,955</w:t>
            </w:r>
          </w:p>
        </w:tc>
      </w:tr>
      <w:tr w:rsidR="002616F1" w:rsidRPr="00036C5C" w:rsidTr="00EE3F54">
        <w:trPr>
          <w:trHeight w:val="120"/>
          <w:jc w:val="center"/>
        </w:trPr>
        <w:tc>
          <w:tcPr>
            <w:tcW w:w="0" w:type="auto"/>
            <w:tcBorders>
              <w:top w:val="dotted" w:sz="4" w:space="0" w:color="auto"/>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01170</w:t>
            </w:r>
          </w:p>
        </w:tc>
        <w:tc>
          <w:tcPr>
            <w:tcW w:w="0" w:type="auto"/>
            <w:tcBorders>
              <w:top w:val="dotted" w:sz="4" w:space="0" w:color="auto"/>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Regjistrimit t</w:t>
            </w:r>
            <w:r>
              <w:rPr>
                <w:rFonts w:ascii="Arial" w:hAnsi="Arial" w:cs="Arial"/>
                <w:sz w:val="12"/>
                <w:szCs w:val="12"/>
              </w:rPr>
              <w:t>ë</w:t>
            </w:r>
            <w:r w:rsidRPr="00036C5C">
              <w:rPr>
                <w:rFonts w:ascii="Arial" w:hAnsi="Arial" w:cs="Arial"/>
                <w:sz w:val="12"/>
                <w:szCs w:val="12"/>
              </w:rPr>
              <w:t xml:space="preserve"> Pasurive te Paluajtshme </w:t>
            </w:r>
          </w:p>
        </w:tc>
        <w:tc>
          <w:tcPr>
            <w:tcW w:w="0" w:type="auto"/>
            <w:tcBorders>
              <w:top w:val="dotted"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475,050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350,000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358,000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833,050</w:t>
            </w:r>
          </w:p>
        </w:tc>
      </w:tr>
      <w:tr w:rsidR="002616F1" w:rsidRPr="00036C5C" w:rsidTr="00EE3F54">
        <w:trPr>
          <w:trHeight w:val="120"/>
          <w:jc w:val="center"/>
        </w:trPr>
        <w:tc>
          <w:tcPr>
            <w:tcW w:w="0" w:type="auto"/>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01180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Kthimit dhe Kompensimit t</w:t>
            </w:r>
            <w:r>
              <w:rPr>
                <w:rFonts w:ascii="Arial" w:hAnsi="Arial" w:cs="Arial"/>
                <w:sz w:val="12"/>
                <w:szCs w:val="12"/>
              </w:rPr>
              <w:t>ë</w:t>
            </w:r>
            <w:r w:rsidRPr="00036C5C">
              <w:rPr>
                <w:rFonts w:ascii="Arial" w:hAnsi="Arial" w:cs="Arial"/>
                <w:sz w:val="12"/>
                <w:szCs w:val="12"/>
              </w:rPr>
              <w:t xml:space="preserve"> Pronave</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414,960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1,960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1,960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416,920</w:t>
            </w:r>
          </w:p>
        </w:tc>
      </w:tr>
      <w:tr w:rsidR="002616F1" w:rsidRPr="00036C5C" w:rsidTr="00EE3F54">
        <w:trPr>
          <w:trHeight w:val="120"/>
          <w:jc w:val="center"/>
        </w:trPr>
        <w:tc>
          <w:tcPr>
            <w:tcW w:w="0" w:type="auto"/>
            <w:tcBorders>
              <w:top w:val="dotted" w:sz="4" w:space="0" w:color="auto"/>
              <w:left w:val="double" w:sz="6" w:space="0" w:color="auto"/>
              <w:bottom w:val="dotted" w:sz="4" w:space="0" w:color="auto"/>
              <w:right w:val="single"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03490</w:t>
            </w:r>
          </w:p>
        </w:tc>
        <w:tc>
          <w:tcPr>
            <w:tcW w:w="0" w:type="auto"/>
            <w:tcBorders>
              <w:top w:val="dotted" w:sz="4" w:space="0" w:color="auto"/>
              <w:left w:val="nil"/>
              <w:bottom w:val="dotted" w:sz="4" w:space="0" w:color="auto"/>
              <w:right w:val="nil"/>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Provës</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62,500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65,000</w:t>
            </w:r>
          </w:p>
        </w:tc>
      </w:tr>
      <w:tr w:rsidR="002616F1" w:rsidRPr="00036C5C" w:rsidTr="00EE3F54">
        <w:trPr>
          <w:trHeight w:val="120"/>
          <w:jc w:val="center"/>
        </w:trPr>
        <w:tc>
          <w:tcPr>
            <w:tcW w:w="0" w:type="auto"/>
            <w:tcBorders>
              <w:top w:val="nil"/>
              <w:left w:val="double" w:sz="6" w:space="0" w:color="auto"/>
              <w:bottom w:val="single" w:sz="4" w:space="0" w:color="auto"/>
              <w:right w:val="single"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01190</w:t>
            </w:r>
          </w:p>
        </w:tc>
        <w:tc>
          <w:tcPr>
            <w:tcW w:w="0" w:type="auto"/>
            <w:tcBorders>
              <w:top w:val="nil"/>
              <w:left w:val="nil"/>
              <w:bottom w:val="dotted" w:sz="4" w:space="0" w:color="auto"/>
              <w:right w:val="nil"/>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Rehabilitimi  i t</w:t>
            </w:r>
            <w:r>
              <w:rPr>
                <w:rFonts w:ascii="Arial" w:hAnsi="Arial" w:cs="Arial"/>
                <w:sz w:val="12"/>
                <w:szCs w:val="12"/>
              </w:rPr>
              <w:t>ë</w:t>
            </w:r>
            <w:r w:rsidRPr="00036C5C">
              <w:rPr>
                <w:rFonts w:ascii="Arial" w:hAnsi="Arial" w:cs="Arial"/>
                <w:sz w:val="12"/>
                <w:szCs w:val="12"/>
              </w:rPr>
              <w:t xml:space="preserve"> Përndjekurve Politik</w:t>
            </w:r>
          </w:p>
        </w:tc>
        <w:tc>
          <w:tcPr>
            <w:tcW w:w="0" w:type="auto"/>
            <w:tcBorders>
              <w:top w:val="nil"/>
              <w:left w:val="single" w:sz="4" w:space="0" w:color="auto"/>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24,900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25,900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15</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Punëve t</w:t>
            </w:r>
            <w:r>
              <w:rPr>
                <w:rFonts w:ascii="Arial" w:hAnsi="Arial" w:cs="Arial"/>
                <w:b/>
                <w:bCs/>
                <w:color w:val="000000"/>
                <w:sz w:val="12"/>
                <w:szCs w:val="12"/>
              </w:rPr>
              <w:t>ë</w:t>
            </w:r>
            <w:r w:rsidRPr="00036C5C">
              <w:rPr>
                <w:rFonts w:ascii="Arial" w:hAnsi="Arial" w:cs="Arial"/>
                <w:b/>
                <w:bCs/>
                <w:color w:val="000000"/>
                <w:sz w:val="12"/>
                <w:szCs w:val="12"/>
              </w:rPr>
              <w:t xml:space="preserve"> Jashtme</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1,940,855</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74,000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74,000</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2,014,855</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87,255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91,255</w:t>
            </w:r>
          </w:p>
        </w:tc>
      </w:tr>
      <w:tr w:rsidR="002616F1" w:rsidRPr="00036C5C" w:rsidTr="00EE3F54">
        <w:trPr>
          <w:trHeight w:val="120"/>
          <w:jc w:val="center"/>
        </w:trPr>
        <w:tc>
          <w:tcPr>
            <w:tcW w:w="0" w:type="auto"/>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01120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diplomatike jashtë shtetit</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1,622,891</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70,000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1,692,891</w:t>
            </w:r>
          </w:p>
        </w:tc>
      </w:tr>
      <w:tr w:rsidR="002616F1" w:rsidRPr="00036C5C" w:rsidTr="00EE3F54">
        <w:trPr>
          <w:trHeight w:val="120"/>
          <w:jc w:val="center"/>
        </w:trPr>
        <w:tc>
          <w:tcPr>
            <w:tcW w:w="0" w:type="auto"/>
            <w:tcBorders>
              <w:top w:val="dotted" w:sz="4" w:space="0" w:color="auto"/>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01130</w:t>
            </w:r>
          </w:p>
        </w:tc>
        <w:tc>
          <w:tcPr>
            <w:tcW w:w="0" w:type="auto"/>
            <w:tcBorders>
              <w:top w:val="dotted" w:sz="4" w:space="0" w:color="auto"/>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Aktiviteti diplomatik dhe konsullor i MPJ</w:t>
            </w:r>
          </w:p>
        </w:tc>
        <w:tc>
          <w:tcPr>
            <w:tcW w:w="0" w:type="auto"/>
            <w:tcBorders>
              <w:top w:val="dotted"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230,709</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230,709</w:t>
            </w:r>
          </w:p>
        </w:tc>
      </w:tr>
      <w:tr w:rsidR="002616F1" w:rsidRPr="00036C5C" w:rsidTr="00EE3F54">
        <w:trPr>
          <w:trHeight w:val="120"/>
          <w:jc w:val="center"/>
        </w:trPr>
        <w:tc>
          <w:tcPr>
            <w:tcW w:w="0" w:type="auto"/>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16</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Brendshme</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14,626,133</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838,000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960,000</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1,798,000</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16,424,133</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730,783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800,783</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01330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dhe Zhvillimi i Administratës Publike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68,979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68,979</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03140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Policia e Shtetit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10,864,666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425,130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530,000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955,130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11,819,796</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03150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Garda e Republikës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1,126,700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1,151,700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01160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Prefekturat dhe Funksionet e Deleguara te P. Vendor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518,100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521,600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Gjendjes Civile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534,550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574,550</w:t>
            </w:r>
          </w:p>
        </w:tc>
      </w:tr>
      <w:tr w:rsidR="002616F1" w:rsidRPr="00036C5C" w:rsidTr="00EE3F54">
        <w:trPr>
          <w:trHeight w:val="120"/>
          <w:jc w:val="center"/>
        </w:trPr>
        <w:tc>
          <w:tcPr>
            <w:tcW w:w="0" w:type="auto"/>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01180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Menaxhimi i Rezervave te Shtetit</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89,755</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1,400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91,155</w:t>
            </w:r>
          </w:p>
        </w:tc>
      </w:tr>
      <w:tr w:rsidR="002616F1" w:rsidRPr="00036C5C" w:rsidTr="00EE3F54">
        <w:trPr>
          <w:trHeight w:val="120"/>
          <w:jc w:val="center"/>
        </w:trPr>
        <w:tc>
          <w:tcPr>
            <w:tcW w:w="0" w:type="auto"/>
            <w:tcBorders>
              <w:top w:val="dotted" w:sz="4" w:space="0" w:color="auto"/>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10910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Emergjencat Civile</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692,600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272,970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430,000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702,970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1,395,570</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17</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Mbrojtjes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16,530,245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19,530,245</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1,153,315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1,153,315</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02120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Forcat e Luftimit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4,906,612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2,871,900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2,871,900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7,778,512</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09430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Arsimi Ushtarak</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791,540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98,100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98,100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889,640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07340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Shëndetësore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646,570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646,570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02150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Mbështetja e Luftimit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3,830,298</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3,860,298</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Sociale për Ushtarak</w:t>
            </w:r>
            <w:r>
              <w:rPr>
                <w:rFonts w:ascii="Arial" w:hAnsi="Arial" w:cs="Arial"/>
                <w:sz w:val="12"/>
                <w:szCs w:val="12"/>
              </w:rPr>
              <w:t>ë</w:t>
            </w:r>
            <w:r w:rsidRPr="00036C5C">
              <w:rPr>
                <w:rFonts w:ascii="Arial" w:hAnsi="Arial" w:cs="Arial"/>
                <w:sz w:val="12"/>
                <w:szCs w:val="12"/>
              </w:rPr>
              <w:t>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4,500,000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4,500,000</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02280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Bashkëpunimi Civilo - Ushtarak (AL-CIMIC)</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701,910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701,910</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18</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Shërbimi Informativ Shtetëror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1,156,000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80,000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1,236,000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03520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Informative Shtetërore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1,156,000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1,236,000</w:t>
            </w:r>
          </w:p>
        </w:tc>
      </w:tr>
      <w:tr w:rsidR="002616F1" w:rsidRPr="00036C5C" w:rsidTr="00EE3F54">
        <w:trPr>
          <w:trHeight w:val="120"/>
          <w:jc w:val="center"/>
        </w:trPr>
        <w:tc>
          <w:tcPr>
            <w:tcW w:w="0" w:type="auto"/>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19</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Drejtoria e Radio</w:t>
            </w:r>
            <w:r>
              <w:rPr>
                <w:rFonts w:ascii="Arial" w:hAnsi="Arial" w:cs="Arial"/>
                <w:b/>
                <w:bCs/>
                <w:color w:val="000000"/>
                <w:sz w:val="12"/>
                <w:szCs w:val="12"/>
              </w:rPr>
              <w:t>-</w:t>
            </w:r>
            <w:r w:rsidRPr="00036C5C">
              <w:rPr>
                <w:rFonts w:ascii="Arial" w:hAnsi="Arial" w:cs="Arial"/>
                <w:b/>
                <w:bCs/>
                <w:color w:val="000000"/>
                <w:sz w:val="12"/>
                <w:szCs w:val="12"/>
              </w:rPr>
              <w:t>Televizionit</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352,000</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50,000</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402,000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08310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Shërbimet për shqiptaret jashtë kufirit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252,000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252,000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08520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Projekte teknike për futjen e teknologjive t</w:t>
            </w:r>
            <w:r>
              <w:rPr>
                <w:rFonts w:ascii="Arial" w:hAnsi="Arial" w:cs="Arial"/>
                <w:sz w:val="12"/>
                <w:szCs w:val="12"/>
              </w:rPr>
              <w:t>ë</w:t>
            </w:r>
            <w:r w:rsidRPr="00036C5C">
              <w:rPr>
                <w:rFonts w:ascii="Arial" w:hAnsi="Arial" w:cs="Arial"/>
                <w:sz w:val="12"/>
                <w:szCs w:val="12"/>
              </w:rPr>
              <w:t xml:space="preserve"> reja</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08330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Prodhime filmike ose veprimtari artistike mbarëkombëtare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55,000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55,000</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08340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Orkestra simfonike e RTSH dhe kinematografisë</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45,000</w:t>
            </w:r>
          </w:p>
        </w:tc>
      </w:tr>
      <w:tr w:rsidR="002616F1" w:rsidRPr="00036C5C" w:rsidTr="00EE3F54">
        <w:trPr>
          <w:trHeight w:val="120"/>
          <w:jc w:val="center"/>
        </w:trPr>
        <w:tc>
          <w:tcPr>
            <w:tcW w:w="0" w:type="auto"/>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20</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Drejtoria e Përgjithshme e Arkivave</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154,021</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3,500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3,500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157,521</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154,021</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157,521</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22</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Akademia e Shkencës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76,159</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77,159</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01520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Veprimtaria Akademike </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76,159</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77,159</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24</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Kontrolli Lart</w:t>
            </w:r>
            <w:r>
              <w:rPr>
                <w:rFonts w:ascii="Arial" w:hAnsi="Arial" w:cs="Arial"/>
                <w:b/>
                <w:bCs/>
                <w:color w:val="000000"/>
                <w:sz w:val="12"/>
                <w:szCs w:val="12"/>
              </w:rPr>
              <w:t>ë</w:t>
            </w:r>
            <w:r w:rsidRPr="00036C5C">
              <w:rPr>
                <w:rFonts w:ascii="Arial" w:hAnsi="Arial" w:cs="Arial"/>
                <w:b/>
                <w:bCs/>
                <w:color w:val="000000"/>
                <w:sz w:val="12"/>
                <w:szCs w:val="12"/>
              </w:rPr>
              <w:t xml:space="preserve">  i Shtetit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255,086</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5,000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260,086</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Audituese e KLSH</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255,086</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260,086</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25</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 xml:space="preserve">Ministria e Punës, </w:t>
            </w:r>
            <w:r>
              <w:rPr>
                <w:rFonts w:ascii="Arial" w:hAnsi="Arial" w:cs="Arial"/>
                <w:b/>
                <w:bCs/>
                <w:color w:val="000000"/>
                <w:sz w:val="12"/>
                <w:szCs w:val="12"/>
              </w:rPr>
              <w:t>Ç</w:t>
            </w:r>
            <w:r w:rsidRPr="00036C5C">
              <w:rPr>
                <w:rFonts w:ascii="Arial" w:hAnsi="Arial" w:cs="Arial"/>
                <w:b/>
                <w:bCs/>
                <w:color w:val="000000"/>
                <w:sz w:val="12"/>
                <w:szCs w:val="12"/>
              </w:rPr>
              <w:t>ështjeve Sociale dhe Shanseve t</w:t>
            </w:r>
            <w:r>
              <w:rPr>
                <w:rFonts w:ascii="Arial" w:hAnsi="Arial" w:cs="Arial"/>
                <w:b/>
                <w:bCs/>
                <w:color w:val="000000"/>
                <w:sz w:val="12"/>
                <w:szCs w:val="12"/>
              </w:rPr>
              <w:t>ë</w:t>
            </w:r>
            <w:r w:rsidRPr="00036C5C">
              <w:rPr>
                <w:rFonts w:ascii="Arial" w:hAnsi="Arial" w:cs="Arial"/>
                <w:b/>
                <w:bCs/>
                <w:color w:val="000000"/>
                <w:sz w:val="12"/>
                <w:szCs w:val="12"/>
              </w:rPr>
              <w:t xml:space="preserve"> Barabarta</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54,369,359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122,352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150,352</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54,519,711</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137,894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24,000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24,000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161,894</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Sigurimi Shoqëror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31,893,741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31,893,741</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10430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Mbrojtja Sociale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20,623,984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65,100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65,100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20,689,084</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10550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Tregu i Punës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1,536,391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58,000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1,594,391</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04170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Inspektimi ne Pune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155,281</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2,252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2,252</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157,533</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10460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Shanset e Barabarta</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22,070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23,070</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26</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Mjedisit, Pyjeve dhe Administrimit te Ujërave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1,076,686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225,000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254,000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479,000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1,555,686</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90,166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92,166</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05320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Programe për mbrojtjen e Mjedisit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222,765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77,000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204,000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281,000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503,765</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04230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Peshkimin</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72,569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96,000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146,000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218,569</w:t>
            </w:r>
          </w:p>
        </w:tc>
      </w:tr>
      <w:tr w:rsidR="002616F1" w:rsidRPr="00036C5C" w:rsidTr="00EE3F54">
        <w:trPr>
          <w:trHeight w:val="120"/>
          <w:jc w:val="center"/>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05640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Administrimi i Ujërave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47,648</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47,648</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04260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Administrimi i Pyjeve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643,538</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693,538</w:t>
            </w:r>
          </w:p>
        </w:tc>
      </w:tr>
      <w:tr w:rsidR="002616F1" w:rsidRPr="00036C5C" w:rsidTr="00EE3F54">
        <w:trPr>
          <w:trHeight w:val="120"/>
          <w:jc w:val="center"/>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28</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Prokuroria e Përgjithshme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1,213,722</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59,000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59,000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1,272,722</w:t>
            </w:r>
          </w:p>
        </w:tc>
      </w:tr>
      <w:tr w:rsidR="002616F1" w:rsidRPr="00036C5C" w:rsidTr="00EE3F54">
        <w:trPr>
          <w:trHeight w:val="120"/>
          <w:jc w:val="center"/>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1,213,722</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59,000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59,000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1,272,722</w:t>
            </w:r>
          </w:p>
        </w:tc>
      </w:tr>
    </w:tbl>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Default="002616F1" w:rsidP="002616F1">
      <w:pPr>
        <w:pStyle w:val="Akti"/>
        <w:keepNext w:val="0"/>
        <w:rPr>
          <w:rFonts w:cs="Times New Roman"/>
          <w:lang w:val="sq-AL"/>
        </w:rPr>
      </w:pPr>
    </w:p>
    <w:p w:rsidR="002616F1"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ind w:left="7200"/>
        <w:rPr>
          <w:rFonts w:cs="Times New Roman"/>
          <w:b w:val="0"/>
          <w:bCs w:val="0"/>
          <w:lang w:val="sq-AL"/>
        </w:rPr>
      </w:pPr>
      <w:r w:rsidRPr="00036C5C">
        <w:rPr>
          <w:b w:val="0"/>
          <w:bCs w:val="0"/>
          <w:caps w:val="0"/>
          <w:sz w:val="16"/>
          <w:szCs w:val="16"/>
          <w:lang w:val="sq-AL"/>
        </w:rPr>
        <w:lastRenderedPageBreak/>
        <w:t xml:space="preserve">në 000/lekë    </w:t>
      </w:r>
      <w:r w:rsidRPr="00036C5C">
        <w:rPr>
          <w:rFonts w:cs="Times New Roman"/>
          <w:b w:val="0"/>
          <w:bCs w:val="0"/>
          <w:sz w:val="16"/>
          <w:szCs w:val="16"/>
          <w:lang w:val="sq-AL"/>
        </w:rPr>
        <w:tab/>
      </w:r>
    </w:p>
    <w:tbl>
      <w:tblPr>
        <w:tblW w:w="0" w:type="auto"/>
        <w:tblInd w:w="-106" w:type="dxa"/>
        <w:tblLook w:val="00A0"/>
      </w:tblPr>
      <w:tblGrid>
        <w:gridCol w:w="550"/>
        <w:gridCol w:w="3167"/>
        <w:gridCol w:w="1055"/>
        <w:gridCol w:w="817"/>
        <w:gridCol w:w="677"/>
        <w:gridCol w:w="817"/>
        <w:gridCol w:w="999"/>
        <w:gridCol w:w="1311"/>
      </w:tblGrid>
      <w:tr w:rsidR="002616F1" w:rsidRPr="00036C5C" w:rsidTr="00EE3F54">
        <w:trPr>
          <w:trHeight w:val="120"/>
        </w:trPr>
        <w:tc>
          <w:tcPr>
            <w:tcW w:w="0" w:type="auto"/>
            <w:vMerge w:val="restart"/>
            <w:tcBorders>
              <w:top w:val="double" w:sz="6" w:space="0" w:color="auto"/>
              <w:left w:val="double" w:sz="6" w:space="0" w:color="auto"/>
              <w:bottom w:val="single" w:sz="4" w:space="0" w:color="000000"/>
              <w:right w:val="nil"/>
            </w:tcBorders>
            <w:noWrap/>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Kodi</w:t>
            </w:r>
          </w:p>
        </w:tc>
        <w:tc>
          <w:tcPr>
            <w:tcW w:w="0" w:type="auto"/>
            <w:vMerge w:val="restart"/>
            <w:tcBorders>
              <w:top w:val="double" w:sz="6" w:space="0" w:color="auto"/>
              <w:left w:val="single" w:sz="4" w:space="0" w:color="auto"/>
              <w:bottom w:val="single" w:sz="4" w:space="0" w:color="000000"/>
              <w:right w:val="single" w:sz="4" w:space="0" w:color="auto"/>
            </w:tcBorders>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 xml:space="preserve">Emërtimi i </w:t>
            </w:r>
            <w:r>
              <w:rPr>
                <w:rFonts w:ascii="Arial" w:hAnsi="Arial" w:cs="Arial"/>
                <w:b/>
                <w:bCs/>
                <w:sz w:val="12"/>
                <w:szCs w:val="12"/>
              </w:rPr>
              <w:t>i</w:t>
            </w:r>
            <w:r w:rsidRPr="00036C5C">
              <w:rPr>
                <w:rFonts w:ascii="Arial" w:hAnsi="Arial" w:cs="Arial"/>
                <w:b/>
                <w:bCs/>
                <w:sz w:val="12"/>
                <w:szCs w:val="12"/>
              </w:rPr>
              <w:t xml:space="preserve">nstitucionit / </w:t>
            </w:r>
            <w:r>
              <w:rPr>
                <w:rFonts w:ascii="Arial" w:hAnsi="Arial" w:cs="Arial"/>
                <w:b/>
                <w:bCs/>
                <w:sz w:val="12"/>
                <w:szCs w:val="12"/>
              </w:rPr>
              <w:t>p</w:t>
            </w:r>
            <w:r w:rsidRPr="00036C5C">
              <w:rPr>
                <w:rFonts w:ascii="Arial" w:hAnsi="Arial" w:cs="Arial"/>
                <w:b/>
                <w:bCs/>
                <w:sz w:val="12"/>
                <w:szCs w:val="12"/>
              </w:rPr>
              <w:t>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 xml:space="preserve">Totali i Shp. Korrente </w:t>
            </w:r>
          </w:p>
        </w:tc>
        <w:tc>
          <w:tcPr>
            <w:tcW w:w="0" w:type="auto"/>
            <w:gridSpan w:val="4"/>
            <w:tcBorders>
              <w:top w:val="double" w:sz="6" w:space="0" w:color="auto"/>
              <w:left w:val="nil"/>
              <w:bottom w:val="nil"/>
              <w:right w:val="single" w:sz="4" w:space="0" w:color="auto"/>
            </w:tcBorders>
            <w:noWrap/>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Totali i Shpenzimeve Buxhetore</w:t>
            </w:r>
          </w:p>
        </w:tc>
      </w:tr>
      <w:tr w:rsidR="002616F1" w:rsidRPr="00036C5C" w:rsidTr="00EE3F54">
        <w:trPr>
          <w:trHeight w:val="120"/>
        </w:trPr>
        <w:tc>
          <w:tcPr>
            <w:tcW w:w="0" w:type="auto"/>
            <w:vMerge/>
            <w:tcBorders>
              <w:top w:val="double" w:sz="6" w:space="0" w:color="auto"/>
              <w:left w:val="double" w:sz="6" w:space="0" w:color="auto"/>
              <w:bottom w:val="single" w:sz="4" w:space="0" w:color="000000"/>
              <w:right w:val="nil"/>
            </w:tcBorders>
            <w:vAlign w:val="center"/>
          </w:tcPr>
          <w:p w:rsidR="002616F1" w:rsidRPr="00036C5C" w:rsidRDefault="002616F1" w:rsidP="00EE3F54">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2616F1" w:rsidRPr="00036C5C" w:rsidRDefault="002616F1" w:rsidP="00EE3F54">
            <w:pPr>
              <w:rPr>
                <w:rFonts w:ascii="Arial" w:hAnsi="Arial" w:cs="Arial"/>
                <w:b/>
                <w:bCs/>
                <w:sz w:val="12"/>
                <w:szCs w:val="12"/>
              </w:rPr>
            </w:pPr>
          </w:p>
        </w:tc>
        <w:tc>
          <w:tcPr>
            <w:tcW w:w="0" w:type="auto"/>
            <w:vMerge/>
            <w:tcBorders>
              <w:top w:val="double" w:sz="6" w:space="0" w:color="auto"/>
              <w:left w:val="single" w:sz="4" w:space="0" w:color="auto"/>
              <w:bottom w:val="single" w:sz="4" w:space="0" w:color="000000"/>
              <w:right w:val="single" w:sz="4" w:space="0" w:color="auto"/>
            </w:tcBorders>
            <w:vAlign w:val="center"/>
          </w:tcPr>
          <w:p w:rsidR="002616F1" w:rsidRPr="00036C5C" w:rsidRDefault="002616F1" w:rsidP="00EE3F54">
            <w:pPr>
              <w:rPr>
                <w:rFonts w:ascii="Arial" w:hAnsi="Arial" w:cs="Arial"/>
                <w:b/>
                <w:bCs/>
                <w:sz w:val="12"/>
                <w:szCs w:val="12"/>
              </w:rPr>
            </w:pP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Nga</w:t>
            </w:r>
            <w:r w:rsidRPr="00036C5C">
              <w:rPr>
                <w:rFonts w:ascii="Arial" w:hAnsi="Arial" w:cs="Arial"/>
                <w:sz w:val="12"/>
                <w:szCs w:val="12"/>
              </w:rPr>
              <w:br/>
              <w:t>Buxheti</w:t>
            </w: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 xml:space="preserve">Nga te </w:t>
            </w:r>
            <w:r w:rsidRPr="00036C5C">
              <w:rPr>
                <w:rFonts w:ascii="Arial" w:hAnsi="Arial" w:cs="Arial"/>
                <w:sz w:val="12"/>
                <w:szCs w:val="12"/>
              </w:rPr>
              <w:br/>
              <w:t>Ardhurat</w:t>
            </w:r>
          </w:p>
        </w:tc>
        <w:tc>
          <w:tcPr>
            <w:tcW w:w="0" w:type="auto"/>
            <w:tcBorders>
              <w:top w:val="dashed" w:sz="4" w:space="0" w:color="auto"/>
              <w:left w:val="nil"/>
              <w:bottom w:val="single" w:sz="4" w:space="0" w:color="auto"/>
              <w:right w:val="dashed" w:sz="4" w:space="0" w:color="auto"/>
            </w:tcBorders>
            <w:vAlign w:val="bottom"/>
          </w:tcPr>
          <w:p w:rsidR="002616F1" w:rsidRPr="00036C5C" w:rsidRDefault="002616F1" w:rsidP="00EE3F54">
            <w:pPr>
              <w:jc w:val="center"/>
              <w:rPr>
                <w:rFonts w:ascii="Arial" w:hAnsi="Arial" w:cs="Arial"/>
                <w:sz w:val="12"/>
                <w:szCs w:val="12"/>
              </w:rPr>
            </w:pPr>
            <w:r w:rsidRPr="00036C5C">
              <w:rPr>
                <w:rFonts w:ascii="Arial" w:hAnsi="Arial" w:cs="Arial"/>
                <w:sz w:val="12"/>
                <w:szCs w:val="12"/>
              </w:rPr>
              <w:t>Financimi i</w:t>
            </w:r>
            <w:r w:rsidRPr="00036C5C">
              <w:rPr>
                <w:rFonts w:ascii="Arial" w:hAnsi="Arial" w:cs="Arial"/>
                <w:sz w:val="12"/>
                <w:szCs w:val="12"/>
              </w:rPr>
              <w:br/>
              <w:t>Huaj</w:t>
            </w:r>
          </w:p>
        </w:tc>
        <w:tc>
          <w:tcPr>
            <w:tcW w:w="0" w:type="auto"/>
            <w:tcBorders>
              <w:top w:val="dashed" w:sz="4" w:space="0" w:color="auto"/>
              <w:left w:val="nil"/>
              <w:bottom w:val="single" w:sz="4" w:space="0" w:color="auto"/>
              <w:right w:val="single" w:sz="4" w:space="0" w:color="auto"/>
            </w:tcBorders>
            <w:shd w:val="clear" w:color="000000" w:fill="CCFFFF"/>
            <w:vAlign w:val="bottom"/>
          </w:tcPr>
          <w:p w:rsidR="002616F1" w:rsidRPr="00036C5C" w:rsidRDefault="002616F1" w:rsidP="00EE3F54">
            <w:pPr>
              <w:jc w:val="center"/>
              <w:rPr>
                <w:rFonts w:ascii="Arial" w:hAnsi="Arial" w:cs="Arial"/>
                <w:b/>
                <w:bCs/>
                <w:sz w:val="12"/>
                <w:szCs w:val="12"/>
              </w:rPr>
            </w:pPr>
            <w:r w:rsidRPr="00036C5C">
              <w:rPr>
                <w:rFonts w:ascii="Arial" w:hAnsi="Arial" w:cs="Arial"/>
                <w:b/>
                <w:bCs/>
                <w:sz w:val="12"/>
                <w:szCs w:val="12"/>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tcPr>
          <w:p w:rsidR="002616F1" w:rsidRPr="00036C5C" w:rsidRDefault="002616F1" w:rsidP="00EE3F54">
            <w:pPr>
              <w:rPr>
                <w:rFonts w:ascii="Arial" w:hAnsi="Arial" w:cs="Arial"/>
                <w:b/>
                <w:bCs/>
                <w:sz w:val="12"/>
                <w:szCs w:val="12"/>
              </w:rPr>
            </w:pPr>
          </w:p>
        </w:tc>
      </w:tr>
      <w:tr w:rsidR="002616F1" w:rsidRPr="00036C5C" w:rsidTr="00EE3F54">
        <w:trPr>
          <w:trHeight w:val="120"/>
        </w:trPr>
        <w:tc>
          <w:tcPr>
            <w:tcW w:w="0" w:type="auto"/>
            <w:tcBorders>
              <w:top w:val="dotted" w:sz="4" w:space="0" w:color="auto"/>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dotted" w:sz="4" w:space="0" w:color="auto"/>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20,645</w:t>
            </w:r>
          </w:p>
        </w:tc>
        <w:tc>
          <w:tcPr>
            <w:tcW w:w="0" w:type="auto"/>
            <w:tcBorders>
              <w:top w:val="dotted" w:sz="4" w:space="0" w:color="auto"/>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w:t>
            </w:r>
          </w:p>
        </w:tc>
        <w:tc>
          <w:tcPr>
            <w:tcW w:w="0" w:type="auto"/>
            <w:tcBorders>
              <w:top w:val="dotted" w:sz="4" w:space="0" w:color="auto"/>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21,145</w:t>
            </w:r>
          </w:p>
        </w:tc>
      </w:tr>
      <w:tr w:rsidR="002616F1" w:rsidRPr="00036C5C" w:rsidTr="00EE3F54">
        <w:trPr>
          <w:trHeight w:val="120"/>
        </w:trPr>
        <w:tc>
          <w:tcPr>
            <w:tcW w:w="0" w:type="auto"/>
            <w:tcBorders>
              <w:top w:val="dotted" w:sz="4" w:space="0" w:color="auto"/>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03310</w:t>
            </w:r>
          </w:p>
        </w:tc>
        <w:tc>
          <w:tcPr>
            <w:tcW w:w="0" w:type="auto"/>
            <w:tcBorders>
              <w:top w:val="dotted" w:sz="4" w:space="0" w:color="auto"/>
              <w:left w:val="double" w:sz="6" w:space="0" w:color="auto"/>
              <w:bottom w:val="single" w:sz="4" w:space="0" w:color="auto"/>
              <w:right w:val="nil"/>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Buxheti Gjyqësor</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1,530,689</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179,500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179,500</w:t>
            </w:r>
          </w:p>
        </w:tc>
        <w:tc>
          <w:tcPr>
            <w:tcW w:w="0" w:type="auto"/>
            <w:tcBorders>
              <w:top w:val="dotted" w:sz="4" w:space="0" w:color="auto"/>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1,710,189</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30</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Gjykata Kushtetuese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102,328</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106,328</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03320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Gjyqësore Kushtetuese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102,328</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106,328</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31</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Agjencia Telegrafike Shqiptare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85,427</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88,427</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08320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Telegrafike e ATSH-se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85,427</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88,427</w:t>
            </w:r>
          </w:p>
        </w:tc>
      </w:tr>
      <w:tr w:rsidR="002616F1" w:rsidRPr="00036C5C" w:rsidTr="00EE3F54">
        <w:trPr>
          <w:trHeight w:val="120"/>
        </w:trPr>
        <w:tc>
          <w:tcPr>
            <w:tcW w:w="0" w:type="auto"/>
            <w:tcBorders>
              <w:top w:val="dashed" w:sz="4" w:space="0" w:color="auto"/>
              <w:left w:val="double" w:sz="6" w:space="0" w:color="auto"/>
              <w:bottom w:val="dash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40</w:t>
            </w:r>
          </w:p>
        </w:tc>
        <w:tc>
          <w:tcPr>
            <w:tcW w:w="0" w:type="auto"/>
            <w:tcBorders>
              <w:top w:val="dashed" w:sz="4" w:space="0" w:color="auto"/>
              <w:left w:val="single" w:sz="4" w:space="0" w:color="auto"/>
              <w:bottom w:val="dash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Partitë Politike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200,000</w:t>
            </w:r>
          </w:p>
        </w:tc>
      </w:tr>
      <w:tr w:rsidR="002616F1" w:rsidRPr="00036C5C" w:rsidTr="00EE3F54">
        <w:trPr>
          <w:trHeight w:val="120"/>
        </w:trPr>
        <w:tc>
          <w:tcPr>
            <w:tcW w:w="0" w:type="auto"/>
            <w:tcBorders>
              <w:top w:val="dotted" w:sz="4" w:space="0" w:color="auto"/>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dotted" w:sz="4" w:space="0" w:color="auto"/>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Partitë Politike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189,000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189,000</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Shoqatat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9,000</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Mbështetje për Organizatat e Veteraneve me Status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r>
      <w:tr w:rsidR="002616F1" w:rsidRPr="00036C5C" w:rsidTr="00EE3F54">
        <w:trPr>
          <w:trHeight w:val="120"/>
        </w:trPr>
        <w:tc>
          <w:tcPr>
            <w:tcW w:w="0" w:type="auto"/>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50</w:t>
            </w:r>
          </w:p>
        </w:tc>
        <w:tc>
          <w:tcPr>
            <w:tcW w:w="0" w:type="auto"/>
            <w:tcBorders>
              <w:top w:val="single" w:sz="4" w:space="0" w:color="auto"/>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Instituti Statistikës</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375,640</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30,000</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150,000</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180,000</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555,640</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01320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 xml:space="preserve">Veprimtaria Statistikore </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375,640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150,000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180,000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555,640</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55</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Shkolla e Magjistraturës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53,489</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55,489</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09820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Arsimore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53,489</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55,489</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56</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Fondi  i Zhvillimit Shqiptar</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6,831,000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8,331,000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8,331,000</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06210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Programe Zhvillimi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1,500,000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6,831,000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8,331,000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8,331,000</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57</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Qendra Kombëtare e Kinematografisë</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100,696</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102,696</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08220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Mbështetja e veprimtarisë kinematografike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100,696</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102,696</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63</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Këshilli i Lart</w:t>
            </w:r>
            <w:r>
              <w:rPr>
                <w:rFonts w:ascii="Arial" w:hAnsi="Arial" w:cs="Arial"/>
                <w:b/>
                <w:bCs/>
                <w:color w:val="000000"/>
                <w:sz w:val="12"/>
                <w:szCs w:val="12"/>
              </w:rPr>
              <w:t>ë</w:t>
            </w:r>
            <w:r w:rsidRPr="00036C5C">
              <w:rPr>
                <w:rFonts w:ascii="Arial" w:hAnsi="Arial" w:cs="Arial"/>
                <w:b/>
                <w:bCs/>
                <w:color w:val="000000"/>
                <w:sz w:val="12"/>
                <w:szCs w:val="12"/>
              </w:rPr>
              <w:t xml:space="preserve"> i Drejtësisë</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75,205</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78,205</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03320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Veprimtaria mbikëqyrëse e KLD</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75,205</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78,205</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66</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Avokati i Popullit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78,711</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1,500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80,211</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03320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avokatisë</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78,711</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1,500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80,211</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67</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Komisioni  i Shërbimit Civil</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35,663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37,663</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35,663</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37,663</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73</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Komisioni Qendror i Zgjedhjeve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83,906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86,906</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01610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83,906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86,906</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01620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Zgjedhjet e përgjithshme dhe lokale</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76</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Inspektorati i Lart</w:t>
            </w:r>
            <w:r>
              <w:rPr>
                <w:rFonts w:ascii="Arial" w:hAnsi="Arial" w:cs="Arial"/>
                <w:b/>
                <w:bCs/>
                <w:color w:val="000000"/>
                <w:sz w:val="12"/>
                <w:szCs w:val="12"/>
              </w:rPr>
              <w:t>ë</w:t>
            </w:r>
            <w:r w:rsidRPr="00036C5C">
              <w:rPr>
                <w:rFonts w:ascii="Arial" w:hAnsi="Arial" w:cs="Arial"/>
                <w:b/>
                <w:bCs/>
                <w:color w:val="000000"/>
                <w:sz w:val="12"/>
                <w:szCs w:val="12"/>
              </w:rPr>
              <w:t xml:space="preserve"> i Kontrollit t</w:t>
            </w:r>
            <w:r>
              <w:rPr>
                <w:rFonts w:ascii="Arial" w:hAnsi="Arial" w:cs="Arial"/>
                <w:b/>
                <w:bCs/>
                <w:color w:val="000000"/>
                <w:sz w:val="12"/>
                <w:szCs w:val="12"/>
              </w:rPr>
              <w:t>ë</w:t>
            </w:r>
            <w:r w:rsidRPr="00036C5C">
              <w:rPr>
                <w:rFonts w:ascii="Arial" w:hAnsi="Arial" w:cs="Arial"/>
                <w:b/>
                <w:bCs/>
                <w:color w:val="000000"/>
                <w:sz w:val="12"/>
                <w:szCs w:val="12"/>
              </w:rPr>
              <w:t xml:space="preserve"> Deklarimit t</w:t>
            </w:r>
            <w:r>
              <w:rPr>
                <w:rFonts w:ascii="Arial" w:hAnsi="Arial" w:cs="Arial"/>
                <w:b/>
                <w:bCs/>
                <w:color w:val="000000"/>
                <w:sz w:val="12"/>
                <w:szCs w:val="12"/>
              </w:rPr>
              <w:t>ë</w:t>
            </w:r>
            <w:r w:rsidRPr="00036C5C">
              <w:rPr>
                <w:rFonts w:ascii="Arial" w:hAnsi="Arial" w:cs="Arial"/>
                <w:b/>
                <w:bCs/>
                <w:color w:val="000000"/>
                <w:sz w:val="12"/>
                <w:szCs w:val="12"/>
              </w:rPr>
              <w:t xml:space="preserve"> Pasurive </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79,120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83,120</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79,120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83,120</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77</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Autoriteti i Konkurrencës</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53,726</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55,726</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04120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Mbikëqyrja e tregut &amp; Garantimi i konkurrencës</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53,726</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55,726</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78</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Ministria e Integrimit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117,346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16,000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37,000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53,000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170,346</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43,779</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44,779</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Drejtësia dhe Tregu i Brendshëm</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24,476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25,776</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01150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Mbështetja Institucionale për Procesin e Integrimit</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49,091</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13,700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37,000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50,700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99,791</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82</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Këshilli Kombëtar i Kontabilitetit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11,843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1,300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1,300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13,143</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11,843</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13,143</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86</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Avokati i Prokurimeve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21,600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23,600</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21,600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23,600</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87</w:t>
            </w:r>
          </w:p>
        </w:tc>
        <w:tc>
          <w:tcPr>
            <w:tcW w:w="0" w:type="auto"/>
            <w:tcBorders>
              <w:top w:val="nil"/>
              <w:left w:val="single" w:sz="4" w:space="0" w:color="auto"/>
              <w:bottom w:val="dotted" w:sz="4" w:space="0" w:color="auto"/>
              <w:right w:val="single" w:sz="4" w:space="0" w:color="auto"/>
            </w:tcBorders>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Institucione te tjera Qeveritare</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742,274</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506,700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526,700</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1,268,974</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01320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 Qeveritare</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100,000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27,605</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27,605</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127,605</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01130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Shërbimi i Prokurimit Publik</w:t>
            </w:r>
          </w:p>
        </w:tc>
        <w:tc>
          <w:tcPr>
            <w:tcW w:w="0" w:type="auto"/>
            <w:tcBorders>
              <w:top w:val="dotted"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54,178</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9,700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9,700</w:t>
            </w:r>
          </w:p>
        </w:tc>
        <w:tc>
          <w:tcPr>
            <w:tcW w:w="0" w:type="auto"/>
            <w:tcBorders>
              <w:top w:val="dotted"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63,878</w:t>
            </w:r>
          </w:p>
        </w:tc>
      </w:tr>
      <w:tr w:rsidR="002616F1" w:rsidRPr="00036C5C" w:rsidTr="00EE3F54">
        <w:trPr>
          <w:trHeight w:val="120"/>
        </w:trPr>
        <w:tc>
          <w:tcPr>
            <w:tcW w:w="0" w:type="auto"/>
            <w:tcBorders>
              <w:top w:val="nil"/>
              <w:left w:val="double" w:sz="6" w:space="0" w:color="auto"/>
              <w:bottom w:val="dotted"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01140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 për Shoqërinë e Informacionit</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487,296</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305,395</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20,000</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325,395</w:t>
            </w:r>
          </w:p>
        </w:tc>
        <w:tc>
          <w:tcPr>
            <w:tcW w:w="0" w:type="auto"/>
            <w:tcBorders>
              <w:top w:val="nil"/>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812,691</w:t>
            </w:r>
          </w:p>
        </w:tc>
      </w:tr>
      <w:tr w:rsidR="002616F1" w:rsidRPr="00036C5C" w:rsidTr="00EE3F54">
        <w:trPr>
          <w:trHeight w:val="120"/>
        </w:trPr>
        <w:tc>
          <w:tcPr>
            <w:tcW w:w="0" w:type="auto"/>
            <w:tcBorders>
              <w:top w:val="nil"/>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01150</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 t</w:t>
            </w:r>
            <w:r>
              <w:rPr>
                <w:rFonts w:ascii="Arial" w:hAnsi="Arial" w:cs="Arial"/>
                <w:sz w:val="12"/>
                <w:szCs w:val="12"/>
              </w:rPr>
              <w:t>ë</w:t>
            </w:r>
            <w:r w:rsidRPr="00036C5C">
              <w:rPr>
                <w:rFonts w:ascii="Arial" w:hAnsi="Arial" w:cs="Arial"/>
                <w:sz w:val="12"/>
                <w:szCs w:val="12"/>
              </w:rPr>
              <w:t xml:space="preserve"> tjera</w:t>
            </w:r>
          </w:p>
        </w:tc>
        <w:tc>
          <w:tcPr>
            <w:tcW w:w="0" w:type="auto"/>
            <w:tcBorders>
              <w:top w:val="nil"/>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79,103</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106,000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106,000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185,103</w:t>
            </w:r>
          </w:p>
        </w:tc>
      </w:tr>
      <w:tr w:rsidR="002616F1" w:rsidRPr="00036C5C" w:rsidTr="00EE3F54">
        <w:trPr>
          <w:trHeight w:val="120"/>
        </w:trPr>
        <w:tc>
          <w:tcPr>
            <w:tcW w:w="0" w:type="auto"/>
            <w:tcBorders>
              <w:top w:val="dotted" w:sz="4" w:space="0" w:color="auto"/>
              <w:left w:val="double" w:sz="6" w:space="0" w:color="auto"/>
              <w:bottom w:val="nil"/>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01510</w:t>
            </w:r>
          </w:p>
        </w:tc>
        <w:tc>
          <w:tcPr>
            <w:tcW w:w="0" w:type="auto"/>
            <w:tcBorders>
              <w:top w:val="nil"/>
              <w:left w:val="single" w:sz="4" w:space="0" w:color="auto"/>
              <w:bottom w:val="nil"/>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Shërbime për Teknologjinë dhe Inovacionin</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21,697</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58,000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58,000</w:t>
            </w:r>
          </w:p>
        </w:tc>
        <w:tc>
          <w:tcPr>
            <w:tcW w:w="0" w:type="auto"/>
            <w:tcBorders>
              <w:top w:val="dotted" w:sz="4"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79,697</w:t>
            </w:r>
          </w:p>
        </w:tc>
      </w:tr>
      <w:tr w:rsidR="002616F1" w:rsidRPr="00036C5C" w:rsidTr="00EE3F54">
        <w:trPr>
          <w:trHeight w:val="120"/>
        </w:trPr>
        <w:tc>
          <w:tcPr>
            <w:tcW w:w="0" w:type="auto"/>
            <w:tcBorders>
              <w:top w:val="single" w:sz="4" w:space="0" w:color="auto"/>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88</w:t>
            </w:r>
          </w:p>
        </w:tc>
        <w:tc>
          <w:tcPr>
            <w:tcW w:w="0" w:type="auto"/>
            <w:tcBorders>
              <w:top w:val="single" w:sz="4" w:space="0" w:color="auto"/>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Mbështetje për Shoqërinë Civile</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92,792</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single" w:sz="4" w:space="0" w:color="auto"/>
              <w:left w:val="nil"/>
              <w:bottom w:val="dotted" w:sz="4" w:space="0" w:color="auto"/>
              <w:right w:val="dott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2,000</w:t>
            </w:r>
          </w:p>
        </w:tc>
        <w:tc>
          <w:tcPr>
            <w:tcW w:w="0" w:type="auto"/>
            <w:tcBorders>
              <w:top w:val="single" w:sz="4" w:space="0" w:color="auto"/>
              <w:left w:val="nil"/>
              <w:bottom w:val="dotted"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94,792</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92,792</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nil"/>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2,000</w:t>
            </w:r>
          </w:p>
        </w:tc>
        <w:tc>
          <w:tcPr>
            <w:tcW w:w="0" w:type="auto"/>
            <w:tcBorders>
              <w:top w:val="nil"/>
              <w:left w:val="nil"/>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94,792</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89</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Komision</w:t>
            </w:r>
            <w:r>
              <w:rPr>
                <w:rFonts w:ascii="Arial" w:hAnsi="Arial" w:cs="Arial"/>
                <w:b/>
                <w:bCs/>
                <w:color w:val="000000"/>
                <w:sz w:val="12"/>
                <w:szCs w:val="12"/>
              </w:rPr>
              <w:t>e</w:t>
            </w:r>
            <w:r w:rsidRPr="00036C5C">
              <w:rPr>
                <w:rFonts w:ascii="Arial" w:hAnsi="Arial" w:cs="Arial"/>
                <w:b/>
                <w:bCs/>
                <w:color w:val="000000"/>
                <w:sz w:val="12"/>
                <w:szCs w:val="12"/>
              </w:rPr>
              <w:t>ri për Mbrojtjen e t</w:t>
            </w:r>
            <w:r>
              <w:rPr>
                <w:rFonts w:ascii="Arial" w:hAnsi="Arial" w:cs="Arial"/>
                <w:b/>
                <w:bCs/>
                <w:color w:val="000000"/>
                <w:sz w:val="12"/>
                <w:szCs w:val="12"/>
              </w:rPr>
              <w:t>ë</w:t>
            </w:r>
            <w:r w:rsidRPr="00036C5C">
              <w:rPr>
                <w:rFonts w:ascii="Arial" w:hAnsi="Arial" w:cs="Arial"/>
                <w:b/>
                <w:bCs/>
                <w:color w:val="000000"/>
                <w:sz w:val="12"/>
                <w:szCs w:val="12"/>
              </w:rPr>
              <w:t xml:space="preserve"> Dhënave Personale</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40,387</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43,387</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40,387</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dotted" w:sz="4" w:space="0" w:color="auto"/>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43,387</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91</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Komision</w:t>
            </w:r>
            <w:r>
              <w:rPr>
                <w:rFonts w:ascii="Arial" w:hAnsi="Arial" w:cs="Arial"/>
                <w:b/>
                <w:bCs/>
                <w:color w:val="000000"/>
                <w:sz w:val="12"/>
                <w:szCs w:val="12"/>
              </w:rPr>
              <w:t>e</w:t>
            </w:r>
            <w:r w:rsidRPr="00036C5C">
              <w:rPr>
                <w:rFonts w:ascii="Arial" w:hAnsi="Arial" w:cs="Arial"/>
                <w:b/>
                <w:bCs/>
                <w:color w:val="000000"/>
                <w:sz w:val="12"/>
                <w:szCs w:val="12"/>
              </w:rPr>
              <w:t>ri për Mbrojtjen nga Diskriminimi</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27,106</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11,500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11,500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38,606</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27,106</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11,500</w:t>
            </w:r>
          </w:p>
        </w:tc>
        <w:tc>
          <w:tcPr>
            <w:tcW w:w="0" w:type="auto"/>
            <w:tcBorders>
              <w:top w:val="dotted" w:sz="4" w:space="0" w:color="auto"/>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11,500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38,606</w:t>
            </w:r>
          </w:p>
        </w:tc>
      </w:tr>
      <w:tr w:rsidR="002616F1" w:rsidRPr="00036C5C" w:rsidTr="00EE3F54">
        <w:trPr>
          <w:trHeight w:val="120"/>
        </w:trPr>
        <w:tc>
          <w:tcPr>
            <w:tcW w:w="0" w:type="auto"/>
            <w:tcBorders>
              <w:top w:val="nil"/>
              <w:left w:val="double" w:sz="6" w:space="0" w:color="auto"/>
              <w:bottom w:val="dotted" w:sz="4" w:space="0" w:color="auto"/>
              <w:right w:val="nil"/>
            </w:tcBorders>
            <w:vAlign w:val="bottom"/>
          </w:tcPr>
          <w:p w:rsidR="002616F1" w:rsidRPr="00036C5C" w:rsidRDefault="002616F1" w:rsidP="00EE3F54">
            <w:pPr>
              <w:jc w:val="right"/>
              <w:rPr>
                <w:rFonts w:ascii="Arial" w:hAnsi="Arial" w:cs="Arial"/>
                <w:b/>
                <w:bCs/>
                <w:color w:val="000000"/>
                <w:sz w:val="12"/>
                <w:szCs w:val="12"/>
              </w:rPr>
            </w:pPr>
            <w:r w:rsidRPr="00036C5C">
              <w:rPr>
                <w:rFonts w:ascii="Arial" w:hAnsi="Arial" w:cs="Arial"/>
                <w:b/>
                <w:bCs/>
                <w:color w:val="000000"/>
                <w:sz w:val="12"/>
                <w:szCs w:val="12"/>
              </w:rPr>
              <w:t>92</w:t>
            </w:r>
          </w:p>
        </w:tc>
        <w:tc>
          <w:tcPr>
            <w:tcW w:w="0" w:type="auto"/>
            <w:tcBorders>
              <w:top w:val="nil"/>
              <w:left w:val="single" w:sz="4" w:space="0" w:color="auto"/>
              <w:bottom w:val="dotted" w:sz="4" w:space="0" w:color="auto"/>
              <w:right w:val="single" w:sz="4" w:space="0" w:color="auto"/>
            </w:tcBorders>
            <w:noWrap/>
            <w:vAlign w:val="bottom"/>
          </w:tcPr>
          <w:p w:rsidR="002616F1" w:rsidRPr="00036C5C" w:rsidRDefault="002616F1" w:rsidP="00EE3F54">
            <w:pPr>
              <w:rPr>
                <w:rFonts w:ascii="Arial" w:hAnsi="Arial" w:cs="Arial"/>
                <w:b/>
                <w:bCs/>
                <w:color w:val="000000"/>
                <w:sz w:val="12"/>
                <w:szCs w:val="12"/>
              </w:rPr>
            </w:pPr>
            <w:r w:rsidRPr="00036C5C">
              <w:rPr>
                <w:rFonts w:ascii="Arial" w:hAnsi="Arial" w:cs="Arial"/>
                <w:b/>
                <w:bCs/>
                <w:color w:val="000000"/>
                <w:sz w:val="12"/>
                <w:szCs w:val="12"/>
              </w:rPr>
              <w:t>Instituti i Studimeve te Krimeve t</w:t>
            </w:r>
            <w:r>
              <w:rPr>
                <w:rFonts w:ascii="Arial" w:hAnsi="Arial" w:cs="Arial"/>
                <w:b/>
                <w:bCs/>
                <w:color w:val="000000"/>
                <w:sz w:val="12"/>
                <w:szCs w:val="12"/>
              </w:rPr>
              <w:t>ë</w:t>
            </w:r>
            <w:r w:rsidRPr="00036C5C">
              <w:rPr>
                <w:rFonts w:ascii="Arial" w:hAnsi="Arial" w:cs="Arial"/>
                <w:b/>
                <w:bCs/>
                <w:color w:val="000000"/>
                <w:sz w:val="12"/>
                <w:szCs w:val="12"/>
              </w:rPr>
              <w:t xml:space="preserve"> Komunizmit</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26,508</w:t>
            </w:r>
          </w:p>
        </w:tc>
        <w:tc>
          <w:tcPr>
            <w:tcW w:w="0" w:type="auto"/>
            <w:tcBorders>
              <w:top w:val="nil"/>
              <w:left w:val="nil"/>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single" w:sz="4" w:space="0" w:color="auto"/>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single" w:sz="4" w:space="0" w:color="auto"/>
              <w:bottom w:val="nil"/>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0</w:t>
            </w:r>
          </w:p>
        </w:tc>
        <w:tc>
          <w:tcPr>
            <w:tcW w:w="0" w:type="auto"/>
            <w:tcBorders>
              <w:top w:val="nil"/>
              <w:left w:val="nil"/>
              <w:bottom w:val="nil"/>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29,508</w:t>
            </w:r>
          </w:p>
        </w:tc>
      </w:tr>
      <w:tr w:rsidR="002616F1" w:rsidRPr="00036C5C" w:rsidTr="00EE3F54">
        <w:trPr>
          <w:trHeight w:val="120"/>
        </w:trPr>
        <w:tc>
          <w:tcPr>
            <w:tcW w:w="0" w:type="auto"/>
            <w:tcBorders>
              <w:top w:val="nil"/>
              <w:left w:val="double" w:sz="6" w:space="0" w:color="auto"/>
              <w:bottom w:val="single" w:sz="4" w:space="0" w:color="auto"/>
              <w:right w:val="nil"/>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01110</w:t>
            </w:r>
          </w:p>
        </w:tc>
        <w:tc>
          <w:tcPr>
            <w:tcW w:w="0" w:type="auto"/>
            <w:tcBorders>
              <w:top w:val="nil"/>
              <w:left w:val="single" w:sz="4" w:space="0" w:color="auto"/>
              <w:bottom w:val="single" w:sz="4" w:space="0" w:color="auto"/>
              <w:right w:val="single" w:sz="4" w:space="0" w:color="auto"/>
            </w:tcBorders>
            <w:noWrap/>
            <w:vAlign w:val="bottom"/>
          </w:tcPr>
          <w:p w:rsidR="002616F1" w:rsidRPr="00036C5C" w:rsidRDefault="002616F1" w:rsidP="00EE3F54">
            <w:pPr>
              <w:rPr>
                <w:rFonts w:ascii="Arial" w:hAnsi="Arial" w:cs="Arial"/>
                <w:sz w:val="12"/>
                <w:szCs w:val="12"/>
              </w:rPr>
            </w:pPr>
            <w:r w:rsidRPr="00036C5C">
              <w:rPr>
                <w:rFonts w:ascii="Arial" w:hAnsi="Arial" w:cs="Arial"/>
                <w:sz w:val="12"/>
                <w:szCs w:val="12"/>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26,508</w:t>
            </w:r>
          </w:p>
        </w:tc>
        <w:tc>
          <w:tcPr>
            <w:tcW w:w="0" w:type="auto"/>
            <w:tcBorders>
              <w:top w:val="dotted" w:sz="4" w:space="0" w:color="auto"/>
              <w:left w:val="nil"/>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dotted" w:sz="4" w:space="0" w:color="auto"/>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3,000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sz w:val="12"/>
                <w:szCs w:val="12"/>
              </w:rPr>
            </w:pPr>
            <w:r w:rsidRPr="00036C5C">
              <w:rPr>
                <w:rFonts w:ascii="Arial" w:hAnsi="Arial" w:cs="Arial"/>
                <w:sz w:val="12"/>
                <w:szCs w:val="12"/>
              </w:rPr>
              <w:t>29,508</w:t>
            </w:r>
          </w:p>
        </w:tc>
      </w:tr>
      <w:tr w:rsidR="002616F1" w:rsidRPr="00036C5C" w:rsidTr="00EE3F54">
        <w:trPr>
          <w:trHeight w:val="120"/>
        </w:trPr>
        <w:tc>
          <w:tcPr>
            <w:tcW w:w="0" w:type="auto"/>
            <w:gridSpan w:val="2"/>
            <w:tcBorders>
              <w:top w:val="single" w:sz="4" w:space="0" w:color="auto"/>
              <w:left w:val="double" w:sz="6" w:space="0" w:color="auto"/>
              <w:bottom w:val="double" w:sz="6" w:space="0" w:color="auto"/>
              <w:right w:val="single" w:sz="4" w:space="0" w:color="000000"/>
            </w:tcBorders>
            <w:noWrap/>
            <w:vAlign w:val="bottom"/>
          </w:tcPr>
          <w:p w:rsidR="002616F1" w:rsidRPr="00036C5C" w:rsidRDefault="002616F1" w:rsidP="00EE3F54">
            <w:pPr>
              <w:jc w:val="center"/>
              <w:rPr>
                <w:rFonts w:ascii="Arial" w:hAnsi="Arial" w:cs="Arial"/>
                <w:b/>
                <w:bCs/>
                <w:color w:val="000000"/>
                <w:sz w:val="12"/>
                <w:szCs w:val="12"/>
              </w:rPr>
            </w:pPr>
            <w:r w:rsidRPr="00036C5C">
              <w:rPr>
                <w:rFonts w:ascii="Arial" w:hAnsi="Arial" w:cs="Arial"/>
                <w:b/>
                <w:bCs/>
                <w:color w:val="000000"/>
                <w:sz w:val="12"/>
                <w:szCs w:val="12"/>
              </w:rPr>
              <w:t>TOTALI</w:t>
            </w:r>
          </w:p>
        </w:tc>
        <w:tc>
          <w:tcPr>
            <w:tcW w:w="0" w:type="auto"/>
            <w:tcBorders>
              <w:top w:val="nil"/>
              <w:left w:val="nil"/>
              <w:bottom w:val="double" w:sz="6"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178,044,706</w:t>
            </w:r>
          </w:p>
        </w:tc>
        <w:tc>
          <w:tcPr>
            <w:tcW w:w="0" w:type="auto"/>
            <w:tcBorders>
              <w:top w:val="nil"/>
              <w:left w:val="nil"/>
              <w:bottom w:val="double" w:sz="6"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26,318,454</w:t>
            </w:r>
          </w:p>
        </w:tc>
        <w:tc>
          <w:tcPr>
            <w:tcW w:w="0" w:type="auto"/>
            <w:tcBorders>
              <w:top w:val="nil"/>
              <w:left w:val="nil"/>
              <w:bottom w:val="double" w:sz="6"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23,000</w:t>
            </w:r>
          </w:p>
        </w:tc>
        <w:tc>
          <w:tcPr>
            <w:tcW w:w="0" w:type="auto"/>
            <w:tcBorders>
              <w:top w:val="nil"/>
              <w:left w:val="nil"/>
              <w:bottom w:val="double" w:sz="6" w:space="0" w:color="auto"/>
              <w:right w:val="dashed" w:sz="4" w:space="0" w:color="auto"/>
            </w:tcBorders>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37,547,891</w:t>
            </w:r>
          </w:p>
        </w:tc>
        <w:tc>
          <w:tcPr>
            <w:tcW w:w="0" w:type="auto"/>
            <w:tcBorders>
              <w:top w:val="nil"/>
              <w:left w:val="nil"/>
              <w:bottom w:val="double" w:sz="6" w:space="0" w:color="auto"/>
              <w:right w:val="single" w:sz="4"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63,889,345</w:t>
            </w:r>
          </w:p>
        </w:tc>
        <w:tc>
          <w:tcPr>
            <w:tcW w:w="0" w:type="auto"/>
            <w:tcBorders>
              <w:top w:val="nil"/>
              <w:left w:val="nil"/>
              <w:bottom w:val="double" w:sz="6" w:space="0" w:color="auto"/>
              <w:right w:val="double" w:sz="6" w:space="0" w:color="auto"/>
            </w:tcBorders>
            <w:shd w:val="clear" w:color="000000" w:fill="CCFFFF"/>
            <w:noWrap/>
            <w:vAlign w:val="bottom"/>
          </w:tcPr>
          <w:p w:rsidR="002616F1" w:rsidRPr="00036C5C" w:rsidRDefault="002616F1" w:rsidP="00EE3F54">
            <w:pPr>
              <w:jc w:val="right"/>
              <w:rPr>
                <w:rFonts w:ascii="Arial" w:hAnsi="Arial" w:cs="Arial"/>
                <w:b/>
                <w:bCs/>
                <w:sz w:val="12"/>
                <w:szCs w:val="12"/>
              </w:rPr>
            </w:pPr>
            <w:r w:rsidRPr="00036C5C">
              <w:rPr>
                <w:rFonts w:ascii="Arial" w:hAnsi="Arial" w:cs="Arial"/>
                <w:b/>
                <w:bCs/>
                <w:sz w:val="12"/>
                <w:szCs w:val="12"/>
              </w:rPr>
              <w:t>241,934,051</w:t>
            </w:r>
          </w:p>
        </w:tc>
      </w:tr>
    </w:tbl>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p w:rsidR="002616F1" w:rsidRDefault="002616F1" w:rsidP="002616F1">
      <w:pPr>
        <w:pStyle w:val="Akti"/>
        <w:keepNext w:val="0"/>
        <w:rPr>
          <w:rFonts w:cs="Times New Roman"/>
          <w:lang w:val="sq-AL"/>
        </w:rPr>
      </w:pPr>
    </w:p>
    <w:p w:rsidR="002616F1" w:rsidRPr="00036C5C" w:rsidRDefault="002616F1" w:rsidP="002616F1">
      <w:pPr>
        <w:pStyle w:val="Akti"/>
        <w:keepNext w:val="0"/>
        <w:rPr>
          <w:rFonts w:cs="Times New Roman"/>
          <w:lang w:val="sq-AL"/>
        </w:rPr>
      </w:pPr>
    </w:p>
    <w:tbl>
      <w:tblPr>
        <w:tblW w:w="9020" w:type="dxa"/>
        <w:jc w:val="center"/>
        <w:tblInd w:w="-106" w:type="dxa"/>
        <w:tblLook w:val="00A0"/>
      </w:tblPr>
      <w:tblGrid>
        <w:gridCol w:w="7500"/>
        <w:gridCol w:w="1520"/>
      </w:tblGrid>
      <w:tr w:rsidR="002616F1" w:rsidRPr="00036C5C" w:rsidTr="00EE3F54">
        <w:trPr>
          <w:trHeight w:val="162"/>
          <w:jc w:val="center"/>
        </w:trPr>
        <w:tc>
          <w:tcPr>
            <w:tcW w:w="7500" w:type="dxa"/>
            <w:tcBorders>
              <w:top w:val="nil"/>
              <w:left w:val="nil"/>
              <w:bottom w:val="nil"/>
              <w:right w:val="nil"/>
            </w:tcBorders>
            <w:noWrap/>
            <w:vAlign w:val="bottom"/>
          </w:tcPr>
          <w:p w:rsidR="002616F1" w:rsidRPr="00036C5C" w:rsidRDefault="002616F1" w:rsidP="00EE3F54">
            <w:pPr>
              <w:rPr>
                <w:rFonts w:ascii="Arial" w:hAnsi="Arial" w:cs="Arial"/>
                <w:sz w:val="16"/>
                <w:szCs w:val="16"/>
              </w:rPr>
            </w:pPr>
          </w:p>
        </w:tc>
        <w:tc>
          <w:tcPr>
            <w:tcW w:w="1520" w:type="dxa"/>
            <w:tcBorders>
              <w:top w:val="nil"/>
              <w:left w:val="nil"/>
              <w:bottom w:val="nil"/>
              <w:right w:val="nil"/>
            </w:tcBorders>
            <w:noWrap/>
            <w:vAlign w:val="bottom"/>
          </w:tcPr>
          <w:p w:rsidR="002616F1" w:rsidRPr="00036C5C" w:rsidRDefault="002616F1" w:rsidP="00EE3F54">
            <w:pPr>
              <w:rPr>
                <w:rFonts w:ascii="Arial" w:hAnsi="Arial" w:cs="Arial"/>
                <w:b/>
                <w:bCs/>
                <w:sz w:val="16"/>
                <w:szCs w:val="16"/>
              </w:rPr>
            </w:pPr>
            <w:r w:rsidRPr="00036C5C">
              <w:rPr>
                <w:rFonts w:ascii="Arial" w:hAnsi="Arial" w:cs="Arial"/>
                <w:b/>
                <w:bCs/>
                <w:sz w:val="16"/>
                <w:szCs w:val="16"/>
              </w:rPr>
              <w:t>ne 000/leke</w:t>
            </w:r>
          </w:p>
        </w:tc>
      </w:tr>
      <w:tr w:rsidR="002616F1" w:rsidRPr="00036C5C" w:rsidTr="00EE3F54">
        <w:trPr>
          <w:trHeight w:val="162"/>
          <w:jc w:val="center"/>
        </w:trPr>
        <w:tc>
          <w:tcPr>
            <w:tcW w:w="7500" w:type="dxa"/>
            <w:tcBorders>
              <w:top w:val="double" w:sz="6" w:space="0" w:color="auto"/>
              <w:left w:val="double" w:sz="6" w:space="0" w:color="auto"/>
              <w:bottom w:val="nil"/>
              <w:right w:val="single" w:sz="4" w:space="0" w:color="auto"/>
            </w:tcBorders>
            <w:vAlign w:val="bottom"/>
          </w:tcPr>
          <w:p w:rsidR="002616F1" w:rsidRPr="00036C5C" w:rsidRDefault="002616F1" w:rsidP="00EE3F54">
            <w:pPr>
              <w:rPr>
                <w:rFonts w:ascii="Arial" w:hAnsi="Arial" w:cs="Arial"/>
                <w:b/>
                <w:bCs/>
                <w:sz w:val="16"/>
                <w:szCs w:val="16"/>
              </w:rPr>
            </w:pPr>
            <w:r w:rsidRPr="00036C5C">
              <w:rPr>
                <w:rFonts w:ascii="Arial" w:hAnsi="Arial" w:cs="Arial"/>
                <w:b/>
                <w:bCs/>
                <w:sz w:val="16"/>
                <w:szCs w:val="16"/>
              </w:rPr>
              <w:t>Të tjera shpenzime të papërfshira në buxhetet e ministrive dhe institucioneve</w:t>
            </w:r>
          </w:p>
        </w:tc>
        <w:tc>
          <w:tcPr>
            <w:tcW w:w="1520" w:type="dxa"/>
            <w:tcBorders>
              <w:top w:val="double" w:sz="6" w:space="0" w:color="auto"/>
              <w:left w:val="nil"/>
              <w:bottom w:val="nil"/>
              <w:right w:val="double" w:sz="6" w:space="0" w:color="auto"/>
            </w:tcBorders>
            <w:noWrap/>
            <w:vAlign w:val="bottom"/>
          </w:tcPr>
          <w:p w:rsidR="002616F1" w:rsidRPr="00036C5C" w:rsidRDefault="002616F1" w:rsidP="00EE3F54">
            <w:pPr>
              <w:jc w:val="center"/>
              <w:rPr>
                <w:rFonts w:ascii="Arial" w:hAnsi="Arial" w:cs="Arial"/>
                <w:b/>
                <w:bCs/>
                <w:sz w:val="16"/>
                <w:szCs w:val="16"/>
              </w:rPr>
            </w:pPr>
            <w:r w:rsidRPr="00036C5C">
              <w:rPr>
                <w:rFonts w:ascii="Arial" w:hAnsi="Arial" w:cs="Arial"/>
                <w:b/>
                <w:bCs/>
                <w:sz w:val="16"/>
                <w:szCs w:val="16"/>
              </w:rPr>
              <w:t>Totali</w:t>
            </w:r>
          </w:p>
        </w:tc>
      </w:tr>
      <w:tr w:rsidR="002616F1" w:rsidRPr="00036C5C" w:rsidTr="00EE3F54">
        <w:trPr>
          <w:trHeight w:val="162"/>
          <w:jc w:val="center"/>
        </w:trPr>
        <w:tc>
          <w:tcPr>
            <w:tcW w:w="7500" w:type="dxa"/>
            <w:tcBorders>
              <w:top w:val="single" w:sz="4" w:space="0" w:color="auto"/>
              <w:left w:val="double" w:sz="6" w:space="0" w:color="auto"/>
              <w:bottom w:val="dotted" w:sz="4" w:space="0" w:color="auto"/>
              <w:right w:val="single" w:sz="4" w:space="0" w:color="auto"/>
            </w:tcBorders>
            <w:noWrap/>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Fondi rezerve dhe kontigjencë i Këshillit të Ministrave</w:t>
            </w:r>
          </w:p>
        </w:tc>
        <w:tc>
          <w:tcPr>
            <w:tcW w:w="1520" w:type="dxa"/>
            <w:tcBorders>
              <w:top w:val="single" w:sz="4" w:space="0" w:color="auto"/>
              <w:left w:val="nil"/>
              <w:bottom w:val="dotted" w:sz="4" w:space="0" w:color="auto"/>
              <w:right w:val="double" w:sz="6" w:space="0" w:color="auto"/>
            </w:tcBorders>
            <w:noWrap/>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7,800,000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Fondi rezervë i Këshillit të Ministrave</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1,800,200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Fondi rezerve për Politikë Pagash (e pakushtëzuar)</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754,800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Fondi i kontigjencës për politika pensionesh</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1,500,000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Fondi kontigjence për ruajtjen e deficitit</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2,600,000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Fondi i veçantë për pagat</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1,145,000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 xml:space="preserve">Interesat </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42,200,000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 xml:space="preserve">        Për borxhin e brendshëm  </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34,200,000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 xml:space="preserve">        Për borxhin e huaj  </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8,000,000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Shpenzimet e pushtetit vendor</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27,048,500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 xml:space="preserve">       Nga te ardhurat e veta</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11,072,500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color w:val="000000"/>
                <w:sz w:val="16"/>
                <w:szCs w:val="16"/>
              </w:rPr>
            </w:pPr>
            <w:r w:rsidRPr="00036C5C">
              <w:rPr>
                <w:rFonts w:ascii="Arial" w:hAnsi="Arial" w:cs="Arial"/>
                <w:color w:val="000000"/>
                <w:sz w:val="16"/>
                <w:szCs w:val="16"/>
              </w:rPr>
              <w:t xml:space="preserve">      Granti për pushtetin vendor</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color w:val="000000"/>
                <w:sz w:val="16"/>
                <w:szCs w:val="16"/>
              </w:rPr>
            </w:pPr>
            <w:r w:rsidRPr="00036C5C">
              <w:rPr>
                <w:rFonts w:ascii="Arial" w:hAnsi="Arial" w:cs="Arial"/>
                <w:color w:val="000000"/>
                <w:sz w:val="16"/>
                <w:szCs w:val="16"/>
              </w:rPr>
              <w:t>13,876,000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Shpenzime nga të ardhurat e arsimit të lartë</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2,400,000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Shpenzime nga të ardhurat jashtë limitit</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1,600,000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Investime nga të ardhurat jashtë limitit të arsimit të lartë</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800,000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Të ardhurat e fondeve speciale</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58,513,000</w:t>
            </w:r>
          </w:p>
        </w:tc>
      </w:tr>
      <w:tr w:rsidR="002616F1" w:rsidRPr="00036C5C" w:rsidTr="00EE3F54">
        <w:trPr>
          <w:trHeight w:val="162"/>
          <w:jc w:val="center"/>
        </w:trPr>
        <w:tc>
          <w:tcPr>
            <w:tcW w:w="7500" w:type="dxa"/>
            <w:tcBorders>
              <w:top w:val="nil"/>
              <w:left w:val="double" w:sz="6" w:space="0" w:color="auto"/>
              <w:bottom w:val="dotted" w:sz="4" w:space="0" w:color="auto"/>
              <w:right w:val="single" w:sz="4" w:space="0" w:color="auto"/>
            </w:tcBorders>
            <w:vAlign w:val="bottom"/>
          </w:tcPr>
          <w:p w:rsidR="002616F1" w:rsidRPr="00036C5C" w:rsidRDefault="002616F1" w:rsidP="00EE3F54">
            <w:pPr>
              <w:jc w:val="both"/>
              <w:rPr>
                <w:rFonts w:ascii="Arial" w:hAnsi="Arial" w:cs="Arial"/>
                <w:b/>
                <w:bCs/>
                <w:color w:val="000000"/>
                <w:sz w:val="16"/>
                <w:szCs w:val="16"/>
              </w:rPr>
            </w:pPr>
            <w:r w:rsidRPr="00036C5C">
              <w:rPr>
                <w:rFonts w:ascii="Arial" w:hAnsi="Arial" w:cs="Arial"/>
                <w:b/>
                <w:bCs/>
                <w:color w:val="000000"/>
                <w:sz w:val="16"/>
                <w:szCs w:val="16"/>
              </w:rPr>
              <w:t> </w:t>
            </w:r>
          </w:p>
        </w:tc>
        <w:tc>
          <w:tcPr>
            <w:tcW w:w="1520" w:type="dxa"/>
            <w:tcBorders>
              <w:top w:val="nil"/>
              <w:left w:val="nil"/>
              <w:bottom w:val="dotted" w:sz="4"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 </w:t>
            </w:r>
          </w:p>
        </w:tc>
      </w:tr>
      <w:tr w:rsidR="002616F1" w:rsidRPr="00036C5C" w:rsidTr="00EE3F54">
        <w:trPr>
          <w:trHeight w:val="162"/>
          <w:jc w:val="center"/>
        </w:trPr>
        <w:tc>
          <w:tcPr>
            <w:tcW w:w="7500" w:type="dxa"/>
            <w:tcBorders>
              <w:top w:val="nil"/>
              <w:left w:val="double" w:sz="6" w:space="0" w:color="auto"/>
              <w:bottom w:val="double" w:sz="6" w:space="0" w:color="auto"/>
              <w:right w:val="single" w:sz="4"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Totali</w:t>
            </w:r>
          </w:p>
        </w:tc>
        <w:tc>
          <w:tcPr>
            <w:tcW w:w="1520" w:type="dxa"/>
            <w:tcBorders>
              <w:top w:val="nil"/>
              <w:left w:val="nil"/>
              <w:bottom w:val="double" w:sz="6" w:space="0" w:color="auto"/>
              <w:right w:val="double" w:sz="6" w:space="0" w:color="auto"/>
            </w:tcBorders>
            <w:vAlign w:val="bottom"/>
          </w:tcPr>
          <w:p w:rsidR="002616F1" w:rsidRPr="00036C5C" w:rsidRDefault="002616F1" w:rsidP="00EE3F54">
            <w:pPr>
              <w:jc w:val="right"/>
              <w:rPr>
                <w:rFonts w:ascii="Arial" w:hAnsi="Arial" w:cs="Arial"/>
                <w:b/>
                <w:bCs/>
                <w:color w:val="000000"/>
                <w:sz w:val="16"/>
                <w:szCs w:val="16"/>
              </w:rPr>
            </w:pPr>
            <w:r w:rsidRPr="00036C5C">
              <w:rPr>
                <w:rFonts w:ascii="Arial" w:hAnsi="Arial" w:cs="Arial"/>
                <w:b/>
                <w:bCs/>
                <w:color w:val="000000"/>
                <w:sz w:val="16"/>
                <w:szCs w:val="16"/>
              </w:rPr>
              <w:t>140,361,500</w:t>
            </w:r>
          </w:p>
        </w:tc>
      </w:tr>
    </w:tbl>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Akti"/>
        <w:keepNext w:val="0"/>
        <w:jc w:val="right"/>
        <w:rPr>
          <w:rFonts w:cs="Times New Roman"/>
          <w:lang w:val="sq-AL"/>
        </w:rPr>
      </w:pPr>
    </w:p>
    <w:p w:rsidR="002616F1" w:rsidRPr="00036C5C" w:rsidRDefault="002616F1" w:rsidP="002616F1">
      <w:pPr>
        <w:pStyle w:val="Titulli"/>
        <w:rPr>
          <w:lang w:val="sq-AL"/>
        </w:rPr>
      </w:pPr>
      <w:r w:rsidRPr="00036C5C">
        <w:rPr>
          <w:lang w:val="sq-AL"/>
        </w:rPr>
        <w:lastRenderedPageBreak/>
        <w:t>Treguesit fiskalë të aktit normativ 2012</w:t>
      </w:r>
    </w:p>
    <w:p w:rsidR="002616F1" w:rsidRPr="00036C5C" w:rsidRDefault="002616F1" w:rsidP="002616F1">
      <w:pPr>
        <w:pStyle w:val="Akti"/>
        <w:jc w:val="right"/>
        <w:rPr>
          <w:rFonts w:cs="Times New Roman"/>
          <w:lang w:val="sq-AL"/>
        </w:rPr>
      </w:pPr>
    </w:p>
    <w:p w:rsidR="002616F1" w:rsidRPr="00036C5C" w:rsidRDefault="002616F1" w:rsidP="002616F1">
      <w:pPr>
        <w:pStyle w:val="Akti"/>
        <w:ind w:left="4320"/>
        <w:rPr>
          <w:rFonts w:cs="Times New Roman"/>
          <w:b w:val="0"/>
          <w:bCs w:val="0"/>
          <w:sz w:val="16"/>
          <w:szCs w:val="16"/>
          <w:lang w:val="sq-AL"/>
        </w:rPr>
      </w:pPr>
      <w:r w:rsidRPr="00036C5C">
        <w:rPr>
          <w:b w:val="0"/>
          <w:bCs w:val="0"/>
          <w:caps w:val="0"/>
          <w:sz w:val="16"/>
          <w:szCs w:val="16"/>
          <w:lang w:val="sq-AL"/>
        </w:rPr>
        <w:t>në milion lekë (in millon of leks)</w:t>
      </w:r>
    </w:p>
    <w:tbl>
      <w:tblPr>
        <w:tblW w:w="0" w:type="auto"/>
        <w:jc w:val="center"/>
        <w:tblInd w:w="-106" w:type="dxa"/>
        <w:tblLook w:val="00A0"/>
      </w:tblPr>
      <w:tblGrid>
        <w:gridCol w:w="409"/>
        <w:gridCol w:w="2790"/>
        <w:gridCol w:w="889"/>
        <w:gridCol w:w="1243"/>
        <w:gridCol w:w="717"/>
        <w:gridCol w:w="2538"/>
      </w:tblGrid>
      <w:tr w:rsidR="002616F1" w:rsidRPr="00036C5C" w:rsidTr="00EE3F54">
        <w:trPr>
          <w:trHeight w:val="139"/>
          <w:jc w:val="center"/>
        </w:trPr>
        <w:tc>
          <w:tcPr>
            <w:tcW w:w="0" w:type="auto"/>
            <w:tcBorders>
              <w:top w:val="single" w:sz="12" w:space="0" w:color="auto"/>
              <w:left w:val="single" w:sz="12" w:space="0" w:color="auto"/>
              <w:bottom w:val="double" w:sz="6" w:space="0" w:color="auto"/>
              <w:right w:val="double" w:sz="6" w:space="0" w:color="auto"/>
            </w:tcBorders>
            <w:noWrap/>
            <w:vAlign w:val="center"/>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t>Nr.</w:t>
            </w:r>
          </w:p>
        </w:tc>
        <w:tc>
          <w:tcPr>
            <w:tcW w:w="0" w:type="auto"/>
            <w:tcBorders>
              <w:top w:val="single" w:sz="12" w:space="0" w:color="auto"/>
              <w:left w:val="nil"/>
              <w:bottom w:val="double" w:sz="6" w:space="0" w:color="auto"/>
              <w:right w:val="double" w:sz="6" w:space="0" w:color="auto"/>
            </w:tcBorders>
            <w:noWrap/>
            <w:vAlign w:val="center"/>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t>E  M  E  R  T  I  M  I</w:t>
            </w:r>
          </w:p>
        </w:tc>
        <w:tc>
          <w:tcPr>
            <w:tcW w:w="0" w:type="auto"/>
            <w:tcBorders>
              <w:top w:val="single" w:sz="12" w:space="0" w:color="auto"/>
              <w:left w:val="nil"/>
              <w:bottom w:val="single" w:sz="12" w:space="0" w:color="auto"/>
              <w:right w:val="double" w:sz="6" w:space="0" w:color="auto"/>
            </w:tcBorders>
            <w:shd w:val="clear" w:color="000000" w:fill="CCFFFF"/>
            <w:vAlign w:val="center"/>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br/>
              <w:t>Buxheti 2012</w:t>
            </w:r>
          </w:p>
        </w:tc>
        <w:tc>
          <w:tcPr>
            <w:tcW w:w="0" w:type="auto"/>
            <w:tcBorders>
              <w:top w:val="single" w:sz="12" w:space="0" w:color="auto"/>
              <w:left w:val="nil"/>
              <w:bottom w:val="single" w:sz="12" w:space="0" w:color="auto"/>
              <w:right w:val="double" w:sz="6" w:space="0" w:color="auto"/>
            </w:tcBorders>
            <w:shd w:val="clear" w:color="000000" w:fill="CCFFFF"/>
            <w:vAlign w:val="center"/>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t>Akti Normativ 2012</w:t>
            </w:r>
          </w:p>
        </w:tc>
        <w:tc>
          <w:tcPr>
            <w:tcW w:w="0" w:type="auto"/>
            <w:tcBorders>
              <w:top w:val="single" w:sz="12" w:space="0" w:color="auto"/>
              <w:left w:val="nil"/>
              <w:bottom w:val="single" w:sz="12" w:space="0" w:color="auto"/>
              <w:right w:val="double" w:sz="6" w:space="0" w:color="auto"/>
            </w:tcBorders>
            <w:shd w:val="clear" w:color="000000" w:fill="C0C0C0"/>
            <w:vAlign w:val="center"/>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t>Diferenca</w:t>
            </w:r>
          </w:p>
        </w:tc>
        <w:tc>
          <w:tcPr>
            <w:tcW w:w="0" w:type="auto"/>
            <w:tcBorders>
              <w:top w:val="single" w:sz="12" w:space="0" w:color="auto"/>
              <w:left w:val="nil"/>
              <w:bottom w:val="single" w:sz="12" w:space="0" w:color="auto"/>
              <w:right w:val="single" w:sz="12" w:space="0" w:color="auto"/>
            </w:tcBorders>
            <w:shd w:val="clear" w:color="000000" w:fill="CCFFFF"/>
            <w:noWrap/>
            <w:vAlign w:val="center"/>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t>I T E M 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jc w:val="center"/>
              <w:rPr>
                <w:rFonts w:ascii="CG Times" w:hAnsi="CG Times" w:cs="CG Times"/>
                <w:b/>
                <w:bCs/>
                <w:sz w:val="12"/>
                <w:szCs w:val="12"/>
              </w:rPr>
            </w:pPr>
            <w:r w:rsidRPr="00036C5C">
              <w:rPr>
                <w:rFonts w:ascii="CG Times" w:hAnsi="CG Times" w:cs="CG Times"/>
                <w:b/>
                <w:bCs/>
                <w:sz w:val="12"/>
                <w:szCs w:val="12"/>
              </w:rPr>
              <w:t>TOTALI TE ARDHURAVE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355,759</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332,758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-23,002</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TOTAL REVENUE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Te ardhura nga ndihmat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9,843</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4,020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-5,823</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Grants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Nga kjo:</w:t>
            </w:r>
            <w:r>
              <w:rPr>
                <w:rFonts w:ascii="CG Times" w:hAnsi="CG Times" w:cs="CG Times"/>
                <w:sz w:val="12"/>
                <w:szCs w:val="12"/>
              </w:rPr>
              <w:t>m</w:t>
            </w:r>
            <w:r w:rsidRPr="00036C5C">
              <w:rPr>
                <w:rFonts w:ascii="CG Times" w:hAnsi="CG Times" w:cs="CG Times"/>
                <w:sz w:val="12"/>
                <w:szCs w:val="12"/>
              </w:rPr>
              <w:t>bështetje buxhetore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From which: Budget Support</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Te ardhura tatimore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325,306</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305,508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-19,798</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Tax Revenue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II.1</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Nga tatimet dhe doganat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251,168</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235,922</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-15,246</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From tax offices and customs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1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Tatimi mbi Vlerën e Shtuar</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127,299</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119,040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-8,259</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V.A.T </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2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Tatimi mbi Fitimin</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21,980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16,552</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-5,428</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Profit Tax</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3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Akcizat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42,759</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36,492</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-6,267</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Excise Tax</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4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Tatimi mbi te Ardhurat Personale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29,754</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28,128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-1,626</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Personal Income Tax</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5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Taksa Nacionale dhe te tjera</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22,598</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29,657</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7,059</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National Taxes and others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6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Taksa Doganore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6,778</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6,053</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-725</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Customs Duties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II.2</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T</w:t>
            </w:r>
            <w:r>
              <w:rPr>
                <w:rFonts w:ascii="CG Times" w:hAnsi="CG Times" w:cs="CG Times"/>
                <w:b/>
                <w:bCs/>
                <w:sz w:val="12"/>
                <w:szCs w:val="12"/>
              </w:rPr>
              <w:t>ë</w:t>
            </w:r>
            <w:r w:rsidRPr="00036C5C">
              <w:rPr>
                <w:rFonts w:ascii="CG Times" w:hAnsi="CG Times" w:cs="CG Times"/>
                <w:b/>
                <w:bCs/>
                <w:sz w:val="12"/>
                <w:szCs w:val="12"/>
              </w:rPr>
              <w:t xml:space="preserve"> ardhura nga Pushteti Lokal</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14,624</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11,073</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-3,552</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Local Taxes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1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Taksa Lokale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9,409</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6,580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-2,829</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Local Taxes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2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Tatimi mbi Pasurinë (ndërtesat)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2,132</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2,690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558</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Property Tax</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3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Tatimi mbi Biznesin e vogel</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3,083</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1,803</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-1,280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Small Business Tax</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II.3</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T</w:t>
            </w:r>
            <w:r>
              <w:rPr>
                <w:rFonts w:ascii="CG Times" w:hAnsi="CG Times" w:cs="CG Times"/>
                <w:b/>
                <w:bCs/>
                <w:sz w:val="12"/>
                <w:szCs w:val="12"/>
              </w:rPr>
              <w:t>ë</w:t>
            </w:r>
            <w:r w:rsidRPr="00036C5C">
              <w:rPr>
                <w:rFonts w:ascii="CG Times" w:hAnsi="CG Times" w:cs="CG Times"/>
                <w:b/>
                <w:bCs/>
                <w:sz w:val="12"/>
                <w:szCs w:val="12"/>
              </w:rPr>
              <w:t xml:space="preserve"> ardhura nga Fondet Speciale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59,513</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58,513</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Revenues from Special Funds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1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Sigurimi Shoqëror</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51,577</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50,577</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Social Insurance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2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Sigurimi Shëndetësor</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6,436</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6,436</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Health insurance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3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Te ardhura për Kompensimin ne Vlere te Pronareve </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1,500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Revenues for owners' in value-compensation </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III.</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xml:space="preserve">Te ardhura </w:t>
            </w:r>
            <w:r>
              <w:rPr>
                <w:rFonts w:ascii="CG Times" w:hAnsi="CG Times" w:cs="CG Times"/>
                <w:b/>
                <w:bCs/>
                <w:sz w:val="12"/>
                <w:szCs w:val="12"/>
              </w:rPr>
              <w:t>j</w:t>
            </w:r>
            <w:r w:rsidRPr="00036C5C">
              <w:rPr>
                <w:rFonts w:ascii="CG Times" w:hAnsi="CG Times" w:cs="CG Times"/>
                <w:b/>
                <w:bCs/>
                <w:sz w:val="12"/>
                <w:szCs w:val="12"/>
              </w:rPr>
              <w:t>otatimore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20,611</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23,230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2,619</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Nontax Revenue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1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Tran.Fitimi nga Banka e Shqipërisë</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4,500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Profit transfer from BOA</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2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Te ardhura nga Inst.Buxhetore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12,411</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9,150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-3,261</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Income of budgetary institutions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3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Dividenti</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700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430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-270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Divident</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4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Tarifat e shërbimeve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3,850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1,350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Services Fees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5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Te tjera</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5,300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4,800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Others</w:t>
            </w:r>
          </w:p>
        </w:tc>
      </w:tr>
      <w:tr w:rsidR="002616F1" w:rsidRPr="00036C5C" w:rsidTr="00EE3F54">
        <w:trPr>
          <w:trHeight w:val="139"/>
          <w:jc w:val="center"/>
        </w:trPr>
        <w:tc>
          <w:tcPr>
            <w:tcW w:w="0" w:type="auto"/>
            <w:tcBorders>
              <w:top w:val="double" w:sz="6" w:space="0" w:color="auto"/>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double" w:sz="6" w:space="0" w:color="auto"/>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TOTALI I SHPENZIMEVE</w:t>
            </w:r>
          </w:p>
        </w:tc>
        <w:tc>
          <w:tcPr>
            <w:tcW w:w="0" w:type="auto"/>
            <w:tcBorders>
              <w:top w:val="double" w:sz="6" w:space="0" w:color="auto"/>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396,922</w:t>
            </w:r>
          </w:p>
        </w:tc>
        <w:tc>
          <w:tcPr>
            <w:tcW w:w="0" w:type="auto"/>
            <w:tcBorders>
              <w:top w:val="double" w:sz="6" w:space="0" w:color="auto"/>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382,296</w:t>
            </w:r>
          </w:p>
        </w:tc>
        <w:tc>
          <w:tcPr>
            <w:tcW w:w="0" w:type="auto"/>
            <w:tcBorders>
              <w:top w:val="double" w:sz="6" w:space="0" w:color="auto"/>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-14,626</w:t>
            </w:r>
          </w:p>
        </w:tc>
        <w:tc>
          <w:tcPr>
            <w:tcW w:w="0" w:type="auto"/>
            <w:tcBorders>
              <w:top w:val="double" w:sz="6" w:space="0" w:color="auto"/>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TOTAL EXPENDITURE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xml:space="preserve">Shpenzime </w:t>
            </w:r>
            <w:r>
              <w:rPr>
                <w:rFonts w:ascii="CG Times" w:hAnsi="CG Times" w:cs="CG Times"/>
                <w:b/>
                <w:bCs/>
                <w:sz w:val="12"/>
                <w:szCs w:val="12"/>
              </w:rPr>
              <w:t>k</w:t>
            </w:r>
            <w:r w:rsidRPr="00036C5C">
              <w:rPr>
                <w:rFonts w:ascii="CG Times" w:hAnsi="CG Times" w:cs="CG Times"/>
                <w:b/>
                <w:bCs/>
                <w:sz w:val="12"/>
                <w:szCs w:val="12"/>
              </w:rPr>
              <w:t>orrente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322,389</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313,206</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-9,183</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Current Expenditures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1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Personeli</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70,866</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69,236</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-1,630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Personnel expenditures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Paga</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58,535</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58,025</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-510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Wages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Kontributi për Sigurime Shoqërore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9,400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9,311</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-89</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Social insurance contributions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Fondi i veçant</w:t>
            </w:r>
            <w:r>
              <w:rPr>
                <w:rFonts w:ascii="CG Times" w:hAnsi="CG Times" w:cs="CG Times"/>
                <w:sz w:val="12"/>
                <w:szCs w:val="12"/>
              </w:rPr>
              <w:t>ë</w:t>
            </w:r>
            <w:r w:rsidRPr="00036C5C">
              <w:rPr>
                <w:rFonts w:ascii="CG Times" w:hAnsi="CG Times" w:cs="CG Times"/>
                <w:sz w:val="12"/>
                <w:szCs w:val="12"/>
              </w:rPr>
              <w:t xml:space="preserve"> i pagave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1,931</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1,145</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-786</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Bonus fund </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Politikat e reja pagash</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755</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-245</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Contingency for new policies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2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Interesat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49,600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42,200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-7,400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Interest</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Te Brendshme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40,000</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34,200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-5,800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Domestic</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Te Huaja</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9,600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8,000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-1,600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Foreign</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3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Shpenzime operative mirëmbajtje*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29,062</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31,168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2,106</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Operational &amp; Maintenance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4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Subvencionet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1,600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1,625</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25</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Subsidies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6 </w:t>
            </w:r>
          </w:p>
        </w:tc>
        <w:tc>
          <w:tcPr>
            <w:tcW w:w="0" w:type="auto"/>
            <w:tcBorders>
              <w:top w:val="nil"/>
              <w:left w:val="nil"/>
              <w:bottom w:val="dotted" w:sz="4" w:space="0" w:color="auto"/>
              <w:right w:val="double" w:sz="6" w:space="0" w:color="auto"/>
            </w:tcBorders>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Shpenzime për Fondet Speciale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121,999</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120,999</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Social insurance outlays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Sigurime Shoqërore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89,765</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88,765</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Social insurance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Sigurime Shëndetësore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28,934</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28,934</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Health insurance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Politika te reja pensionesh</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1,500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1,500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Contingency for new policies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Shpenzime për Kompensimin ne Vlere te Pronareve </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1,800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1,800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Expenditure for owners' in value-compensation</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7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Shpenzime per Buxhetin Lokal</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29,503</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27,049</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-2,455</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Local Budget expenditure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Buxheti lokal (Granti)</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13,876</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13,876</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Local Budget (Grant)</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Buxheti lokal (Te ardhurat e veta)</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14,624</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11,073</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-3,552</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Local Budget (Own revenues)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Buxheti Lokal (Te ardhurat nga transferimi i rentës)</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1,003</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100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-903</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Local Budget (Revenues from rent transfer)</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Buxheti Lokal (Te ardhurat e veta jo-tatimore)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rPr>
                <w:rFonts w:ascii="CG Times" w:hAnsi="CG Times" w:cs="CG Times"/>
                <w:i/>
                <w:iCs/>
                <w:sz w:val="12"/>
                <w:szCs w:val="12"/>
              </w:rPr>
            </w:pPr>
            <w:r w:rsidRPr="00036C5C">
              <w:rPr>
                <w:rFonts w:ascii="CG Times" w:hAnsi="CG Times" w:cs="CG Times"/>
                <w:i/>
                <w:iCs/>
                <w:sz w:val="12"/>
                <w:szCs w:val="12"/>
              </w:rPr>
              <w:t> </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2,000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Local Budget (Non tax revenues)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 xml:space="preserve">8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xml:space="preserve">Shpenzime te tjera </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19,759</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20,929</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1,170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Other expenditures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Pagesa e Papunësisë</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Unemployment insurance benefits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Ndihma Ekonomike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17,059</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18,229</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1,170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Social assistance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Nga e cila: Shpërblim per pensionistet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1,170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1,170</w:t>
            </w:r>
          </w:p>
        </w:tc>
        <w:tc>
          <w:tcPr>
            <w:tcW w:w="0" w:type="auto"/>
            <w:tcBorders>
              <w:top w:val="dotted" w:sz="4" w:space="0" w:color="auto"/>
              <w:left w:val="nil"/>
              <w:bottom w:val="dotted" w:sz="4" w:space="0" w:color="auto"/>
              <w:right w:val="double" w:sz="6" w:space="0" w:color="auto"/>
            </w:tcBorders>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 xml:space="preserve">from which: Pensioner bonus  </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Kompensim për te përndjekurit politike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1,700</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1,700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Compensation for ex political prisoners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Fondi Rezerve, Kontigjenca</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4,661</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4,400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-261</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Reserve fund, Contingency</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Fondi Rezerve i Këshillit te Ministrave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2,000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1,800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CoM Reserve Fund</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Fondi Kontigjence për Ruajtjen e Deficitit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2,661</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2,600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-61</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Contingency for deficit financing</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III.</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Shpenzime Kapitale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69,872</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64,689</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-5,183</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Capital expenditures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Financimi Brendshëm</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27,501</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26,341</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-1,160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Domestic financing</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nga i cili: Arsimi i Larte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800</w:t>
            </w:r>
          </w:p>
        </w:tc>
        <w:tc>
          <w:tcPr>
            <w:tcW w:w="0" w:type="auto"/>
            <w:tcBorders>
              <w:top w:val="dotted" w:sz="4" w:space="0" w:color="auto"/>
              <w:left w:val="nil"/>
              <w:bottom w:val="dotted" w:sz="4" w:space="0" w:color="auto"/>
              <w:right w:val="double" w:sz="6" w:space="0" w:color="auto"/>
            </w:tcBorders>
            <w:noWrap/>
            <w:vAlign w:val="bottom"/>
          </w:tcPr>
          <w:p w:rsidR="002616F1" w:rsidRPr="00036C5C" w:rsidRDefault="002616F1" w:rsidP="00EE3F54">
            <w:pPr>
              <w:jc w:val="right"/>
              <w:rPr>
                <w:rFonts w:ascii="CG Times" w:hAnsi="CG Times" w:cs="CG Times"/>
                <w:i/>
                <w:iCs/>
                <w:sz w:val="12"/>
                <w:szCs w:val="12"/>
              </w:rPr>
            </w:pPr>
            <w:r w:rsidRPr="00036C5C">
              <w:rPr>
                <w:rFonts w:ascii="CG Times" w:hAnsi="CG Times" w:cs="CG Times"/>
                <w:i/>
                <w:iCs/>
                <w:sz w:val="12"/>
                <w:szCs w:val="12"/>
              </w:rPr>
              <w:t xml:space="preserve">from which: Higher education </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Financimi Huaj</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42,371</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37,548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-4,823</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Foreign financing</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xml:space="preserve"> DEFIÇITI</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-41,163</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-49,538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-8,375</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Cash Balance</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FINANCIMI DEFIÇITIT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41,163</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49,538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8,376</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Financing (Cash)</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xml:space="preserve"> Brendshëm</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18,815</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27,190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8,376</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Domestic</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Te ardhura nga privatizimi</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300</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900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601</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  Privatization receipts</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Hua-marrje e brendshme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18,515</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26,290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7,775</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  Domestic borrowing</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b/>
                <w:bCs/>
                <w:sz w:val="12"/>
                <w:szCs w:val="12"/>
              </w:rPr>
            </w:pPr>
            <w:r w:rsidRPr="00036C5C">
              <w:rPr>
                <w:rFonts w:ascii="CG Times" w:hAnsi="CG Times" w:cs="CG Times"/>
                <w:b/>
                <w:bCs/>
                <w:sz w:val="12"/>
                <w:szCs w:val="12"/>
              </w:rPr>
              <w:t>I Huaj</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22,348</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22,348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b/>
                <w:bCs/>
                <w:sz w:val="12"/>
                <w:szCs w:val="12"/>
              </w:rPr>
            </w:pPr>
            <w:r w:rsidRPr="00036C5C">
              <w:rPr>
                <w:rFonts w:ascii="CG Times" w:hAnsi="CG Times" w:cs="CG Times"/>
                <w:b/>
                <w:bCs/>
                <w:sz w:val="12"/>
                <w:szCs w:val="12"/>
              </w:rPr>
              <w:t>Foreign</w:t>
            </w:r>
          </w:p>
        </w:tc>
      </w:tr>
      <w:tr w:rsidR="002616F1" w:rsidRPr="00036C5C" w:rsidTr="00EE3F54">
        <w:trPr>
          <w:trHeight w:val="139"/>
          <w:jc w:val="center"/>
        </w:trPr>
        <w:tc>
          <w:tcPr>
            <w:tcW w:w="0" w:type="auto"/>
            <w:tcBorders>
              <w:top w:val="nil"/>
              <w:left w:val="single" w:sz="12" w:space="0" w:color="auto"/>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dotted" w:sz="4" w:space="0" w:color="auto"/>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Hua afatgjate(e marre)</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32,528</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33,528</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  Long-term Loan(Drawings)</w:t>
            </w:r>
          </w:p>
        </w:tc>
      </w:tr>
      <w:tr w:rsidR="002616F1" w:rsidRPr="00036C5C" w:rsidTr="00EE3F54">
        <w:trPr>
          <w:trHeight w:val="139"/>
          <w:jc w:val="center"/>
        </w:trPr>
        <w:tc>
          <w:tcPr>
            <w:tcW w:w="0" w:type="auto"/>
            <w:tcBorders>
              <w:top w:val="nil"/>
              <w:left w:val="single" w:sz="12" w:space="0" w:color="auto"/>
              <w:bottom w:val="nil"/>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w:t>
            </w:r>
          </w:p>
        </w:tc>
        <w:tc>
          <w:tcPr>
            <w:tcW w:w="0" w:type="auto"/>
            <w:tcBorders>
              <w:top w:val="nil"/>
              <w:left w:val="nil"/>
              <w:bottom w:val="nil"/>
              <w:right w:val="double" w:sz="6" w:space="0" w:color="auto"/>
            </w:tcBorders>
            <w:noWrap/>
            <w:vAlign w:val="bottom"/>
          </w:tcPr>
          <w:p w:rsidR="002616F1" w:rsidRPr="00036C5C" w:rsidRDefault="002616F1" w:rsidP="00EE3F54">
            <w:pPr>
              <w:rPr>
                <w:rFonts w:ascii="CG Times" w:hAnsi="CG Times" w:cs="CG Times"/>
                <w:sz w:val="12"/>
                <w:szCs w:val="12"/>
              </w:rPr>
            </w:pPr>
            <w:r w:rsidRPr="00036C5C">
              <w:rPr>
                <w:rFonts w:ascii="CG Times" w:hAnsi="CG Times" w:cs="CG Times"/>
                <w:sz w:val="12"/>
                <w:szCs w:val="12"/>
              </w:rPr>
              <w:t xml:space="preserve">   Ripagesat</w:t>
            </w:r>
          </w:p>
        </w:tc>
        <w:tc>
          <w:tcPr>
            <w:tcW w:w="0" w:type="auto"/>
            <w:tcBorders>
              <w:top w:val="nil"/>
              <w:left w:val="single" w:sz="12" w:space="0" w:color="auto"/>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-10,180</w:t>
            </w:r>
          </w:p>
        </w:tc>
        <w:tc>
          <w:tcPr>
            <w:tcW w:w="0" w:type="auto"/>
            <w:tcBorders>
              <w:top w:val="nil"/>
              <w:left w:val="nil"/>
              <w:bottom w:val="nil"/>
              <w:right w:val="double" w:sz="6" w:space="0" w:color="auto"/>
            </w:tcBorders>
            <w:shd w:val="clear" w:color="000000" w:fill="CCFFFF"/>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-11,180</w:t>
            </w:r>
          </w:p>
        </w:tc>
        <w:tc>
          <w:tcPr>
            <w:tcW w:w="0" w:type="auto"/>
            <w:tcBorders>
              <w:top w:val="nil"/>
              <w:left w:val="nil"/>
              <w:bottom w:val="nil"/>
              <w:right w:val="double" w:sz="6" w:space="0" w:color="auto"/>
            </w:tcBorders>
            <w:shd w:val="clear" w:color="000000" w:fill="C0C0C0"/>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-1,000</w:t>
            </w:r>
          </w:p>
        </w:tc>
        <w:tc>
          <w:tcPr>
            <w:tcW w:w="0" w:type="auto"/>
            <w:tcBorders>
              <w:top w:val="nil"/>
              <w:left w:val="nil"/>
              <w:bottom w:val="nil"/>
              <w:right w:val="single" w:sz="12" w:space="0" w:color="auto"/>
            </w:tcBorders>
            <w:noWrap/>
            <w:vAlign w:val="bottom"/>
          </w:tcPr>
          <w:p w:rsidR="002616F1" w:rsidRPr="00036C5C" w:rsidRDefault="002616F1" w:rsidP="00EE3F54">
            <w:pPr>
              <w:jc w:val="right"/>
              <w:rPr>
                <w:rFonts w:ascii="CG Times" w:hAnsi="CG Times" w:cs="CG Times"/>
                <w:sz w:val="12"/>
                <w:szCs w:val="12"/>
              </w:rPr>
            </w:pPr>
            <w:r w:rsidRPr="00036C5C">
              <w:rPr>
                <w:rFonts w:ascii="CG Times" w:hAnsi="CG Times" w:cs="CG Times"/>
                <w:sz w:val="12"/>
                <w:szCs w:val="12"/>
              </w:rPr>
              <w:t xml:space="preserve">  Repayments</w:t>
            </w:r>
          </w:p>
        </w:tc>
      </w:tr>
      <w:tr w:rsidR="002616F1" w:rsidRPr="00036C5C" w:rsidTr="00EE3F54">
        <w:trPr>
          <w:trHeight w:val="139"/>
          <w:jc w:val="center"/>
        </w:trPr>
        <w:tc>
          <w:tcPr>
            <w:tcW w:w="0" w:type="auto"/>
            <w:tcBorders>
              <w:top w:val="single" w:sz="12" w:space="0" w:color="auto"/>
              <w:left w:val="single" w:sz="12" w:space="0" w:color="auto"/>
              <w:bottom w:val="single" w:sz="12" w:space="0" w:color="auto"/>
              <w:right w:val="double" w:sz="6" w:space="0" w:color="auto"/>
            </w:tcBorders>
            <w:shd w:val="clear" w:color="000000" w:fill="CCFFFF"/>
            <w:noWrap/>
            <w:vAlign w:val="bottom"/>
          </w:tcPr>
          <w:p w:rsidR="002616F1" w:rsidRPr="00036C5C" w:rsidRDefault="002616F1" w:rsidP="00EE3F54">
            <w:pPr>
              <w:jc w:val="center"/>
              <w:rPr>
                <w:rFonts w:ascii="CG Times" w:hAnsi="CG Times" w:cs="CG Times"/>
                <w:i/>
                <w:iCs/>
                <w:color w:val="000000"/>
                <w:sz w:val="12"/>
                <w:szCs w:val="12"/>
              </w:rPr>
            </w:pPr>
            <w:r w:rsidRPr="00036C5C">
              <w:rPr>
                <w:rFonts w:ascii="CG Times" w:hAnsi="CG Times" w:cs="CG Times"/>
                <w:i/>
                <w:iCs/>
                <w:color w:val="000000"/>
                <w:sz w:val="12"/>
                <w:szCs w:val="12"/>
              </w:rPr>
              <w:t> </w:t>
            </w:r>
          </w:p>
        </w:tc>
        <w:tc>
          <w:tcPr>
            <w:tcW w:w="0" w:type="auto"/>
            <w:tcBorders>
              <w:top w:val="single" w:sz="12" w:space="0" w:color="auto"/>
              <w:left w:val="nil"/>
              <w:bottom w:val="single" w:sz="12" w:space="0" w:color="auto"/>
              <w:right w:val="nil"/>
            </w:tcBorders>
            <w:shd w:val="clear" w:color="000000" w:fill="CCFFFF"/>
            <w:noWrap/>
            <w:vAlign w:val="bottom"/>
          </w:tcPr>
          <w:p w:rsidR="002616F1" w:rsidRPr="00036C5C" w:rsidRDefault="002616F1" w:rsidP="00EE3F54">
            <w:pPr>
              <w:jc w:val="center"/>
              <w:rPr>
                <w:rFonts w:ascii="CG Times" w:hAnsi="CG Times" w:cs="CG Times"/>
                <w:b/>
                <w:bCs/>
                <w:i/>
                <w:iCs/>
                <w:color w:val="000000"/>
                <w:sz w:val="12"/>
                <w:szCs w:val="12"/>
              </w:rPr>
            </w:pPr>
            <w:r w:rsidRPr="00036C5C">
              <w:rPr>
                <w:rFonts w:ascii="CG Times" w:hAnsi="CG Times" w:cs="CG Times"/>
                <w:b/>
                <w:bCs/>
                <w:i/>
                <w:iCs/>
                <w:color w:val="000000"/>
                <w:sz w:val="12"/>
                <w:szCs w:val="12"/>
              </w:rPr>
              <w:t xml:space="preserve">Produkti i Brendshem Bruto (PBB) </w:t>
            </w:r>
          </w:p>
        </w:tc>
        <w:tc>
          <w:tcPr>
            <w:tcW w:w="0" w:type="auto"/>
            <w:tcBorders>
              <w:top w:val="single" w:sz="12" w:space="0" w:color="auto"/>
              <w:left w:val="single" w:sz="12" w:space="0" w:color="auto"/>
              <w:bottom w:val="single" w:sz="12" w:space="0" w:color="auto"/>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i/>
                <w:iCs/>
                <w:color w:val="000000"/>
                <w:sz w:val="12"/>
                <w:szCs w:val="12"/>
              </w:rPr>
            </w:pPr>
            <w:r w:rsidRPr="00036C5C">
              <w:rPr>
                <w:rFonts w:ascii="CG Times" w:hAnsi="CG Times" w:cs="CG Times"/>
                <w:b/>
                <w:bCs/>
                <w:i/>
                <w:iCs/>
                <w:color w:val="000000"/>
                <w:sz w:val="12"/>
                <w:szCs w:val="12"/>
              </w:rPr>
              <w:t>1,389,791</w:t>
            </w:r>
          </w:p>
        </w:tc>
        <w:tc>
          <w:tcPr>
            <w:tcW w:w="0" w:type="auto"/>
            <w:tcBorders>
              <w:top w:val="single" w:sz="12" w:space="0" w:color="auto"/>
              <w:left w:val="nil"/>
              <w:bottom w:val="single" w:sz="12" w:space="0" w:color="auto"/>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i/>
                <w:iCs/>
                <w:color w:val="000000"/>
                <w:sz w:val="12"/>
                <w:szCs w:val="12"/>
              </w:rPr>
            </w:pPr>
            <w:r w:rsidRPr="00036C5C">
              <w:rPr>
                <w:rFonts w:ascii="CG Times" w:hAnsi="CG Times" w:cs="CG Times"/>
                <w:b/>
                <w:bCs/>
                <w:i/>
                <w:iCs/>
                <w:color w:val="000000"/>
                <w:sz w:val="12"/>
                <w:szCs w:val="12"/>
              </w:rPr>
              <w:t>1,360,914</w:t>
            </w:r>
          </w:p>
        </w:tc>
        <w:tc>
          <w:tcPr>
            <w:tcW w:w="0" w:type="auto"/>
            <w:tcBorders>
              <w:top w:val="single" w:sz="12" w:space="0" w:color="auto"/>
              <w:left w:val="nil"/>
              <w:bottom w:val="single" w:sz="12" w:space="0" w:color="auto"/>
              <w:right w:val="double" w:sz="6" w:space="0" w:color="auto"/>
            </w:tcBorders>
            <w:shd w:val="clear" w:color="000000" w:fill="CCFFFF"/>
            <w:noWrap/>
            <w:vAlign w:val="bottom"/>
          </w:tcPr>
          <w:p w:rsidR="002616F1" w:rsidRPr="00036C5C" w:rsidRDefault="002616F1" w:rsidP="00EE3F54">
            <w:pPr>
              <w:jc w:val="right"/>
              <w:rPr>
                <w:rFonts w:ascii="CG Times" w:hAnsi="CG Times" w:cs="CG Times"/>
                <w:b/>
                <w:bCs/>
                <w:i/>
                <w:iCs/>
                <w:color w:val="000000"/>
                <w:sz w:val="12"/>
                <w:szCs w:val="12"/>
              </w:rPr>
            </w:pPr>
            <w:r w:rsidRPr="00036C5C">
              <w:rPr>
                <w:rFonts w:ascii="CG Times" w:hAnsi="CG Times" w:cs="CG Times"/>
                <w:b/>
                <w:bCs/>
                <w:i/>
                <w:iCs/>
                <w:color w:val="000000"/>
                <w:sz w:val="12"/>
                <w:szCs w:val="12"/>
              </w:rPr>
              <w:t>-28,877</w:t>
            </w:r>
          </w:p>
        </w:tc>
        <w:tc>
          <w:tcPr>
            <w:tcW w:w="0" w:type="auto"/>
            <w:tcBorders>
              <w:top w:val="single" w:sz="12" w:space="0" w:color="auto"/>
              <w:left w:val="nil"/>
              <w:bottom w:val="single" w:sz="12" w:space="0" w:color="auto"/>
              <w:right w:val="single" w:sz="12" w:space="0" w:color="auto"/>
            </w:tcBorders>
            <w:shd w:val="clear" w:color="000000" w:fill="CCFFFF"/>
            <w:noWrap/>
            <w:vAlign w:val="bottom"/>
          </w:tcPr>
          <w:p w:rsidR="002616F1" w:rsidRPr="00036C5C" w:rsidRDefault="002616F1" w:rsidP="00EE3F54">
            <w:pPr>
              <w:jc w:val="right"/>
              <w:rPr>
                <w:rFonts w:ascii="CG Times" w:hAnsi="CG Times" w:cs="CG Times"/>
                <w:i/>
                <w:iCs/>
                <w:color w:val="000000"/>
                <w:sz w:val="12"/>
                <w:szCs w:val="12"/>
              </w:rPr>
            </w:pPr>
            <w:r w:rsidRPr="00036C5C">
              <w:rPr>
                <w:rFonts w:ascii="CG Times" w:hAnsi="CG Times" w:cs="CG Times"/>
                <w:i/>
                <w:iCs/>
                <w:color w:val="000000"/>
                <w:sz w:val="12"/>
                <w:szCs w:val="12"/>
              </w:rPr>
              <w:t> </w:t>
            </w:r>
          </w:p>
        </w:tc>
      </w:tr>
    </w:tbl>
    <w:p w:rsidR="002616F1" w:rsidRDefault="002616F1" w:rsidP="00B500A0">
      <w:pPr>
        <w:pStyle w:val="Paragrafi"/>
        <w:rPr>
          <w:rFonts w:cs="Times New Roman"/>
          <w:lang w:val="sq-AL"/>
        </w:rPr>
      </w:pPr>
    </w:p>
    <w:p w:rsidR="002616F1" w:rsidRDefault="002616F1" w:rsidP="00B500A0">
      <w:pPr>
        <w:pStyle w:val="Paragrafi"/>
        <w:rPr>
          <w:rFonts w:cs="Times New Roman"/>
          <w:lang w:val="sq-AL"/>
        </w:rPr>
      </w:pPr>
    </w:p>
    <w:p w:rsidR="002616F1" w:rsidRDefault="002616F1" w:rsidP="00B500A0">
      <w:pPr>
        <w:pStyle w:val="Paragrafi"/>
        <w:rPr>
          <w:rFonts w:cs="Times New Roman"/>
          <w:lang w:val="sq-AL"/>
        </w:rPr>
      </w:pPr>
    </w:p>
    <w:p w:rsidR="002616F1" w:rsidRDefault="002616F1" w:rsidP="00B500A0">
      <w:pPr>
        <w:pStyle w:val="Paragrafi"/>
        <w:rPr>
          <w:rFonts w:cs="Times New Roman"/>
          <w:lang w:val="sq-AL"/>
        </w:rPr>
      </w:pPr>
    </w:p>
    <w:p w:rsidR="002616F1" w:rsidRDefault="002616F1" w:rsidP="00B500A0">
      <w:pPr>
        <w:pStyle w:val="Paragrafi"/>
        <w:rPr>
          <w:rFonts w:cs="Times New Roman"/>
          <w:lang w:val="sq-AL"/>
        </w:rPr>
      </w:pPr>
    </w:p>
    <w:p w:rsidR="00721C49" w:rsidRPr="00036C5C" w:rsidRDefault="00721C49" w:rsidP="00721C49">
      <w:pPr>
        <w:pStyle w:val="Akti"/>
        <w:rPr>
          <w:noProof/>
          <w:lang w:val="sq-AL"/>
        </w:rPr>
      </w:pPr>
      <w:r w:rsidRPr="00036C5C">
        <w:rPr>
          <w:noProof/>
          <w:lang w:val="sq-AL"/>
        </w:rPr>
        <w:lastRenderedPageBreak/>
        <w:t>UDHËZIM</w:t>
      </w:r>
    </w:p>
    <w:p w:rsidR="00721C49" w:rsidRPr="00036C5C" w:rsidRDefault="00721C49" w:rsidP="00721C49">
      <w:pPr>
        <w:pStyle w:val="Numri"/>
        <w:rPr>
          <w:noProof/>
          <w:lang w:val="sq-AL"/>
        </w:rPr>
      </w:pPr>
      <w:r w:rsidRPr="00036C5C">
        <w:rPr>
          <w:noProof/>
          <w:lang w:val="sq-AL"/>
        </w:rPr>
        <w:t>Nr. 370, datë 7.12.2012</w:t>
      </w:r>
    </w:p>
    <w:p w:rsidR="00721C49" w:rsidRPr="00036C5C" w:rsidRDefault="00721C49" w:rsidP="00721C49">
      <w:pPr>
        <w:pStyle w:val="Paragrafi"/>
        <w:rPr>
          <w:rFonts w:cs="Times New Roman"/>
          <w:noProof/>
          <w:lang w:val="sq-AL"/>
        </w:rPr>
      </w:pPr>
    </w:p>
    <w:p w:rsidR="00721C49" w:rsidRPr="00036C5C" w:rsidRDefault="00721C49" w:rsidP="00721C49">
      <w:pPr>
        <w:pStyle w:val="Titulli"/>
        <w:rPr>
          <w:noProof/>
          <w:lang w:val="sq-AL"/>
        </w:rPr>
      </w:pPr>
      <w:r w:rsidRPr="00036C5C">
        <w:rPr>
          <w:noProof/>
          <w:lang w:val="sq-AL"/>
        </w:rPr>
        <w:t>PËR PROCEDURAT E PASTRIMIT TË DUBLIMEVE TË SHTETASVE SHQIPTARË NGA REGJISTRAT THEMELTARË DHE REGJISTRI KOMBËTAR I GJENDJES CIVILE</w:t>
      </w:r>
    </w:p>
    <w:p w:rsidR="00721C49" w:rsidRPr="00036C5C" w:rsidRDefault="00721C49" w:rsidP="00721C49">
      <w:pPr>
        <w:pStyle w:val="Paragrafi"/>
        <w:rPr>
          <w:rFonts w:cs="Times New Roman"/>
          <w:noProof/>
          <w:lang w:val="sq-AL"/>
        </w:rPr>
      </w:pPr>
    </w:p>
    <w:p w:rsidR="00721C49" w:rsidRPr="00036C5C" w:rsidRDefault="00721C49" w:rsidP="00721C49">
      <w:pPr>
        <w:pStyle w:val="Paragrafi"/>
        <w:rPr>
          <w:lang w:val="sq-AL"/>
        </w:rPr>
      </w:pPr>
      <w:r>
        <w:rPr>
          <w:noProof/>
          <w:lang w:val="sq-AL"/>
        </w:rPr>
        <w:t>Në zbatim të nenit 102, pika 4 të</w:t>
      </w:r>
      <w:r w:rsidRPr="00036C5C">
        <w:rPr>
          <w:noProof/>
          <w:lang w:val="sq-AL"/>
        </w:rPr>
        <w:t xml:space="preserve"> Kushtetutës së Republikës së Shq</w:t>
      </w:r>
      <w:r>
        <w:rPr>
          <w:noProof/>
          <w:lang w:val="sq-AL"/>
        </w:rPr>
        <w:t>ipërisë, në mbështetje  të neneve</w:t>
      </w:r>
      <w:r w:rsidRPr="00036C5C">
        <w:rPr>
          <w:noProof/>
          <w:lang w:val="sq-AL"/>
        </w:rPr>
        <w:t xml:space="preserve"> 14,15, të pikës 3 të nenit 30, të nenit 36, të germave “a”, “c” dhe “d” të nenit 65 të lig</w:t>
      </w:r>
      <w:r>
        <w:rPr>
          <w:noProof/>
          <w:lang w:val="sq-AL"/>
        </w:rPr>
        <w:t>jit nr. 10129, datë 11.5.2009 “</w:t>
      </w:r>
      <w:r w:rsidRPr="00036C5C">
        <w:rPr>
          <w:noProof/>
          <w:lang w:val="sq-AL"/>
        </w:rPr>
        <w:t>Për gjendjen civile”, si dhe në mbështetje  të vendimit të Këshillit të Ministrave nr. 1243, datë 11.12.2009 “Për përcaktimin e dokumenteve që duhet të paraqesin shtetasit, e të procedurave, që duhet të kryejnë zyrat e gjendjes civile, në bashki/njësi bashkiake/komuna dhe institucionet shtetërore të posaçme, për ndryshimin e vendbanimit/adresës së shtetasve</w:t>
      </w:r>
      <w:r w:rsidRPr="00036C5C">
        <w:rPr>
          <w:lang w:val="sq-AL"/>
        </w:rPr>
        <w:t>”, me propozim të Drejtorisë së Përgjithshme të Gjendjes Civile,</w:t>
      </w:r>
    </w:p>
    <w:p w:rsidR="00E36FD1" w:rsidRDefault="00E36FD1" w:rsidP="00721C49">
      <w:pPr>
        <w:pStyle w:val="VENDOSI"/>
        <w:rPr>
          <w:lang w:val="sq-AL"/>
        </w:rPr>
      </w:pPr>
    </w:p>
    <w:p w:rsidR="00721C49" w:rsidRPr="00036C5C" w:rsidRDefault="00721C49" w:rsidP="00721C49">
      <w:pPr>
        <w:pStyle w:val="VENDOSI"/>
        <w:rPr>
          <w:lang w:val="sq-AL"/>
        </w:rPr>
      </w:pPr>
      <w:r w:rsidRPr="00036C5C">
        <w:rPr>
          <w:lang w:val="sq-AL"/>
        </w:rPr>
        <w:t>UDHËZOJ:</w:t>
      </w:r>
    </w:p>
    <w:p w:rsidR="00721C49" w:rsidRPr="00036C5C" w:rsidRDefault="00721C49" w:rsidP="00721C49">
      <w:pPr>
        <w:pStyle w:val="Paragrafi"/>
        <w:rPr>
          <w:rFonts w:cs="Times New Roman"/>
          <w:lang w:val="sq-AL"/>
        </w:rPr>
      </w:pPr>
    </w:p>
    <w:p w:rsidR="00721C49" w:rsidRPr="00036C5C" w:rsidRDefault="00721C49" w:rsidP="00721C49">
      <w:pPr>
        <w:pStyle w:val="TitulliTitull"/>
        <w:ind w:firstLine="720"/>
        <w:jc w:val="left"/>
        <w:rPr>
          <w:lang w:val="sq-AL"/>
        </w:rPr>
      </w:pPr>
      <w:r w:rsidRPr="00036C5C">
        <w:rPr>
          <w:lang w:val="sq-AL"/>
        </w:rPr>
        <w:t>I. VEPRIMTARITË PARAPRAKE</w:t>
      </w:r>
    </w:p>
    <w:p w:rsidR="00721C49" w:rsidRPr="00036C5C" w:rsidRDefault="00721C49" w:rsidP="00721C49">
      <w:pPr>
        <w:pStyle w:val="Paragrafi"/>
        <w:ind w:firstLine="0"/>
        <w:rPr>
          <w:lang w:val="sq-AL"/>
        </w:rPr>
      </w:pPr>
      <w:r w:rsidRPr="00036C5C">
        <w:rPr>
          <w:rFonts w:cs="Times New Roman"/>
          <w:lang w:val="sq-AL"/>
        </w:rPr>
        <w:tab/>
      </w:r>
      <w:r w:rsidRPr="00036C5C">
        <w:rPr>
          <w:lang w:val="sq-AL"/>
        </w:rPr>
        <w:t>1. Drejtoria e Përgjithshme e Gjendjes Civile, mbështetur në bazën e të dhënave të  Regjistrit Kombëtar të Gjendjes Civile, të identifikojë dhe të hartojë listën e shtetasve të dyshuar si të dubluar, sipas procedurës në aneksin nr. 1.</w:t>
      </w:r>
    </w:p>
    <w:p w:rsidR="00721C49" w:rsidRPr="00036C5C" w:rsidRDefault="00721C49" w:rsidP="00721C49">
      <w:pPr>
        <w:pStyle w:val="Paragrafi"/>
        <w:rPr>
          <w:lang w:val="sq-AL"/>
        </w:rPr>
      </w:pPr>
      <w:r w:rsidRPr="00036C5C">
        <w:rPr>
          <w:lang w:val="sq-AL"/>
        </w:rPr>
        <w:t xml:space="preserve">Drejtoria e Përgjithshme e Gjendjes Civile verifikon edhe listat me emra të personave të dyshuar si të dubluar që mund të dërgojnë institucionet shtetërore të përfshira në procesin zgjedhor, si: Komisioni Qendror i Zgjedhjeve; bashki/njësi bashkiake dhe  komuna në formatin elektronik excel me rubrikat: emri, mbiemri, emri </w:t>
      </w:r>
      <w:r>
        <w:rPr>
          <w:lang w:val="sq-AL"/>
        </w:rPr>
        <w:t xml:space="preserve">i </w:t>
      </w:r>
      <w:r w:rsidRPr="00036C5C">
        <w:rPr>
          <w:lang w:val="sq-AL"/>
        </w:rPr>
        <w:t xml:space="preserve">babait, emri </w:t>
      </w:r>
      <w:r>
        <w:rPr>
          <w:lang w:val="sq-AL"/>
        </w:rPr>
        <w:t xml:space="preserve">i </w:t>
      </w:r>
      <w:r w:rsidRPr="00036C5C">
        <w:rPr>
          <w:lang w:val="sq-AL"/>
        </w:rPr>
        <w:t>nënës, datëlindja, vendlindja, gjinia, numri personal (në pamundësi të numrit personal, numri rendor sipas ekstraktit të përbërësve zgjedhorë) dhe vendbanimi (njësia vendore)</w:t>
      </w:r>
      <w:bookmarkStart w:id="0" w:name="_GoBack"/>
      <w:bookmarkEnd w:id="0"/>
      <w:r w:rsidRPr="00036C5C">
        <w:rPr>
          <w:lang w:val="sq-AL"/>
        </w:rPr>
        <w:t xml:space="preserve">. Këto lista dorëzohen në DPGJC brenda 20 (njëzet) ditëve nga publikimi i ekstraktit të parë të përbërësve zgjedhorë sipas Kodit Zgjedhor të Republikës së Shqipërisë. DPGJC-ja  i grupon këto lista në një listë sipas formatit të aneksit nr. 2. </w:t>
      </w:r>
    </w:p>
    <w:p w:rsidR="00721C49" w:rsidRPr="00036C5C" w:rsidRDefault="00721C49" w:rsidP="00721C49">
      <w:pPr>
        <w:pStyle w:val="Paragrafi"/>
        <w:rPr>
          <w:lang w:val="sq-AL"/>
        </w:rPr>
      </w:pPr>
      <w:r w:rsidRPr="00036C5C">
        <w:rPr>
          <w:lang w:val="sq-AL"/>
        </w:rPr>
        <w:t>2. Drejtoria e Përgjithshme e Gjendjes Civile, listën sipas aneksit nr. 1 do ta ballafaqojë me listën emërore, sipas aneksit nr. 3, në të cilën përfshihen binjakët dhe personat e ndryshëm të identifikuar nga zyrat e gjendjes civile nga zbatimi i udhëzimit nr. 359, datë 11.10.2010 të Ministrit të Brendshëm.</w:t>
      </w:r>
    </w:p>
    <w:p w:rsidR="00721C49" w:rsidRPr="00036C5C" w:rsidRDefault="00721C49" w:rsidP="00721C49">
      <w:pPr>
        <w:pStyle w:val="Paragrafi"/>
        <w:rPr>
          <w:lang w:val="sq-AL"/>
        </w:rPr>
      </w:pPr>
      <w:r w:rsidRPr="00036C5C">
        <w:rPr>
          <w:lang w:val="sq-AL"/>
        </w:rPr>
        <w:t>3. Drejtoria e Përgjithshme e Gjendjes Civile, listën e përftuar nga procedura sipas pikës 2, do ta ballafaqojë me bazën e të dhënave të shtetasve që janë pajisur me letërnjoftim elektronik.</w:t>
      </w:r>
    </w:p>
    <w:p w:rsidR="00721C49" w:rsidRPr="00036C5C" w:rsidRDefault="00721C49" w:rsidP="00721C49">
      <w:pPr>
        <w:pStyle w:val="Paragrafi"/>
        <w:rPr>
          <w:lang w:val="sq-AL"/>
        </w:rPr>
      </w:pPr>
      <w:r w:rsidRPr="00036C5C">
        <w:rPr>
          <w:lang w:val="sq-AL"/>
        </w:rPr>
        <w:t>4. Drejtoria e Përgjithshme e Gjendjes Civile, listën e ardhur nga institucionet shtetërore të përfshira në proces, të hartuar sipas aneksit nr. 2, do ta ballafaqojë  me RKGJC. Listën që përftohet nga ky proces, do ta ballafaqojë me listën sipas aneksit nr. 3.</w:t>
      </w:r>
    </w:p>
    <w:p w:rsidR="00721C49" w:rsidRPr="00036C5C" w:rsidRDefault="00721C49" w:rsidP="00721C49">
      <w:pPr>
        <w:pStyle w:val="Paragrafi"/>
        <w:rPr>
          <w:lang w:val="sq-AL"/>
        </w:rPr>
      </w:pPr>
      <w:r w:rsidRPr="00036C5C">
        <w:rPr>
          <w:lang w:val="sq-AL"/>
        </w:rPr>
        <w:t>5. Listën e përftuar sipas pikës 4 të këtij udhëzimi,  do ta ballafaqojë me bazën e të dhënave të shtetasve që janë pajisur me letërnjoftim.</w:t>
      </w:r>
    </w:p>
    <w:p w:rsidR="00721C49" w:rsidRPr="00036C5C" w:rsidRDefault="00721C49" w:rsidP="00721C49">
      <w:pPr>
        <w:pStyle w:val="Paragrafi"/>
        <w:rPr>
          <w:rFonts w:cs="Times New Roman"/>
          <w:lang w:val="sq-AL"/>
        </w:rPr>
      </w:pPr>
      <w:r w:rsidRPr="00036C5C">
        <w:rPr>
          <w:lang w:val="sq-AL"/>
        </w:rPr>
        <w:t xml:space="preserve">6. Drejtoria e Përgjithshme e Gjendjes Civile,  listën e përftuar sipas procedurës së pikës 3  </w:t>
      </w:r>
      <w:r>
        <w:rPr>
          <w:lang w:val="sq-AL"/>
        </w:rPr>
        <w:t xml:space="preserve"> e dërgon  në çdo zyrë të</w:t>
      </w:r>
      <w:r w:rsidRPr="00036C5C">
        <w:rPr>
          <w:lang w:val="sq-AL"/>
        </w:rPr>
        <w:t xml:space="preserve"> gjendjes civile në bashki/njësi bashkiake/komunë, brenda 15 ditëve nga hyrja në fuqi e këtij udhëzimi.</w:t>
      </w:r>
    </w:p>
    <w:p w:rsidR="00721C49" w:rsidRPr="00036C5C" w:rsidRDefault="00721C49" w:rsidP="00721C49">
      <w:pPr>
        <w:pStyle w:val="Paragrafi"/>
        <w:rPr>
          <w:lang w:val="sq-AL"/>
        </w:rPr>
      </w:pPr>
      <w:r w:rsidRPr="00036C5C">
        <w:rPr>
          <w:lang w:val="sq-AL"/>
        </w:rPr>
        <w:t>Listën e përftuar sipas pikës 5,  DPGJC e dërgon në çdo zyrë të gjendjes civile në bashki/njësi bashkiake/komunë brenda 5 ditëve  nga marrja e listës nga inst</w:t>
      </w:r>
      <w:r>
        <w:rPr>
          <w:lang w:val="sq-AL"/>
        </w:rPr>
        <w:t>itucionet e përfshira në proces</w:t>
      </w:r>
      <w:r w:rsidRPr="00036C5C">
        <w:rPr>
          <w:lang w:val="sq-AL"/>
        </w:rPr>
        <w:t>. Listat emërore  të shtetasve të dyshuar si të dubluar,  grupohen si më poshtë:</w:t>
      </w:r>
    </w:p>
    <w:p w:rsidR="00721C49" w:rsidRPr="00036C5C" w:rsidRDefault="00721C49" w:rsidP="00721C49">
      <w:pPr>
        <w:pStyle w:val="Paragrafi"/>
        <w:rPr>
          <w:lang w:val="sq-AL"/>
        </w:rPr>
      </w:pPr>
      <w:r w:rsidRPr="00036C5C">
        <w:rPr>
          <w:lang w:val="sq-AL"/>
        </w:rPr>
        <w:t>a) Dublime të dyshuara brenda së njëjtës zyrë të gjendjes civile.</w:t>
      </w:r>
    </w:p>
    <w:p w:rsidR="00721C49" w:rsidRPr="00036C5C" w:rsidRDefault="00721C49" w:rsidP="00721C49">
      <w:pPr>
        <w:pStyle w:val="Paragrafi"/>
        <w:rPr>
          <w:lang w:val="sq-AL"/>
        </w:rPr>
      </w:pPr>
      <w:r w:rsidRPr="00036C5C">
        <w:rPr>
          <w:lang w:val="sq-AL"/>
        </w:rPr>
        <w:t>b) Dublime të dyshuara midis zyrave të gjendjes civile.</w:t>
      </w:r>
    </w:p>
    <w:p w:rsidR="00721C49" w:rsidRPr="00036C5C" w:rsidRDefault="00721C49" w:rsidP="00721C49">
      <w:pPr>
        <w:pStyle w:val="Paragrafi"/>
        <w:rPr>
          <w:lang w:val="sq-AL"/>
        </w:rPr>
      </w:pPr>
      <w:r w:rsidRPr="00036C5C">
        <w:rPr>
          <w:lang w:val="sq-AL"/>
        </w:rPr>
        <w:t>7. Zyra e gjendjes civile</w:t>
      </w:r>
      <w:r>
        <w:rPr>
          <w:lang w:val="sq-AL"/>
        </w:rPr>
        <w:t>,</w:t>
      </w:r>
      <w:r w:rsidRPr="00036C5C">
        <w:rPr>
          <w:lang w:val="sq-AL"/>
        </w:rPr>
        <w:t xml:space="preserve"> pasi të marrë listën emërore, mbledh gjithë informacionin  e nevojshëm për këta shtetas, si:</w:t>
      </w:r>
    </w:p>
    <w:p w:rsidR="00721C49" w:rsidRPr="00036C5C" w:rsidRDefault="00721C49" w:rsidP="00721C49">
      <w:pPr>
        <w:pStyle w:val="Paragrafi"/>
        <w:rPr>
          <w:rFonts w:cs="Times New Roman"/>
          <w:lang w:val="sq-AL"/>
        </w:rPr>
      </w:pPr>
      <w:r w:rsidRPr="00036C5C">
        <w:rPr>
          <w:lang w:val="sq-AL"/>
        </w:rPr>
        <w:lastRenderedPageBreak/>
        <w:t>- datën e regjistrimit në regjistrin themeltar;</w:t>
      </w:r>
    </w:p>
    <w:p w:rsidR="00721C49" w:rsidRPr="00036C5C" w:rsidRDefault="00721C49" w:rsidP="00721C49">
      <w:pPr>
        <w:pStyle w:val="Paragrafi"/>
        <w:rPr>
          <w:rFonts w:cs="Times New Roman"/>
          <w:lang w:val="sq-AL"/>
        </w:rPr>
      </w:pPr>
      <w:r w:rsidRPr="00036C5C">
        <w:rPr>
          <w:lang w:val="sq-AL"/>
        </w:rPr>
        <w:t>- arsyen e regjistrimit;</w:t>
      </w:r>
    </w:p>
    <w:p w:rsidR="00721C49" w:rsidRPr="00036C5C" w:rsidRDefault="00721C49" w:rsidP="00721C49">
      <w:pPr>
        <w:pStyle w:val="Paragrafi"/>
        <w:rPr>
          <w:lang w:val="sq-AL"/>
        </w:rPr>
      </w:pPr>
      <w:r w:rsidRPr="00036C5C">
        <w:rPr>
          <w:lang w:val="sq-AL"/>
        </w:rPr>
        <w:t xml:space="preserve">- zyrën e gjendjes civile nga ka ardhur; </w:t>
      </w:r>
    </w:p>
    <w:p w:rsidR="00721C49" w:rsidRPr="00036C5C" w:rsidRDefault="00721C49" w:rsidP="00721C49">
      <w:pPr>
        <w:pStyle w:val="Paragrafi"/>
        <w:rPr>
          <w:lang w:val="sq-AL"/>
        </w:rPr>
      </w:pPr>
      <w:r w:rsidRPr="00036C5C">
        <w:rPr>
          <w:lang w:val="sq-AL"/>
        </w:rPr>
        <w:t>- si dhe çdo informacion tjetër që ndihmon në saktësinë e procedurës së pastrimit të dublimit për individin/familjen.</w:t>
      </w:r>
    </w:p>
    <w:p w:rsidR="00721C49" w:rsidRPr="00036C5C" w:rsidRDefault="00721C49" w:rsidP="00721C49">
      <w:pPr>
        <w:pStyle w:val="TitulliTitull"/>
        <w:ind w:firstLine="720"/>
        <w:rPr>
          <w:rFonts w:cs="Times New Roman"/>
          <w:lang w:val="sq-AL"/>
        </w:rPr>
      </w:pPr>
      <w:r w:rsidRPr="00036C5C">
        <w:rPr>
          <w:lang w:val="sq-AL"/>
        </w:rPr>
        <w:t>II. VEPRIMET ME DUBLIMET BRENDA S</w:t>
      </w:r>
      <w:r>
        <w:rPr>
          <w:lang w:val="sq-AL"/>
        </w:rPr>
        <w:t>ë</w:t>
      </w:r>
      <w:r w:rsidRPr="00036C5C">
        <w:rPr>
          <w:lang w:val="sq-AL"/>
        </w:rPr>
        <w:t xml:space="preserve"> NJËJTËS ZYR</w:t>
      </w:r>
      <w:r>
        <w:rPr>
          <w:lang w:val="sq-AL"/>
        </w:rPr>
        <w:t>ë</w:t>
      </w:r>
      <w:r w:rsidRPr="00036C5C">
        <w:rPr>
          <w:lang w:val="sq-AL"/>
        </w:rPr>
        <w:t xml:space="preserve"> T</w:t>
      </w:r>
      <w:r>
        <w:rPr>
          <w:lang w:val="sq-AL"/>
        </w:rPr>
        <w:t>ë</w:t>
      </w:r>
      <w:r w:rsidRPr="00036C5C">
        <w:rPr>
          <w:lang w:val="sq-AL"/>
        </w:rPr>
        <w:t xml:space="preserve"> GJENDJES CIVILE</w:t>
      </w:r>
    </w:p>
    <w:p w:rsidR="00721C49" w:rsidRPr="00036C5C" w:rsidRDefault="00721C49" w:rsidP="00721C49">
      <w:pPr>
        <w:pStyle w:val="Paragrafi"/>
        <w:rPr>
          <w:lang w:val="sq-AL"/>
        </w:rPr>
      </w:pPr>
      <w:r w:rsidRPr="00036C5C">
        <w:rPr>
          <w:lang w:val="sq-AL"/>
        </w:rPr>
        <w:t xml:space="preserve">8. Përgjegjësi i zyrës së gjendjes civile, pasi ka mbledhur informacionin sipas pikës 7, fillon së pari me grupin e shtetasve të  dyshuar si të dubluar brenda zyrës. </w:t>
      </w:r>
    </w:p>
    <w:p w:rsidR="00721C49" w:rsidRPr="00036C5C" w:rsidRDefault="00721C49" w:rsidP="00721C49">
      <w:pPr>
        <w:pStyle w:val="Paragrafi"/>
        <w:rPr>
          <w:lang w:val="sq-AL"/>
        </w:rPr>
      </w:pPr>
      <w:r w:rsidRPr="00036C5C">
        <w:rPr>
          <w:lang w:val="sq-AL"/>
        </w:rPr>
        <w:t xml:space="preserve">9. Për këtë përgjegjësi i zyrës së gjendjes civile duhet të gjejë, të kontrollojë dhe </w:t>
      </w:r>
      <w:r>
        <w:rPr>
          <w:lang w:val="sq-AL"/>
        </w:rPr>
        <w:t xml:space="preserve">të </w:t>
      </w:r>
      <w:r w:rsidRPr="00036C5C">
        <w:rPr>
          <w:lang w:val="sq-AL"/>
        </w:rPr>
        <w:t>krahasojë  përbërësit e gjendjes civile të  këtyre shtetasve në regjistrin themeltar. Në rast se këto të dhëna përputhen dhe krijon bindjen se është i njëjti individ/familje, atëherë duhet të çregjistrojë individin/familjen në fletën ku  arsyeton se duhet të kryhet. Për këtë duhet të shfrytëzojë të gjitha të dhënat e tjera shtesë që ka regjistri për individin/familjen.</w:t>
      </w:r>
    </w:p>
    <w:p w:rsidR="00721C49" w:rsidRPr="00036C5C" w:rsidRDefault="00721C49" w:rsidP="00721C49">
      <w:pPr>
        <w:pStyle w:val="Paragrafi"/>
        <w:rPr>
          <w:lang w:val="sq-AL"/>
        </w:rPr>
      </w:pPr>
      <w:r w:rsidRPr="00036C5C">
        <w:rPr>
          <w:lang w:val="sq-AL"/>
        </w:rPr>
        <w:t>10. Pasi ka mbaruar me veprimet në regjistrin themeltar</w:t>
      </w:r>
      <w:r>
        <w:rPr>
          <w:lang w:val="sq-AL"/>
        </w:rPr>
        <w:t>,</w:t>
      </w:r>
      <w:r w:rsidRPr="00036C5C">
        <w:rPr>
          <w:lang w:val="sq-AL"/>
        </w:rPr>
        <w:t xml:space="preserve"> duhet të fillojë procedurën me veprimet në Regjistrin Kombëtar të Gjendjes Civile.</w:t>
      </w:r>
    </w:p>
    <w:p w:rsidR="00721C49" w:rsidRPr="00036C5C" w:rsidRDefault="00721C49" w:rsidP="00721C49">
      <w:pPr>
        <w:pStyle w:val="Paragrafi"/>
        <w:rPr>
          <w:lang w:val="sq-AL"/>
        </w:rPr>
      </w:pPr>
      <w:r w:rsidRPr="00036C5C">
        <w:rPr>
          <w:lang w:val="sq-AL"/>
        </w:rPr>
        <w:t>Për të gjitha rastet e konstatuara si të dubluara apo fiktive, për individin/familjen, do të kryejë veprimet në RKGJC, sipas manualit bashkëlidhur.</w:t>
      </w:r>
    </w:p>
    <w:p w:rsidR="00721C49" w:rsidRPr="00036C5C" w:rsidRDefault="00721C49" w:rsidP="00721C49">
      <w:pPr>
        <w:pStyle w:val="Paragrafi"/>
        <w:rPr>
          <w:rFonts w:cs="Times New Roman"/>
          <w:lang w:val="sq-AL"/>
        </w:rPr>
      </w:pPr>
      <w:r w:rsidRPr="00036C5C">
        <w:rPr>
          <w:lang w:val="sq-AL"/>
        </w:rPr>
        <w:t xml:space="preserve">III. VEPRIMET ME DUBLIMET </w:t>
      </w:r>
      <w:r>
        <w:rPr>
          <w:lang w:val="sq-AL"/>
        </w:rPr>
        <w:t>MIDIS ZYRAVE TE GJENDJES CIVILE</w:t>
      </w:r>
    </w:p>
    <w:p w:rsidR="00721C49" w:rsidRPr="00036C5C" w:rsidRDefault="00721C49" w:rsidP="00721C49">
      <w:pPr>
        <w:pStyle w:val="Paragrafi"/>
        <w:rPr>
          <w:lang w:val="sq-AL"/>
        </w:rPr>
      </w:pPr>
      <w:r w:rsidRPr="00036C5C">
        <w:rPr>
          <w:lang w:val="sq-AL"/>
        </w:rPr>
        <w:t>Grupi parë (në regjistrin themeltar kemi shënime në rubrikën “burimi i informacionit”)</w:t>
      </w:r>
    </w:p>
    <w:p w:rsidR="00721C49" w:rsidRPr="00036C5C" w:rsidRDefault="00721C49" w:rsidP="00721C49">
      <w:pPr>
        <w:pStyle w:val="Paragrafi"/>
        <w:rPr>
          <w:lang w:val="sq-AL"/>
        </w:rPr>
      </w:pPr>
      <w:r w:rsidRPr="00036C5C">
        <w:rPr>
          <w:lang w:val="sq-AL"/>
        </w:rPr>
        <w:t>11</w:t>
      </w:r>
      <w:r>
        <w:rPr>
          <w:lang w:val="sq-AL"/>
        </w:rPr>
        <w:t>. Secila zyrë e gjendjes civile</w:t>
      </w:r>
      <w:r w:rsidRPr="00036C5C">
        <w:rPr>
          <w:lang w:val="sq-AL"/>
        </w:rPr>
        <w:t xml:space="preserve"> do të ballafaqojë nëse të dhënat e individit/familjes, që gjendet në listën e sjellë nga DPGJC, janë në përputhje me të dhënat e individit/familjes që ka të regjistruar në regjistrat themeltarë.</w:t>
      </w:r>
    </w:p>
    <w:p w:rsidR="00721C49" w:rsidRPr="00036C5C" w:rsidRDefault="00721C49" w:rsidP="00721C49">
      <w:pPr>
        <w:pStyle w:val="Paragrafi"/>
        <w:rPr>
          <w:lang w:val="sq-AL"/>
        </w:rPr>
      </w:pPr>
      <w:r w:rsidRPr="00036C5C">
        <w:rPr>
          <w:lang w:val="sq-AL"/>
        </w:rPr>
        <w:t>12. Kur  binden se të dhënat i përkasin këtij individi/familje, atëherë i krahasojnë me të dhënat që kanë në RKGJC.</w:t>
      </w:r>
    </w:p>
    <w:p w:rsidR="00721C49" w:rsidRPr="00036C5C" w:rsidRDefault="00721C49" w:rsidP="00721C49">
      <w:pPr>
        <w:pStyle w:val="Paragrafi"/>
        <w:rPr>
          <w:lang w:val="sq-AL"/>
        </w:rPr>
      </w:pPr>
      <w:r w:rsidRPr="00036C5C">
        <w:rPr>
          <w:lang w:val="sq-AL"/>
        </w:rPr>
        <w:t>13. Zyra e gjendjes civile</w:t>
      </w:r>
      <w:r>
        <w:rPr>
          <w:lang w:val="sq-AL"/>
        </w:rPr>
        <w:t>,</w:t>
      </w:r>
      <w:r w:rsidRPr="00036C5C">
        <w:rPr>
          <w:lang w:val="sq-AL"/>
        </w:rPr>
        <w:t xml:space="preserve"> që verifikon se:</w:t>
      </w:r>
    </w:p>
    <w:p w:rsidR="00721C49" w:rsidRPr="00036C5C" w:rsidRDefault="00721C49" w:rsidP="00721C49">
      <w:pPr>
        <w:pStyle w:val="Paragrafi"/>
        <w:rPr>
          <w:lang w:val="sq-AL"/>
        </w:rPr>
      </w:pPr>
      <w:r>
        <w:rPr>
          <w:lang w:val="sq-AL"/>
        </w:rPr>
        <w:t>a) shënimet në rubrikën “</w:t>
      </w:r>
      <w:r w:rsidRPr="00036C5C">
        <w:rPr>
          <w:lang w:val="sq-AL"/>
        </w:rPr>
        <w:t>Burimi i informacionit”, si numri i librit dhe i fletës, emri i regjistrit dhe emri i zyrës së gjendjes civile, përputhen me të dhënat e zyrës, ku ky shtetas figuron i dubluar</w:t>
      </w:r>
      <w:r>
        <w:rPr>
          <w:lang w:val="sq-AL"/>
        </w:rPr>
        <w:t>;</w:t>
      </w:r>
      <w:r w:rsidRPr="00036C5C">
        <w:rPr>
          <w:lang w:val="sq-AL"/>
        </w:rPr>
        <w:t xml:space="preserve"> dhe</w:t>
      </w:r>
    </w:p>
    <w:p w:rsidR="00721C49" w:rsidRPr="00036C5C" w:rsidRDefault="00721C49" w:rsidP="00721C49">
      <w:pPr>
        <w:pStyle w:val="Paragrafi"/>
        <w:rPr>
          <w:lang w:val="sq-AL"/>
        </w:rPr>
      </w:pPr>
      <w:r w:rsidRPr="00036C5C">
        <w:rPr>
          <w:lang w:val="sq-AL"/>
        </w:rPr>
        <w:t xml:space="preserve"> b) dinamika e të dhënave të individit/familjes provon se ku ky individ/</w:t>
      </w:r>
      <w:r>
        <w:rPr>
          <w:lang w:val="sq-AL"/>
        </w:rPr>
        <w:t>familje është  aktiv/e, atëherë</w:t>
      </w:r>
      <w:r w:rsidRPr="00036C5C">
        <w:rPr>
          <w:lang w:val="sq-AL"/>
        </w:rPr>
        <w:t xml:space="preserve"> punonjësi i zyrës së gjendjes civile plotëson dhe printon menjëherë  nga sistemi në letër A4 (jo certifikatë) të dhënat në formë</w:t>
      </w:r>
      <w:r>
        <w:rPr>
          <w:lang w:val="sq-AL"/>
        </w:rPr>
        <w:t>n e certifikatës familjare dhe i</w:t>
      </w:r>
      <w:r w:rsidRPr="00036C5C">
        <w:rPr>
          <w:lang w:val="sq-AL"/>
        </w:rPr>
        <w:t>a dërgon zyrës së gjendjes civile n</w:t>
      </w:r>
      <w:r>
        <w:rPr>
          <w:lang w:val="sq-AL"/>
        </w:rPr>
        <w:t>ga e cila rezulton se ka ardhur.</w:t>
      </w:r>
    </w:p>
    <w:p w:rsidR="00721C49" w:rsidRPr="00036C5C" w:rsidRDefault="00721C49" w:rsidP="00721C49">
      <w:pPr>
        <w:pStyle w:val="Paragrafi"/>
        <w:rPr>
          <w:lang w:val="sq-AL"/>
        </w:rPr>
      </w:pPr>
      <w:r w:rsidRPr="00036C5C">
        <w:rPr>
          <w:lang w:val="sq-AL"/>
        </w:rPr>
        <w:t>14. Zyra e gjendjes civile</w:t>
      </w:r>
      <w:r>
        <w:rPr>
          <w:lang w:val="sq-AL"/>
        </w:rPr>
        <w:t>,</w:t>
      </w:r>
      <w:r w:rsidRPr="00036C5C">
        <w:rPr>
          <w:lang w:val="sq-AL"/>
        </w:rPr>
        <w:t xml:space="preserve"> që merr njoftim sipas pikës 13, kryen çregjistrimin e individit/familjes, fillimisht në regjistrin themeltar dhe më pas në Regjistrin Kombëtar të Gjendjes Civile.</w:t>
      </w:r>
    </w:p>
    <w:p w:rsidR="00721C49" w:rsidRPr="00036C5C" w:rsidRDefault="00721C49" w:rsidP="00721C49">
      <w:pPr>
        <w:pStyle w:val="Paragrafi"/>
        <w:rPr>
          <w:lang w:val="sq-AL"/>
        </w:rPr>
      </w:pPr>
      <w:r w:rsidRPr="00036C5C">
        <w:rPr>
          <w:lang w:val="sq-AL"/>
        </w:rPr>
        <w:t>15. Pasi kryen çregjistrimin nga të dy regjistrat</w:t>
      </w:r>
      <w:r>
        <w:rPr>
          <w:lang w:val="sq-AL"/>
        </w:rPr>
        <w:t>,</w:t>
      </w:r>
      <w:r w:rsidRPr="00036C5C">
        <w:rPr>
          <w:lang w:val="sq-AL"/>
        </w:rPr>
        <w:t xml:space="preserve"> i dërgon konfirmimin zyrës nga e cila i erdhi formulari, duke e informuar se çregjistrimi u krye.</w:t>
      </w:r>
    </w:p>
    <w:p w:rsidR="00721C49" w:rsidRPr="00036C5C" w:rsidRDefault="00721C49" w:rsidP="00721C49">
      <w:pPr>
        <w:pStyle w:val="Paragrafi"/>
        <w:rPr>
          <w:lang w:val="sq-AL"/>
        </w:rPr>
      </w:pPr>
      <w:r>
        <w:rPr>
          <w:lang w:val="sq-AL"/>
        </w:rPr>
        <w:t>Grupi dytë</w:t>
      </w:r>
      <w:r w:rsidRPr="00036C5C">
        <w:rPr>
          <w:lang w:val="sq-AL"/>
        </w:rPr>
        <w:t xml:space="preserve"> (në regjistrin themeltar</w:t>
      </w:r>
      <w:r>
        <w:rPr>
          <w:lang w:val="sq-AL"/>
        </w:rPr>
        <w:t xml:space="preserve"> nuk kemi shënime në rubrikën “B</w:t>
      </w:r>
      <w:r w:rsidRPr="00036C5C">
        <w:rPr>
          <w:lang w:val="sq-AL"/>
        </w:rPr>
        <w:t>urimi i informacionit”)</w:t>
      </w:r>
    </w:p>
    <w:p w:rsidR="00721C49" w:rsidRPr="00036C5C" w:rsidRDefault="00721C49" w:rsidP="00721C49">
      <w:pPr>
        <w:pStyle w:val="Paragrafi"/>
        <w:rPr>
          <w:lang w:val="sq-AL"/>
        </w:rPr>
      </w:pPr>
      <w:r w:rsidRPr="00036C5C">
        <w:rPr>
          <w:lang w:val="sq-AL"/>
        </w:rPr>
        <w:t>16. Për rastet kur në regjistrin themeltar</w:t>
      </w:r>
      <w:r>
        <w:rPr>
          <w:lang w:val="sq-AL"/>
        </w:rPr>
        <w:t xml:space="preserve"> nuk kemi shënime në rubrikën “B</w:t>
      </w:r>
      <w:r w:rsidRPr="00036C5C">
        <w:rPr>
          <w:lang w:val="sq-AL"/>
        </w:rPr>
        <w:t>urimi i informacionit”, atëherë kjo zyrë duhet t</w:t>
      </w:r>
      <w:r>
        <w:rPr>
          <w:lang w:val="sq-AL"/>
        </w:rPr>
        <w:t>’</w:t>
      </w:r>
      <w:r w:rsidRPr="00036C5C">
        <w:rPr>
          <w:lang w:val="sq-AL"/>
        </w:rPr>
        <w:t>i kërkojë informacion zyrës ku kjo familje figuron e dubluar sipas listës bashkëlidhur.</w:t>
      </w:r>
    </w:p>
    <w:p w:rsidR="00721C49" w:rsidRPr="00036C5C" w:rsidRDefault="00721C49" w:rsidP="00721C49">
      <w:pPr>
        <w:pStyle w:val="Paragrafi"/>
        <w:rPr>
          <w:lang w:val="sq-AL"/>
        </w:rPr>
      </w:pPr>
      <w:r w:rsidRPr="00036C5C">
        <w:rPr>
          <w:lang w:val="sq-AL"/>
        </w:rPr>
        <w:t>17. Zyra që merr kërkesën për informacion, brenda 5 ditëve,  plotëson të dhënat që rezultojnë në të</w:t>
      </w:r>
      <w:r>
        <w:rPr>
          <w:lang w:val="sq-AL"/>
        </w:rPr>
        <w:t xml:space="preserve"> gjitha rubrikat e regjistrit (</w:t>
      </w:r>
      <w:r w:rsidRPr="00036C5C">
        <w:rPr>
          <w:lang w:val="sq-AL"/>
        </w:rPr>
        <w:t>nga rubrika 1-32, ose fotokopje të fletës së familjes)  dhe ia dërgon këto zyrës që  ka kërkuar informacion.</w:t>
      </w:r>
    </w:p>
    <w:p w:rsidR="00721C49" w:rsidRPr="00036C5C" w:rsidRDefault="00721C49" w:rsidP="00721C49">
      <w:pPr>
        <w:pStyle w:val="Paragrafi"/>
        <w:rPr>
          <w:rFonts w:cs="Times New Roman"/>
          <w:lang w:val="sq-AL"/>
        </w:rPr>
      </w:pPr>
      <w:r w:rsidRPr="00036C5C">
        <w:rPr>
          <w:lang w:val="sq-AL"/>
        </w:rPr>
        <w:t>18. Zyra që kërkoi informacion sipas pikës 16 dhe mori përgjigje sipas pikës 17, e ballafaqon informacion</w:t>
      </w:r>
      <w:r>
        <w:rPr>
          <w:lang w:val="sq-AL"/>
        </w:rPr>
        <w:t>in e marrë me të dhënat e fletë</w:t>
      </w:r>
      <w:r w:rsidRPr="00036C5C">
        <w:rPr>
          <w:lang w:val="sq-AL"/>
        </w:rPr>
        <w:t>familjes së saj. Në këtë rast</w:t>
      </w:r>
      <w:r>
        <w:rPr>
          <w:lang w:val="sq-AL"/>
        </w:rPr>
        <w:t>,</w:t>
      </w:r>
      <w:r w:rsidRPr="00036C5C">
        <w:rPr>
          <w:lang w:val="sq-AL"/>
        </w:rPr>
        <w:t xml:space="preserve"> ka dy mundësi</w:t>
      </w:r>
      <w:r>
        <w:rPr>
          <w:lang w:val="sq-AL"/>
        </w:rPr>
        <w:t>:</w:t>
      </w:r>
    </w:p>
    <w:p w:rsidR="00721C49" w:rsidRPr="00036C5C" w:rsidRDefault="00721C49" w:rsidP="00721C49">
      <w:pPr>
        <w:pStyle w:val="Paragrafi"/>
        <w:rPr>
          <w:lang w:val="sq-AL"/>
        </w:rPr>
      </w:pPr>
      <w:r>
        <w:rPr>
          <w:lang w:val="sq-AL"/>
        </w:rPr>
        <w:t>a) Kur fletëfamilja</w:t>
      </w:r>
      <w:r w:rsidRPr="00036C5C">
        <w:rPr>
          <w:lang w:val="sq-AL"/>
        </w:rPr>
        <w:t xml:space="preserve"> përmban të gjitha të dhënat</w:t>
      </w:r>
      <w:r>
        <w:rPr>
          <w:lang w:val="sq-AL"/>
        </w:rPr>
        <w:t>, që përcaktojnë</w:t>
      </w:r>
      <w:r w:rsidRPr="00036C5C">
        <w:rPr>
          <w:lang w:val="sq-AL"/>
        </w:rPr>
        <w:t xml:space="preserve"> se familja është regjistruar në këtë fletë familje si pasojë e një transkriptimi, do të ketë prioritet për të qëndruar në këtë regjistër, në krahasim me familjen, e cila gjendet e regjistruar në zyrën tjetër dhe nuk ka shënim në rubrikën</w:t>
      </w:r>
      <w:r>
        <w:rPr>
          <w:lang w:val="sq-AL"/>
        </w:rPr>
        <w:t xml:space="preserve"> </w:t>
      </w:r>
      <w:r>
        <w:rPr>
          <w:lang w:val="sq-AL"/>
        </w:rPr>
        <w:lastRenderedPageBreak/>
        <w:t>“Burimi i informacionit</w:t>
      </w:r>
      <w:r w:rsidRPr="00036C5C">
        <w:rPr>
          <w:lang w:val="sq-AL"/>
        </w:rPr>
        <w:t>”</w:t>
      </w:r>
      <w:r>
        <w:rPr>
          <w:lang w:val="sq-AL"/>
        </w:rPr>
        <w:t xml:space="preserve">, </w:t>
      </w:r>
      <w:r w:rsidRPr="00036C5C">
        <w:rPr>
          <w:lang w:val="sq-AL"/>
        </w:rPr>
        <w:t>si dhe  nuk ka kryer asnjë veprim në këtë fletëfamilje. Pasi krahason të dy fletëfamiljet, zyra e gjendjes civile, ku individi/familja është regjistruar pa burim informacioni dhe nuk ka kryer veprime,</w:t>
      </w:r>
      <w:r>
        <w:rPr>
          <w:lang w:val="sq-AL"/>
        </w:rPr>
        <w:t xml:space="preserve"> </w:t>
      </w:r>
      <w:r w:rsidRPr="00036C5C">
        <w:rPr>
          <w:lang w:val="sq-AL"/>
        </w:rPr>
        <w:t>duhet ta çregjistrojë atë nga regjistri themeltar dhe nga RKGJC. Pasi kryen këto veprime</w:t>
      </w:r>
      <w:r>
        <w:rPr>
          <w:lang w:val="sq-AL"/>
        </w:rPr>
        <w:t>,</w:t>
      </w:r>
      <w:r w:rsidRPr="00036C5C">
        <w:rPr>
          <w:lang w:val="sq-AL"/>
        </w:rPr>
        <w:t xml:space="preserve"> informon zyrën e gjendjes civile nga e cila mori të dhënat se çregjistrimi u krye.</w:t>
      </w:r>
    </w:p>
    <w:p w:rsidR="00721C49" w:rsidRPr="00036C5C" w:rsidRDefault="00721C49" w:rsidP="00721C49">
      <w:pPr>
        <w:pStyle w:val="Paragrafi"/>
        <w:rPr>
          <w:lang w:val="sq-AL"/>
        </w:rPr>
      </w:pPr>
      <w:r>
        <w:rPr>
          <w:lang w:val="sq-AL"/>
        </w:rPr>
        <w:t>b) Kur individi/familja</w:t>
      </w:r>
      <w:r w:rsidRPr="00036C5C">
        <w:rPr>
          <w:lang w:val="sq-AL"/>
        </w:rPr>
        <w:t>, edhe pse në fletë familjen e tij/saj, nuk ka shënim në rubrikë</w:t>
      </w:r>
      <w:r>
        <w:rPr>
          <w:lang w:val="sq-AL"/>
        </w:rPr>
        <w:t>n   “B</w:t>
      </w:r>
      <w:r w:rsidRPr="00036C5C">
        <w:rPr>
          <w:lang w:val="sq-AL"/>
        </w:rPr>
        <w:t>urimi i informacionit ”, por ka kryer veprime në këtë zyrë si regjistrime lindje, martese, vdek</w:t>
      </w:r>
      <w:r>
        <w:rPr>
          <w:lang w:val="sq-AL"/>
        </w:rPr>
        <w:t>je etj,  ky/kjo individ/familje</w:t>
      </w:r>
      <w:r w:rsidRPr="00036C5C">
        <w:rPr>
          <w:lang w:val="sq-AL"/>
        </w:rPr>
        <w:t xml:space="preserve"> do të qëndrojë në këtë regjistër dhe nëpunësi i zyrës së gjendjes civile do t</w:t>
      </w:r>
      <w:r>
        <w:rPr>
          <w:lang w:val="sq-AL"/>
        </w:rPr>
        <w:t>’</w:t>
      </w:r>
      <w:r w:rsidRPr="00036C5C">
        <w:rPr>
          <w:lang w:val="sq-AL"/>
        </w:rPr>
        <w:t>i kërkojë zyrës së gjendjes civile nga e cila mori informacionin që të çregjistrojë individin/familjen. Zyra e gjendjes civile që merr këtë kërkesë</w:t>
      </w:r>
      <w:r>
        <w:rPr>
          <w:lang w:val="sq-AL"/>
        </w:rPr>
        <w:t>,</w:t>
      </w:r>
      <w:r w:rsidRPr="00036C5C">
        <w:rPr>
          <w:lang w:val="sq-AL"/>
        </w:rPr>
        <w:t xml:space="preserve"> bën çregjistrimin e individit/familjes në re</w:t>
      </w:r>
      <w:r>
        <w:rPr>
          <w:lang w:val="sq-AL"/>
        </w:rPr>
        <w:t>gjistrin themeltar dhe në RKGJC</w:t>
      </w:r>
      <w:r w:rsidRPr="00036C5C">
        <w:rPr>
          <w:lang w:val="sq-AL"/>
        </w:rPr>
        <w:t xml:space="preserve"> dhe njofton zyrën tjetër që çregjistrimi u krye.</w:t>
      </w:r>
    </w:p>
    <w:p w:rsidR="00721C49" w:rsidRPr="00036C5C" w:rsidRDefault="00721C49" w:rsidP="00721C49">
      <w:pPr>
        <w:pStyle w:val="Paragrafi"/>
        <w:rPr>
          <w:lang w:val="sq-AL"/>
        </w:rPr>
      </w:pPr>
      <w:r w:rsidRPr="00036C5C">
        <w:rPr>
          <w:lang w:val="sq-AL"/>
        </w:rPr>
        <w:t>c) Në rast se pas verifikimit të të dhënave të individit/familjes me të dhënat në regjistrin themeltar rezulton se referencat janë po ato, por jo të gjitha rubrikat e të dhënave përputhen, a</w:t>
      </w:r>
      <w:r>
        <w:rPr>
          <w:lang w:val="sq-AL"/>
        </w:rPr>
        <w:t>tëherë  kemi rastin e një fletë</w:t>
      </w:r>
      <w:r w:rsidRPr="00036C5C">
        <w:rPr>
          <w:lang w:val="sq-AL"/>
        </w:rPr>
        <w:t>familje</w:t>
      </w:r>
      <w:r>
        <w:rPr>
          <w:lang w:val="sq-AL"/>
        </w:rPr>
        <w:t>je</w:t>
      </w:r>
      <w:r w:rsidRPr="00036C5C">
        <w:rPr>
          <w:lang w:val="sq-AL"/>
        </w:rPr>
        <w:t xml:space="preserve"> fiktive.</w:t>
      </w:r>
    </w:p>
    <w:p w:rsidR="00721C49" w:rsidRPr="00036C5C" w:rsidRDefault="00721C49" w:rsidP="00721C49">
      <w:pPr>
        <w:pStyle w:val="Paragrafi"/>
        <w:rPr>
          <w:lang w:val="sq-AL"/>
        </w:rPr>
      </w:pPr>
      <w:r w:rsidRPr="00036C5C">
        <w:rPr>
          <w:lang w:val="sq-AL"/>
        </w:rPr>
        <w:t>Kur bindet se ka të bëjë me një fletë familje fiktive, do të çregjistrojë individin/familjen nga regjistri</w:t>
      </w:r>
      <w:r>
        <w:rPr>
          <w:lang w:val="sq-AL"/>
        </w:rPr>
        <w:t xml:space="preserve"> themeltar, duke mbajtur proces</w:t>
      </w:r>
      <w:r w:rsidRPr="00036C5C">
        <w:rPr>
          <w:lang w:val="sq-AL"/>
        </w:rPr>
        <w:t xml:space="preserve">verbalin e posaçëm dhe më pas do të bllokojë këtë individ/familje në RKGJC me anë të procedurës “Blloko </w:t>
      </w:r>
      <w:r>
        <w:rPr>
          <w:lang w:val="sq-AL"/>
        </w:rPr>
        <w:t>p</w:t>
      </w:r>
      <w:r w:rsidRPr="00036C5C">
        <w:rPr>
          <w:lang w:val="sq-AL"/>
        </w:rPr>
        <w:t>erson”, siç shpjegohet në manualin bashkëlidhur.</w:t>
      </w:r>
    </w:p>
    <w:p w:rsidR="00721C49" w:rsidRPr="00036C5C" w:rsidRDefault="00721C49" w:rsidP="00721C49">
      <w:pPr>
        <w:pStyle w:val="Paragrafi"/>
        <w:rPr>
          <w:lang w:val="sq-AL"/>
        </w:rPr>
      </w:pPr>
      <w:r w:rsidRPr="00036C5C">
        <w:rPr>
          <w:lang w:val="sq-AL"/>
        </w:rPr>
        <w:t>Nëse më pas provohet se kjo familje nuk është fiktive</w:t>
      </w:r>
      <w:r>
        <w:rPr>
          <w:lang w:val="sq-AL"/>
        </w:rPr>
        <w:t>,</w:t>
      </w:r>
      <w:r w:rsidRPr="00036C5C">
        <w:rPr>
          <w:lang w:val="sq-AL"/>
        </w:rPr>
        <w:t xml:space="preserve"> atëherë do të rikthehet në gjendjen e mëparshme, duke marrë  miratimin në DPGJC.</w:t>
      </w:r>
    </w:p>
    <w:p w:rsidR="00721C49" w:rsidRPr="00036C5C" w:rsidRDefault="00721C49" w:rsidP="00721C49">
      <w:pPr>
        <w:pStyle w:val="Paragrafi"/>
        <w:rPr>
          <w:lang w:val="sq-AL"/>
        </w:rPr>
      </w:pPr>
      <w:r w:rsidRPr="00036C5C">
        <w:rPr>
          <w:lang w:val="sq-AL"/>
        </w:rPr>
        <w:t>ç) Për të gjitha praktika</w:t>
      </w:r>
      <w:r>
        <w:rPr>
          <w:lang w:val="sq-AL"/>
        </w:rPr>
        <w:t>t e dublimeve të mbetura pezull</w:t>
      </w:r>
      <w:r w:rsidRPr="00036C5C">
        <w:rPr>
          <w:lang w:val="sq-AL"/>
        </w:rPr>
        <w:t>, bëhet verifikimi dhe printimi nga regjistri kombëtar i  përbërjes familjare në të dy</w:t>
      </w:r>
      <w:r>
        <w:rPr>
          <w:lang w:val="sq-AL"/>
        </w:rPr>
        <w:t>ja a më shumë zyra</w:t>
      </w:r>
      <w:r w:rsidRPr="00036C5C">
        <w:rPr>
          <w:lang w:val="sq-AL"/>
        </w:rPr>
        <w:t>, sipas rastit, ku ato figurojnë si individ/familje të dubluar. Më pas  plotësohet dosja përkatëse për secilin rast, duke kërkuar fotokopje dhe të fletëve të regjistrit  nga kanë ardhur, dhe/ose nga zyrat ku ato figurojnë ende të dubluar. Pas verifikimit</w:t>
      </w:r>
      <w:r>
        <w:rPr>
          <w:lang w:val="sq-AL"/>
        </w:rPr>
        <w:t>,</w:t>
      </w:r>
      <w:r w:rsidRPr="00036C5C">
        <w:rPr>
          <w:lang w:val="sq-AL"/>
        </w:rPr>
        <w:t xml:space="preserve">  kryhen veprimet për çregjistrimin e tyre sipas rastit si familje, kur ato figurojnë si familje dhe kur informacioni është i saktë e përputhet. Për rastet kur përmbajtja e fletës familjare ka mospërputhje dhe ndryshime në datëlindje dhe këto ndryshime  nuk mbështeten  në një</w:t>
      </w:r>
      <w:r>
        <w:rPr>
          <w:lang w:val="sq-AL"/>
        </w:rPr>
        <w:t xml:space="preserve"> libër aktesh apo dokument bazë</w:t>
      </w:r>
      <w:r w:rsidRPr="00036C5C">
        <w:rPr>
          <w:lang w:val="sq-AL"/>
        </w:rPr>
        <w:t>, të pas</w:t>
      </w:r>
      <w:r>
        <w:rPr>
          <w:lang w:val="sq-AL"/>
        </w:rPr>
        <w:t>qyruar si burim informacioni (</w:t>
      </w:r>
      <w:r w:rsidRPr="00036C5C">
        <w:rPr>
          <w:lang w:val="sq-AL"/>
        </w:rPr>
        <w:t>zyra e gjendjes civile vërteton se kjo familje nuk ka qenë asnjëherë e regjistruar në atë zyrë nga ka ardhur fletëfamilja dhe nga ajo zyrë nuk është dë</w:t>
      </w:r>
      <w:r>
        <w:rPr>
          <w:lang w:val="sq-AL"/>
        </w:rPr>
        <w:t>rguar një fletë familje e tillë</w:t>
      </w:r>
      <w:r w:rsidRPr="00036C5C">
        <w:rPr>
          <w:lang w:val="sq-AL"/>
        </w:rPr>
        <w:t>, d.m.th. nuk përputhet shënimi në regjistër i rubrikës se nga ka ardhur me zyrën përkatëse), a</w:t>
      </w:r>
      <w:r>
        <w:rPr>
          <w:lang w:val="sq-AL"/>
        </w:rPr>
        <w:t>tëherë në mbështetje të pikës 3</w:t>
      </w:r>
      <w:r w:rsidRPr="00036C5C">
        <w:rPr>
          <w:lang w:val="sq-AL"/>
        </w:rPr>
        <w:t xml:space="preserve"> të nenit 30 të ligjit nr. 10129, datë 11.05.2009</w:t>
      </w:r>
      <w:r>
        <w:rPr>
          <w:lang w:val="sq-AL"/>
        </w:rPr>
        <w:t>,</w:t>
      </w:r>
      <w:r w:rsidRPr="00036C5C">
        <w:rPr>
          <w:lang w:val="sq-AL"/>
        </w:rPr>
        <w:t xml:space="preserve"> përmbajtja e  fletës familjare të regjistrit është e pavlefshme dhe për pasojë kët</w:t>
      </w:r>
      <w:r>
        <w:rPr>
          <w:lang w:val="sq-AL"/>
        </w:rPr>
        <w:t>a</w:t>
      </w:r>
      <w:r w:rsidRPr="00036C5C">
        <w:rPr>
          <w:lang w:val="sq-AL"/>
        </w:rPr>
        <w:t xml:space="preserve"> shtetas duhet të çregjistrohen nga regjistri themeltar dhe Regjistri Kombëtar i Gjendjes Civile, pasi janë shtetas të regjistruar fiktiv</w:t>
      </w:r>
      <w:r>
        <w:rPr>
          <w:lang w:val="sq-AL"/>
        </w:rPr>
        <w:t>ë</w:t>
      </w:r>
      <w:r w:rsidRPr="00036C5C">
        <w:rPr>
          <w:lang w:val="sq-AL"/>
        </w:rPr>
        <w:t xml:space="preserve">.  </w:t>
      </w:r>
    </w:p>
    <w:p w:rsidR="00721C49" w:rsidRPr="00036C5C" w:rsidRDefault="00721C49" w:rsidP="00721C49">
      <w:pPr>
        <w:pStyle w:val="Paragrafi"/>
        <w:rPr>
          <w:lang w:val="sq-AL"/>
        </w:rPr>
      </w:pPr>
      <w:r w:rsidRPr="00036C5C">
        <w:rPr>
          <w:lang w:val="sq-AL"/>
        </w:rPr>
        <w:t>Grupi tretë (dubl</w:t>
      </w:r>
      <w:r>
        <w:rPr>
          <w:lang w:val="sq-AL"/>
        </w:rPr>
        <w:t>ime të krijuara si pasojë e mos</w:t>
      </w:r>
      <w:r w:rsidRPr="00036C5C">
        <w:rPr>
          <w:lang w:val="sq-AL"/>
        </w:rPr>
        <w:t>dërgimit të njoftimit të martesës)</w:t>
      </w:r>
    </w:p>
    <w:p w:rsidR="00721C49" w:rsidRPr="00036C5C" w:rsidRDefault="00721C49" w:rsidP="00721C49">
      <w:pPr>
        <w:pStyle w:val="Paragrafi"/>
        <w:rPr>
          <w:lang w:val="sq-AL"/>
        </w:rPr>
      </w:pPr>
      <w:r w:rsidRPr="00036C5C">
        <w:rPr>
          <w:lang w:val="sq-AL"/>
        </w:rPr>
        <w:t>19.a) Zyra që verifikon se individi që ballafaqoi në regjistrin e saj është i martuar dhe  dublim</w:t>
      </w:r>
      <w:r>
        <w:rPr>
          <w:lang w:val="sq-AL"/>
        </w:rPr>
        <w:t>i është krijuar si pasojë e mos</w:t>
      </w:r>
      <w:r w:rsidRPr="00036C5C">
        <w:rPr>
          <w:lang w:val="sq-AL"/>
        </w:rPr>
        <w:t>dërgimit të njoftimit të martesës në zyrën e gjendjes civile</w:t>
      </w:r>
      <w:r>
        <w:rPr>
          <w:lang w:val="sq-AL"/>
        </w:rPr>
        <w:t>,</w:t>
      </w:r>
      <w:r w:rsidRPr="00036C5C">
        <w:rPr>
          <w:lang w:val="sq-AL"/>
        </w:rPr>
        <w:t xml:space="preserve"> ku individi figuron beqar, nëpunësi i gjendje</w:t>
      </w:r>
      <w:r>
        <w:rPr>
          <w:lang w:val="sq-AL"/>
        </w:rPr>
        <w:t>s civile  vepron në këtë mënyrë</w:t>
      </w:r>
      <w:r w:rsidRPr="00036C5C">
        <w:rPr>
          <w:lang w:val="sq-AL"/>
        </w:rPr>
        <w:t>: Zyra e gjendjes civile ku individi figuron i martuar</w:t>
      </w:r>
      <w:r>
        <w:rPr>
          <w:lang w:val="sq-AL"/>
        </w:rPr>
        <w:t>,</w:t>
      </w:r>
      <w:r w:rsidRPr="00036C5C">
        <w:rPr>
          <w:lang w:val="sq-AL"/>
        </w:rPr>
        <w:t xml:space="preserve"> pasi bën verifikimin që vërteton se ka </w:t>
      </w:r>
      <w:r>
        <w:rPr>
          <w:lang w:val="sq-AL"/>
        </w:rPr>
        <w:t>të bëjë me të njëjtin individ (</w:t>
      </w:r>
      <w:r w:rsidRPr="00036C5C">
        <w:rPr>
          <w:lang w:val="sq-AL"/>
        </w:rPr>
        <w:t>në rubrikën burimi i informacionit përputhen të dhënat që ky individ ka ardhur me martesë nga  zyra ku figuron i  dubluar), nëpunësi i zyrës së gjendjes civile  plotëson  njoftimin e martesës, duke  cilësuar dhe vendin ku është lidhur martesa dhe ia dërgon zyrës ku ky i fundit  figuron beqar.</w:t>
      </w:r>
    </w:p>
    <w:p w:rsidR="00721C49" w:rsidRPr="00036C5C" w:rsidRDefault="00721C49" w:rsidP="00721C49">
      <w:pPr>
        <w:pStyle w:val="Paragrafi"/>
        <w:rPr>
          <w:lang w:val="sq-AL"/>
        </w:rPr>
      </w:pPr>
      <w:r w:rsidRPr="00036C5C">
        <w:rPr>
          <w:lang w:val="sq-AL"/>
        </w:rPr>
        <w:t>b) Në të njëjtën mënyrë do të veprohet dhe për rastet kur martesat janë bërë në përfaqësitë tona diplomatike dhe njoftimi i martesës nuk i ka vajtur zyrës së gjendjes c</w:t>
      </w:r>
      <w:r>
        <w:rPr>
          <w:lang w:val="sq-AL"/>
        </w:rPr>
        <w:t>ivile ku individi figuron beqar</w:t>
      </w:r>
      <w:r w:rsidRPr="00036C5C">
        <w:rPr>
          <w:lang w:val="sq-AL"/>
        </w:rPr>
        <w:t>. Zyra e gjendjes civile ku individi figuron i martuar</w:t>
      </w:r>
      <w:r>
        <w:rPr>
          <w:lang w:val="sq-AL"/>
        </w:rPr>
        <w:t>,</w:t>
      </w:r>
      <w:r w:rsidRPr="00036C5C">
        <w:rPr>
          <w:lang w:val="sq-AL"/>
        </w:rPr>
        <w:t xml:space="preserve"> plotëson  certifikatën e martesës me shënimin  se ku është e lidhur kjo martesë dhe ia dërgon zyrës së gjendjes civile ku individi figuron beqar.</w:t>
      </w:r>
    </w:p>
    <w:p w:rsidR="00E36FD1" w:rsidRDefault="00E36FD1" w:rsidP="00721C49">
      <w:pPr>
        <w:pStyle w:val="Paragrafi"/>
        <w:rPr>
          <w:lang w:val="sq-AL"/>
        </w:rPr>
      </w:pPr>
    </w:p>
    <w:p w:rsidR="00E36FD1" w:rsidRDefault="00E36FD1" w:rsidP="00721C49">
      <w:pPr>
        <w:pStyle w:val="Paragrafi"/>
        <w:rPr>
          <w:lang w:val="sq-AL"/>
        </w:rPr>
      </w:pPr>
    </w:p>
    <w:p w:rsidR="00E36FD1" w:rsidRDefault="00E36FD1" w:rsidP="00721C49">
      <w:pPr>
        <w:pStyle w:val="Paragrafi"/>
        <w:rPr>
          <w:lang w:val="sq-AL"/>
        </w:rPr>
      </w:pPr>
    </w:p>
    <w:p w:rsidR="00721C49" w:rsidRPr="00036C5C" w:rsidRDefault="00721C49" w:rsidP="00721C49">
      <w:pPr>
        <w:pStyle w:val="Paragrafi"/>
        <w:rPr>
          <w:lang w:val="sq-AL"/>
        </w:rPr>
      </w:pPr>
      <w:r w:rsidRPr="00036C5C">
        <w:rPr>
          <w:lang w:val="sq-AL"/>
        </w:rPr>
        <w:lastRenderedPageBreak/>
        <w:t>c) Në të dy</w:t>
      </w:r>
      <w:r>
        <w:rPr>
          <w:lang w:val="sq-AL"/>
        </w:rPr>
        <w:t>ja</w:t>
      </w:r>
      <w:r w:rsidRPr="00036C5C">
        <w:rPr>
          <w:lang w:val="sq-AL"/>
        </w:rPr>
        <w:t xml:space="preserve"> rastet</w:t>
      </w:r>
      <w:r>
        <w:rPr>
          <w:lang w:val="sq-AL"/>
        </w:rPr>
        <w:t>,</w:t>
      </w:r>
      <w:r w:rsidRPr="00036C5C">
        <w:rPr>
          <w:lang w:val="sq-AL"/>
        </w:rPr>
        <w:t xml:space="preserve"> sipas e germave </w:t>
      </w:r>
      <w:r>
        <w:rPr>
          <w:lang w:val="sq-AL"/>
        </w:rPr>
        <w:t>“</w:t>
      </w:r>
      <w:r w:rsidRPr="00036C5C">
        <w:rPr>
          <w:lang w:val="sq-AL"/>
        </w:rPr>
        <w:t>a</w:t>
      </w:r>
      <w:r>
        <w:rPr>
          <w:lang w:val="sq-AL"/>
        </w:rPr>
        <w:t>”</w:t>
      </w:r>
      <w:r w:rsidRPr="00036C5C">
        <w:rPr>
          <w:lang w:val="sq-AL"/>
        </w:rPr>
        <w:t xml:space="preserve"> dhe </w:t>
      </w:r>
      <w:r>
        <w:rPr>
          <w:lang w:val="sq-AL"/>
        </w:rPr>
        <w:t>“</w:t>
      </w:r>
      <w:r w:rsidRPr="00036C5C">
        <w:rPr>
          <w:lang w:val="sq-AL"/>
        </w:rPr>
        <w:t>b</w:t>
      </w:r>
      <w:r>
        <w:rPr>
          <w:lang w:val="sq-AL"/>
        </w:rPr>
        <w:t>”</w:t>
      </w:r>
      <w:r w:rsidRPr="00036C5C">
        <w:rPr>
          <w:lang w:val="sq-AL"/>
        </w:rPr>
        <w:t xml:space="preserve"> të pikës 19, zyra e gjendjes civile ku individi figuron beqar, pasi merr njoftimin apo certifikatën e martesës, bën ballafaqimin e të dhënave dhe më pas bën çregjistrimin sipas njoftimit të ardhur në regjistrin themeltar dhe në RKGJC. </w:t>
      </w:r>
    </w:p>
    <w:p w:rsidR="00721C49" w:rsidRPr="00036C5C" w:rsidRDefault="00721C49" w:rsidP="00721C49">
      <w:pPr>
        <w:pStyle w:val="Paragrafi"/>
        <w:rPr>
          <w:lang w:val="sq-AL"/>
        </w:rPr>
      </w:pPr>
      <w:r w:rsidRPr="00036C5C">
        <w:rPr>
          <w:lang w:val="sq-AL"/>
        </w:rPr>
        <w:t xml:space="preserve">Grupi i </w:t>
      </w:r>
      <w:r>
        <w:rPr>
          <w:lang w:val="sq-AL"/>
        </w:rPr>
        <w:t>k</w:t>
      </w:r>
      <w:r w:rsidRPr="00036C5C">
        <w:rPr>
          <w:lang w:val="sq-AL"/>
        </w:rPr>
        <w:t xml:space="preserve">atërt (dublim i krijuar në sistemin </w:t>
      </w:r>
      <w:r w:rsidRPr="00E446FA">
        <w:rPr>
          <w:i/>
          <w:iCs/>
          <w:lang w:val="sq-AL"/>
        </w:rPr>
        <w:t>online</w:t>
      </w:r>
      <w:r w:rsidRPr="00036C5C">
        <w:rPr>
          <w:lang w:val="sq-AL"/>
        </w:rPr>
        <w:t>)</w:t>
      </w:r>
    </w:p>
    <w:p w:rsidR="00721C49" w:rsidRPr="00036C5C" w:rsidRDefault="00721C49" w:rsidP="00721C49">
      <w:pPr>
        <w:pStyle w:val="Paragrafi"/>
        <w:rPr>
          <w:lang w:val="sq-AL"/>
        </w:rPr>
      </w:pPr>
      <w:r w:rsidRPr="00036C5C">
        <w:rPr>
          <w:lang w:val="sq-AL"/>
        </w:rPr>
        <w:t>20. Në rast se dublimi ka ardhur si pasojë e mbajtjes së dy akteve lindje</w:t>
      </w:r>
      <w:r>
        <w:rPr>
          <w:lang w:val="sq-AL"/>
        </w:rPr>
        <w:t>je</w:t>
      </w:r>
      <w:r w:rsidRPr="00036C5C">
        <w:rPr>
          <w:lang w:val="sq-AL"/>
        </w:rPr>
        <w:t xml:space="preserve"> në Regjistrin Kombëtar të Gjendjes Civile për të njëjtin person, atëherë do të verifikohen të dy</w:t>
      </w:r>
      <w:r>
        <w:rPr>
          <w:lang w:val="sq-AL"/>
        </w:rPr>
        <w:t>ja</w:t>
      </w:r>
      <w:r w:rsidRPr="00036C5C">
        <w:rPr>
          <w:lang w:val="sq-AL"/>
        </w:rPr>
        <w:t xml:space="preserve"> aktet:</w:t>
      </w:r>
    </w:p>
    <w:p w:rsidR="00721C49" w:rsidRPr="00036C5C" w:rsidRDefault="00721C49" w:rsidP="00721C49">
      <w:pPr>
        <w:pStyle w:val="Paragrafi"/>
        <w:rPr>
          <w:lang w:val="sq-AL"/>
        </w:rPr>
      </w:pPr>
      <w:r w:rsidRPr="00036C5C">
        <w:rPr>
          <w:lang w:val="sq-AL"/>
        </w:rPr>
        <w:t>a) Nëse janë të njëjtë në përmbajtje, do të fshihet akti i cili është mbajtur më vonë.</w:t>
      </w:r>
    </w:p>
    <w:p w:rsidR="00721C49" w:rsidRPr="00036C5C" w:rsidRDefault="00721C49" w:rsidP="00721C49">
      <w:pPr>
        <w:pStyle w:val="Paragrafi"/>
        <w:rPr>
          <w:lang w:val="sq-AL"/>
        </w:rPr>
      </w:pPr>
      <w:r w:rsidRPr="00036C5C">
        <w:rPr>
          <w:lang w:val="sq-AL"/>
        </w:rPr>
        <w:t>b) Nëse janë të ndryshëm</w:t>
      </w:r>
      <w:r>
        <w:rPr>
          <w:lang w:val="sq-AL"/>
        </w:rPr>
        <w:t>,</w:t>
      </w:r>
      <w:r w:rsidRPr="00036C5C">
        <w:rPr>
          <w:lang w:val="sq-AL"/>
        </w:rPr>
        <w:t xml:space="preserve"> do të gjykohet rast pas rasti dhe do të vendoset nga nëpunësi i gjendjes civile, se cili nga aktet është i vlefshëm dhe cili  rekord i krijuar prej tij do të mbahet.</w:t>
      </w:r>
    </w:p>
    <w:p w:rsidR="00721C49" w:rsidRPr="00036C5C" w:rsidRDefault="00721C49" w:rsidP="00721C49">
      <w:pPr>
        <w:pStyle w:val="Paragrafi"/>
        <w:rPr>
          <w:lang w:val="sq-AL"/>
        </w:rPr>
      </w:pPr>
      <w:r w:rsidRPr="00036C5C">
        <w:rPr>
          <w:lang w:val="sq-AL"/>
        </w:rPr>
        <w:t>21. Në rast se dublimi ka ardhur si pasojë e shtimit të shtetasit në Regjistrin Kombëtar të Gjendjes Civile</w:t>
      </w:r>
      <w:r>
        <w:rPr>
          <w:lang w:val="sq-AL"/>
        </w:rPr>
        <w:t>,</w:t>
      </w:r>
      <w:r w:rsidRPr="00036C5C">
        <w:rPr>
          <w:lang w:val="sq-AL"/>
        </w:rPr>
        <w:t xml:space="preserve"> me procedurën “Shto </w:t>
      </w:r>
      <w:r>
        <w:rPr>
          <w:lang w:val="sq-AL"/>
        </w:rPr>
        <w:t>person”</w:t>
      </w:r>
      <w:r w:rsidRPr="00036C5C">
        <w:rPr>
          <w:lang w:val="sq-AL"/>
        </w:rPr>
        <w:t xml:space="preserve">  kryhet verifikimi se kur është kryer veprimi dhe për çfarë arsye është krijuar personi. Sipas informacionit</w:t>
      </w:r>
      <w:r>
        <w:rPr>
          <w:lang w:val="sq-AL"/>
        </w:rPr>
        <w:t>,</w:t>
      </w:r>
      <w:r w:rsidRPr="00036C5C">
        <w:rPr>
          <w:lang w:val="sq-AL"/>
        </w:rPr>
        <w:t xml:space="preserve"> nëpunësi i gjendjes civile gjykon dhe  vendos se cilin prej rekordeve do të çregjistrojë dhe më pas kryen procedurën e pastrimit të dublimit në Regjistrin Kombëtar të Gjendjes Civile.</w:t>
      </w:r>
    </w:p>
    <w:p w:rsidR="00721C49" w:rsidRPr="00036C5C" w:rsidRDefault="00721C49" w:rsidP="00721C49">
      <w:pPr>
        <w:pStyle w:val="Paragrafi"/>
        <w:rPr>
          <w:lang w:val="sq-AL"/>
        </w:rPr>
      </w:pPr>
      <w:r w:rsidRPr="00036C5C">
        <w:rPr>
          <w:lang w:val="sq-AL"/>
        </w:rPr>
        <w:t>22. Në çdo rast pastrim dublimi, nëpunësi i gjendjes civile për çdo shteta</w:t>
      </w:r>
      <w:r>
        <w:rPr>
          <w:lang w:val="sq-AL"/>
        </w:rPr>
        <w:t>s të listës së ardhur nga DPGJC</w:t>
      </w:r>
      <w:r w:rsidRPr="00036C5C">
        <w:rPr>
          <w:lang w:val="sq-AL"/>
        </w:rPr>
        <w:t>, verifikon edhe të dhënat për çdo pjesëtar të familjes së tij në regjistrin themeltar dhe  në Regjistrin Kombëtar të Gjendjes Civile.</w:t>
      </w:r>
    </w:p>
    <w:p w:rsidR="00721C49" w:rsidRPr="00036C5C" w:rsidRDefault="00721C49" w:rsidP="00721C49">
      <w:pPr>
        <w:pStyle w:val="Paragrafi"/>
        <w:rPr>
          <w:lang w:val="sq-AL"/>
        </w:rPr>
      </w:pPr>
      <w:r w:rsidRPr="00036C5C">
        <w:rPr>
          <w:lang w:val="sq-AL"/>
        </w:rPr>
        <w:t>23. Zyra e gjendjes civile, e cila ka marrë listë për dublime të dyshuara nga DPGJC, brenda 60 ditëve nga data e marrjes së listës paraqet në Drejtorinë e Përgjithshme të Gjendjes Civile listën e individëve/familjeve që ka çregjistruar sipas procedurës së mësipërme,  si dhe listën e atyre që nuk ka çregjistruar me arsyen përkatëse.</w:t>
      </w:r>
    </w:p>
    <w:p w:rsidR="00721C49" w:rsidRPr="00036C5C" w:rsidRDefault="00721C49" w:rsidP="00721C49">
      <w:pPr>
        <w:pStyle w:val="Paragrafi"/>
        <w:rPr>
          <w:lang w:val="sq-AL"/>
        </w:rPr>
      </w:pPr>
      <w:r w:rsidRPr="00036C5C">
        <w:rPr>
          <w:lang w:val="sq-AL"/>
        </w:rPr>
        <w:t xml:space="preserve">24. Për zbatimin e këtij </w:t>
      </w:r>
      <w:r>
        <w:rPr>
          <w:lang w:val="sq-AL"/>
        </w:rPr>
        <w:t>u</w:t>
      </w:r>
      <w:r w:rsidRPr="00036C5C">
        <w:rPr>
          <w:lang w:val="sq-AL"/>
        </w:rPr>
        <w:t>dhëzimi ngarkohen Drejtoria e Përgjithshme e Gjendjes Civile, si dhe të gjitha zyrat e gjendjes civile në bashki/njësi bashkiake/komuna.</w:t>
      </w:r>
    </w:p>
    <w:p w:rsidR="00721C49" w:rsidRPr="00036C5C" w:rsidRDefault="00721C49" w:rsidP="00721C49">
      <w:pPr>
        <w:pStyle w:val="Paragrafi"/>
        <w:rPr>
          <w:lang w:val="sq-AL"/>
        </w:rPr>
      </w:pPr>
      <w:r w:rsidRPr="00036C5C">
        <w:rPr>
          <w:lang w:val="sq-AL"/>
        </w:rPr>
        <w:t>25. Ud</w:t>
      </w:r>
      <w:r>
        <w:rPr>
          <w:lang w:val="sq-AL"/>
        </w:rPr>
        <w:t>hëzimi nr. 359, datë 11.10.2010</w:t>
      </w:r>
      <w:r w:rsidRPr="00036C5C">
        <w:rPr>
          <w:lang w:val="sq-AL"/>
        </w:rPr>
        <w:t xml:space="preserve"> i Ministrit të Brendshëm, shfuqizohet.</w:t>
      </w:r>
    </w:p>
    <w:p w:rsidR="00721C49" w:rsidRPr="00036C5C" w:rsidRDefault="00721C49" w:rsidP="00721C49">
      <w:pPr>
        <w:pStyle w:val="Paragrafi"/>
        <w:rPr>
          <w:lang w:val="sq-AL"/>
        </w:rPr>
      </w:pPr>
      <w:r w:rsidRPr="00036C5C">
        <w:rPr>
          <w:lang w:val="sq-AL"/>
        </w:rPr>
        <w:t xml:space="preserve">26. Ky </w:t>
      </w:r>
      <w:r>
        <w:rPr>
          <w:lang w:val="sq-AL"/>
        </w:rPr>
        <w:t>u</w:t>
      </w:r>
      <w:r w:rsidRPr="00036C5C">
        <w:rPr>
          <w:lang w:val="sq-AL"/>
        </w:rPr>
        <w:t>dhëzim hyn në fuqi menjëherë dhe botohet në Fletore Zyrtare.</w:t>
      </w:r>
    </w:p>
    <w:p w:rsidR="00721C49" w:rsidRPr="00036C5C" w:rsidRDefault="00721C49" w:rsidP="00721C49">
      <w:pPr>
        <w:pStyle w:val="Paragrafi"/>
        <w:rPr>
          <w:lang w:val="sq-AL"/>
        </w:rPr>
      </w:pPr>
      <w:r w:rsidRPr="00036C5C">
        <w:rPr>
          <w:lang w:val="sq-AL"/>
        </w:rPr>
        <w:t xml:space="preserve">                                                              </w:t>
      </w:r>
    </w:p>
    <w:p w:rsidR="00721C49" w:rsidRPr="00036C5C" w:rsidRDefault="00721C49" w:rsidP="00721C49">
      <w:pPr>
        <w:pStyle w:val="Autoriteti"/>
        <w:rPr>
          <w:lang w:val="sq-AL"/>
        </w:rPr>
      </w:pPr>
      <w:r w:rsidRPr="00036C5C">
        <w:rPr>
          <w:lang w:val="sq-AL"/>
        </w:rPr>
        <w:t xml:space="preserve">                                                            MINISTRI i brendshëm</w:t>
      </w:r>
    </w:p>
    <w:p w:rsidR="00721C49" w:rsidRPr="00036C5C" w:rsidRDefault="00721C49" w:rsidP="00721C49">
      <w:pPr>
        <w:pStyle w:val="AutoritetiEmer"/>
        <w:rPr>
          <w:lang w:val="sq-AL"/>
        </w:rPr>
      </w:pPr>
      <w:r w:rsidRPr="00036C5C">
        <w:rPr>
          <w:lang w:val="sq-AL"/>
        </w:rPr>
        <w:t>Flamur Noka</w:t>
      </w: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TitulliTitull"/>
        <w:rPr>
          <w:lang w:val="sq-AL"/>
        </w:rPr>
      </w:pPr>
      <w:r w:rsidRPr="00036C5C">
        <w:rPr>
          <w:lang w:val="sq-AL"/>
        </w:rPr>
        <w:t xml:space="preserve">Aneksi nr.1   </w:t>
      </w:r>
    </w:p>
    <w:p w:rsidR="00721C49" w:rsidRPr="00036C5C" w:rsidRDefault="00721C49" w:rsidP="00721C49">
      <w:pPr>
        <w:pStyle w:val="TitulliTitull"/>
        <w:rPr>
          <w:lang w:val="sq-AL"/>
        </w:rPr>
      </w:pPr>
      <w:r w:rsidRPr="00036C5C">
        <w:rPr>
          <w:lang w:val="sq-AL"/>
        </w:rPr>
        <w:t xml:space="preserve">Procedura e kontrollit të dublimeve </w:t>
      </w:r>
    </w:p>
    <w:p w:rsidR="00721C49" w:rsidRPr="00036C5C" w:rsidRDefault="00721C49" w:rsidP="00721C49">
      <w:pPr>
        <w:pStyle w:val="Paragrafi"/>
        <w:rPr>
          <w:rFonts w:cs="Times New Roman"/>
          <w:lang w:val="sq-AL"/>
        </w:rPr>
      </w:pPr>
    </w:p>
    <w:p w:rsidR="00721C49" w:rsidRPr="00036C5C" w:rsidRDefault="00721C49" w:rsidP="00721C49">
      <w:pPr>
        <w:pStyle w:val="Paragrafi"/>
        <w:rPr>
          <w:lang w:val="sq-AL"/>
        </w:rPr>
      </w:pPr>
      <w:r w:rsidRPr="00036C5C">
        <w:rPr>
          <w:lang w:val="sq-AL"/>
        </w:rPr>
        <w:t>Shënim</w:t>
      </w:r>
      <w:r>
        <w:rPr>
          <w:lang w:val="sq-AL"/>
        </w:rPr>
        <w:t>.</w:t>
      </w:r>
      <w:r w:rsidRPr="00036C5C">
        <w:rPr>
          <w:lang w:val="sq-AL"/>
        </w:rPr>
        <w:t xml:space="preserve"> Procedurat nuk marrin parasysh ndryshi</w:t>
      </w:r>
      <w:r>
        <w:rPr>
          <w:lang w:val="sq-AL"/>
        </w:rPr>
        <w:t>met e germave “C” me “Ç” dhe “E” me “Ë”</w:t>
      </w:r>
      <w:r w:rsidRPr="00036C5C">
        <w:rPr>
          <w:lang w:val="sq-AL"/>
        </w:rPr>
        <w:t xml:space="preserve"> pra “</w:t>
      </w:r>
      <w:r>
        <w:rPr>
          <w:lang w:val="sq-AL"/>
        </w:rPr>
        <w:t>C</w:t>
      </w:r>
      <w:r w:rsidRPr="00036C5C">
        <w:rPr>
          <w:lang w:val="sq-AL"/>
        </w:rPr>
        <w:t>lirim” dhe “Çlirim” quhet i njëjti emër dhe kapet si dublim (emrat Engjellushe e Engjëllushe).</w:t>
      </w:r>
    </w:p>
    <w:p w:rsidR="00721C49" w:rsidRPr="00036C5C" w:rsidRDefault="00721C49" w:rsidP="00721C49">
      <w:pPr>
        <w:pStyle w:val="Paragrafi"/>
        <w:rPr>
          <w:lang w:val="sq-AL"/>
        </w:rPr>
      </w:pPr>
    </w:p>
    <w:p w:rsidR="00721C49" w:rsidRPr="00036C5C" w:rsidRDefault="00721C49" w:rsidP="00721C49">
      <w:pPr>
        <w:pStyle w:val="Paragrafi"/>
        <w:rPr>
          <w:lang w:val="sq-AL"/>
        </w:rPr>
      </w:pPr>
      <w:r>
        <w:rPr>
          <w:lang w:val="sq-AL"/>
        </w:rPr>
        <w:t xml:space="preserve">1. </w:t>
      </w:r>
      <w:r w:rsidRPr="004210CA">
        <w:rPr>
          <w:b/>
          <w:lang w:val="sq-AL"/>
        </w:rPr>
        <w:t>Procedura A:</w:t>
      </w:r>
      <w:r w:rsidRPr="00036C5C">
        <w:rPr>
          <w:lang w:val="sq-AL"/>
        </w:rPr>
        <w:t xml:space="preserve"> Kap personat me </w:t>
      </w:r>
      <w:r w:rsidRPr="004210CA">
        <w:rPr>
          <w:b/>
          <w:lang w:val="sq-AL"/>
        </w:rPr>
        <w:t>emër, mbiemër, emri i nënës, emri i babait</w:t>
      </w:r>
      <w:r w:rsidRPr="00036C5C">
        <w:rPr>
          <w:lang w:val="sq-AL"/>
        </w:rPr>
        <w:t xml:space="preserve">, dhe </w:t>
      </w:r>
      <w:r w:rsidRPr="004210CA">
        <w:rPr>
          <w:b/>
          <w:lang w:val="sq-AL"/>
        </w:rPr>
        <w:t>datëlindje</w:t>
      </w:r>
      <w:r w:rsidRPr="00036C5C">
        <w:rPr>
          <w:lang w:val="sq-AL"/>
        </w:rPr>
        <w:t xml:space="preserve"> të njëjtë.</w:t>
      </w:r>
    </w:p>
    <w:p w:rsidR="00721C49" w:rsidRPr="00036C5C" w:rsidRDefault="00721C49" w:rsidP="00721C49">
      <w:pPr>
        <w:pStyle w:val="Paragrafi"/>
        <w:rPr>
          <w:lang w:val="sq-AL"/>
        </w:rPr>
      </w:pPr>
      <w:r>
        <w:rPr>
          <w:lang w:val="sq-AL"/>
        </w:rPr>
        <w:t xml:space="preserve">2. </w:t>
      </w:r>
      <w:r w:rsidRPr="004210CA">
        <w:rPr>
          <w:b/>
          <w:lang w:val="sq-AL"/>
        </w:rPr>
        <w:t>Procedura B1</w:t>
      </w:r>
      <w:r w:rsidRPr="00036C5C">
        <w:rPr>
          <w:lang w:val="sq-AL"/>
        </w:rPr>
        <w:t xml:space="preserve">: Kap personat me </w:t>
      </w:r>
      <w:r w:rsidRPr="004210CA">
        <w:rPr>
          <w:b/>
          <w:lang w:val="sq-AL"/>
        </w:rPr>
        <w:t>emër, mbiemër, emri i babait, emri i nënës, vendlindje</w:t>
      </w:r>
      <w:r w:rsidRPr="00036C5C">
        <w:rPr>
          <w:lang w:val="sq-AL"/>
        </w:rPr>
        <w:t xml:space="preserve"> dhe </w:t>
      </w:r>
      <w:r w:rsidRPr="0069429A">
        <w:rPr>
          <w:b/>
          <w:lang w:val="sq-AL"/>
        </w:rPr>
        <w:t>vitlindje</w:t>
      </w:r>
      <w:r w:rsidRPr="00036C5C">
        <w:rPr>
          <w:lang w:val="sq-AL"/>
        </w:rPr>
        <w:t xml:space="preserve"> të njëjtë.</w:t>
      </w:r>
    </w:p>
    <w:p w:rsidR="00721C49" w:rsidRPr="00036C5C" w:rsidRDefault="00721C49" w:rsidP="00721C49">
      <w:pPr>
        <w:pStyle w:val="Paragrafi"/>
        <w:rPr>
          <w:lang w:val="sq-AL"/>
        </w:rPr>
      </w:pPr>
      <w:r>
        <w:rPr>
          <w:lang w:val="sq-AL"/>
        </w:rPr>
        <w:t xml:space="preserve">3. </w:t>
      </w:r>
      <w:r w:rsidRPr="004210CA">
        <w:rPr>
          <w:b/>
          <w:lang w:val="sq-AL"/>
        </w:rPr>
        <w:t xml:space="preserve">Procedura B2: </w:t>
      </w:r>
      <w:r w:rsidRPr="00036C5C">
        <w:rPr>
          <w:lang w:val="sq-AL"/>
        </w:rPr>
        <w:t xml:space="preserve">Kap personat </w:t>
      </w:r>
      <w:r w:rsidRPr="0069429A">
        <w:rPr>
          <w:b/>
          <w:lang w:val="sq-AL"/>
        </w:rPr>
        <w:t>me emër, mbiemër, emri i babait, emri i nënës, vendlindje</w:t>
      </w:r>
      <w:r w:rsidRPr="00036C5C">
        <w:rPr>
          <w:lang w:val="sq-AL"/>
        </w:rPr>
        <w:t xml:space="preserve"> dhe</w:t>
      </w:r>
      <w:r w:rsidRPr="004210CA">
        <w:rPr>
          <w:b/>
          <w:lang w:val="sq-AL"/>
        </w:rPr>
        <w:t xml:space="preserve"> ditë</w:t>
      </w:r>
      <w:r w:rsidRPr="00036C5C">
        <w:rPr>
          <w:lang w:val="sq-AL"/>
        </w:rPr>
        <w:t xml:space="preserve"> të njëjtë.</w:t>
      </w:r>
    </w:p>
    <w:p w:rsidR="00721C49" w:rsidRPr="00036C5C" w:rsidRDefault="00721C49" w:rsidP="00721C49">
      <w:pPr>
        <w:pStyle w:val="Paragrafi"/>
        <w:rPr>
          <w:lang w:val="sq-AL"/>
        </w:rPr>
      </w:pPr>
      <w:r>
        <w:rPr>
          <w:lang w:val="sq-AL"/>
        </w:rPr>
        <w:t xml:space="preserve">4. </w:t>
      </w:r>
      <w:r w:rsidRPr="004210CA">
        <w:rPr>
          <w:b/>
          <w:lang w:val="sq-AL"/>
        </w:rPr>
        <w:t xml:space="preserve">Procedura B3: </w:t>
      </w:r>
      <w:r w:rsidRPr="00036C5C">
        <w:rPr>
          <w:lang w:val="sq-AL"/>
        </w:rPr>
        <w:t xml:space="preserve">Kap personat me </w:t>
      </w:r>
      <w:r w:rsidRPr="004210CA">
        <w:rPr>
          <w:b/>
          <w:lang w:val="sq-AL"/>
        </w:rPr>
        <w:t>emër, mbiemër, emri i babait, emri i nënës, vendlindje</w:t>
      </w:r>
      <w:r w:rsidRPr="00036C5C">
        <w:rPr>
          <w:lang w:val="sq-AL"/>
        </w:rPr>
        <w:t xml:space="preserve"> dhe </w:t>
      </w:r>
      <w:r w:rsidRPr="004210CA">
        <w:rPr>
          <w:b/>
          <w:lang w:val="sq-AL"/>
        </w:rPr>
        <w:t xml:space="preserve">muaj </w:t>
      </w:r>
      <w:r w:rsidRPr="00036C5C">
        <w:rPr>
          <w:lang w:val="sq-AL"/>
        </w:rPr>
        <w:t>të njëjtë.</w:t>
      </w:r>
    </w:p>
    <w:p w:rsidR="00721C49" w:rsidRPr="00036C5C" w:rsidRDefault="00721C49" w:rsidP="00721C49">
      <w:pPr>
        <w:pStyle w:val="Paragrafi"/>
        <w:rPr>
          <w:lang w:val="sq-AL"/>
        </w:rPr>
      </w:pPr>
      <w:r>
        <w:rPr>
          <w:lang w:val="sq-AL"/>
        </w:rPr>
        <w:t xml:space="preserve">5. </w:t>
      </w:r>
      <w:r w:rsidRPr="004210CA">
        <w:rPr>
          <w:b/>
          <w:lang w:val="sq-AL"/>
        </w:rPr>
        <w:t>Procedura B4:</w:t>
      </w:r>
      <w:r w:rsidRPr="00036C5C">
        <w:rPr>
          <w:lang w:val="sq-AL"/>
        </w:rPr>
        <w:t xml:space="preserve"> Kap personat me </w:t>
      </w:r>
      <w:r w:rsidRPr="004210CA">
        <w:rPr>
          <w:b/>
          <w:lang w:val="sq-AL"/>
        </w:rPr>
        <w:t>emër, mbiemër, emri i babait, emri i nënës, vendlindje</w:t>
      </w:r>
      <w:r w:rsidRPr="00036C5C">
        <w:rPr>
          <w:lang w:val="sq-AL"/>
        </w:rPr>
        <w:t xml:space="preserve"> të njëjtë  dhe ndryshon </w:t>
      </w:r>
      <w:r w:rsidRPr="004210CA">
        <w:rPr>
          <w:b/>
          <w:lang w:val="sq-AL"/>
        </w:rPr>
        <w:t>datëlindja</w:t>
      </w:r>
      <w:r w:rsidRPr="00036C5C">
        <w:rPr>
          <w:lang w:val="sq-AL"/>
        </w:rPr>
        <w:t xml:space="preserve"> në 1 shifër.</w:t>
      </w:r>
    </w:p>
    <w:p w:rsidR="00E36FD1" w:rsidRDefault="00E36FD1" w:rsidP="00721C49">
      <w:pPr>
        <w:pStyle w:val="Paragrafi"/>
        <w:rPr>
          <w:lang w:val="sq-AL"/>
        </w:rPr>
      </w:pPr>
    </w:p>
    <w:p w:rsidR="00721C49" w:rsidRPr="00036C5C" w:rsidRDefault="00721C49" w:rsidP="00721C49">
      <w:pPr>
        <w:pStyle w:val="Paragrafi"/>
        <w:rPr>
          <w:lang w:val="sq-AL"/>
        </w:rPr>
      </w:pPr>
      <w:r>
        <w:rPr>
          <w:lang w:val="sq-AL"/>
        </w:rPr>
        <w:lastRenderedPageBreak/>
        <w:t xml:space="preserve">6. </w:t>
      </w:r>
      <w:r w:rsidRPr="004210CA">
        <w:rPr>
          <w:b/>
          <w:lang w:val="sq-AL"/>
        </w:rPr>
        <w:t>Procedura Ç:</w:t>
      </w:r>
      <w:r w:rsidRPr="00036C5C">
        <w:rPr>
          <w:lang w:val="sq-AL"/>
        </w:rPr>
        <w:t xml:space="preserve"> Kap personat me </w:t>
      </w:r>
      <w:r w:rsidRPr="004210CA">
        <w:rPr>
          <w:b/>
          <w:lang w:val="sq-AL"/>
        </w:rPr>
        <w:t>emër, emri i babait, emri i nënës, datëlindje</w:t>
      </w:r>
      <w:r w:rsidRPr="00036C5C">
        <w:rPr>
          <w:lang w:val="sq-AL"/>
        </w:rPr>
        <w:t xml:space="preserve"> të njëjtë dhe </w:t>
      </w:r>
      <w:r w:rsidRPr="004210CA">
        <w:rPr>
          <w:b/>
          <w:lang w:val="sq-AL"/>
        </w:rPr>
        <w:t xml:space="preserve">mbiemri </w:t>
      </w:r>
      <w:r w:rsidRPr="00036C5C">
        <w:rPr>
          <w:lang w:val="sq-AL"/>
        </w:rPr>
        <w:t>ndryshon me një germë</w:t>
      </w:r>
      <w:r>
        <w:rPr>
          <w:lang w:val="sq-AL"/>
        </w:rPr>
        <w:t>,</w:t>
      </w:r>
      <w:r w:rsidRPr="00036C5C">
        <w:rPr>
          <w:lang w:val="sq-AL"/>
        </w:rPr>
        <w:t xml:space="preserve"> por numri i karaktereve është i njëjtë (deri në 16 karaktere).</w:t>
      </w:r>
    </w:p>
    <w:p w:rsidR="00721C49" w:rsidRPr="00036C5C" w:rsidRDefault="00721C49" w:rsidP="00721C49">
      <w:pPr>
        <w:pStyle w:val="Paragrafi"/>
        <w:rPr>
          <w:lang w:val="sq-AL"/>
        </w:rPr>
      </w:pPr>
      <w:r>
        <w:rPr>
          <w:lang w:val="sq-AL"/>
        </w:rPr>
        <w:t xml:space="preserve">7. </w:t>
      </w:r>
      <w:r w:rsidRPr="004210CA">
        <w:rPr>
          <w:b/>
          <w:lang w:val="sq-AL"/>
        </w:rPr>
        <w:t>Procedura D:</w:t>
      </w:r>
      <w:r w:rsidRPr="00036C5C">
        <w:rPr>
          <w:lang w:val="sq-AL"/>
        </w:rPr>
        <w:t xml:space="preserve"> Kap personat me </w:t>
      </w:r>
      <w:r w:rsidRPr="004210CA">
        <w:rPr>
          <w:b/>
          <w:lang w:val="sq-AL"/>
        </w:rPr>
        <w:t>mbiemër, emri i babait, datëlindje</w:t>
      </w:r>
      <w:r w:rsidRPr="00036C5C">
        <w:rPr>
          <w:lang w:val="sq-AL"/>
        </w:rPr>
        <w:t xml:space="preserve"> të njëjtë dhe </w:t>
      </w:r>
      <w:r w:rsidRPr="004210CA">
        <w:rPr>
          <w:b/>
          <w:lang w:val="sq-AL"/>
        </w:rPr>
        <w:t xml:space="preserve">emri </w:t>
      </w:r>
      <w:r w:rsidRPr="00036C5C">
        <w:rPr>
          <w:lang w:val="sq-AL"/>
        </w:rPr>
        <w:t>ndryshon me një germë</w:t>
      </w:r>
      <w:r>
        <w:rPr>
          <w:lang w:val="sq-AL"/>
        </w:rPr>
        <w:t>,</w:t>
      </w:r>
      <w:r w:rsidRPr="00036C5C">
        <w:rPr>
          <w:lang w:val="sq-AL"/>
        </w:rPr>
        <w:t xml:space="preserve"> por numri i karaktereve është i njëjtë (deri në 16 karaktere).</w:t>
      </w:r>
    </w:p>
    <w:p w:rsidR="00721C49" w:rsidRPr="00036C5C" w:rsidRDefault="00721C49" w:rsidP="00721C49">
      <w:pPr>
        <w:pStyle w:val="Paragrafi"/>
        <w:rPr>
          <w:lang w:val="sq-AL"/>
        </w:rPr>
      </w:pPr>
      <w:r>
        <w:rPr>
          <w:lang w:val="sq-AL"/>
        </w:rPr>
        <w:t xml:space="preserve">8. </w:t>
      </w:r>
      <w:r w:rsidRPr="004210CA">
        <w:rPr>
          <w:b/>
          <w:lang w:val="sq-AL"/>
        </w:rPr>
        <w:t>Procedura E:</w:t>
      </w:r>
      <w:r w:rsidRPr="00036C5C">
        <w:rPr>
          <w:lang w:val="sq-AL"/>
        </w:rPr>
        <w:t xml:space="preserve"> Kap personat me </w:t>
      </w:r>
      <w:r w:rsidRPr="0069429A">
        <w:rPr>
          <w:b/>
          <w:lang w:val="sq-AL"/>
        </w:rPr>
        <w:t>emër, mbiemër, emri i nënës, datëlindje</w:t>
      </w:r>
      <w:r w:rsidRPr="00036C5C">
        <w:rPr>
          <w:lang w:val="sq-AL"/>
        </w:rPr>
        <w:t xml:space="preserve"> të njëjtë dhe </w:t>
      </w:r>
      <w:r w:rsidRPr="0069429A">
        <w:rPr>
          <w:b/>
          <w:lang w:val="sq-AL"/>
        </w:rPr>
        <w:t>emri i babait</w:t>
      </w:r>
      <w:r w:rsidRPr="00036C5C">
        <w:rPr>
          <w:lang w:val="sq-AL"/>
        </w:rPr>
        <w:t xml:space="preserve"> ndryshon me një germë</w:t>
      </w:r>
      <w:r>
        <w:rPr>
          <w:lang w:val="sq-AL"/>
        </w:rPr>
        <w:t>,</w:t>
      </w:r>
      <w:r w:rsidRPr="00036C5C">
        <w:rPr>
          <w:lang w:val="sq-AL"/>
        </w:rPr>
        <w:t xml:space="preserve"> por numri i karaktereve është i njëjtë (deri në 16 karaktere).</w:t>
      </w:r>
    </w:p>
    <w:p w:rsidR="00721C49" w:rsidRPr="00036C5C" w:rsidRDefault="00721C49" w:rsidP="00721C49">
      <w:pPr>
        <w:pStyle w:val="Paragrafi"/>
        <w:rPr>
          <w:lang w:val="sq-AL"/>
        </w:rPr>
      </w:pPr>
      <w:r>
        <w:rPr>
          <w:lang w:val="sq-AL"/>
        </w:rPr>
        <w:t xml:space="preserve">9. </w:t>
      </w:r>
      <w:r w:rsidRPr="004210CA">
        <w:rPr>
          <w:b/>
          <w:lang w:val="sq-AL"/>
        </w:rPr>
        <w:t>Procedura F:</w:t>
      </w:r>
      <w:r w:rsidRPr="00036C5C">
        <w:rPr>
          <w:lang w:val="sq-AL"/>
        </w:rPr>
        <w:t xml:space="preserve"> Kap personat me </w:t>
      </w:r>
      <w:r w:rsidRPr="00B7037F">
        <w:rPr>
          <w:b/>
          <w:lang w:val="sq-AL"/>
        </w:rPr>
        <w:t>mbiemër, emri i babait, emri i nënës, datëlindje, kod zgjc, të dhënat e regjistrit (emër, faqe, rendor)</w:t>
      </w:r>
      <w:r w:rsidRPr="00036C5C">
        <w:rPr>
          <w:lang w:val="sq-AL"/>
        </w:rPr>
        <w:t xml:space="preserve"> të njëjtë ndryshon </w:t>
      </w:r>
      <w:r w:rsidRPr="00B7037F">
        <w:rPr>
          <w:b/>
          <w:lang w:val="sq-AL"/>
        </w:rPr>
        <w:t>emri</w:t>
      </w:r>
      <w:r w:rsidRPr="00036C5C">
        <w:rPr>
          <w:lang w:val="sq-AL"/>
        </w:rPr>
        <w:t>.</w:t>
      </w:r>
    </w:p>
    <w:p w:rsidR="00721C49" w:rsidRPr="00036C5C" w:rsidRDefault="00721C49" w:rsidP="00721C49">
      <w:pPr>
        <w:pStyle w:val="Paragrafi"/>
        <w:rPr>
          <w:lang w:val="sq-AL"/>
        </w:rPr>
      </w:pPr>
      <w:r>
        <w:rPr>
          <w:lang w:val="sq-AL"/>
        </w:rPr>
        <w:t xml:space="preserve">10. </w:t>
      </w:r>
      <w:r w:rsidRPr="004210CA">
        <w:rPr>
          <w:b/>
          <w:lang w:val="sq-AL"/>
        </w:rPr>
        <w:t>Procedura G:</w:t>
      </w:r>
      <w:r w:rsidRPr="00036C5C">
        <w:rPr>
          <w:lang w:val="sq-AL"/>
        </w:rPr>
        <w:t xml:space="preserve"> Kap personat me </w:t>
      </w:r>
      <w:r w:rsidRPr="00B7037F">
        <w:rPr>
          <w:b/>
          <w:lang w:val="sq-AL"/>
        </w:rPr>
        <w:t>emri i babait, mbiemër, emri i nënës, datëlindje</w:t>
      </w:r>
      <w:r w:rsidRPr="00036C5C">
        <w:rPr>
          <w:lang w:val="sq-AL"/>
        </w:rPr>
        <w:t xml:space="preserve"> të njëjtë dhe </w:t>
      </w:r>
      <w:r w:rsidRPr="00B7037F">
        <w:rPr>
          <w:b/>
          <w:lang w:val="sq-AL"/>
        </w:rPr>
        <w:t xml:space="preserve">emri </w:t>
      </w:r>
      <w:r w:rsidRPr="00036C5C">
        <w:rPr>
          <w:lang w:val="sq-AL"/>
        </w:rPr>
        <w:t>ndryshon me një germë ose dy</w:t>
      </w:r>
      <w:r>
        <w:rPr>
          <w:lang w:val="sq-AL"/>
        </w:rPr>
        <w:t>,</w:t>
      </w:r>
      <w:r w:rsidRPr="00036C5C">
        <w:rPr>
          <w:lang w:val="sq-AL"/>
        </w:rPr>
        <w:t xml:space="preserve"> dhe numri i karaktereve të </w:t>
      </w:r>
      <w:r w:rsidRPr="00B7037F">
        <w:rPr>
          <w:b/>
          <w:lang w:val="sq-AL"/>
        </w:rPr>
        <w:t>emrit</w:t>
      </w:r>
      <w:r w:rsidRPr="00036C5C">
        <w:rPr>
          <w:lang w:val="sq-AL"/>
        </w:rPr>
        <w:t xml:space="preserve"> ndryshon me një ose dy.</w:t>
      </w:r>
    </w:p>
    <w:p w:rsidR="00721C49" w:rsidRPr="00036C5C" w:rsidRDefault="00721C49" w:rsidP="00721C49">
      <w:pPr>
        <w:pStyle w:val="Paragrafi"/>
        <w:rPr>
          <w:lang w:val="sq-AL"/>
        </w:rPr>
      </w:pPr>
      <w:r>
        <w:rPr>
          <w:lang w:val="sq-AL"/>
        </w:rPr>
        <w:t xml:space="preserve">11. </w:t>
      </w:r>
      <w:r w:rsidRPr="004210CA">
        <w:rPr>
          <w:b/>
          <w:lang w:val="sq-AL"/>
        </w:rPr>
        <w:t>Procedura H:</w:t>
      </w:r>
      <w:r>
        <w:rPr>
          <w:lang w:val="sq-AL"/>
        </w:rPr>
        <w:t xml:space="preserve"> Kap personat me </w:t>
      </w:r>
      <w:r w:rsidRPr="00B7037F">
        <w:rPr>
          <w:b/>
          <w:lang w:val="sq-AL"/>
        </w:rPr>
        <w:t>emër, emri i babait, emri i nënës, datëlindje</w:t>
      </w:r>
      <w:r w:rsidRPr="00036C5C">
        <w:rPr>
          <w:lang w:val="sq-AL"/>
        </w:rPr>
        <w:t xml:space="preserve"> të njëjtë dhe </w:t>
      </w:r>
      <w:r w:rsidRPr="00B7037F">
        <w:rPr>
          <w:b/>
          <w:lang w:val="sq-AL"/>
        </w:rPr>
        <w:t>mbiemri</w:t>
      </w:r>
      <w:r w:rsidRPr="00036C5C">
        <w:rPr>
          <w:lang w:val="sq-AL"/>
        </w:rPr>
        <w:t xml:space="preserve"> ndryshon me një germë ose dy</w:t>
      </w:r>
      <w:r>
        <w:rPr>
          <w:lang w:val="sq-AL"/>
        </w:rPr>
        <w:t>,</w:t>
      </w:r>
      <w:r w:rsidRPr="00036C5C">
        <w:rPr>
          <w:lang w:val="sq-AL"/>
        </w:rPr>
        <w:t xml:space="preserve"> dhe numri i karaktereve të </w:t>
      </w:r>
      <w:r w:rsidRPr="00B7037F">
        <w:rPr>
          <w:b/>
          <w:lang w:val="sq-AL"/>
        </w:rPr>
        <w:t>mbiemrit</w:t>
      </w:r>
      <w:r w:rsidRPr="00036C5C">
        <w:rPr>
          <w:lang w:val="sq-AL"/>
        </w:rPr>
        <w:t xml:space="preserve"> ndryshon me një ose dy.</w:t>
      </w:r>
    </w:p>
    <w:p w:rsidR="00721C49" w:rsidRPr="00036C5C" w:rsidRDefault="00721C49" w:rsidP="00721C49">
      <w:pPr>
        <w:pStyle w:val="Paragrafi"/>
        <w:rPr>
          <w:lang w:val="sq-AL"/>
        </w:rPr>
      </w:pPr>
      <w:r>
        <w:rPr>
          <w:lang w:val="sq-AL"/>
        </w:rPr>
        <w:t xml:space="preserve">12. </w:t>
      </w:r>
      <w:r w:rsidRPr="004210CA">
        <w:rPr>
          <w:b/>
          <w:lang w:val="sq-AL"/>
        </w:rPr>
        <w:t>Procedura J:</w:t>
      </w:r>
      <w:r>
        <w:rPr>
          <w:lang w:val="sq-AL"/>
        </w:rPr>
        <w:t xml:space="preserve"> Kap personat me </w:t>
      </w:r>
      <w:r w:rsidRPr="00B7037F">
        <w:rPr>
          <w:b/>
          <w:lang w:val="sq-AL"/>
        </w:rPr>
        <w:t>emër, mbiemër, emri i nënës, datëlindje</w:t>
      </w:r>
      <w:r w:rsidRPr="00036C5C">
        <w:rPr>
          <w:lang w:val="sq-AL"/>
        </w:rPr>
        <w:t xml:space="preserve"> të njëjtë dhe </w:t>
      </w:r>
      <w:r w:rsidRPr="00B7037F">
        <w:rPr>
          <w:b/>
          <w:lang w:val="sq-AL"/>
        </w:rPr>
        <w:t>emri i babait</w:t>
      </w:r>
      <w:r w:rsidRPr="00036C5C">
        <w:rPr>
          <w:lang w:val="sq-AL"/>
        </w:rPr>
        <w:t xml:space="preserve"> ndryshon me një germë ose dy dhe numri i karaktereve të </w:t>
      </w:r>
      <w:r w:rsidRPr="00B7037F">
        <w:rPr>
          <w:b/>
          <w:lang w:val="sq-AL"/>
        </w:rPr>
        <w:t>emri i babait</w:t>
      </w:r>
      <w:r w:rsidRPr="00036C5C">
        <w:rPr>
          <w:lang w:val="sq-AL"/>
        </w:rPr>
        <w:t xml:space="preserve"> se ndryshon me një ose dy.</w:t>
      </w:r>
    </w:p>
    <w:p w:rsidR="00721C49" w:rsidRPr="00036C5C" w:rsidRDefault="00721C49" w:rsidP="00721C49">
      <w:pPr>
        <w:pStyle w:val="Paragrafi"/>
        <w:rPr>
          <w:rFonts w:cs="Times New Roman"/>
          <w:lang w:val="sq-AL"/>
        </w:rPr>
      </w:pPr>
      <w:r>
        <w:rPr>
          <w:lang w:val="sq-AL"/>
        </w:rPr>
        <w:t xml:space="preserve">13. </w:t>
      </w:r>
      <w:r w:rsidRPr="004210CA">
        <w:rPr>
          <w:b/>
          <w:lang w:val="sq-AL"/>
        </w:rPr>
        <w:t>Procedura K:</w:t>
      </w:r>
      <w:r w:rsidRPr="00036C5C">
        <w:rPr>
          <w:lang w:val="sq-AL"/>
        </w:rPr>
        <w:t xml:space="preserve"> Kap personat me </w:t>
      </w:r>
      <w:r w:rsidRPr="00B7037F">
        <w:rPr>
          <w:b/>
          <w:lang w:val="sq-AL"/>
        </w:rPr>
        <w:t>emër, emri i babait, emri i nënës, datëlindje</w:t>
      </w:r>
      <w:r w:rsidRPr="00036C5C">
        <w:rPr>
          <w:lang w:val="sq-AL"/>
        </w:rPr>
        <w:t xml:space="preserve"> t</w:t>
      </w:r>
      <w:r>
        <w:rPr>
          <w:lang w:val="sq-AL"/>
        </w:rPr>
        <w:t>ë</w:t>
      </w:r>
      <w:r w:rsidRPr="00036C5C">
        <w:rPr>
          <w:lang w:val="sq-AL"/>
        </w:rPr>
        <w:t xml:space="preserve"> njëjtë, Se</w:t>
      </w:r>
      <w:r>
        <w:rPr>
          <w:lang w:val="sq-AL"/>
        </w:rPr>
        <w:t xml:space="preserve">ksi=Femër dhe </w:t>
      </w:r>
      <w:r w:rsidRPr="00B7037F">
        <w:rPr>
          <w:b/>
          <w:lang w:val="sq-AL"/>
        </w:rPr>
        <w:t>mbiemri</w:t>
      </w:r>
      <w:r>
        <w:rPr>
          <w:lang w:val="sq-AL"/>
        </w:rPr>
        <w:t xml:space="preserve"> ndryshon </w:t>
      </w:r>
      <w:r w:rsidRPr="00036C5C">
        <w:rPr>
          <w:lang w:val="sq-AL"/>
        </w:rPr>
        <w:t>(Për të kapur gratë e martuara që kanë mbetur pa u çregjistruar).</w:t>
      </w:r>
    </w:p>
    <w:p w:rsidR="00721C49" w:rsidRPr="00036C5C" w:rsidRDefault="00721C49" w:rsidP="00721C49">
      <w:pPr>
        <w:pStyle w:val="Paragrafi"/>
        <w:rPr>
          <w:lang w:val="sq-AL"/>
        </w:rPr>
      </w:pPr>
      <w:r>
        <w:rPr>
          <w:lang w:val="sq-AL"/>
        </w:rPr>
        <w:t xml:space="preserve">14. </w:t>
      </w:r>
      <w:r w:rsidRPr="004210CA">
        <w:rPr>
          <w:b/>
          <w:lang w:val="sq-AL"/>
        </w:rPr>
        <w:t>Procedura L:</w:t>
      </w:r>
      <w:r w:rsidRPr="00036C5C">
        <w:rPr>
          <w:lang w:val="sq-AL"/>
        </w:rPr>
        <w:t xml:space="preserve"> Kap personat me </w:t>
      </w:r>
      <w:r w:rsidRPr="00B7037F">
        <w:rPr>
          <w:b/>
          <w:lang w:val="sq-AL"/>
        </w:rPr>
        <w:t>emër, mbiemër, emri i babait, datëlindje</w:t>
      </w:r>
      <w:r>
        <w:rPr>
          <w:lang w:val="sq-AL"/>
        </w:rPr>
        <w:t xml:space="preserve"> të njëjtë dhe </w:t>
      </w:r>
      <w:r w:rsidRPr="00B7037F">
        <w:rPr>
          <w:b/>
          <w:lang w:val="sq-AL"/>
        </w:rPr>
        <w:t>emri i nënës</w:t>
      </w:r>
      <w:r w:rsidRPr="00036C5C">
        <w:rPr>
          <w:lang w:val="sq-AL"/>
        </w:rPr>
        <w:t xml:space="preserve"> ndryshon me një germë</w:t>
      </w:r>
      <w:r>
        <w:rPr>
          <w:lang w:val="sq-AL"/>
        </w:rPr>
        <w:t>,</w:t>
      </w:r>
      <w:r w:rsidRPr="00036C5C">
        <w:rPr>
          <w:lang w:val="sq-AL"/>
        </w:rPr>
        <w:t xml:space="preserve"> por numri i karaktereve është i njëjtë (deri në 16 karaktere).</w:t>
      </w:r>
    </w:p>
    <w:p w:rsidR="00721C49" w:rsidRPr="00036C5C" w:rsidRDefault="00721C49" w:rsidP="00721C49">
      <w:pPr>
        <w:pStyle w:val="Paragrafi"/>
        <w:rPr>
          <w:lang w:val="sq-AL"/>
        </w:rPr>
      </w:pPr>
      <w:r>
        <w:rPr>
          <w:lang w:val="sq-AL"/>
        </w:rPr>
        <w:t xml:space="preserve">15. </w:t>
      </w:r>
      <w:r w:rsidRPr="004210CA">
        <w:rPr>
          <w:b/>
          <w:lang w:val="sq-AL"/>
        </w:rPr>
        <w:t>Procedura M:</w:t>
      </w:r>
      <w:r w:rsidRPr="00036C5C">
        <w:rPr>
          <w:lang w:val="sq-AL"/>
        </w:rPr>
        <w:t xml:space="preserve"> Kap personat me </w:t>
      </w:r>
      <w:r w:rsidRPr="00B7037F">
        <w:rPr>
          <w:b/>
          <w:lang w:val="sq-AL"/>
        </w:rPr>
        <w:t>emri, mbiemri, emri i babait, datëlindje</w:t>
      </w:r>
      <w:r w:rsidRPr="00036C5C">
        <w:rPr>
          <w:lang w:val="sq-AL"/>
        </w:rPr>
        <w:t xml:space="preserve"> të njëjtë dhe </w:t>
      </w:r>
      <w:r w:rsidRPr="00B7037F">
        <w:rPr>
          <w:b/>
          <w:lang w:val="sq-AL"/>
        </w:rPr>
        <w:t>emri i nënës</w:t>
      </w:r>
      <w:r w:rsidRPr="00036C5C">
        <w:rPr>
          <w:lang w:val="sq-AL"/>
        </w:rPr>
        <w:t xml:space="preserve"> ndryshon me një germë ose dy dhe numri i karaktereve.</w:t>
      </w:r>
    </w:p>
    <w:p w:rsidR="00721C49" w:rsidRPr="00036C5C" w:rsidRDefault="00721C49" w:rsidP="00721C49">
      <w:pPr>
        <w:pStyle w:val="Paragrafi"/>
        <w:rPr>
          <w:lang w:val="sq-AL"/>
        </w:rPr>
      </w:pPr>
      <w:r>
        <w:rPr>
          <w:lang w:val="sq-AL"/>
        </w:rPr>
        <w:t xml:space="preserve">16. </w:t>
      </w:r>
      <w:r w:rsidRPr="004210CA">
        <w:rPr>
          <w:b/>
          <w:lang w:val="sq-AL"/>
        </w:rPr>
        <w:t>Procedura N1:</w:t>
      </w:r>
      <w:r w:rsidRPr="00036C5C">
        <w:rPr>
          <w:lang w:val="sq-AL"/>
        </w:rPr>
        <w:t xml:space="preserve"> Kap personat me </w:t>
      </w:r>
      <w:r w:rsidRPr="00B7037F">
        <w:rPr>
          <w:b/>
          <w:lang w:val="sq-AL"/>
        </w:rPr>
        <w:t>emër, mbiemër, emri i babait, emri i nënës, datëlindje</w:t>
      </w:r>
      <w:r w:rsidRPr="00036C5C">
        <w:rPr>
          <w:lang w:val="sq-AL"/>
        </w:rPr>
        <w:t xml:space="preserve"> të njëjtë dhe </w:t>
      </w:r>
      <w:r w:rsidRPr="00B7037F">
        <w:rPr>
          <w:b/>
          <w:lang w:val="sq-AL"/>
        </w:rPr>
        <w:t xml:space="preserve">vendlindja </w:t>
      </w:r>
      <w:r w:rsidRPr="00036C5C">
        <w:rPr>
          <w:lang w:val="sq-AL"/>
        </w:rPr>
        <w:t>ndryshon me një germë</w:t>
      </w:r>
      <w:r>
        <w:rPr>
          <w:lang w:val="sq-AL"/>
        </w:rPr>
        <w:t>,</w:t>
      </w:r>
      <w:r w:rsidRPr="00036C5C">
        <w:rPr>
          <w:lang w:val="sq-AL"/>
        </w:rPr>
        <w:t xml:space="preserve"> por numri i karaktereve është i njëjtë (deri në 16 karaktere).</w:t>
      </w:r>
    </w:p>
    <w:p w:rsidR="00721C49" w:rsidRPr="00036C5C" w:rsidRDefault="00721C49" w:rsidP="00721C49">
      <w:pPr>
        <w:pStyle w:val="Paragrafi"/>
        <w:rPr>
          <w:lang w:val="sq-AL"/>
        </w:rPr>
      </w:pPr>
      <w:r>
        <w:rPr>
          <w:lang w:val="sq-AL"/>
        </w:rPr>
        <w:t xml:space="preserve">17. </w:t>
      </w:r>
      <w:r w:rsidRPr="004210CA">
        <w:rPr>
          <w:b/>
          <w:lang w:val="sq-AL"/>
        </w:rPr>
        <w:t>Procedura N2:</w:t>
      </w:r>
      <w:r w:rsidRPr="00036C5C">
        <w:rPr>
          <w:lang w:val="sq-AL"/>
        </w:rPr>
        <w:t xml:space="preserve"> Kap personat me </w:t>
      </w:r>
      <w:r w:rsidRPr="00B7037F">
        <w:rPr>
          <w:b/>
          <w:lang w:val="sq-AL"/>
        </w:rPr>
        <w:t>emër, mbiemër, emri i babait, emri i nënës, datëlindje</w:t>
      </w:r>
      <w:r w:rsidRPr="00036C5C">
        <w:rPr>
          <w:lang w:val="sq-AL"/>
        </w:rPr>
        <w:t xml:space="preserve"> të njëjtë dhe ndryshon me një germë deri në katër dhe numri i karaktereve  te </w:t>
      </w:r>
      <w:r w:rsidRPr="00B7037F">
        <w:rPr>
          <w:b/>
          <w:lang w:val="sq-AL"/>
        </w:rPr>
        <w:t xml:space="preserve">vendlindja </w:t>
      </w:r>
      <w:r w:rsidRPr="00036C5C">
        <w:rPr>
          <w:lang w:val="sq-AL"/>
        </w:rPr>
        <w:t>ndryshon me një deri në katër.</w:t>
      </w:r>
    </w:p>
    <w:p w:rsidR="00721C49" w:rsidRPr="00036C5C" w:rsidRDefault="00721C49" w:rsidP="00721C49">
      <w:pPr>
        <w:pStyle w:val="Paragrafi"/>
        <w:rPr>
          <w:lang w:val="sq-AL"/>
        </w:rPr>
      </w:pPr>
      <w:r>
        <w:rPr>
          <w:lang w:val="sq-AL"/>
        </w:rPr>
        <w:t xml:space="preserve">18. </w:t>
      </w:r>
      <w:r w:rsidRPr="004210CA">
        <w:rPr>
          <w:b/>
          <w:lang w:val="sq-AL"/>
        </w:rPr>
        <w:t>Procedura O:</w:t>
      </w:r>
      <w:r w:rsidRPr="00036C5C">
        <w:rPr>
          <w:lang w:val="sq-AL"/>
        </w:rPr>
        <w:t xml:space="preserve"> Kap personat me </w:t>
      </w:r>
      <w:r w:rsidRPr="00B7037F">
        <w:rPr>
          <w:b/>
          <w:lang w:val="sq-AL"/>
        </w:rPr>
        <w:t>mbiemër, emri i babait, emri i nënës, datëlindje</w:t>
      </w:r>
      <w:r>
        <w:rPr>
          <w:lang w:val="sq-AL"/>
        </w:rPr>
        <w:t>,</w:t>
      </w:r>
      <w:r w:rsidRPr="00036C5C">
        <w:rPr>
          <w:lang w:val="sq-AL"/>
        </w:rPr>
        <w:t xml:space="preserve"> </w:t>
      </w:r>
      <w:r w:rsidRPr="0069429A">
        <w:rPr>
          <w:b/>
          <w:lang w:val="sq-AL"/>
        </w:rPr>
        <w:t>vendlindja</w:t>
      </w:r>
      <w:r w:rsidRPr="00036C5C">
        <w:rPr>
          <w:lang w:val="sq-AL"/>
        </w:rPr>
        <w:t xml:space="preserve"> të njëjtë dhe </w:t>
      </w:r>
      <w:r w:rsidRPr="00B7037F">
        <w:rPr>
          <w:b/>
          <w:lang w:val="sq-AL"/>
        </w:rPr>
        <w:t xml:space="preserve">emri </w:t>
      </w:r>
      <w:r w:rsidRPr="00036C5C">
        <w:rPr>
          <w:lang w:val="sq-AL"/>
        </w:rPr>
        <w:t>i ndryshëm.</w:t>
      </w:r>
    </w:p>
    <w:p w:rsidR="00721C49" w:rsidRPr="00036C5C" w:rsidRDefault="00721C49" w:rsidP="00721C49">
      <w:pPr>
        <w:pStyle w:val="Paragrafi"/>
        <w:rPr>
          <w:lang w:val="sq-AL"/>
        </w:rPr>
      </w:pPr>
      <w:r>
        <w:rPr>
          <w:lang w:val="sq-AL"/>
        </w:rPr>
        <w:t xml:space="preserve">19. </w:t>
      </w:r>
      <w:r w:rsidRPr="004210CA">
        <w:rPr>
          <w:b/>
          <w:lang w:val="sq-AL"/>
        </w:rPr>
        <w:t>Procedura P:</w:t>
      </w:r>
      <w:r w:rsidRPr="00036C5C">
        <w:rPr>
          <w:lang w:val="sq-AL"/>
        </w:rPr>
        <w:t xml:space="preserve"> Kap personat me </w:t>
      </w:r>
      <w:r w:rsidRPr="00B7037F">
        <w:rPr>
          <w:b/>
          <w:lang w:val="sq-AL"/>
        </w:rPr>
        <w:t>mbiemër, emri i babait, emri i nënës, datëlindje</w:t>
      </w:r>
      <w:r>
        <w:rPr>
          <w:lang w:val="sq-AL"/>
        </w:rPr>
        <w:t>,</w:t>
      </w:r>
      <w:r w:rsidRPr="00036C5C">
        <w:rPr>
          <w:lang w:val="sq-AL"/>
        </w:rPr>
        <w:t xml:space="preserve"> </w:t>
      </w:r>
      <w:r w:rsidRPr="00B7037F">
        <w:rPr>
          <w:b/>
          <w:lang w:val="sq-AL"/>
        </w:rPr>
        <w:t>vendlindja, kodi i zyrës</w:t>
      </w:r>
      <w:r w:rsidRPr="00036C5C">
        <w:rPr>
          <w:lang w:val="sq-AL"/>
        </w:rPr>
        <w:t xml:space="preserve"> të njëjtë dhe </w:t>
      </w:r>
      <w:r w:rsidRPr="00B7037F">
        <w:rPr>
          <w:b/>
          <w:lang w:val="sq-AL"/>
        </w:rPr>
        <w:t>emri</w:t>
      </w:r>
      <w:r w:rsidRPr="00036C5C">
        <w:rPr>
          <w:lang w:val="sq-AL"/>
        </w:rPr>
        <w:t xml:space="preserve"> i ndryshëm.</w:t>
      </w:r>
    </w:p>
    <w:p w:rsidR="00721C49" w:rsidRDefault="00721C49" w:rsidP="00721C49">
      <w:pPr>
        <w:pStyle w:val="Paragrafi"/>
        <w:ind w:firstLine="0"/>
        <w:rPr>
          <w:rFonts w:cs="Times New Roman"/>
          <w:lang w:val="sq-AL"/>
        </w:rPr>
        <w:sectPr w:rsidR="00721C49" w:rsidSect="00A03E9D">
          <w:headerReference w:type="even" r:id="rId7"/>
          <w:headerReference w:type="default" r:id="rId8"/>
          <w:footerReference w:type="even" r:id="rId9"/>
          <w:footerReference w:type="default" r:id="rId10"/>
          <w:pgSz w:w="11907" w:h="16840" w:code="9"/>
          <w:pgMar w:top="1418" w:right="1418" w:bottom="1418" w:left="1418" w:header="1588" w:footer="1134" w:gutter="0"/>
          <w:pgNumType w:start="8659"/>
          <w:cols w:space="720"/>
          <w:docGrid w:linePitch="360"/>
        </w:sectPr>
      </w:pPr>
    </w:p>
    <w:tbl>
      <w:tblPr>
        <w:tblW w:w="12685" w:type="dxa"/>
        <w:jc w:val="center"/>
        <w:tblLook w:val="00A0"/>
      </w:tblPr>
      <w:tblGrid>
        <w:gridCol w:w="1020"/>
        <w:gridCol w:w="960"/>
        <w:gridCol w:w="960"/>
        <w:gridCol w:w="1280"/>
        <w:gridCol w:w="1260"/>
        <w:gridCol w:w="1060"/>
        <w:gridCol w:w="1100"/>
        <w:gridCol w:w="704"/>
        <w:gridCol w:w="1540"/>
        <w:gridCol w:w="1540"/>
        <w:gridCol w:w="1340"/>
      </w:tblGrid>
      <w:tr w:rsidR="00721C49" w:rsidRPr="00036C5C" w:rsidTr="003858CD">
        <w:trPr>
          <w:trHeight w:val="162"/>
          <w:jc w:val="center"/>
        </w:trPr>
        <w:tc>
          <w:tcPr>
            <w:tcW w:w="12685" w:type="dxa"/>
            <w:gridSpan w:val="11"/>
            <w:tcBorders>
              <w:top w:val="nil"/>
              <w:left w:val="nil"/>
              <w:bottom w:val="nil"/>
              <w:right w:val="nil"/>
            </w:tcBorders>
            <w:noWrap/>
            <w:vAlign w:val="bottom"/>
          </w:tcPr>
          <w:p w:rsidR="00721C49" w:rsidRPr="00036C5C" w:rsidRDefault="00721C49" w:rsidP="003858CD">
            <w:pPr>
              <w:pStyle w:val="TitulliTitull"/>
              <w:rPr>
                <w:lang w:val="sq-AL"/>
              </w:rPr>
            </w:pPr>
            <w:r w:rsidRPr="00036C5C">
              <w:rPr>
                <w:lang w:val="sq-AL"/>
              </w:rPr>
              <w:lastRenderedPageBreak/>
              <w:t>ANEKSI  NR.2</w:t>
            </w:r>
          </w:p>
          <w:p w:rsidR="00721C49" w:rsidRPr="00036C5C" w:rsidRDefault="00721C49" w:rsidP="003858CD">
            <w:pPr>
              <w:pStyle w:val="TitulliTitull"/>
              <w:rPr>
                <w:rFonts w:eastAsia="Times New Roman" w:cs="Times New Roman"/>
                <w:color w:val="000000"/>
                <w:lang w:val="sq-AL"/>
              </w:rPr>
            </w:pPr>
          </w:p>
        </w:tc>
      </w:tr>
      <w:tr w:rsidR="00721C49" w:rsidRPr="00036C5C" w:rsidTr="003858CD">
        <w:trPr>
          <w:trHeight w:val="162"/>
          <w:jc w:val="center"/>
        </w:trPr>
        <w:tc>
          <w:tcPr>
            <w:tcW w:w="1020" w:type="dxa"/>
            <w:tcBorders>
              <w:top w:val="single" w:sz="4" w:space="0" w:color="auto"/>
              <w:left w:val="single" w:sz="4" w:space="0" w:color="auto"/>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Nr</w:t>
            </w:r>
            <w:r>
              <w:rPr>
                <w:rFonts w:ascii="CG Times" w:hAnsi="CG Times" w:cs="CG Times"/>
                <w:b/>
                <w:bCs/>
                <w:color w:val="000000"/>
                <w:sz w:val="18"/>
                <w:szCs w:val="18"/>
              </w:rPr>
              <w:t>.</w:t>
            </w:r>
          </w:p>
        </w:tc>
        <w:tc>
          <w:tcPr>
            <w:tcW w:w="96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Emri</w:t>
            </w:r>
          </w:p>
        </w:tc>
        <w:tc>
          <w:tcPr>
            <w:tcW w:w="96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Mbiemri</w:t>
            </w:r>
          </w:p>
        </w:tc>
        <w:tc>
          <w:tcPr>
            <w:tcW w:w="128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Emri i babait</w:t>
            </w:r>
          </w:p>
        </w:tc>
        <w:tc>
          <w:tcPr>
            <w:tcW w:w="126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Emri i nënës</w:t>
            </w:r>
          </w:p>
        </w:tc>
        <w:tc>
          <w:tcPr>
            <w:tcW w:w="106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Datëlindja</w:t>
            </w:r>
          </w:p>
        </w:tc>
        <w:tc>
          <w:tcPr>
            <w:tcW w:w="110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Vendlindja</w:t>
            </w:r>
          </w:p>
        </w:tc>
        <w:tc>
          <w:tcPr>
            <w:tcW w:w="625"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Gjinia</w:t>
            </w:r>
          </w:p>
        </w:tc>
        <w:tc>
          <w:tcPr>
            <w:tcW w:w="154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Numri personal</w:t>
            </w:r>
          </w:p>
        </w:tc>
        <w:tc>
          <w:tcPr>
            <w:tcW w:w="154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Numri zgjedhor</w:t>
            </w:r>
          </w:p>
        </w:tc>
        <w:tc>
          <w:tcPr>
            <w:tcW w:w="1340" w:type="dxa"/>
            <w:tcBorders>
              <w:top w:val="single" w:sz="4" w:space="0" w:color="auto"/>
              <w:left w:val="nil"/>
              <w:bottom w:val="single" w:sz="4" w:space="0" w:color="auto"/>
              <w:right w:val="single" w:sz="4" w:space="0" w:color="auto"/>
            </w:tcBorders>
            <w:noWrap/>
            <w:vAlign w:val="bottom"/>
          </w:tcPr>
          <w:p w:rsidR="00721C49" w:rsidRPr="00036C5C" w:rsidRDefault="00721C49" w:rsidP="003858CD">
            <w:pPr>
              <w:jc w:val="center"/>
              <w:rPr>
                <w:rFonts w:ascii="CG Times" w:hAnsi="CG Times" w:cs="CG Times"/>
                <w:b/>
                <w:bCs/>
                <w:color w:val="000000"/>
                <w:sz w:val="18"/>
                <w:szCs w:val="18"/>
              </w:rPr>
            </w:pPr>
            <w:r w:rsidRPr="00036C5C">
              <w:rPr>
                <w:rFonts w:ascii="CG Times" w:hAnsi="CG Times" w:cs="CG Times"/>
                <w:b/>
                <w:bCs/>
                <w:color w:val="000000"/>
                <w:sz w:val="18"/>
                <w:szCs w:val="18"/>
              </w:rPr>
              <w:t>Numri rendor</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r w:rsidR="00721C49" w:rsidRPr="00036C5C" w:rsidTr="003858CD">
        <w:trPr>
          <w:trHeight w:val="162"/>
          <w:jc w:val="center"/>
        </w:trPr>
        <w:tc>
          <w:tcPr>
            <w:tcW w:w="1020" w:type="dxa"/>
            <w:tcBorders>
              <w:top w:val="nil"/>
              <w:left w:val="single" w:sz="4" w:space="0" w:color="auto"/>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9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8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2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06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10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625"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5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c>
          <w:tcPr>
            <w:tcW w:w="1340" w:type="dxa"/>
            <w:tcBorders>
              <w:top w:val="nil"/>
              <w:left w:val="nil"/>
              <w:bottom w:val="single" w:sz="4" w:space="0" w:color="auto"/>
              <w:right w:val="single" w:sz="4" w:space="0" w:color="auto"/>
            </w:tcBorders>
            <w:noWrap/>
            <w:vAlign w:val="bottom"/>
          </w:tcPr>
          <w:p w:rsidR="00721C49" w:rsidRPr="00036C5C" w:rsidRDefault="00721C49" w:rsidP="003858CD">
            <w:pPr>
              <w:rPr>
                <w:rFonts w:ascii="CG Times" w:hAnsi="CG Times" w:cs="CG Times"/>
                <w:color w:val="000000"/>
                <w:sz w:val="18"/>
                <w:szCs w:val="18"/>
              </w:rPr>
            </w:pPr>
            <w:r w:rsidRPr="00036C5C">
              <w:rPr>
                <w:rFonts w:ascii="CG Times" w:hAnsi="CG Times" w:cs="CG Times"/>
                <w:color w:val="000000"/>
                <w:sz w:val="18"/>
                <w:szCs w:val="18"/>
              </w:rPr>
              <w:t> </w:t>
            </w:r>
          </w:p>
        </w:tc>
      </w:tr>
    </w:tbl>
    <w:p w:rsidR="00721C49" w:rsidRPr="00036C5C" w:rsidRDefault="00721C49" w:rsidP="00721C49">
      <w:pPr>
        <w:pStyle w:val="Paragrafi"/>
        <w:rPr>
          <w:rFonts w:cs="Times New Roman"/>
          <w:lang w:val="sq-AL"/>
        </w:rPr>
      </w:pPr>
    </w:p>
    <w:p w:rsidR="00721C49" w:rsidRDefault="00721C49" w:rsidP="00721C49">
      <w:pPr>
        <w:pStyle w:val="Paragrafi"/>
        <w:rPr>
          <w:rFonts w:cs="Times New Roman"/>
          <w:lang w:val="sq-AL"/>
        </w:rPr>
        <w:sectPr w:rsidR="00721C49" w:rsidSect="003858CD">
          <w:pgSz w:w="16840" w:h="11907" w:orient="landscape" w:code="9"/>
          <w:pgMar w:top="1418" w:right="1418" w:bottom="1418" w:left="1418" w:header="1588" w:footer="1134" w:gutter="0"/>
          <w:pgNumType w:start="8674"/>
          <w:cols w:space="720"/>
          <w:docGrid w:linePitch="360"/>
        </w:sectPr>
      </w:pPr>
    </w:p>
    <w:p w:rsidR="00721C49" w:rsidRPr="00036C5C" w:rsidRDefault="009C3FE3" w:rsidP="00721C49">
      <w:pPr>
        <w:pStyle w:val="Paragrafi"/>
        <w:ind w:firstLine="0"/>
        <w:rPr>
          <w:rFonts w:cs="Times New Roman"/>
          <w:lang w:val="sq-AL"/>
        </w:rPr>
      </w:pPr>
      <w:r w:rsidRPr="00CA5FCB">
        <w:rPr>
          <w:rFonts w:cs="Times New Roman"/>
          <w:lang w:val="sq-AL"/>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9.2pt;height:597.6pt">
            <v:imagedata r:id="rId11" o:title="" cropbottom="1448f" cropleft="2347f" cropright="2045f"/>
          </v:shape>
        </w:pict>
      </w: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9C3FE3" w:rsidP="00721C49">
      <w:pPr>
        <w:pStyle w:val="Paragrafi"/>
        <w:ind w:firstLine="0"/>
        <w:rPr>
          <w:rFonts w:cs="Times New Roman"/>
          <w:lang w:val="sq-AL"/>
        </w:rPr>
      </w:pPr>
      <w:r w:rsidRPr="00CA5FCB">
        <w:rPr>
          <w:rFonts w:cs="Times New Roman"/>
          <w:lang w:val="sq-AL"/>
        </w:rPr>
        <w:lastRenderedPageBreak/>
        <w:pict>
          <v:shape id="_x0000_i1028" type="#_x0000_t75" style="width:460.8pt;height:568.8pt">
            <v:imagedata r:id="rId12" o:title="" croptop="2758f" cropbottom="2225f" cropleft="3526f" cropright="2445f"/>
          </v:shape>
        </w:pict>
      </w: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ind w:firstLine="0"/>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9C3FE3" w:rsidP="00721C49">
      <w:pPr>
        <w:pStyle w:val="Paragrafi"/>
        <w:ind w:firstLine="0"/>
        <w:rPr>
          <w:rFonts w:cs="Times New Roman"/>
          <w:lang w:val="sq-AL"/>
        </w:rPr>
      </w:pPr>
      <w:r w:rsidRPr="00CA5FCB">
        <w:rPr>
          <w:rFonts w:cs="Times New Roman"/>
          <w:lang w:val="sq-AL"/>
        </w:rPr>
        <w:lastRenderedPageBreak/>
        <w:pict>
          <v:shape id="_x0000_i1029" type="#_x0000_t75" style="width:446.4pt;height:604.8pt">
            <v:imagedata r:id="rId13" o:title="" croptop="1686f" cropbottom="2452f" cropleft="4113f" cropright="4119f"/>
          </v:shape>
        </w:pict>
      </w: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9C3FE3" w:rsidP="00721C49">
      <w:pPr>
        <w:pStyle w:val="Paragrafi"/>
        <w:ind w:firstLine="0"/>
        <w:rPr>
          <w:rFonts w:cs="Times New Roman"/>
          <w:lang w:val="sq-AL"/>
        </w:rPr>
      </w:pPr>
      <w:r w:rsidRPr="00CA5FCB">
        <w:rPr>
          <w:rFonts w:cs="Times New Roman"/>
          <w:lang w:val="sq-AL"/>
        </w:rPr>
        <w:lastRenderedPageBreak/>
        <w:pict>
          <v:shape id="_x0000_i1030" type="#_x0000_t75" style="width:460.8pt;height:525.6pt">
            <v:imagedata r:id="rId14" o:title="" cropbottom="3211f" cropleft="4602f"/>
          </v:shape>
        </w:pict>
      </w: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721C49" w:rsidP="00721C49">
      <w:pPr>
        <w:pStyle w:val="Paragrafi"/>
        <w:rPr>
          <w:rFonts w:cs="Times New Roman"/>
          <w:lang w:val="sq-AL"/>
        </w:rPr>
      </w:pPr>
    </w:p>
    <w:p w:rsidR="00721C49" w:rsidRPr="00036C5C" w:rsidRDefault="009C3FE3" w:rsidP="00721C49">
      <w:pPr>
        <w:pStyle w:val="Paragrafi"/>
        <w:ind w:firstLine="0"/>
        <w:rPr>
          <w:rFonts w:cs="Times New Roman"/>
          <w:lang w:val="sq-AL"/>
        </w:rPr>
      </w:pPr>
      <w:r w:rsidRPr="00CA5FCB">
        <w:rPr>
          <w:rFonts w:cs="Times New Roman"/>
          <w:lang w:val="sq-AL"/>
        </w:rPr>
        <w:lastRenderedPageBreak/>
        <w:pict>
          <v:shape id="_x0000_i1031" type="#_x0000_t75" style="width:6in;height:352.8pt">
            <v:imagedata r:id="rId15" o:title="" croptop="1359f" cropbottom="3852f" cropleft="2738f" cropright="4608f"/>
          </v:shape>
        </w:pict>
      </w:r>
    </w:p>
    <w:p w:rsidR="00DF4F2C" w:rsidRDefault="00DF4F2C" w:rsidP="00B500A0">
      <w:pPr>
        <w:pStyle w:val="Paragrafi"/>
        <w:rPr>
          <w:rFonts w:cs="Times New Roman"/>
          <w:lang w:val="sq-AL"/>
        </w:rPr>
      </w:pPr>
    </w:p>
    <w:p w:rsidR="007D7C24" w:rsidRPr="00036C5C" w:rsidRDefault="007D7C24" w:rsidP="00B500A0">
      <w:pPr>
        <w:pStyle w:val="Paragrafi"/>
        <w:rPr>
          <w:rFonts w:cs="Times New Roman"/>
          <w:lang w:val="sq-AL"/>
        </w:rPr>
      </w:pPr>
    </w:p>
    <w:p w:rsidR="00DF4F2C" w:rsidRPr="00036C5C" w:rsidRDefault="00DF4F2C" w:rsidP="007B00EC">
      <w:pPr>
        <w:pStyle w:val="Akti"/>
        <w:rPr>
          <w:lang w:val="sq-AL"/>
        </w:rPr>
      </w:pPr>
      <w:r w:rsidRPr="00036C5C">
        <w:rPr>
          <w:lang w:val="sq-AL"/>
        </w:rPr>
        <w:t>VENDIM</w:t>
      </w:r>
    </w:p>
    <w:p w:rsidR="00DF4F2C" w:rsidRPr="00036C5C" w:rsidRDefault="00DF4F2C" w:rsidP="007B00EC">
      <w:pPr>
        <w:pStyle w:val="Numri"/>
        <w:rPr>
          <w:lang w:val="sq-AL"/>
        </w:rPr>
      </w:pPr>
      <w:r w:rsidRPr="00036C5C">
        <w:rPr>
          <w:lang w:val="sq-AL"/>
        </w:rPr>
        <w:t>Nr. 52, datë 5.12.2012</w:t>
      </w:r>
    </w:p>
    <w:p w:rsidR="00DF4F2C" w:rsidRPr="00036C5C" w:rsidRDefault="00DF4F2C" w:rsidP="00B500A0">
      <w:pPr>
        <w:pStyle w:val="Paragrafi"/>
        <w:rPr>
          <w:rFonts w:cs="Times New Roman"/>
          <w:lang w:val="sq-AL"/>
        </w:rPr>
      </w:pPr>
    </w:p>
    <w:p w:rsidR="00DF4F2C" w:rsidRPr="00036C5C" w:rsidRDefault="00DF4F2C" w:rsidP="007B00EC">
      <w:pPr>
        <w:pStyle w:val="Titulli"/>
        <w:rPr>
          <w:rFonts w:cs="Times New Roman"/>
          <w:lang w:val="sq-AL"/>
        </w:rPr>
      </w:pPr>
      <w:r w:rsidRPr="00036C5C">
        <w:rPr>
          <w:lang w:val="sq-AL"/>
        </w:rPr>
        <w:t>NË EMËR TË REPUBLIKËS SË SHQIPËRISË</w:t>
      </w:r>
    </w:p>
    <w:p w:rsidR="00DF4F2C" w:rsidRPr="00036C5C" w:rsidRDefault="00DF4F2C" w:rsidP="00B500A0">
      <w:pPr>
        <w:pStyle w:val="Paragrafi"/>
        <w:rPr>
          <w:rFonts w:cs="Times New Roman"/>
          <w:lang w:val="sq-AL"/>
        </w:rPr>
      </w:pPr>
    </w:p>
    <w:p w:rsidR="00DF4F2C" w:rsidRPr="00036C5C" w:rsidRDefault="00DF4F2C" w:rsidP="00B500A0">
      <w:pPr>
        <w:pStyle w:val="Paragrafi"/>
        <w:rPr>
          <w:lang w:val="sq-AL"/>
        </w:rPr>
      </w:pPr>
      <w:r w:rsidRPr="00036C5C">
        <w:rPr>
          <w:lang w:val="sq-AL"/>
        </w:rPr>
        <w:t>Gjykata Kushtetuese e Republikës së Shqipërisë, e përbërë nga:</w:t>
      </w:r>
    </w:p>
    <w:p w:rsidR="00DF4F2C" w:rsidRPr="00036C5C" w:rsidRDefault="00DF4F2C" w:rsidP="00B500A0">
      <w:pPr>
        <w:pStyle w:val="Paragrafi"/>
        <w:rPr>
          <w:lang w:val="sq-AL"/>
        </w:rPr>
      </w:pPr>
      <w:r w:rsidRPr="00036C5C">
        <w:rPr>
          <w:lang w:val="sq-AL"/>
        </w:rPr>
        <w:t xml:space="preserve">Bashkim Dedja </w:t>
      </w:r>
      <w:r w:rsidRPr="00036C5C">
        <w:rPr>
          <w:lang w:val="sq-AL"/>
        </w:rPr>
        <w:tab/>
      </w:r>
      <w:r w:rsidRPr="00036C5C">
        <w:rPr>
          <w:lang w:val="sq-AL"/>
        </w:rPr>
        <w:tab/>
      </w:r>
      <w:r w:rsidRPr="00036C5C">
        <w:rPr>
          <w:lang w:val="sq-AL"/>
        </w:rPr>
        <w:tab/>
        <w:t xml:space="preserve">Kryetar  i Gjykatës Kushtetuese </w:t>
      </w:r>
    </w:p>
    <w:p w:rsidR="00DF4F2C" w:rsidRPr="00036C5C" w:rsidRDefault="00DF4F2C" w:rsidP="00B500A0">
      <w:pPr>
        <w:pStyle w:val="Paragrafi"/>
        <w:rPr>
          <w:lang w:val="sq-AL"/>
        </w:rPr>
      </w:pPr>
      <w:r w:rsidRPr="00036C5C">
        <w:rPr>
          <w:lang w:val="sq-AL"/>
        </w:rPr>
        <w:t>Vladimir Kristo</w:t>
      </w:r>
      <w:r w:rsidRPr="00036C5C">
        <w:rPr>
          <w:lang w:val="sq-AL"/>
        </w:rPr>
        <w:tab/>
      </w:r>
      <w:r w:rsidRPr="00036C5C">
        <w:rPr>
          <w:lang w:val="sq-AL"/>
        </w:rPr>
        <w:tab/>
      </w:r>
      <w:r w:rsidRPr="00036C5C">
        <w:rPr>
          <w:lang w:val="sq-AL"/>
        </w:rPr>
        <w:tab/>
        <w:t>Anëtar    i</w:t>
      </w:r>
      <w:r w:rsidRPr="00036C5C">
        <w:rPr>
          <w:lang w:val="sq-AL"/>
        </w:rPr>
        <w:tab/>
        <w:t>“</w:t>
      </w:r>
      <w:r w:rsidRPr="00036C5C">
        <w:rPr>
          <w:lang w:val="sq-AL"/>
        </w:rPr>
        <w:tab/>
        <w:t xml:space="preserve">“   </w:t>
      </w:r>
    </w:p>
    <w:p w:rsidR="00DF4F2C" w:rsidRPr="00036C5C" w:rsidRDefault="00DF4F2C" w:rsidP="00B500A0">
      <w:pPr>
        <w:pStyle w:val="Paragrafi"/>
        <w:rPr>
          <w:lang w:val="sq-AL"/>
        </w:rPr>
      </w:pPr>
      <w:r w:rsidRPr="00036C5C">
        <w:rPr>
          <w:lang w:val="sq-AL"/>
        </w:rPr>
        <w:t>Xhezair Zaganjori</w:t>
      </w:r>
      <w:r w:rsidRPr="00036C5C">
        <w:rPr>
          <w:lang w:val="sq-AL"/>
        </w:rPr>
        <w:tab/>
      </w:r>
      <w:r w:rsidRPr="00036C5C">
        <w:rPr>
          <w:lang w:val="sq-AL"/>
        </w:rPr>
        <w:tab/>
        <w:t>Anëtar    i</w:t>
      </w:r>
      <w:r w:rsidRPr="00036C5C">
        <w:rPr>
          <w:lang w:val="sq-AL"/>
        </w:rPr>
        <w:tab/>
        <w:t>“</w:t>
      </w:r>
      <w:r w:rsidRPr="00036C5C">
        <w:rPr>
          <w:lang w:val="sq-AL"/>
        </w:rPr>
        <w:tab/>
        <w:t xml:space="preserve">“   </w:t>
      </w:r>
    </w:p>
    <w:p w:rsidR="00DF4F2C" w:rsidRPr="00036C5C" w:rsidRDefault="00DF4F2C" w:rsidP="00B500A0">
      <w:pPr>
        <w:pStyle w:val="Paragrafi"/>
        <w:rPr>
          <w:lang w:val="sq-AL"/>
        </w:rPr>
      </w:pPr>
      <w:r w:rsidRPr="00036C5C">
        <w:rPr>
          <w:lang w:val="sq-AL"/>
        </w:rPr>
        <w:t>Vitore Tusha</w:t>
      </w:r>
      <w:r w:rsidRPr="00036C5C">
        <w:rPr>
          <w:lang w:val="sq-AL"/>
        </w:rPr>
        <w:tab/>
      </w:r>
      <w:r w:rsidRPr="00036C5C">
        <w:rPr>
          <w:lang w:val="sq-AL"/>
        </w:rPr>
        <w:tab/>
      </w:r>
      <w:r w:rsidRPr="00036C5C">
        <w:rPr>
          <w:lang w:val="sq-AL"/>
        </w:rPr>
        <w:tab/>
        <w:t>Anëtare  e</w:t>
      </w:r>
      <w:r w:rsidRPr="00036C5C">
        <w:rPr>
          <w:lang w:val="sq-AL"/>
        </w:rPr>
        <w:tab/>
        <w:t>“</w:t>
      </w:r>
      <w:r w:rsidRPr="00036C5C">
        <w:rPr>
          <w:lang w:val="sq-AL"/>
        </w:rPr>
        <w:tab/>
        <w:t>“</w:t>
      </w:r>
    </w:p>
    <w:p w:rsidR="00DF4F2C" w:rsidRPr="00036C5C" w:rsidRDefault="00DF4F2C" w:rsidP="00B500A0">
      <w:pPr>
        <w:pStyle w:val="Paragrafi"/>
        <w:rPr>
          <w:lang w:val="sq-AL"/>
        </w:rPr>
      </w:pPr>
      <w:r w:rsidRPr="00036C5C">
        <w:rPr>
          <w:lang w:val="sq-AL"/>
        </w:rPr>
        <w:t>Sokol Berberi</w:t>
      </w:r>
      <w:r w:rsidRPr="00036C5C">
        <w:rPr>
          <w:lang w:val="sq-AL"/>
        </w:rPr>
        <w:tab/>
      </w:r>
      <w:r w:rsidRPr="00036C5C">
        <w:rPr>
          <w:lang w:val="sq-AL"/>
        </w:rPr>
        <w:tab/>
      </w:r>
      <w:r w:rsidRPr="00036C5C">
        <w:rPr>
          <w:lang w:val="sq-AL"/>
        </w:rPr>
        <w:tab/>
        <w:t>Anëtar    i</w:t>
      </w:r>
      <w:r w:rsidRPr="00036C5C">
        <w:rPr>
          <w:lang w:val="sq-AL"/>
        </w:rPr>
        <w:tab/>
        <w:t>“</w:t>
      </w:r>
      <w:r w:rsidRPr="00036C5C">
        <w:rPr>
          <w:lang w:val="sq-AL"/>
        </w:rPr>
        <w:tab/>
        <w:t>“</w:t>
      </w:r>
    </w:p>
    <w:p w:rsidR="00DF4F2C" w:rsidRPr="00036C5C" w:rsidRDefault="00DF4F2C" w:rsidP="00B500A0">
      <w:pPr>
        <w:pStyle w:val="Paragrafi"/>
        <w:rPr>
          <w:lang w:val="sq-AL"/>
        </w:rPr>
      </w:pPr>
      <w:r w:rsidRPr="00036C5C">
        <w:rPr>
          <w:lang w:val="sq-AL"/>
        </w:rPr>
        <w:t>Altina Xhoxhaj</w:t>
      </w:r>
      <w:r w:rsidRPr="00036C5C">
        <w:rPr>
          <w:lang w:val="sq-AL"/>
        </w:rPr>
        <w:tab/>
      </w:r>
      <w:r w:rsidRPr="00036C5C">
        <w:rPr>
          <w:lang w:val="sq-AL"/>
        </w:rPr>
        <w:tab/>
      </w:r>
      <w:r w:rsidRPr="00036C5C">
        <w:rPr>
          <w:lang w:val="sq-AL"/>
        </w:rPr>
        <w:tab/>
        <w:t>Anëtare  e</w:t>
      </w:r>
      <w:r w:rsidRPr="00036C5C">
        <w:rPr>
          <w:lang w:val="sq-AL"/>
        </w:rPr>
        <w:tab/>
        <w:t>“</w:t>
      </w:r>
      <w:r w:rsidRPr="00036C5C">
        <w:rPr>
          <w:lang w:val="sq-AL"/>
        </w:rPr>
        <w:tab/>
        <w:t>“</w:t>
      </w:r>
    </w:p>
    <w:p w:rsidR="00DF4F2C" w:rsidRPr="00036C5C" w:rsidRDefault="00DF4F2C" w:rsidP="00B500A0">
      <w:pPr>
        <w:pStyle w:val="Paragrafi"/>
        <w:rPr>
          <w:lang w:val="sq-AL"/>
        </w:rPr>
      </w:pPr>
      <w:r w:rsidRPr="00036C5C">
        <w:rPr>
          <w:lang w:val="sq-AL"/>
        </w:rPr>
        <w:t>Admir Thanza</w:t>
      </w:r>
      <w:r w:rsidRPr="00036C5C">
        <w:rPr>
          <w:lang w:val="sq-AL"/>
        </w:rPr>
        <w:tab/>
      </w:r>
      <w:r w:rsidRPr="00036C5C">
        <w:rPr>
          <w:lang w:val="sq-AL"/>
        </w:rPr>
        <w:tab/>
      </w:r>
      <w:r w:rsidRPr="00036C5C">
        <w:rPr>
          <w:lang w:val="sq-AL"/>
        </w:rPr>
        <w:tab/>
        <w:t>Anëtar    i</w:t>
      </w:r>
      <w:r w:rsidRPr="00036C5C">
        <w:rPr>
          <w:lang w:val="sq-AL"/>
        </w:rPr>
        <w:tab/>
        <w:t>“</w:t>
      </w:r>
      <w:r w:rsidRPr="00036C5C">
        <w:rPr>
          <w:lang w:val="sq-AL"/>
        </w:rPr>
        <w:tab/>
        <w:t>“</w:t>
      </w:r>
    </w:p>
    <w:p w:rsidR="00DF4F2C" w:rsidRPr="00036C5C" w:rsidRDefault="00DF4F2C" w:rsidP="004808DF">
      <w:pPr>
        <w:pStyle w:val="Paragrafi"/>
        <w:rPr>
          <w:lang w:val="sq-AL"/>
        </w:rPr>
      </w:pPr>
      <w:r w:rsidRPr="00036C5C">
        <w:rPr>
          <w:lang w:val="sq-AL"/>
        </w:rPr>
        <w:t>Fatmir Hoxha</w:t>
      </w:r>
      <w:r w:rsidRPr="00036C5C">
        <w:rPr>
          <w:lang w:val="sq-AL"/>
        </w:rPr>
        <w:tab/>
      </w:r>
      <w:r w:rsidRPr="00036C5C">
        <w:rPr>
          <w:lang w:val="sq-AL"/>
        </w:rPr>
        <w:tab/>
      </w:r>
      <w:r w:rsidRPr="00036C5C">
        <w:rPr>
          <w:lang w:val="sq-AL"/>
        </w:rPr>
        <w:tab/>
        <w:t>Anëtar    i</w:t>
      </w:r>
      <w:r w:rsidRPr="00036C5C">
        <w:rPr>
          <w:lang w:val="sq-AL"/>
        </w:rPr>
        <w:tab/>
        <w:t>“</w:t>
      </w:r>
      <w:r w:rsidRPr="00036C5C">
        <w:rPr>
          <w:lang w:val="sq-AL"/>
        </w:rPr>
        <w:tab/>
        <w:t>“</w:t>
      </w:r>
    </w:p>
    <w:p w:rsidR="00DF4F2C" w:rsidRPr="00036C5C" w:rsidRDefault="00DF4F2C" w:rsidP="00B500A0">
      <w:pPr>
        <w:pStyle w:val="Paragrafi"/>
        <w:rPr>
          <w:lang w:val="sq-AL"/>
        </w:rPr>
      </w:pPr>
      <w:r w:rsidRPr="00036C5C">
        <w:rPr>
          <w:lang w:val="sq-AL"/>
        </w:rPr>
        <w:t>me sekretare Edmira Babaj, në datën 28.06.2012 mori në shqyrtim, në seancë gjyqësore, çështjen nr.  20 Akti, që i përket:</w:t>
      </w:r>
    </w:p>
    <w:p w:rsidR="00DF4F2C" w:rsidRPr="00036C5C" w:rsidRDefault="00DF4F2C" w:rsidP="007D7C24">
      <w:pPr>
        <w:pStyle w:val="Paragrafi"/>
        <w:rPr>
          <w:rFonts w:cs="Times New Roman"/>
          <w:lang w:val="sq-AL"/>
        </w:rPr>
      </w:pPr>
      <w:r w:rsidRPr="00036C5C">
        <w:rPr>
          <w:lang w:val="sq-AL"/>
        </w:rPr>
        <w:t>KËRKUES: Gjykata e Rrethit Gjyqësor Fier</w:t>
      </w:r>
      <w:r w:rsidR="007D7C24">
        <w:rPr>
          <w:lang w:val="sq-AL"/>
        </w:rPr>
        <w:t xml:space="preserve">; </w:t>
      </w:r>
      <w:r w:rsidRPr="00036C5C">
        <w:rPr>
          <w:lang w:val="sq-AL"/>
        </w:rPr>
        <w:t xml:space="preserve"> Gjykata e Rrethit Gjyqësor Vlorë </w:t>
      </w:r>
    </w:p>
    <w:p w:rsidR="00DF4F2C" w:rsidRPr="00036C5C" w:rsidRDefault="00DF4F2C" w:rsidP="00B500A0">
      <w:pPr>
        <w:pStyle w:val="Paragrafi"/>
        <w:rPr>
          <w:lang w:val="sq-AL"/>
        </w:rPr>
      </w:pPr>
      <w:r w:rsidRPr="00036C5C">
        <w:rPr>
          <w:lang w:val="sq-AL"/>
        </w:rPr>
        <w:t>SUBJEKTE TË INTERESUARA:    </w:t>
      </w:r>
      <w:r w:rsidRPr="00036C5C">
        <w:rPr>
          <w:lang w:val="sq-AL"/>
        </w:rPr>
        <w:tab/>
      </w:r>
    </w:p>
    <w:p w:rsidR="00DF4F2C" w:rsidRPr="00036C5C" w:rsidRDefault="00DF4F2C" w:rsidP="00B500A0">
      <w:pPr>
        <w:pStyle w:val="Paragrafi"/>
        <w:rPr>
          <w:lang w:val="sq-AL"/>
        </w:rPr>
      </w:pPr>
      <w:r w:rsidRPr="00036C5C">
        <w:rPr>
          <w:lang w:val="sq-AL"/>
        </w:rPr>
        <w:t>Kuvendi i Republikës së Shqipërisë, përfaqësuar me autorizim nga Arjeta Cefa;</w:t>
      </w:r>
    </w:p>
    <w:p w:rsidR="00DF4F2C" w:rsidRPr="00036C5C" w:rsidRDefault="00DF4F2C" w:rsidP="00B500A0">
      <w:pPr>
        <w:pStyle w:val="Paragrafi"/>
        <w:rPr>
          <w:lang w:val="sq-AL"/>
        </w:rPr>
      </w:pPr>
      <w:r w:rsidRPr="00036C5C">
        <w:rPr>
          <w:lang w:val="sq-AL"/>
        </w:rPr>
        <w:t>Këshilli i Ministrave, përfaqësuar me autorizim nga Marsida Xhaferllari;</w:t>
      </w:r>
    </w:p>
    <w:p w:rsidR="00DF4F2C" w:rsidRPr="00036C5C" w:rsidRDefault="00DF4F2C" w:rsidP="00B500A0">
      <w:pPr>
        <w:pStyle w:val="Paragrafi"/>
        <w:rPr>
          <w:lang w:val="sq-AL"/>
        </w:rPr>
      </w:pPr>
      <w:r w:rsidRPr="00036C5C">
        <w:rPr>
          <w:lang w:val="sq-AL"/>
        </w:rPr>
        <w:lastRenderedPageBreak/>
        <w:t>Avokatura e Shtetit, përfaqësuar me autorizim nga Manjola Trungaj;</w:t>
      </w:r>
    </w:p>
    <w:p w:rsidR="00DF4F2C" w:rsidRPr="00036C5C" w:rsidRDefault="00DF4F2C" w:rsidP="00B500A0">
      <w:pPr>
        <w:pStyle w:val="Paragrafi"/>
        <w:rPr>
          <w:lang w:val="sq-AL"/>
        </w:rPr>
      </w:pPr>
      <w:r w:rsidRPr="00036C5C">
        <w:rPr>
          <w:lang w:val="sq-AL"/>
        </w:rPr>
        <w:t>“CEZ Shpërndarje” sh.a. Tiranë, përfaqësuar me prokurë nga av.Sokol Nako dhe juristja Aurora Limadhi.</w:t>
      </w:r>
    </w:p>
    <w:p w:rsidR="00DF4F2C" w:rsidRPr="00036C5C" w:rsidRDefault="00DF4F2C" w:rsidP="00B500A0">
      <w:pPr>
        <w:pStyle w:val="Paragrafi"/>
        <w:rPr>
          <w:lang w:val="sq-AL"/>
        </w:rPr>
      </w:pPr>
      <w:r w:rsidRPr="00036C5C">
        <w:rPr>
          <w:lang w:val="sq-AL"/>
        </w:rPr>
        <w:t>OBJEKTI: Shfuqizimi, si i papajtueshëm me Kushtetutën, i ligjit nr.8662, datë 18.09.2000 “Për trajtimin si titull ekzekutiv të faturës së konsumit të energjisë elektrike”, ndryshuar me ligjin nr.8735, datë 01.02.2001 “Për një shtesë në ligjin nr.8662, datë 18.09.2000 ‘Për trajtimin si titull ekzekutiv të faturës së konsumit të energjisë elektrike’”, i shtuar me ligjin nr.10486, datë 26.11.2011 “Për trajtimin si titull ekzekutiv të faturës së konsumit të energjisë elektrike”.</w:t>
      </w:r>
    </w:p>
    <w:p w:rsidR="00DF4F2C" w:rsidRPr="00036C5C" w:rsidRDefault="00DF4F2C" w:rsidP="00B500A0">
      <w:pPr>
        <w:pStyle w:val="Paragrafi"/>
        <w:rPr>
          <w:lang w:val="sq-AL"/>
        </w:rPr>
      </w:pPr>
      <w:r w:rsidRPr="00036C5C">
        <w:rPr>
          <w:lang w:val="sq-AL"/>
        </w:rPr>
        <w:t>BAZA LIGJORE: Nenet 134/1, shkronja “d” dhe 145/2 të Kushtetutës së Republikës të Shqipërisë.</w:t>
      </w:r>
    </w:p>
    <w:p w:rsidR="00DF4F2C" w:rsidRPr="00036C5C" w:rsidRDefault="00DF4F2C" w:rsidP="00B500A0">
      <w:pPr>
        <w:pStyle w:val="Paragrafi"/>
        <w:rPr>
          <w:lang w:val="sq-AL"/>
        </w:rPr>
      </w:pPr>
      <w:r w:rsidRPr="00036C5C">
        <w:rPr>
          <w:lang w:val="sq-AL"/>
        </w:rPr>
        <w:t> </w:t>
      </w:r>
    </w:p>
    <w:p w:rsidR="00DF4F2C" w:rsidRPr="00036C5C" w:rsidRDefault="00DF4F2C" w:rsidP="007B00EC">
      <w:pPr>
        <w:pStyle w:val="VENDOSI"/>
        <w:rPr>
          <w:lang w:val="sq-AL"/>
        </w:rPr>
      </w:pPr>
      <w:r w:rsidRPr="00036C5C">
        <w:rPr>
          <w:lang w:val="sq-AL"/>
        </w:rPr>
        <w:t>GJYKATA KUSHTETUESE,</w:t>
      </w:r>
    </w:p>
    <w:p w:rsidR="00DF4F2C" w:rsidRPr="00036C5C" w:rsidRDefault="00DF4F2C" w:rsidP="00B500A0">
      <w:pPr>
        <w:pStyle w:val="Paragrafi"/>
        <w:rPr>
          <w:rFonts w:cs="Times New Roman"/>
          <w:lang w:val="sq-AL"/>
        </w:rPr>
      </w:pPr>
    </w:p>
    <w:p w:rsidR="00DF4F2C" w:rsidRPr="00036C5C" w:rsidRDefault="00DF4F2C" w:rsidP="00B500A0">
      <w:pPr>
        <w:pStyle w:val="Paragrafi"/>
        <w:rPr>
          <w:lang w:val="sq-AL"/>
        </w:rPr>
      </w:pPr>
      <w:r w:rsidRPr="00036C5C">
        <w:rPr>
          <w:lang w:val="sq-AL"/>
        </w:rPr>
        <w:t>pasi dëgjoi relatorin e çështjes, Bashkim Dedja, shqyrtoi pretendimet e gjykatave referuese, të cilat kërkuan shfuqizimin e ligjit; prapësimet e subjekteve të interesuara, të cilat kanë kërkuar rrëzimin e kërkesës dhe pasi e diskutoi çështjen në tërësi,</w:t>
      </w:r>
    </w:p>
    <w:p w:rsidR="00DF4F2C" w:rsidRPr="00036C5C" w:rsidRDefault="00DF4F2C" w:rsidP="00B500A0">
      <w:pPr>
        <w:pStyle w:val="Paragrafi"/>
        <w:rPr>
          <w:lang w:val="sq-AL"/>
        </w:rPr>
      </w:pPr>
    </w:p>
    <w:p w:rsidR="00DF4F2C" w:rsidRPr="00036C5C" w:rsidRDefault="0042709E" w:rsidP="007B00EC">
      <w:pPr>
        <w:pStyle w:val="VENDOSI"/>
        <w:rPr>
          <w:lang w:val="sq-AL"/>
        </w:rPr>
      </w:pPr>
      <w:r>
        <w:rPr>
          <w:lang w:val="sq-AL"/>
        </w:rPr>
        <w:t>VËRE</w:t>
      </w:r>
      <w:r w:rsidR="00DF4F2C" w:rsidRPr="00036C5C">
        <w:rPr>
          <w:lang w:val="sq-AL"/>
        </w:rPr>
        <w:t>N:</w:t>
      </w:r>
    </w:p>
    <w:p w:rsidR="00DF4F2C" w:rsidRPr="00036C5C" w:rsidRDefault="00DF4F2C" w:rsidP="007B00EC">
      <w:pPr>
        <w:pStyle w:val="VENDOSI"/>
        <w:rPr>
          <w:lang w:val="sq-AL"/>
        </w:rPr>
      </w:pPr>
    </w:p>
    <w:p w:rsidR="00DF4F2C" w:rsidRPr="00036C5C" w:rsidRDefault="00DF4F2C" w:rsidP="007B00EC">
      <w:pPr>
        <w:pStyle w:val="VENDOSI"/>
        <w:rPr>
          <w:lang w:val="sq-AL"/>
        </w:rPr>
      </w:pPr>
      <w:r w:rsidRPr="00036C5C">
        <w:rPr>
          <w:lang w:val="sq-AL"/>
        </w:rPr>
        <w:t>I</w:t>
      </w:r>
    </w:p>
    <w:p w:rsidR="00DF4F2C" w:rsidRPr="00036C5C" w:rsidRDefault="00DF4F2C" w:rsidP="00B500A0">
      <w:pPr>
        <w:pStyle w:val="Paragrafi"/>
        <w:rPr>
          <w:lang w:val="sq-AL"/>
        </w:rPr>
      </w:pPr>
      <w:r w:rsidRPr="00036C5C">
        <w:rPr>
          <w:lang w:val="sq-AL"/>
        </w:rPr>
        <w:t xml:space="preserve">1. Gjykata e Rrethit Gjyqësor Fier, me vendimin nr.4, datë 26.03.2012, ka vendosur pezullimin e gjykimit të çështjes me paditës: Pompë Uji Selishtë, komuna Cakran; të paditur: “CEZ Shpërndarje” sh.a., përmbaruesi gjyqësor privat VSH; me objekt: deklarimin e pavlefshmërisë së titujve ekzekutivë, faturat e shitjes së energjisë elektrike (…)  dhe dërgimin e çështjes Gjykatës Kushtetuese, për t’u shprehur në lidhje me kushtetutshmërinë e ligjit nr.8662, datë 18.09.2000 “Për trajtimin si titull ekzekutiv të faturës së konsumit të energjisë elektrike”, me ndryshimet përkatëse. </w:t>
      </w:r>
    </w:p>
    <w:p w:rsidR="00DF4F2C" w:rsidRPr="00036C5C" w:rsidRDefault="00DF4F2C" w:rsidP="00B500A0">
      <w:pPr>
        <w:pStyle w:val="Paragrafi"/>
        <w:rPr>
          <w:lang w:val="sq-AL"/>
        </w:rPr>
      </w:pPr>
      <w:r w:rsidRPr="00036C5C">
        <w:rPr>
          <w:lang w:val="sq-AL"/>
        </w:rPr>
        <w:t xml:space="preserve">2. Gjykata e Rrethit Gjyqësor Vlorë, me vendimin e datës 10.04.2012, ka vendosur pezullimin e gjykimit të çështjes, me kërkues: “CEZ Shpërndarje” sh.a., me objekt: lëshimin e urdhrit të ekzekutimit për faturat e energjisë elektrike për abonentin K.S. dhe dërgimin e çështjes Gjykatës Kushtetuese, për t’u shprehur në lidhje me kushtetutshmërinë e ligjit nr.8662, datë 18.09.2000 “Për trajtimin si titull ekzekutiv të faturës së konsumit të energjisë elektrike”, me ndryshimet përkatëse. </w:t>
      </w:r>
    </w:p>
    <w:p w:rsidR="00DF4F2C" w:rsidRPr="00036C5C" w:rsidRDefault="00DF4F2C" w:rsidP="00B500A0">
      <w:pPr>
        <w:pStyle w:val="Paragrafi"/>
        <w:rPr>
          <w:lang w:val="sq-AL"/>
        </w:rPr>
      </w:pPr>
      <w:r w:rsidRPr="00036C5C">
        <w:rPr>
          <w:lang w:val="sq-AL"/>
        </w:rPr>
        <w:t xml:space="preserve"> 3. Ligji nr.8662, datë 18.09.2000 “Për trajtimin si titull ekzekutiv të faturës së konsumit të energjisë elektrike”, i ndryshuar me ligjin nr.8735, datë 01.02.2001 “Për një shtesë në ligjin nr.8662, datë 18.09.2000 “Për trajtimin si titull ekzekutiv të faturës së konsumit të energjisë elektrike’”,  i shtuar me ligjin nr.10486, datë 26.11.2011 “Për trajtimin si titull ekzekutiv të faturës së konsumit të energjisë elektrike” (në vazhdim ligji për trajtimin si titull ekzekutiv të faturës së konsumit të energjisë elektrike), i cili përbëhet vetëm nga 3 nene, në nenin 1 ka këtë përmbajtje: “</w:t>
      </w:r>
      <w:r w:rsidRPr="00036C5C">
        <w:rPr>
          <w:i/>
          <w:iCs/>
          <w:lang w:val="sq-AL"/>
        </w:rPr>
        <w:t>Fatura tatimore e konsumit, të shitjes, të blerjes dhe faturat e shërbimit të transmetimit dhe shpërndarjes së energjisë elektrike, sipas modelit të caktuar nga Ministria e Financave, në zbatim të nenit 36 të ligjit nr.7928, datë 27.4.1995 “Për tatimin mbi vlerën e shtuar”, është titull ekzekutiv dhe ngarkohen zyrat e përmbarimit me ekzekutimin e tyre”</w:t>
      </w:r>
      <w:r w:rsidRPr="00036C5C">
        <w:rPr>
          <w:lang w:val="sq-AL"/>
        </w:rPr>
        <w:t>.</w:t>
      </w:r>
    </w:p>
    <w:p w:rsidR="00DF4F2C" w:rsidRPr="00036C5C" w:rsidRDefault="00DF4F2C" w:rsidP="00B500A0">
      <w:pPr>
        <w:pStyle w:val="Paragrafi"/>
        <w:rPr>
          <w:lang w:val="sq-AL"/>
        </w:rPr>
      </w:pPr>
      <w:r w:rsidRPr="00036C5C">
        <w:rPr>
          <w:lang w:val="sq-AL"/>
        </w:rPr>
        <w:t>4. Gjatë shqyrtimit paraprak, Kolegji i Gjykatës Kushtetuese, më datë 14.05.2012, vendosi kalimin në seancë plenare të çështjeve me kërkues: Gjykata e Rrethit Gjyqësor Fier dhe Gjykata e Rrethit Gjyqësor Vlorë (gjykatat referuese), duke i bashkuar në një të vetme.</w:t>
      </w:r>
      <w:r w:rsidRPr="00036C5C">
        <w:rPr>
          <w:lang w:val="sq-AL"/>
        </w:rPr>
        <w:tab/>
      </w:r>
    </w:p>
    <w:p w:rsidR="00DF4F2C" w:rsidRPr="00036C5C" w:rsidRDefault="00DF4F2C" w:rsidP="00B500A0">
      <w:pPr>
        <w:pStyle w:val="Paragrafi"/>
        <w:rPr>
          <w:lang w:val="sq-AL"/>
        </w:rPr>
      </w:pPr>
    </w:p>
    <w:p w:rsidR="00DF4F2C" w:rsidRPr="00036C5C" w:rsidRDefault="00DF4F2C" w:rsidP="00F81EC5">
      <w:pPr>
        <w:pStyle w:val="VENDOSI"/>
        <w:rPr>
          <w:lang w:val="sq-AL"/>
        </w:rPr>
      </w:pPr>
      <w:bookmarkStart w:id="1" w:name="_Toc328039678"/>
      <w:r w:rsidRPr="00036C5C">
        <w:rPr>
          <w:lang w:val="sq-AL"/>
        </w:rPr>
        <w:t>II</w:t>
      </w:r>
      <w:bookmarkEnd w:id="1"/>
    </w:p>
    <w:p w:rsidR="00DF4F2C" w:rsidRPr="00036C5C" w:rsidRDefault="00DF4F2C" w:rsidP="00B500A0">
      <w:pPr>
        <w:pStyle w:val="Paragrafi"/>
        <w:rPr>
          <w:lang w:val="sq-AL"/>
        </w:rPr>
      </w:pPr>
      <w:r w:rsidRPr="00036C5C">
        <w:rPr>
          <w:lang w:val="sq-AL"/>
        </w:rPr>
        <w:t>5. Gjykata e Rrethit Gjyqësor Fier ka vënë në dyshim kushtetutshmërinë e ligjit për trajtimin si titull ekzekutiv të faturës së konsumit të energjisë elektrike, duke parashtruar këto argumente:</w:t>
      </w:r>
      <w:bookmarkStart w:id="2" w:name="_Toc327862811"/>
      <w:bookmarkStart w:id="3" w:name="_Toc327864851"/>
      <w:bookmarkStart w:id="4" w:name="_Toc328039679"/>
    </w:p>
    <w:p w:rsidR="00DF4F2C" w:rsidRPr="00036C5C" w:rsidRDefault="00DF4F2C" w:rsidP="00B500A0">
      <w:pPr>
        <w:pStyle w:val="Paragrafi"/>
        <w:rPr>
          <w:lang w:val="sq-AL"/>
        </w:rPr>
      </w:pPr>
      <w:r w:rsidRPr="00036C5C">
        <w:rPr>
          <w:lang w:val="sq-AL"/>
        </w:rPr>
        <w:lastRenderedPageBreak/>
        <w:t xml:space="preserve">5.1 </w:t>
      </w:r>
      <w:bookmarkEnd w:id="2"/>
      <w:bookmarkEnd w:id="3"/>
      <w:bookmarkEnd w:id="4"/>
      <w:r w:rsidRPr="00036C5C">
        <w:rPr>
          <w:lang w:val="sq-AL"/>
        </w:rPr>
        <w:t>Përcaktimi i një akti si titull ekzekutiv do të thotë që ky i fundit t’i nënshtrohet procedurës së ekzekutimit, pa e marrë konfirmimin e ekzistencës së tij përmes një procesi të rregullt ligjor. Në këtë kuptim cenohet e drejta e pronësisë e debitorit, nëpërmjet një procesi jo të rregullt ligjor, sepse procedura e lëshimit të urdhrit të ekzekutimit nuk përmbush standardet e këtij procesi. Edhe sikur kufizimi i së drejtës për një proces të rregullt ligjor të jetë bërë për mbrojtjen e interesave publikë, sipas kritereve të nenit 17 të Kushtetutës, ai nuk është proporcional me gjendjen që e ka diktuar atë.</w:t>
      </w:r>
    </w:p>
    <w:p w:rsidR="00DF4F2C" w:rsidRPr="00036C5C" w:rsidRDefault="00DF4F2C" w:rsidP="00B500A0">
      <w:pPr>
        <w:pStyle w:val="Paragrafi"/>
        <w:rPr>
          <w:lang w:val="sq-AL"/>
        </w:rPr>
      </w:pPr>
      <w:bookmarkStart w:id="5" w:name="_Toc327862812"/>
      <w:bookmarkStart w:id="6" w:name="_Toc327864852"/>
      <w:bookmarkStart w:id="7" w:name="_Toc328039680"/>
      <w:r w:rsidRPr="00036C5C">
        <w:rPr>
          <w:lang w:val="sq-AL"/>
        </w:rPr>
        <w:t xml:space="preserve">5.2 </w:t>
      </w:r>
      <w:bookmarkEnd w:id="5"/>
      <w:bookmarkEnd w:id="6"/>
      <w:bookmarkEnd w:id="7"/>
      <w:r w:rsidRPr="00036C5C">
        <w:rPr>
          <w:lang w:val="sq-AL"/>
        </w:rPr>
        <w:t>Në nenin 510/e të Kodit të Procedurës Civile (KPC), është parashikuar se edhe akte të tjera sipas ligjeve të veçanta quhen tituj ekzekutivë dhe ngarkohet zyra e përmbarimit për ekzekutimin e tyre. Me “</w:t>
      </w:r>
      <w:r w:rsidRPr="00036C5C">
        <w:rPr>
          <w:i/>
          <w:iCs/>
          <w:lang w:val="sq-AL"/>
        </w:rPr>
        <w:t>ligje të veçanta</w:t>
      </w:r>
      <w:r w:rsidRPr="00036C5C">
        <w:rPr>
          <w:lang w:val="sq-AL"/>
        </w:rPr>
        <w:t xml:space="preserve">” duhet të kuptohen ligje të barasvlefshme me KPC-në, pra ligje që miratohen me shumicë të cilësuar, ndërsa ligji për trajtimin si titull ekzekutiv të faturës së konsumit të energjisë elektrike është bazuar në nenin 78 dhe 83/1 të Kushtetutës, duke u miratuar me shumicë të thjeshtë. </w:t>
      </w:r>
      <w:bookmarkStart w:id="8" w:name="_Toc327862814"/>
      <w:bookmarkStart w:id="9" w:name="_Toc327864854"/>
      <w:bookmarkStart w:id="10" w:name="_Toc328039682"/>
      <w:r w:rsidRPr="00036C5C">
        <w:rPr>
          <w:lang w:val="sq-AL"/>
        </w:rPr>
        <w:t xml:space="preserve"> </w:t>
      </w:r>
    </w:p>
    <w:p w:rsidR="00DF4F2C" w:rsidRPr="00036C5C" w:rsidRDefault="00DF4F2C" w:rsidP="00B500A0">
      <w:pPr>
        <w:pStyle w:val="Paragrafi"/>
        <w:rPr>
          <w:lang w:val="sq-AL"/>
        </w:rPr>
      </w:pPr>
      <w:r w:rsidRPr="00036C5C">
        <w:rPr>
          <w:lang w:val="sq-AL"/>
        </w:rPr>
        <w:t>5.</w:t>
      </w:r>
      <w:bookmarkEnd w:id="8"/>
      <w:bookmarkEnd w:id="9"/>
      <w:bookmarkEnd w:id="10"/>
      <w:r w:rsidRPr="00036C5C">
        <w:rPr>
          <w:lang w:val="sq-AL"/>
        </w:rPr>
        <w:t>3 Ligji për trajtimin si titull ekzekutiv të faturës së konsumit të energjisë elektrike ka përmbajtje evazive, duke i lënë hapësirë interpretimi gjyqtarit të zakonshëm. Ligji nuk ka të qartë objektin, qëllimin e ligjvënësit dhe përkufizimet. Duke mos i pasur të qarta këto elemente, kuptimi i termit “faturë e konsumit të energjisë elektrike” nga pikëpamja e përmbajtjes së detyrimit që duhet të ketë një faturë konsumi e energjisë elektrike, është i vështirë të gjendet, prandaj dhe  ky ligj cenon hapur parimin e sigurisë juridike.</w:t>
      </w:r>
    </w:p>
    <w:p w:rsidR="00DF4F2C" w:rsidRPr="00036C5C" w:rsidRDefault="00DF4F2C" w:rsidP="00B500A0">
      <w:pPr>
        <w:pStyle w:val="Paragrafi"/>
        <w:rPr>
          <w:lang w:val="sq-AL"/>
        </w:rPr>
      </w:pPr>
      <w:r w:rsidRPr="00036C5C">
        <w:rPr>
          <w:lang w:val="sq-AL"/>
        </w:rPr>
        <w:t>6. Gjykata e Rrethit Gjyqësor Vlorë ka vënë në dyshim kushtetutshmërinë e ligjit për trajtimin si titull ekzekutiv të faturës së konsumit të energjisë elektrike, duke parashtruar këto argumente:</w:t>
      </w:r>
    </w:p>
    <w:p w:rsidR="00DF4F2C" w:rsidRPr="00036C5C" w:rsidRDefault="00DF4F2C" w:rsidP="00B500A0">
      <w:pPr>
        <w:pStyle w:val="Paragrafi"/>
        <w:rPr>
          <w:lang w:val="sq-AL"/>
        </w:rPr>
      </w:pPr>
      <w:bookmarkStart w:id="11" w:name="_Toc327862815"/>
      <w:bookmarkStart w:id="12" w:name="_Toc327864855"/>
      <w:bookmarkStart w:id="13" w:name="_Toc328039683"/>
      <w:r w:rsidRPr="00036C5C">
        <w:rPr>
          <w:lang w:val="sq-AL"/>
        </w:rPr>
        <w:t>6.1</w:t>
      </w:r>
      <w:bookmarkEnd w:id="11"/>
      <w:bookmarkEnd w:id="12"/>
      <w:bookmarkEnd w:id="13"/>
      <w:r w:rsidRPr="00036C5C">
        <w:rPr>
          <w:lang w:val="sq-AL"/>
        </w:rPr>
        <w:t xml:space="preserve"> Procesi gjyqësor i lëshimit të urdhërimit të ekzekutimit është një proces pa palë kundërshtare. Subjekti ndaj të cilit kërkohet lëshimi i urdhrit të ekzekutimit nuk thirret në gjykim, nuk dëgjohet, nuk mund të njihet me argumentet dhe provat e palës kërkuese, të debatojë në lidhje me to dhe të mbrohet. Për rrjedhojë, debitori/individi nuk gëzon të drejtën për një proces të rregullt ligjor të parashikuar nga neni 42/1 i Kushtetutës. Për më tepër, ky ligj nuk përmbush kriteret e kërkuara nga neni 17 i Kushtetutës në rastin e kufizimeve të të drejtave të njeriut. </w:t>
      </w:r>
      <w:bookmarkStart w:id="14" w:name="_Toc327862816"/>
      <w:bookmarkStart w:id="15" w:name="_Toc327864856"/>
      <w:bookmarkStart w:id="16" w:name="_Toc328039684"/>
      <w:r w:rsidRPr="00036C5C">
        <w:rPr>
          <w:lang w:val="sq-AL"/>
        </w:rPr>
        <w:t xml:space="preserve"> </w:t>
      </w:r>
    </w:p>
    <w:p w:rsidR="00DF4F2C" w:rsidRPr="00036C5C" w:rsidRDefault="00DF4F2C" w:rsidP="00B500A0">
      <w:pPr>
        <w:pStyle w:val="Paragrafi"/>
        <w:rPr>
          <w:lang w:val="sq-AL"/>
        </w:rPr>
      </w:pPr>
      <w:r w:rsidRPr="00036C5C">
        <w:rPr>
          <w:lang w:val="sq-AL"/>
        </w:rPr>
        <w:t xml:space="preserve">6.2 </w:t>
      </w:r>
      <w:bookmarkEnd w:id="14"/>
      <w:bookmarkEnd w:id="15"/>
      <w:bookmarkEnd w:id="16"/>
      <w:r w:rsidRPr="00036C5C">
        <w:rPr>
          <w:lang w:val="sq-AL"/>
        </w:rPr>
        <w:t xml:space="preserve">“CEZ Shpërndarje” sh.a. është regjistruar si shoqëri tregtare dhe vepron në treg si furnizuese e energjisë elektrike me kontratë. Kontrata mes CEZ  sh.a. dhe abonentit është kontratë individuale mes dy subjekteve të barabarta, të cilat çdo konflikt që buron prej saj duhet ta zgjidhin me padi themeli në gjykatë.  </w:t>
      </w:r>
    </w:p>
    <w:p w:rsidR="00DF4F2C" w:rsidRPr="00036C5C" w:rsidRDefault="00DF4F2C" w:rsidP="00B500A0">
      <w:pPr>
        <w:pStyle w:val="Paragrafi"/>
        <w:rPr>
          <w:lang w:val="sq-AL"/>
        </w:rPr>
      </w:pPr>
      <w:r w:rsidRPr="00036C5C">
        <w:rPr>
          <w:lang w:val="sq-AL"/>
        </w:rPr>
        <w:t xml:space="preserve"> 6.3 Ligji vjen në kundërshtim me parimin e shtetit të së drejtës dhe me parimin e sigurisë juridike. Si pasojë e paqartësisë dhe mungesës së parashikimeve tekstuale ligjore, në çështjet civile, me objekt lëshimin e urdhrit të ekzekutimit për faturat e energjisë elektrike janë konstatuar praktika të ndryshme të gjykatave lidhur me faktin nëse kamatëvonesat janë tituj ekzekutivë, si pjesë përbërëse e faturës së energjisë elektrike.</w:t>
      </w:r>
    </w:p>
    <w:p w:rsidR="00DF4F2C" w:rsidRPr="00036C5C" w:rsidRDefault="00DF4F2C" w:rsidP="00B500A0">
      <w:pPr>
        <w:pStyle w:val="Paragrafi"/>
        <w:rPr>
          <w:lang w:val="sq-AL"/>
        </w:rPr>
      </w:pPr>
      <w:r w:rsidRPr="00036C5C">
        <w:rPr>
          <w:lang w:val="sq-AL"/>
        </w:rPr>
        <w:t xml:space="preserve">7. </w:t>
      </w:r>
      <w:r w:rsidRPr="00036C5C">
        <w:rPr>
          <w:b/>
          <w:bCs/>
          <w:i/>
          <w:iCs/>
          <w:lang w:val="sq-AL"/>
        </w:rPr>
        <w:t>Kuvendi</w:t>
      </w:r>
      <w:r w:rsidRPr="00036C5C">
        <w:rPr>
          <w:lang w:val="sq-AL"/>
        </w:rPr>
        <w:t xml:space="preserve">, si palë e interesuar, ka kërkuar rrëzimin e kërkesës, duke parashtruar këto argumente: </w:t>
      </w:r>
    </w:p>
    <w:p w:rsidR="00DF4F2C" w:rsidRPr="00036C5C" w:rsidRDefault="00DF4F2C" w:rsidP="00B500A0">
      <w:pPr>
        <w:pStyle w:val="Paragrafi"/>
        <w:rPr>
          <w:lang w:val="sq-AL"/>
        </w:rPr>
      </w:pPr>
      <w:r w:rsidRPr="00036C5C">
        <w:rPr>
          <w:lang w:val="sq-AL"/>
        </w:rPr>
        <w:t xml:space="preserve">7.1 Gjykatat referuese nuk duhet të legjitimohen, sepse nuk ekziston lidhje e drejtpërdrejtë mes ligjit të kundërshtuar dhe zgjidhjes së çështjes konkrete. Gjatë parashtrimeve, edhe pse kanë kërkuar në objekt vlerësimin e papajtueshmërisë së ligjit për trajtimin si titull ekzekutiv të faturës së konsumit të energjisë elektrike me Kushtetutën, gjykatat referuese në fakt kanë kundërshtuar nenin 510/e të KPC-së.  </w:t>
      </w:r>
    </w:p>
    <w:p w:rsidR="00DF4F2C" w:rsidRPr="00036C5C" w:rsidRDefault="00DF4F2C" w:rsidP="00B500A0">
      <w:pPr>
        <w:pStyle w:val="Paragrafi"/>
        <w:rPr>
          <w:lang w:val="sq-AL"/>
        </w:rPr>
      </w:pPr>
      <w:r w:rsidRPr="00036C5C">
        <w:rPr>
          <w:lang w:val="sq-AL"/>
        </w:rPr>
        <w:t>7.2 Ligji për atribuimin e titullit ekzekutiv të faturës së energjisë elektrike është miratuar me qëllim për t’i ofruar një shërbim sa më të mirë konsumatorëve shqiptarë.</w:t>
      </w:r>
    </w:p>
    <w:p w:rsidR="00DF4F2C" w:rsidRPr="00036C5C" w:rsidRDefault="00DF4F2C" w:rsidP="00B500A0">
      <w:pPr>
        <w:pStyle w:val="Paragrafi"/>
        <w:rPr>
          <w:lang w:val="sq-AL"/>
        </w:rPr>
      </w:pPr>
      <w:r w:rsidRPr="00036C5C">
        <w:rPr>
          <w:lang w:val="sq-AL"/>
        </w:rPr>
        <w:t>7.3 Ligji kufizon të drejtën për një proces të rregullt ligjor, duke plotësuar dy kriteret e kërkuara nga neni 17 i Kushtetutës, për shkak të një interesi publik dhe duke mos cenuar thelbin e së drejtës,  garantuar nga neni 609 i KPC-së.</w:t>
      </w:r>
    </w:p>
    <w:p w:rsidR="00DF4F2C" w:rsidRPr="00036C5C" w:rsidRDefault="00DF4F2C" w:rsidP="00B500A0">
      <w:pPr>
        <w:pStyle w:val="Paragrafi"/>
        <w:rPr>
          <w:lang w:val="sq-AL"/>
        </w:rPr>
      </w:pPr>
      <w:r w:rsidRPr="00036C5C">
        <w:rPr>
          <w:lang w:val="sq-AL"/>
        </w:rPr>
        <w:lastRenderedPageBreak/>
        <w:t xml:space="preserve">8. </w:t>
      </w:r>
      <w:r w:rsidRPr="00036C5C">
        <w:rPr>
          <w:b/>
          <w:bCs/>
          <w:i/>
          <w:iCs/>
          <w:lang w:val="sq-AL"/>
        </w:rPr>
        <w:t>Këshilli i Ministrave</w:t>
      </w:r>
      <w:r w:rsidRPr="00036C5C">
        <w:rPr>
          <w:lang w:val="sq-AL"/>
        </w:rPr>
        <w:t>, si palë e interesuar, ka kërkuar rrëzimin e kërkesës, duke parashtruar këto argumente:</w:t>
      </w:r>
    </w:p>
    <w:p w:rsidR="00DF4F2C" w:rsidRPr="00036C5C" w:rsidRDefault="00DF4F2C" w:rsidP="00B500A0">
      <w:pPr>
        <w:pStyle w:val="Paragrafi"/>
        <w:rPr>
          <w:lang w:val="sq-AL"/>
        </w:rPr>
      </w:pPr>
      <w:r w:rsidRPr="00036C5C">
        <w:rPr>
          <w:lang w:val="sq-AL"/>
        </w:rPr>
        <w:t>8.1 Gjykatat referuese nuk kanë ngritur pretendime të natyrës kushtetuese, por pretendime që kanë lidhje me interpretimin dhe unifikimin e zbatimit të ligjit.</w:t>
      </w:r>
    </w:p>
    <w:p w:rsidR="00DF4F2C" w:rsidRPr="00036C5C" w:rsidRDefault="00DF4F2C" w:rsidP="00B500A0">
      <w:pPr>
        <w:pStyle w:val="Paragrafi"/>
        <w:rPr>
          <w:lang w:val="sq-AL"/>
        </w:rPr>
      </w:pPr>
      <w:r w:rsidRPr="00036C5C">
        <w:rPr>
          <w:lang w:val="sq-AL"/>
        </w:rPr>
        <w:t>8.2 Ligji për atribuimin e titullit ekzekutiv të faturës së energjisë elektrike është i qartë, i kuptueshëm, pa mangësi  të teknikës legjislative dhe, si i tillë, ai nuk cenon sigurinë juridike.</w:t>
      </w:r>
    </w:p>
    <w:p w:rsidR="00DF4F2C" w:rsidRPr="00036C5C" w:rsidRDefault="00DF4F2C" w:rsidP="00B500A0">
      <w:pPr>
        <w:pStyle w:val="Paragrafi"/>
        <w:rPr>
          <w:lang w:val="sq-AL"/>
        </w:rPr>
      </w:pPr>
      <w:r w:rsidRPr="00036C5C">
        <w:rPr>
          <w:lang w:val="sq-AL"/>
        </w:rPr>
        <w:t xml:space="preserve">8.3 Kontrata mes “CEZ Shpërndarje” sh.a. dhe konsumatorëve nuk është një marrëdhënie kontraktuale vetëm mes  palëve private, duke qenë se CEZ sh.a. mbart mbi vete interes publik, prandaj dhe këto subjekte nuk mund të trajtohen në mënyrë të njëjtë.   </w:t>
      </w:r>
    </w:p>
    <w:p w:rsidR="00DF4F2C" w:rsidRPr="00036C5C" w:rsidRDefault="00DF4F2C" w:rsidP="00B500A0">
      <w:pPr>
        <w:pStyle w:val="Paragrafi"/>
        <w:rPr>
          <w:lang w:val="sq-AL"/>
        </w:rPr>
      </w:pPr>
      <w:r w:rsidRPr="00036C5C">
        <w:rPr>
          <w:lang w:val="sq-AL"/>
        </w:rPr>
        <w:t xml:space="preserve">9. </w:t>
      </w:r>
      <w:r w:rsidRPr="00036C5C">
        <w:rPr>
          <w:b/>
          <w:bCs/>
          <w:i/>
          <w:iCs/>
          <w:lang w:val="sq-AL"/>
        </w:rPr>
        <w:t>Avokatura e Shtetit</w:t>
      </w:r>
      <w:r w:rsidRPr="00036C5C">
        <w:rPr>
          <w:lang w:val="sq-AL"/>
        </w:rPr>
        <w:t>, si palë e interesuar, ka kërkuar rrëzimin e kërkesës, duke parashtruar këto argumente:</w:t>
      </w:r>
    </w:p>
    <w:p w:rsidR="00DF4F2C" w:rsidRPr="00036C5C" w:rsidRDefault="00DF4F2C" w:rsidP="00B500A0">
      <w:pPr>
        <w:pStyle w:val="Paragrafi"/>
        <w:rPr>
          <w:lang w:val="sq-AL"/>
        </w:rPr>
      </w:pPr>
      <w:r w:rsidRPr="00036C5C">
        <w:rPr>
          <w:lang w:val="sq-AL"/>
        </w:rPr>
        <w:t xml:space="preserve">9.1 Gjykata e Rrethit Gjyqësor Fier nuk legjitimohet në këtë proces, sepse nuk plotëson kriterin “lidhje e drejtpërdrejtë” mes çështjes në shqyrtim dhe ligjit. Ajo ka pasur për shqyrtim çështjen me objekt pavlefshmërinë e titullit ekzekutiv, sipas nenit 609 të KPC-së, dhe jo lëshimin e titullit ekzekutiv të faturës së energjisë elektrike. </w:t>
      </w:r>
    </w:p>
    <w:p w:rsidR="00DF4F2C" w:rsidRPr="00036C5C" w:rsidRDefault="00DF4F2C" w:rsidP="00B500A0">
      <w:pPr>
        <w:pStyle w:val="Paragrafi"/>
        <w:rPr>
          <w:lang w:val="sq-AL"/>
        </w:rPr>
      </w:pPr>
      <w:r w:rsidRPr="00036C5C">
        <w:rPr>
          <w:lang w:val="sq-AL"/>
        </w:rPr>
        <w:t>9.2 CEZ sh.a. është një operator shumë i rëndësishëm në tregun e energjisë elektrike, mbarëvajtja e të cilit, edhe pse shoqëri private, mbart interes publik, si operator i vetëm  i licencuar për furnizimin dhe shpërndarjen e energjisë elektrike.</w:t>
      </w:r>
    </w:p>
    <w:p w:rsidR="00DF4F2C" w:rsidRPr="00036C5C" w:rsidRDefault="00DF4F2C" w:rsidP="00B500A0">
      <w:pPr>
        <w:pStyle w:val="Paragrafi"/>
        <w:rPr>
          <w:lang w:val="sq-AL"/>
        </w:rPr>
      </w:pPr>
      <w:r w:rsidRPr="00036C5C">
        <w:rPr>
          <w:lang w:val="sq-AL"/>
        </w:rPr>
        <w:t>9.3 Përzgjedhja e ligjvënësit, nëpërmjet atribuimit të titullit ekzekutiv faturës së energjisë elektrike, është proporcionale me gjendjen që e ka diktuar atë, që është vështirësia në mbledhjen e detyrimeve të konsumatorëve të energjisë elektrike dhe, për rrjedhojë, dhe ndikimi negativ në cilësinë e ofrimit të shërbimit.</w:t>
      </w:r>
    </w:p>
    <w:p w:rsidR="00DF4F2C" w:rsidRPr="00036C5C" w:rsidRDefault="00DF4F2C" w:rsidP="00B500A0">
      <w:pPr>
        <w:pStyle w:val="Paragrafi"/>
        <w:rPr>
          <w:lang w:val="sq-AL"/>
        </w:rPr>
      </w:pPr>
      <w:r w:rsidRPr="00036C5C">
        <w:rPr>
          <w:lang w:val="sq-AL"/>
        </w:rPr>
        <w:t>10. “</w:t>
      </w:r>
      <w:r w:rsidRPr="00036C5C">
        <w:rPr>
          <w:b/>
          <w:bCs/>
          <w:i/>
          <w:iCs/>
          <w:lang w:val="sq-AL"/>
        </w:rPr>
        <w:t>CEZ Shpërndarje” sh.a.</w:t>
      </w:r>
      <w:r w:rsidRPr="00036C5C">
        <w:rPr>
          <w:lang w:val="sq-AL"/>
        </w:rPr>
        <w:t xml:space="preserve"> si palë e interesuar, ka kërkuar rrëzimin e kërkesës, duke parashtruar në mënyrë të përmbledhur këto argumente:</w:t>
      </w:r>
      <w:bookmarkStart w:id="17" w:name="_Toc327862820"/>
      <w:bookmarkStart w:id="18" w:name="_Toc327864860"/>
      <w:bookmarkStart w:id="19" w:name="_Toc328039688"/>
    </w:p>
    <w:p w:rsidR="00DF4F2C" w:rsidRPr="00036C5C" w:rsidRDefault="00DF4F2C" w:rsidP="00B500A0">
      <w:pPr>
        <w:pStyle w:val="Paragrafi"/>
        <w:rPr>
          <w:lang w:val="sq-AL"/>
        </w:rPr>
      </w:pPr>
      <w:r w:rsidRPr="00036C5C">
        <w:rPr>
          <w:lang w:val="sq-AL"/>
        </w:rPr>
        <w:t xml:space="preserve">10.1 </w:t>
      </w:r>
      <w:bookmarkEnd w:id="17"/>
      <w:bookmarkEnd w:id="18"/>
      <w:bookmarkEnd w:id="19"/>
      <w:r w:rsidRPr="00036C5C">
        <w:rPr>
          <w:lang w:val="sq-AL"/>
        </w:rPr>
        <w:t xml:space="preserve">Të drejtat themelore janë të kufizueshme sipas nenit 17 të Kushtetutës dhe jurisprudencës së GJEDNJ-së. Ligji, i cili parashikon atribuimin si titull ekzekutiv të faturës së energjisë elektrike, është bërë për të mbrojtur një interes publik dhe të drejtat e subjekteve të tjera,  nga pasojat që mund të vijnë nga mospagimi në kohë e në mënyrë të plotë i detyrimeve që rrjedhin nga furnizimi me energji elektrike. </w:t>
      </w:r>
    </w:p>
    <w:p w:rsidR="00DF4F2C" w:rsidRPr="00036C5C" w:rsidRDefault="00DF4F2C" w:rsidP="00B500A0">
      <w:pPr>
        <w:pStyle w:val="Paragrafi"/>
        <w:rPr>
          <w:lang w:val="sq-AL"/>
        </w:rPr>
      </w:pPr>
      <w:r w:rsidRPr="00036C5C">
        <w:rPr>
          <w:lang w:val="sq-AL"/>
        </w:rPr>
        <w:t xml:space="preserve">10.2 CEZ sh.a. është i detyruar t’ia ofrojë shërbimin të gjithë konsumatorëve tariforë pa përjashtim, pavarësisht vendndodhjes, statusit social apo situatës ekonomike e financiare të tyre. Pamundësia e përzgjedhjes së konsumatorëve shkakton drejtpërdrejt vështirësi në ekzekutimin e detyrimeve mujore të energjisë elektrike.   </w:t>
      </w:r>
    </w:p>
    <w:p w:rsidR="00DF4F2C" w:rsidRPr="00036C5C" w:rsidRDefault="00DF4F2C" w:rsidP="00B500A0">
      <w:pPr>
        <w:pStyle w:val="Paragrafi"/>
        <w:rPr>
          <w:lang w:val="sq-AL"/>
        </w:rPr>
      </w:pPr>
      <w:bookmarkStart w:id="20" w:name="_Toc327862821"/>
      <w:bookmarkStart w:id="21" w:name="_Toc327864861"/>
      <w:bookmarkStart w:id="22" w:name="_Toc328039689"/>
      <w:r w:rsidRPr="00036C5C">
        <w:rPr>
          <w:lang w:val="sq-AL"/>
        </w:rPr>
        <w:t>10.</w:t>
      </w:r>
      <w:bookmarkEnd w:id="20"/>
      <w:bookmarkEnd w:id="21"/>
      <w:bookmarkEnd w:id="22"/>
      <w:r w:rsidRPr="00036C5C">
        <w:rPr>
          <w:lang w:val="sq-AL"/>
        </w:rPr>
        <w:t xml:space="preserve">3 Ligji nuk shkel parimin e barazisë, sepse rregullat për ekzekutimin e faturës së energjisë elektrike zbatohen njësoj ndaj të gjithë kategorisë së konsumatorëve. Edhe sikur të kishte cenim, barazia duhet parë e lidhur ngushtë me pozicionin e palëve, që në këtë rast janë në pozita objektivisht të ndryshme.  </w:t>
      </w:r>
    </w:p>
    <w:p w:rsidR="00DF4F2C" w:rsidRPr="00036C5C" w:rsidRDefault="00DF4F2C" w:rsidP="0005775E">
      <w:pPr>
        <w:pStyle w:val="Paragrafi"/>
        <w:rPr>
          <w:rFonts w:cs="Times New Roman"/>
          <w:lang w:val="sq-AL"/>
        </w:rPr>
      </w:pPr>
      <w:r w:rsidRPr="00036C5C">
        <w:rPr>
          <w:rFonts w:cs="Times New Roman"/>
          <w:lang w:val="sq-AL"/>
        </w:rPr>
        <w:tab/>
      </w:r>
      <w:r w:rsidRPr="00036C5C">
        <w:rPr>
          <w:rFonts w:cs="Times New Roman"/>
          <w:lang w:val="sq-AL"/>
        </w:rPr>
        <w:tab/>
      </w:r>
      <w:r w:rsidRPr="00036C5C">
        <w:rPr>
          <w:rFonts w:cs="Times New Roman"/>
          <w:lang w:val="sq-AL"/>
        </w:rPr>
        <w:tab/>
      </w:r>
      <w:r w:rsidRPr="00036C5C">
        <w:rPr>
          <w:rFonts w:cs="Times New Roman"/>
          <w:lang w:val="sq-AL"/>
        </w:rPr>
        <w:tab/>
      </w:r>
      <w:r w:rsidRPr="00036C5C">
        <w:rPr>
          <w:rFonts w:cs="Times New Roman"/>
          <w:lang w:val="sq-AL"/>
        </w:rPr>
        <w:tab/>
      </w:r>
    </w:p>
    <w:p w:rsidR="00DF4F2C" w:rsidRPr="00036C5C" w:rsidRDefault="00DF4F2C" w:rsidP="0005775E">
      <w:pPr>
        <w:pStyle w:val="Paragrafi"/>
        <w:ind w:firstLine="0"/>
        <w:jc w:val="center"/>
        <w:rPr>
          <w:lang w:val="sq-AL"/>
        </w:rPr>
      </w:pPr>
      <w:r w:rsidRPr="00036C5C">
        <w:rPr>
          <w:lang w:val="sq-AL"/>
        </w:rPr>
        <w:t>III</w:t>
      </w:r>
    </w:p>
    <w:p w:rsidR="00DF4F2C" w:rsidRPr="00036C5C" w:rsidRDefault="00DF4F2C" w:rsidP="00B500A0">
      <w:pPr>
        <w:pStyle w:val="Paragrafi"/>
        <w:rPr>
          <w:b/>
          <w:bCs/>
          <w:i/>
          <w:iCs/>
          <w:lang w:val="sq-AL"/>
        </w:rPr>
      </w:pPr>
      <w:r w:rsidRPr="00036C5C">
        <w:rPr>
          <w:b/>
          <w:bCs/>
          <w:i/>
          <w:iCs/>
          <w:lang w:val="sq-AL"/>
        </w:rPr>
        <w:t>Për  legjitimimin e gjykatave referuese</w:t>
      </w:r>
    </w:p>
    <w:p w:rsidR="00DF4F2C" w:rsidRPr="00036C5C" w:rsidRDefault="00DF4F2C" w:rsidP="00B500A0">
      <w:pPr>
        <w:pStyle w:val="Paragrafi"/>
        <w:rPr>
          <w:lang w:val="sq-AL"/>
        </w:rPr>
      </w:pPr>
      <w:r w:rsidRPr="00036C5C">
        <w:rPr>
          <w:lang w:val="sq-AL"/>
        </w:rPr>
        <w:t xml:space="preserve">11. Fillimisht Gjykata Kushtetuese (Gjykata) çmon të shprehet në lidhje me legjitimimin e gjykatave referuese, sepse subjektet e interesuara, përkatësisht Kuvendi dhe Avokatura e Shtetit, në prapësimet e tyre kanë dhënë disa argumente për mungesën e lidhjes së drejtpërdrejtë mes ligjit për trajtimin si titull ekzekutiv të faturës së konsumit të energjisë elektrike, që është çmuar si i papajtueshëm me Kushtetutën, dhe zgjidhjes së çështjes konkrete.   </w:t>
      </w:r>
    </w:p>
    <w:p w:rsidR="00DF4F2C" w:rsidRPr="00036C5C" w:rsidRDefault="00DF4F2C" w:rsidP="00B500A0">
      <w:pPr>
        <w:pStyle w:val="Paragrafi"/>
        <w:rPr>
          <w:lang w:val="sq-AL"/>
        </w:rPr>
      </w:pPr>
      <w:r w:rsidRPr="00036C5C">
        <w:rPr>
          <w:lang w:val="sq-AL"/>
        </w:rPr>
        <w:t xml:space="preserve">12. Gjykata është shprehur vazhdimisht për aspektet e legjitimimit të gjykatave, të cilat e vënë në lëvizje atë nëpërmjet kontrollit incidental. Sipas saj, gjykata ose gjyqtari i cili kërkon kontrollin e kushtetutshmërisë së ligjit përpara Gjykatës Kushtetuese, duhet të respektojë disa kritere; </w:t>
      </w:r>
      <w:r w:rsidRPr="00036C5C">
        <w:rPr>
          <w:i/>
          <w:iCs/>
          <w:lang w:val="sq-AL"/>
        </w:rPr>
        <w:t>së pari</w:t>
      </w:r>
      <w:r w:rsidRPr="00036C5C">
        <w:rPr>
          <w:lang w:val="sq-AL"/>
        </w:rPr>
        <w:t xml:space="preserve">, gjykata ose gjyqtari, gjatë një procesi gjyqësor, duhet të përcaktojë/identifikojë </w:t>
      </w:r>
      <w:r w:rsidRPr="00036C5C">
        <w:rPr>
          <w:lang w:val="sq-AL"/>
        </w:rPr>
        <w:lastRenderedPageBreak/>
        <w:t xml:space="preserve">ligjin që zbatohet për zgjidhjen e çështjes konkrete; </w:t>
      </w:r>
      <w:r w:rsidRPr="00036C5C">
        <w:rPr>
          <w:i/>
          <w:iCs/>
          <w:lang w:val="sq-AL"/>
        </w:rPr>
        <w:t>së dyti</w:t>
      </w:r>
      <w:r w:rsidRPr="00036C5C">
        <w:rPr>
          <w:lang w:val="sq-AL"/>
        </w:rPr>
        <w:t xml:space="preserve">, duhet të parashtrojë arsye serioze për jokushtetutshmërinë e këtij ligji (të një ose të disa dispozitave të ligjit), duke referuar në normat ose parimet konkrete të Kushtetutës; </w:t>
      </w:r>
      <w:r w:rsidRPr="00036C5C">
        <w:rPr>
          <w:i/>
          <w:iCs/>
          <w:lang w:val="sq-AL"/>
        </w:rPr>
        <w:t>së treti</w:t>
      </w:r>
      <w:r w:rsidRPr="00036C5C">
        <w:rPr>
          <w:lang w:val="sq-AL"/>
        </w:rPr>
        <w:t xml:space="preserve">, të ketë krijuar bindjen se gjykimi nga  gjykata ose gjyqtari  nuk mund të përfundojë në mënyrë të pavarur nga gjykimi në Gjykatën Kushtetuese dhe se kjo gjykatë/ky gjyqtar nuk kishte mundësi ta zgjidhte çështjen, edhe pa iu drejtuar Gjykatës Kushtetuese; </w:t>
      </w:r>
      <w:r w:rsidRPr="00036C5C">
        <w:rPr>
          <w:i/>
          <w:iCs/>
          <w:lang w:val="sq-AL"/>
        </w:rPr>
        <w:t>së katërti</w:t>
      </w:r>
      <w:r w:rsidRPr="00036C5C">
        <w:rPr>
          <w:lang w:val="sq-AL"/>
        </w:rPr>
        <w:t>, të bëjë të gjitha përpjekjet për ta interpretuar ligjin në përputhje me Kushtetutën (</w:t>
      </w:r>
      <w:r w:rsidRPr="00036C5C">
        <w:rPr>
          <w:i/>
          <w:iCs/>
          <w:lang w:val="sq-AL"/>
        </w:rPr>
        <w:t xml:space="preserve">vendimet e Gjykatës Kushtetuese nr.30, datë 17.06.2010; nr.18, datë 23.04.2010; nr.12, datë 14.04.2010; nr.2, datë 03.02.2010; nr.13, datë 04.05.2009; nr.5, datë 06.03.2009; nr.14, datë 21.07.2008); së pesti, </w:t>
      </w:r>
      <w:r w:rsidRPr="00036C5C">
        <w:rPr>
          <w:lang w:val="sq-AL"/>
        </w:rPr>
        <w:t>të argumentojë nëse ka pasur mundësi për interpretim të dispozitës në pajtim me Kushtetutën</w:t>
      </w:r>
      <w:r w:rsidRPr="00036C5C">
        <w:rPr>
          <w:i/>
          <w:iCs/>
          <w:lang w:val="sq-AL"/>
        </w:rPr>
        <w:t xml:space="preserve"> (vendimi i Mbledhjes së Gjyqtarëve nr.142, datë 01.12.2011</w:t>
      </w:r>
      <w:r w:rsidRPr="00036C5C">
        <w:rPr>
          <w:lang w:val="sq-AL"/>
        </w:rPr>
        <w:t xml:space="preserve">). </w:t>
      </w:r>
    </w:p>
    <w:p w:rsidR="00DF4F2C" w:rsidRPr="00036C5C" w:rsidRDefault="00DF4F2C" w:rsidP="00B500A0">
      <w:pPr>
        <w:pStyle w:val="Paragrafi"/>
        <w:rPr>
          <w:lang w:val="sq-AL"/>
        </w:rPr>
      </w:pPr>
      <w:r w:rsidRPr="00036C5C">
        <w:rPr>
          <w:lang w:val="sq-AL"/>
        </w:rPr>
        <w:t xml:space="preserve">13. Në mbështetje të këtyre kritereve, Gjykata çmon se Gjykata e Rrethit Gjyqësor Fier nuk legjitimohet, pasi çështja e paraqitur për shqyrtim para saj ka pasur për objekt deklarimin e pavlefshmërisë së titujve ekzekutivë, faturat e shitjes së energjisë elektrike, bazuar në nenin 609 të KPC-së, që nuk ka lidhje të drejtpërdrejtë me objektin e kërkesës para Gjykatës Kushtetuese, (antikushtetutshmëria e ligjit për trajtimin si titull ekzekutiv të faturës së konsumit të energjisë elektrike). </w:t>
      </w:r>
    </w:p>
    <w:p w:rsidR="00DF4F2C" w:rsidRPr="00036C5C" w:rsidRDefault="00DF4F2C" w:rsidP="00B500A0">
      <w:pPr>
        <w:pStyle w:val="Paragrafi"/>
        <w:rPr>
          <w:lang w:val="sq-AL"/>
        </w:rPr>
      </w:pPr>
      <w:r w:rsidRPr="00036C5C">
        <w:rPr>
          <w:lang w:val="sq-AL"/>
        </w:rPr>
        <w:t xml:space="preserve">14. Po në mbështetje të kritereve të lartpërmendura, Gjykata vlerëson se Gjykata e Rrethit Gjyqësor Vlorë, </w:t>
      </w:r>
      <w:r w:rsidRPr="00036C5C">
        <w:rPr>
          <w:i/>
          <w:iCs/>
          <w:lang w:val="sq-AL"/>
        </w:rPr>
        <w:t>prima facie</w:t>
      </w:r>
      <w:r w:rsidRPr="00036C5C">
        <w:rPr>
          <w:lang w:val="sq-AL"/>
        </w:rPr>
        <w:t>, ka shkaqe dhe argumente, të cilat përbëjnë bazën ku mbështeten pretendimet për papajtueshmëri të ligjit me Kushtetutën. Kjo gjykatë, me gjykimin e çështjes civile me objekt lëshimin e urdhrit të ekzekutimit për titujt ekzekutivë për faturat mujore të papaguara të energjisë elektrike, ka identifikuar normat dhe parimet kushtetuese, të cilat ligji nuk i ka respektuar ose i ka cenuar, si dhe ka argumentuar mjaftueshëm shkaqet për të cilat kërkohet shfuqizimi i ligjit. Për më tepër, kjo gjykatë ka argumentuar se nuk ka pasur mundësi të interpretimit të ligjit në pajtim me Kushtetutën dhe për këtë arsye nuk mund të përdorte mekanizëm tjetër veç atij të kontrollit incidental të ligjit para Gjykatës Kushtetuese. Prandaj dhe Gjykata konkludon se Gjykata e Rrethit Gjyqësor Vlorë legjitimohet, për shkak se ekziston lidhja e drejtpërdrejtë midis zgjidhjes së çështjes konkrete dhe ligjit që kundërshtohet për papajtueshmëri me Kushtetutën.</w:t>
      </w:r>
    </w:p>
    <w:p w:rsidR="00DF4F2C" w:rsidRPr="00036C5C" w:rsidRDefault="00DF4F2C" w:rsidP="00B500A0">
      <w:pPr>
        <w:pStyle w:val="Paragrafi"/>
        <w:rPr>
          <w:lang w:val="sq-AL"/>
        </w:rPr>
      </w:pPr>
      <w:r w:rsidRPr="00036C5C">
        <w:rPr>
          <w:lang w:val="sq-AL"/>
        </w:rPr>
        <w:t>15. Për rrjedhojë, Gjykata sqaron se më poshtë do të marrë në analizë vetëm pretendimet e ngritura nga Gjykata e Rrethit Gjyqësor Vlorë në lidhje me mosrespektimin e kërkesave të nenit 42 dhe 17 të Kushtetutës, me mosrespektimin e parimit të barazisë në ligj sipas nenit 18 të Kushtetutës dhe mosrespektimin e parimit të sigurisë juridike.</w:t>
      </w:r>
    </w:p>
    <w:p w:rsidR="00DF4F2C" w:rsidRPr="00036C5C" w:rsidRDefault="00DF4F2C" w:rsidP="00B500A0">
      <w:pPr>
        <w:pStyle w:val="Paragrafi"/>
        <w:rPr>
          <w:lang w:val="sq-AL"/>
        </w:rPr>
      </w:pPr>
    </w:p>
    <w:p w:rsidR="00DF4F2C" w:rsidRPr="00036C5C" w:rsidRDefault="00DF4F2C" w:rsidP="00D3609F">
      <w:pPr>
        <w:pStyle w:val="VENDOSI"/>
        <w:rPr>
          <w:lang w:val="sq-AL"/>
        </w:rPr>
      </w:pPr>
      <w:r w:rsidRPr="00036C5C">
        <w:rPr>
          <w:lang w:val="sq-AL"/>
        </w:rPr>
        <w:t>IV</w:t>
      </w:r>
    </w:p>
    <w:p w:rsidR="00DF4F2C" w:rsidRPr="00036C5C" w:rsidRDefault="00DF4F2C" w:rsidP="00B500A0">
      <w:pPr>
        <w:pStyle w:val="Paragrafi"/>
        <w:rPr>
          <w:b/>
          <w:bCs/>
          <w:i/>
          <w:iCs/>
          <w:lang w:val="sq-AL"/>
        </w:rPr>
      </w:pPr>
      <w:r w:rsidRPr="00036C5C">
        <w:rPr>
          <w:b/>
          <w:bCs/>
          <w:i/>
          <w:iCs/>
          <w:lang w:val="sq-AL"/>
        </w:rPr>
        <w:t xml:space="preserve">A. Për pretendimin për  </w:t>
      </w:r>
      <w:bookmarkStart w:id="23" w:name="_Toc328039693"/>
      <w:r w:rsidRPr="00036C5C">
        <w:rPr>
          <w:b/>
          <w:bCs/>
          <w:i/>
          <w:iCs/>
          <w:lang w:val="sq-AL"/>
        </w:rPr>
        <w:t>mosrespektimin e  kërkesave të nenit 42 dhe 17 të Kushtetutës</w:t>
      </w:r>
    </w:p>
    <w:bookmarkEnd w:id="23"/>
    <w:p w:rsidR="00DF4F2C" w:rsidRPr="00036C5C" w:rsidRDefault="00DF4F2C" w:rsidP="00B500A0">
      <w:pPr>
        <w:pStyle w:val="Paragrafi"/>
        <w:rPr>
          <w:lang w:val="sq-AL"/>
        </w:rPr>
      </w:pPr>
      <w:r w:rsidRPr="00036C5C">
        <w:rPr>
          <w:lang w:val="sq-AL"/>
        </w:rPr>
        <w:t xml:space="preserve">16. Sipas gjykatës referuese, nëpërmjet ligjit për trajtimin si titull ekzekutiv të faturës së konsumit të energjisë elektrike cenohet e drejta e pronësisë e debitorit, por jo nëpërmjet një procesi të rregullt ligjor, të kërkuar nga neni 42 i Kushtetutës, pasi procedura e lëshimit të urdhrit të ekzekutimit nuk përmbush standardet e këtij procesi, duke qenë se është një gjykim vetëm mbi ligjshmërinë e aktit.  </w:t>
      </w:r>
    </w:p>
    <w:p w:rsidR="00DF4F2C" w:rsidRPr="00036C5C" w:rsidRDefault="00DF4F2C" w:rsidP="00B500A0">
      <w:pPr>
        <w:pStyle w:val="Paragrafi"/>
        <w:rPr>
          <w:lang w:val="sq-AL"/>
        </w:rPr>
      </w:pPr>
      <w:r w:rsidRPr="00036C5C">
        <w:rPr>
          <w:lang w:val="sq-AL"/>
        </w:rPr>
        <w:t xml:space="preserve">17. Po kjo gjykatë pretendon se kriteri “interes publik”, në ligjin për trajtimin si titull ekzekutiv të faturës së konsumit të energjisë elektrike, nuk ekziston, sepse në një marrëdhënie kontraktuale prevalon parimi i autonomisë së vullnetit, që do të thotë se palët me vullnet të lirë marrin përsipër të drejta dhe detyrime, pasojat e të cilave vijnë ekskluzivisht për to dhe për asnjë tjetër. </w:t>
      </w:r>
    </w:p>
    <w:p w:rsidR="00DF4F2C" w:rsidRPr="00036C5C" w:rsidRDefault="00DF4F2C" w:rsidP="00B500A0">
      <w:pPr>
        <w:pStyle w:val="Paragrafi"/>
        <w:rPr>
          <w:lang w:val="sq-AL"/>
        </w:rPr>
      </w:pPr>
      <w:r w:rsidRPr="00036C5C">
        <w:rPr>
          <w:lang w:val="sq-AL"/>
        </w:rPr>
        <w:t xml:space="preserve">18. Sipas subjektit të interesuar, Kuvendit, ky ligj kufizon të drejtën për një proces të rregullt ligjor, por duke plotësuar dy kriteret e nenit 17 të Kushtetutës, për shkak të një interesi publik dhe duke mos  cenuar thelbin e së drejtës, që është garantuar me nenin 609 të KPC-së. Të njëjtat argumente paraqet dhe subjekti tjetër i interesuar, Avokatura e Shtetit.  </w:t>
      </w:r>
    </w:p>
    <w:p w:rsidR="007D7C24" w:rsidRDefault="007D7C24" w:rsidP="00B500A0">
      <w:pPr>
        <w:pStyle w:val="Paragrafi"/>
        <w:rPr>
          <w:lang w:val="sq-AL"/>
        </w:rPr>
      </w:pPr>
    </w:p>
    <w:p w:rsidR="00DF4F2C" w:rsidRPr="00036C5C" w:rsidRDefault="00DF4F2C" w:rsidP="00B500A0">
      <w:pPr>
        <w:pStyle w:val="Paragrafi"/>
        <w:rPr>
          <w:lang w:val="sq-AL"/>
        </w:rPr>
      </w:pPr>
      <w:r w:rsidRPr="00036C5C">
        <w:rPr>
          <w:lang w:val="sq-AL"/>
        </w:rPr>
        <w:lastRenderedPageBreak/>
        <w:t xml:space="preserve">19. Neni 42 i Kushtetutës sanksionon se liria, prona dhe të drejtat e njohura me Kushtetutë dhe me ligj nuk mund të cenohen pa </w:t>
      </w:r>
      <w:r w:rsidRPr="00036C5C">
        <w:rPr>
          <w:i/>
          <w:iCs/>
          <w:lang w:val="sq-AL"/>
        </w:rPr>
        <w:t>një proces të rregullt ligjor</w:t>
      </w:r>
      <w:r w:rsidRPr="00036C5C">
        <w:rPr>
          <w:lang w:val="sq-AL"/>
        </w:rPr>
        <w:t xml:space="preserve">. Kushdo, për mbrojtjen e të drejtave, të lirive dhe të interesave të tij kushtetuese dhe ligjore, ose në rastin e akuzave të ngritura kundër tij, ka të drejtën e një gjykimi të drejtë dhe publik brenda një afati të arsyeshëm nga një gjykatë e pavarur dhe e paanshme e caktuar me ligj.  </w:t>
      </w:r>
    </w:p>
    <w:p w:rsidR="00DF4F2C" w:rsidRPr="00036C5C" w:rsidRDefault="00DF4F2C" w:rsidP="00B500A0">
      <w:pPr>
        <w:pStyle w:val="Paragrafi"/>
        <w:rPr>
          <w:lang w:val="sq-AL"/>
        </w:rPr>
      </w:pPr>
      <w:r w:rsidRPr="00036C5C">
        <w:rPr>
          <w:lang w:val="sq-AL"/>
        </w:rPr>
        <w:t xml:space="preserve">20. Gjykata vlerëson se, duke qenë se e drejta për një proces të rregullt ligjor përbën një nga të drejtat themelore të individit, ajo ka për detyrë të verifikojë ekzistencën e kufizimit, si dhe nëse ky kufizim është bërë sipas kritereve të përcaktuara shprehimisht në Kushtetutë.  </w:t>
      </w:r>
    </w:p>
    <w:p w:rsidR="00DF4F2C" w:rsidRPr="00036C5C" w:rsidRDefault="00DF4F2C" w:rsidP="00B500A0">
      <w:pPr>
        <w:pStyle w:val="Paragrafi"/>
        <w:rPr>
          <w:lang w:val="sq-AL"/>
        </w:rPr>
      </w:pPr>
      <w:r w:rsidRPr="00036C5C">
        <w:rPr>
          <w:lang w:val="sq-AL"/>
        </w:rPr>
        <w:t>21. Gjykata rithekson se për të justifikuar, në pikëpamje të Kushtetutës, prekjen e të drejtave dhe lirive themelore të individit, është e domosdoshme të përmbushen disa kushte, siç janë ato që kufizimi të realizohet me ligj, të jetë bërë për interes publik ose për mbrojtjen e të drejtave të të tjerëve, të jetë në përpjesëtim me gjendjen që e ka diktuar, si dhe të mos cenojë thelbin e të drejtave dhe të lirive themelore (</w:t>
      </w:r>
      <w:r w:rsidRPr="00036C5C">
        <w:rPr>
          <w:i/>
          <w:iCs/>
          <w:lang w:val="sq-AL"/>
        </w:rPr>
        <w:t>vendimi i Gjykatës Kushtetuese nr.10, datë 19.03.2008</w:t>
      </w:r>
      <w:r w:rsidRPr="00036C5C">
        <w:rPr>
          <w:lang w:val="sq-AL"/>
        </w:rPr>
        <w:t xml:space="preserve">).  </w:t>
      </w:r>
    </w:p>
    <w:p w:rsidR="00DF4F2C" w:rsidRPr="00036C5C" w:rsidRDefault="00DF4F2C" w:rsidP="00B500A0">
      <w:pPr>
        <w:pStyle w:val="Paragrafi"/>
        <w:rPr>
          <w:lang w:val="sq-AL"/>
        </w:rPr>
      </w:pPr>
      <w:r w:rsidRPr="00036C5C">
        <w:rPr>
          <w:lang w:val="sq-AL"/>
        </w:rPr>
        <w:t>22. Gjykata ka theksuar se: “...lista e çështjeve me interes publik nuk mund të jetë kurrsesi shteruese, pasi interesi publik duhet kuptuar në sensin relativ, në varësi të situatave të ndryshme që krijohen” (</w:t>
      </w:r>
      <w:r w:rsidRPr="00036C5C">
        <w:rPr>
          <w:i/>
          <w:iCs/>
          <w:lang w:val="sq-AL"/>
        </w:rPr>
        <w:t>vendimi i Gjykatës Kushtetuese nr.18, datë 14.05.2003).</w:t>
      </w:r>
      <w:r w:rsidRPr="00036C5C">
        <w:rPr>
          <w:lang w:val="sq-AL"/>
        </w:rPr>
        <w:t xml:space="preserve">  </w:t>
      </w:r>
    </w:p>
    <w:p w:rsidR="00DF4F2C" w:rsidRPr="00036C5C" w:rsidRDefault="00DF4F2C" w:rsidP="00B500A0">
      <w:pPr>
        <w:pStyle w:val="Paragrafi"/>
        <w:rPr>
          <w:lang w:val="sq-AL"/>
        </w:rPr>
      </w:pPr>
      <w:r w:rsidRPr="00036C5C">
        <w:rPr>
          <w:lang w:val="sq-AL"/>
        </w:rPr>
        <w:t xml:space="preserve">23. Duke pasur parasysh këto konsiderata të përgjithshme, kjo Gjykatë çmon se furnizimi me energji elektrike, si shërbim me interes të përgjithshëm, meriton vëmendje dhe trajtim të posaçëm nga ligjvënësi, për dy arsye: i) për shkak të situatës monopol të CEZ sh.a., aktualisht; ii) për shkak të specifikës së shërbimit. Vazhdimësia, cilësia dhe aksesueshmëria e këtij shërbimi duhet t’u ofrohet të gjithë konsumatorëve pa përjashtim, sipas kritereve specifike ligjore.  Për më tepër, trajtimet specifike ligjore, me synim që të garantohet aksesi i çdo individi në mallrat dhe shërbimet bazë/jetike, janë të domosdoshme, sepse këto shërbime ndikojnë në cilësinë e jetës dhe janë një parakusht për gëzimin e shumë të drejtave të tjera themelore të individit. </w:t>
      </w:r>
    </w:p>
    <w:p w:rsidR="00DF4F2C" w:rsidRPr="00036C5C" w:rsidRDefault="00DF4F2C" w:rsidP="00B500A0">
      <w:pPr>
        <w:pStyle w:val="Paragrafi"/>
        <w:rPr>
          <w:lang w:val="sq-AL"/>
        </w:rPr>
      </w:pPr>
      <w:r w:rsidRPr="00036C5C">
        <w:rPr>
          <w:lang w:val="sq-AL"/>
        </w:rPr>
        <w:t>24. Për më tepër, Gjykata vlerëson se parimi i shtetit social, i parashikuar që në preambulën e Kushtetutës sonë, e përligj ndërhyrjen e autoritetit publik në mënyrë të drejtpërdrejtë ose të tërthortë edhe në marrëdhëniet juridike private, për të mbrojtur interesat e përgjithshëm, si p.sh. kontrolli publik i kostos së jetesës, lufta kundër inflacionit, shtytja dhe nxitja e aktiviteteve prodhuese, mbrojtja e shtresave të varfra, promovimi i vlerave sociale, etj. Është e pamohueshme që në varësi të rrethanave, mund të justifikohet ruajtja nga ana e shtetit e një mase të caktuar ndërhyrjeje në sipërmarrje, të cilat kanë qenë publike dhe më pas janë privatizuar, kur ato operojnë në fusha të shërbimeve me interes publik.</w:t>
      </w:r>
    </w:p>
    <w:p w:rsidR="00DF4F2C" w:rsidRPr="00036C5C" w:rsidRDefault="00DF4F2C" w:rsidP="00B500A0">
      <w:pPr>
        <w:pStyle w:val="Paragrafi"/>
        <w:rPr>
          <w:lang w:val="sq-AL"/>
        </w:rPr>
      </w:pPr>
      <w:r w:rsidRPr="00036C5C">
        <w:rPr>
          <w:lang w:val="sq-AL"/>
        </w:rPr>
        <w:t>25. Në zbatim të vlerësimeve të mësipërme të saj, Gjykata identifikon si interes publik në ligjin për atribuimin e faturës së energjisë elektrike si titull ekzekutiv, përmirësimin e cilësisë dhe aksesit të këtij shërbimi, si shërbim tepër jetik për të gjithë konsumatorët dhe shoqërinë në tërësi.</w:t>
      </w:r>
    </w:p>
    <w:p w:rsidR="00DF4F2C" w:rsidRPr="00036C5C" w:rsidRDefault="00DF4F2C" w:rsidP="00B500A0">
      <w:pPr>
        <w:pStyle w:val="Paragrafi"/>
        <w:rPr>
          <w:lang w:val="sq-AL"/>
        </w:rPr>
      </w:pPr>
      <w:r w:rsidRPr="00036C5C">
        <w:rPr>
          <w:lang w:val="sq-AL"/>
        </w:rPr>
        <w:t>26. Gjykata e sheh të arsyeshme që, sa i përket një prej kërkesave të nenit 17/2 të Kushtetutës, që është moscenimi i thelbit të së drejtës nga kufizimi, të ritheksojë se në një çështje të mëparshme, të ngjashme me çështjen në shqyrtim, konkretisht çështjen me objekt papajtueshmërinë me Kushtetutën të “akteve për dhënien e kredive bankare” si tituj ekzekutivë, ajo ka pranuar se procedura për lëshimin e urdhrit të ekzekutimit edhe nëse eventualisht i cenon ndonjë të drejtë debitorit, kjo e drejtë mund të rivendoset nëpërmjet garantimit të një procesi të rregullt ligjor, bazuar në nenin 609 të KPC-së, pra duke mos u cenuar thelbi i së drejtës (</w:t>
      </w:r>
      <w:r w:rsidRPr="00036C5C">
        <w:rPr>
          <w:i/>
          <w:iCs/>
          <w:lang w:val="sq-AL"/>
        </w:rPr>
        <w:t>vendimi i Gjykatës Kushtetuese nr.39, datë 16.10. 2007</w:t>
      </w:r>
      <w:r w:rsidRPr="00036C5C">
        <w:rPr>
          <w:lang w:val="sq-AL"/>
        </w:rPr>
        <w:t xml:space="preserve">).  </w:t>
      </w:r>
    </w:p>
    <w:p w:rsidR="00DF4F2C" w:rsidRPr="00036C5C" w:rsidRDefault="00DF4F2C" w:rsidP="00B500A0">
      <w:pPr>
        <w:pStyle w:val="Paragrafi"/>
        <w:rPr>
          <w:lang w:val="sq-AL"/>
        </w:rPr>
      </w:pPr>
      <w:r w:rsidRPr="00036C5C">
        <w:rPr>
          <w:lang w:val="sq-AL"/>
        </w:rPr>
        <w:t xml:space="preserve">27. Megjithatë, gjykata referuese pretendon se edhe nëse kufizimi i së drejtës për një proces të rregullt ligjor mund të jetë bërë për mbrojtjen e interesave publikë dhe nuk cenon thelbin e së drejtës, ai nuk është proporcional me gjendjen që e ka diktuar atë.  </w:t>
      </w:r>
    </w:p>
    <w:p w:rsidR="00DF4F2C" w:rsidRPr="00036C5C" w:rsidRDefault="00DF4F2C" w:rsidP="00B500A0">
      <w:pPr>
        <w:pStyle w:val="Paragrafi"/>
        <w:rPr>
          <w:lang w:val="sq-AL"/>
        </w:rPr>
      </w:pPr>
      <w:r w:rsidRPr="00036C5C">
        <w:rPr>
          <w:lang w:val="sq-AL"/>
        </w:rPr>
        <w:t xml:space="preserve">28. Gjykata çmon ta vlerësojë këtë pretendim nën dritën e testit të proporcionalitetit. Kështu, kushti i proporcionalitetit të ndërhyrjes me gjendjen që e ka diktuar atë (ndërhyrjen), imponon ligjvënësin të aplikojë mjete të tilla ligjore, të cilat duhet të jenë efektive, d.m.th. të </w:t>
      </w:r>
      <w:r w:rsidRPr="00036C5C">
        <w:rPr>
          <w:lang w:val="sq-AL"/>
        </w:rPr>
        <w:lastRenderedPageBreak/>
        <w:t>zgjedhura në mënyrë të tillë që të jenë të përshtatshme për realizimin e synimeve që ndiqen. Përdorimi i këtyre mjeteve duhet të jetë i domosdoshëm, gjë që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dobishmërisë dhe proporcionalitetit, në kuptimin strikt të kufizimeve të imponuara. Respektimi i këtyre kushteve kërkon një analizë të kujdesshme në çdo rast konkret, duke ballafaquar interesin publik që dikton kufizimin me ato të drejta që si rezultat i tij i nënshtrohen kufizimit, si dhe duke vlerësuar edhe mënyrën e kufizimit (</w:t>
      </w:r>
      <w:r w:rsidRPr="00036C5C">
        <w:rPr>
          <w:i/>
          <w:iCs/>
          <w:lang w:val="sq-AL"/>
        </w:rPr>
        <w:t>vendimi i Gjykatës Kushtetuese nr. 16, datë 25.07.2008</w:t>
      </w:r>
      <w:r w:rsidRPr="00036C5C">
        <w:rPr>
          <w:lang w:val="sq-AL"/>
        </w:rPr>
        <w:t>).</w:t>
      </w:r>
    </w:p>
    <w:p w:rsidR="00DF4F2C" w:rsidRPr="00036C5C" w:rsidRDefault="00DF4F2C" w:rsidP="00B500A0">
      <w:pPr>
        <w:pStyle w:val="Paragrafi"/>
        <w:rPr>
          <w:lang w:val="sq-AL"/>
        </w:rPr>
      </w:pPr>
      <w:r w:rsidRPr="00036C5C">
        <w:rPr>
          <w:lang w:val="sq-AL"/>
        </w:rPr>
        <w:t>29. Gjykata vlerëson se në thelb të parimit të proporcionalitetit qëndron “ekuilibrimi i drejtë i interesave”, vlerësimi i rëndësishëm dhe objektiv i tyre, si dhe shmangia e konfliktit  nëpërmjet përzgjedhjes së mjeteve të duhura për realizimin e tyre. Një kufizim do të konsiderohej në përputhje me standardet e parimit të proporcionalitetit nëse: i) objektivi i ligjvënësit është mjaftueshëm i rëndësishëm për të justifikuar kufizimin e së drejtës; ii) masat e marra janë të lidhura në mënyrë të arsyeshme me objektivin-ato nuk mund të jenë arbitrare, të padrejta, ose të bazuara mbi vlerësime alogjike; iii) mjetet e përdorura nuk janë më të ashpra se sa për të arritur objektivin e kërkuar- sa më të mëdha efektet e dëmshme të masës së përzgjedhur, aq më tepër objektivi për t’u arritur duhet të jetë i rëndësishëm, në mënyrë që masa të justifikohet si e nevojshme (</w:t>
      </w:r>
      <w:r w:rsidRPr="00036C5C">
        <w:rPr>
          <w:i/>
          <w:iCs/>
          <w:lang w:val="sq-AL"/>
        </w:rPr>
        <w:t>perifrazim nga çështjet Marper kundër Mbretërisë së Bashkuar, vendim i datës 4 dhjetor 2008, prg.101-104; Coster kundër Mbretërisë së Bashkuar, vendim i datës 18 janar 2001, prg.106-108, 117-118; Faber kundër Hungarisë, vendim i datës 24 korrik 2012, prg. 28-41; Nada kundër Zvicrës, vendim i datës 12 shtator 2012, prg.185 dhe 191</w:t>
      </w:r>
      <w:r w:rsidRPr="00036C5C">
        <w:rPr>
          <w:lang w:val="sq-AL"/>
        </w:rPr>
        <w:t>).</w:t>
      </w:r>
    </w:p>
    <w:p w:rsidR="00DF4F2C" w:rsidRPr="00036C5C" w:rsidRDefault="00DF4F2C" w:rsidP="00B500A0">
      <w:pPr>
        <w:pStyle w:val="Paragrafi"/>
        <w:rPr>
          <w:lang w:val="sq-AL"/>
        </w:rPr>
      </w:pPr>
      <w:r w:rsidRPr="00036C5C">
        <w:rPr>
          <w:lang w:val="sq-AL"/>
        </w:rPr>
        <w:t xml:space="preserve">30. Duke iu kthyer rastit konkret, në vlerësimin e Gjykatës ligjvënësi ka respektuar ekuilibrin e nevojshëm ndërmjet interesit publik nga njëra anë që synon qëndrueshmërinë e sistemit elektroenergjetik, garantimin për vjeljen e  detyrimeve brenda një afati të arsyeshëm  e për rrjedhojë përmirësimin e cilësisë dhe të aksesit të këtij shërbimi, si dhe nga ana tjetër garantimit të mbrojtjes ligjore të individit, në rast të abuzimit me faturat e energjisë elektrike. Në legjislacionin mbi sektorin e energjisë elektrike ka parashikime të hollësishme mbi trajtimin dhe zgjidhjen e mosmarrëveshjeve  ndërmjet të licencuarve dhe konsumatorëve, duke i dhënë Entit Rregullator të Energjisë Elektrike kompetencën e trajtimit administrativ të ankesave të konsumatorëve, në rast të mosmarrëveshjeve mes furnizuesit dhe konsumatorëve. Po në këtë drejtim mund të theksohet dhe detyrimi i aprovimit të “kontratës tip” të furnizimit me energji elektrike ndërmjet konsumatorëve tarifore dhe furnizuesit, nga ERE, institucion i pavarur mbikëqyrës për ruajtjen e ekuilibrave ndërmjet  interesave të konsumatorëve, shtetit,  investitorëve dhe pjesëmarrësve të tjerë në sektorin e energjisë elektrike. Në këtë kontratë është parashikuar një procedurë e detajuar e verifikimit të ankesave nga furnizuesi, e pezullimit të ekzekutimit të faturës për faturime dukshëm të larta si dhe anulimit tërësisht ose pjesërisht të faturës së energjisë elektrike, në rast se ankimi qëndron, duke garantuar mbrojtje të interesave të konsumatorëve nëpërmjet një procesi administrativ.  </w:t>
      </w:r>
    </w:p>
    <w:p w:rsidR="00DF4F2C" w:rsidRPr="00036C5C" w:rsidRDefault="00DF4F2C" w:rsidP="00B500A0">
      <w:pPr>
        <w:pStyle w:val="Paragrafi"/>
        <w:rPr>
          <w:lang w:val="sq-AL"/>
        </w:rPr>
      </w:pPr>
      <w:r w:rsidRPr="00036C5C">
        <w:rPr>
          <w:lang w:val="sq-AL"/>
        </w:rPr>
        <w:t xml:space="preserve">31. Në vazhdën e argumenteve të mësipërme, Gjykata rithekson se neni 609 i KPC-së i njeh të drejtën debitorit </w:t>
      </w:r>
      <w:r w:rsidRPr="00036C5C">
        <w:rPr>
          <w:i/>
          <w:iCs/>
          <w:lang w:val="sq-AL"/>
        </w:rPr>
        <w:t>“të kërkojë në gjykatën kompetente të vendit të ekzekutimit që të deklarohet se titulli ekzekutiv është i pavlefshëm, ose se detyrimi nuk ekziston, ose ekziston në një masë më të vogël ose është shuar më pas”</w:t>
      </w:r>
      <w:r w:rsidRPr="00036C5C">
        <w:rPr>
          <w:lang w:val="sq-AL"/>
        </w:rPr>
        <w:t xml:space="preserve"> (vendimi </w:t>
      </w:r>
      <w:r w:rsidRPr="00036C5C">
        <w:rPr>
          <w:i/>
          <w:iCs/>
          <w:lang w:val="sq-AL"/>
        </w:rPr>
        <w:t>i Gjykatës Kushtetuese nr.39, datë 16.10.2007</w:t>
      </w:r>
      <w:r w:rsidRPr="00036C5C">
        <w:rPr>
          <w:lang w:val="sq-AL"/>
        </w:rPr>
        <w:t xml:space="preserve">). Për rrjedhojë, procedura e lëshimit të urdhrit të ekzekutimit, bazuar në ligjin për atribuimin e faturave të energjisë elektrike si titull ekzekutiv, nuk është procedurë e pakthyeshme, sepse debitorit i aksesohet e drejta e ngritjes së kërkesë-padisë në gjykatë, bazuar në nenin 609 të KPC-së, duke iu garantuar një proces gjyqësor i plotë dhe i gjithanshëm, njësoj si me çdo padi themeli. </w:t>
      </w:r>
    </w:p>
    <w:p w:rsidR="00DF4F2C" w:rsidRPr="00036C5C" w:rsidRDefault="00DF4F2C" w:rsidP="00B500A0">
      <w:pPr>
        <w:pStyle w:val="Paragrafi"/>
        <w:rPr>
          <w:lang w:val="sq-AL"/>
        </w:rPr>
      </w:pPr>
      <w:r w:rsidRPr="00036C5C">
        <w:rPr>
          <w:lang w:val="sq-AL"/>
        </w:rPr>
        <w:t xml:space="preserve">32. Gjithashtu, Gjykata vëren se metoda e përzgjedhur nga ligjvënësi nëpërmjet cilësimit si titull ekzekutiv të akteve të ndryshme, nuk është zbatuar vetëm në sektorin e energjisë elektrike, por ndeshet dhe në fusha të tjera. Kjo nuk tregon se atribuimi si titull ekzekutiv i faturës së energjisë </w:t>
      </w:r>
      <w:r w:rsidRPr="00036C5C">
        <w:rPr>
          <w:lang w:val="sq-AL"/>
        </w:rPr>
        <w:lastRenderedPageBreak/>
        <w:t xml:space="preserve">elektrike është forma e vetme për të arritur qëllimin e kërkuar, por tregon se ligjvënësi këtë formë të atribuimit si titull ekzekutiv të një akti e ka konceptuar si të domosdoshme dhe efektive, në  disa sektorë me problematika sociale, ekonomike apo dhe fushat me interes të përgjithshëm, të cilat e justifikojnë deri në një farë mase ndërhyrjen nga ana e tij. Në rast se procedura e mbledhjes së të ardhurave nga konsumi i energjisë elektrike nuk do të ishte efektive, sistemi energjetik do të kishte pasoja negative jo vetëm mbi konsumatorët debitorë, por edhe konsumatorë të tjerë tepër të rëndësishëm, si spitalet, shkollat, burgjet, etj. Pagimi, në kohë të arsyeshme, i faturës së konsumit të energjisë elektrike nga ana e konsumatorëve tariforë paraqet domosdoshmëri edhe për shkak të mosakumulimit të “borxhit të keq”, i cili ndikon në mënyrë të drejtpërdrejtë në rritjen e nivelit të tarifës për konsumatorët tariforë të energjisë elektrike. </w:t>
      </w:r>
    </w:p>
    <w:p w:rsidR="00DF4F2C" w:rsidRPr="00036C5C" w:rsidRDefault="00DF4F2C" w:rsidP="00B500A0">
      <w:pPr>
        <w:pStyle w:val="Paragrafi"/>
        <w:rPr>
          <w:lang w:val="sq-AL"/>
        </w:rPr>
      </w:pPr>
      <w:r w:rsidRPr="00036C5C">
        <w:rPr>
          <w:lang w:val="sq-AL"/>
        </w:rPr>
        <w:t>33. Nën dritën e këtyre konsideratave, Gjykata vlerëson se metoda e përzgjedhur nga ligjvënësi, sipas së cilës fatura e energjisë elektrike përbën titull ekzekutiv, ekuilibron interesat e vëna në diskutim, si dhe është diktuar nga domosdoshmëria dhe efektshmëria për të realizuar shlyerjen e detyrimeve financiare të energjisë elektrike nga konsumatorët, brenda një afati kohor të arsyeshëm. Për rrjedhojë, ky ligj përmbush standardet e kërkuara nga neni 17 i Kushtetutës.</w:t>
      </w:r>
    </w:p>
    <w:p w:rsidR="00DF4F2C" w:rsidRPr="00036C5C" w:rsidRDefault="00DF4F2C" w:rsidP="00B500A0">
      <w:pPr>
        <w:pStyle w:val="Paragrafi"/>
        <w:rPr>
          <w:lang w:val="sq-AL"/>
        </w:rPr>
      </w:pPr>
    </w:p>
    <w:p w:rsidR="00DF4F2C" w:rsidRPr="00036C5C" w:rsidRDefault="00DF4F2C" w:rsidP="00B500A0">
      <w:pPr>
        <w:pStyle w:val="Paragrafi"/>
        <w:rPr>
          <w:b/>
          <w:bCs/>
          <w:i/>
          <w:iCs/>
          <w:lang w:val="sq-AL"/>
        </w:rPr>
      </w:pPr>
      <w:bookmarkStart w:id="24" w:name="_Toc328039695"/>
      <w:r w:rsidRPr="00036C5C">
        <w:rPr>
          <w:b/>
          <w:bCs/>
          <w:i/>
          <w:iCs/>
          <w:lang w:val="sq-AL"/>
        </w:rPr>
        <w:t>B. Për pretendimin mbi cenimin e barazisë së palëve</w:t>
      </w:r>
      <w:bookmarkEnd w:id="24"/>
      <w:r w:rsidRPr="00036C5C">
        <w:rPr>
          <w:b/>
          <w:bCs/>
          <w:i/>
          <w:iCs/>
          <w:lang w:val="sq-AL"/>
        </w:rPr>
        <w:t xml:space="preserve"> në kundërshtim me nenin 18 të Kushtetutës </w:t>
      </w:r>
      <w:bookmarkStart w:id="25" w:name="_Toc328039696"/>
      <w:bookmarkStart w:id="26" w:name="_Toc327864868"/>
    </w:p>
    <w:p w:rsidR="00DF4F2C" w:rsidRPr="00036C5C" w:rsidRDefault="00DF4F2C" w:rsidP="00B500A0">
      <w:pPr>
        <w:pStyle w:val="Paragrafi"/>
        <w:rPr>
          <w:lang w:val="sq-AL"/>
        </w:rPr>
      </w:pPr>
      <w:r w:rsidRPr="00036C5C">
        <w:rPr>
          <w:lang w:val="sq-AL"/>
        </w:rPr>
        <w:t xml:space="preserve">34. </w:t>
      </w:r>
      <w:bookmarkEnd w:id="25"/>
      <w:r w:rsidRPr="00036C5C">
        <w:rPr>
          <w:lang w:val="sq-AL"/>
        </w:rPr>
        <w:t xml:space="preserve">Gjykata referuese pretendon se ligji për atribuimin e faturës së energjisë elektrike si titull ekzekutiv, është diskriminues, sepse kontrata mes CEZ sh.a. dhe abonentit është kontratë individuale mes dy subjekteve të barabarta prandaj dhe çdo konflikt duhet zgjidhur me padi themeli në gjykatë. Po sipas kësaj gjykate, neni 510/e i KPC-së konsideron tituj ekzekutivë, vetëm ato akte të cilat i përkasin sferës publike dhe jo akteve të lëshuara nga entitete të organizuara në formë shoqërie tregtare, sikundër është lëshimi i faturës së energjisë elektrike nga CEZ sh.a.  </w:t>
      </w:r>
      <w:bookmarkStart w:id="27" w:name="_Toc328039707"/>
    </w:p>
    <w:p w:rsidR="00DF4F2C" w:rsidRPr="00036C5C" w:rsidRDefault="00DF4F2C" w:rsidP="00B500A0">
      <w:pPr>
        <w:pStyle w:val="Paragrafi"/>
        <w:rPr>
          <w:lang w:val="sq-AL"/>
        </w:rPr>
      </w:pPr>
      <w:r w:rsidRPr="00036C5C">
        <w:rPr>
          <w:lang w:val="sq-AL"/>
        </w:rPr>
        <w:t>35. Gjykata, nëpërmjet jurisprudencës së saj, në disa vendime ka interpretuar nenin 18 të Kushtetutës, duke u shprehur se: “Barazia në ligj dhe para ligjit nuk do të thotë që të ketë zgjidhje të njëllojta për individë ose kategori personash që janë në kushte objektivisht të ndryshme. Barazia para ligjit dhe në ligj presupozon barazinë e individëve që janë në kushte të barabarta” si dhe “Vetëm në raste përjashtimore dhe për shkaqe të arsyeshme e objektive mund të përligjet trajtim i ndryshëm i kategorive të caktuara që përfitojnë nga kjo e drejtë”. (...) “Barazia në ligj dhe para ligjit kërkon që të gjitha subjektet të trajtohen në mënyrë të njëjtë, por nuk parakupton zgjidhje të njëllojta për individë apo kategori subjektesh të cilët ndodhen në kushte objektivisht të ndryshme” (</w:t>
      </w:r>
      <w:r w:rsidRPr="00036C5C">
        <w:rPr>
          <w:i/>
          <w:iCs/>
          <w:lang w:val="sq-AL"/>
        </w:rPr>
        <w:t>vendimi nr.34, datë 20.12.2005; vendimi nr.39, datë 16.10.2007 i Gjykatës Kushtetuese</w:t>
      </w:r>
      <w:r w:rsidRPr="00036C5C">
        <w:rPr>
          <w:lang w:val="sq-AL"/>
        </w:rPr>
        <w:t>).</w:t>
      </w:r>
    </w:p>
    <w:p w:rsidR="00DF4F2C" w:rsidRPr="00036C5C" w:rsidRDefault="00DF4F2C" w:rsidP="00B500A0">
      <w:pPr>
        <w:pStyle w:val="Paragrafi"/>
        <w:rPr>
          <w:lang w:val="sq-AL"/>
        </w:rPr>
      </w:pPr>
      <w:r w:rsidRPr="00036C5C">
        <w:rPr>
          <w:lang w:val="sq-AL"/>
        </w:rPr>
        <w:t xml:space="preserve">36. </w:t>
      </w:r>
      <w:bookmarkEnd w:id="26"/>
      <w:bookmarkEnd w:id="27"/>
      <w:r w:rsidRPr="00036C5C">
        <w:rPr>
          <w:lang w:val="sq-AL"/>
        </w:rPr>
        <w:t xml:space="preserve">Gjykata vlerëson se kontrata e furnizimit me energji elektrike mes dy palëve, njëra me cilësinë e furnizuesit dhe tjetra me cilësinë e blerësit, edhe pse mes dy subjekteve kontraktuale private, nuk sjell vetëm pasoja ndërmjet palëve. Pagimi i detyrimeve kontraktuale financiare ndaj CEZ SHA, për konsumin e energjisë elektrike, ndihmon stabilitetin financiar të kësaj shoqërie dhe, për rrjedhojë, dhe funksionimin sa më të mirë të sistemit elektroenergjetik, i cili për nga rëndësia është jetik për funksionimin normal të shoqërisë. Sipas Gjykatës, sikundër argumentoi dhe më lart, </w:t>
      </w:r>
      <w:r w:rsidRPr="00036C5C">
        <w:rPr>
          <w:i/>
          <w:iCs/>
          <w:lang w:val="sq-AL"/>
        </w:rPr>
        <w:t>(supra, prg.25</w:t>
      </w:r>
      <w:r w:rsidRPr="00036C5C">
        <w:rPr>
          <w:lang w:val="sq-AL"/>
        </w:rPr>
        <w:t xml:space="preserve">), kjo kontratë tenton edhe realizimin dhe ndjekjen e një qëllimi publik/interesi të përgjithshëm. Nga kjo pikëpamje, në kontratën e furnizimit me energji elektrike, jemi para subjekteve në pozita objektivisht të ndryshme, prandaj dhe Gjykata çmon se kushtetutshmëria e ligjit nuk duhet kontrolluar në drejtim të cenimit të parimit të barazisë. </w:t>
      </w:r>
    </w:p>
    <w:p w:rsidR="00DF4F2C" w:rsidRPr="00036C5C" w:rsidRDefault="00DF4F2C" w:rsidP="00B500A0">
      <w:pPr>
        <w:pStyle w:val="Paragrafi"/>
        <w:rPr>
          <w:lang w:val="sq-AL"/>
        </w:rPr>
      </w:pPr>
    </w:p>
    <w:p w:rsidR="00DF4F2C" w:rsidRPr="00036C5C" w:rsidRDefault="00DF4F2C" w:rsidP="00B500A0">
      <w:pPr>
        <w:pStyle w:val="Paragrafi"/>
        <w:rPr>
          <w:b/>
          <w:bCs/>
          <w:i/>
          <w:iCs/>
          <w:lang w:val="sq-AL"/>
        </w:rPr>
      </w:pPr>
      <w:bookmarkStart w:id="28" w:name="_Toc328039708"/>
      <w:r w:rsidRPr="00036C5C">
        <w:rPr>
          <w:b/>
          <w:bCs/>
          <w:i/>
          <w:iCs/>
          <w:lang w:val="sq-AL"/>
        </w:rPr>
        <w:t>C.  Për pretendimin  mbi cenimin e parimit të sigurisë juridike</w:t>
      </w:r>
      <w:bookmarkEnd w:id="28"/>
    </w:p>
    <w:p w:rsidR="00DF4F2C" w:rsidRPr="00036C5C" w:rsidRDefault="00DF4F2C" w:rsidP="00B500A0">
      <w:pPr>
        <w:pStyle w:val="Paragrafi"/>
        <w:rPr>
          <w:lang w:val="sq-AL"/>
        </w:rPr>
      </w:pPr>
      <w:r w:rsidRPr="00036C5C">
        <w:rPr>
          <w:lang w:val="sq-AL"/>
        </w:rPr>
        <w:t xml:space="preserve">37. Gjykata referuese pretendon se ligji vjen në kundërshtim me parimin e shtetit të së drejtës dhe me parimin e sigurisë juridike. Në çështjet civile, me objekt lëshimin e urdhrit të ekzekutimit për faturat e energjisë elektrike, janë konstatuar praktika të ndryshme të gjykatave, lidhur me faktin se kamatëvonesat janë tituj ekzekutivë, si pjesë përbërëse e faturës së energjisë </w:t>
      </w:r>
      <w:r w:rsidRPr="00036C5C">
        <w:rPr>
          <w:lang w:val="sq-AL"/>
        </w:rPr>
        <w:lastRenderedPageBreak/>
        <w:t>elektrike. Kjo situatë vjen si pasojë e paqartësisë dhe mungesës së parashikimeve tekstuale ligjore. Ligjit i mungon përcaktimi i elementeve përbërëse të faturës së energjisë elektrike, si dhe momenti se kur fatura bëhet titull ekzekutiv. Në këtë kontekst, mund të merrnin cilësinë e titullit ekzekutiv dhe detyrime të cilat nuk kanë qenë në qëllimin e ligjvënësit. Një pasojë e tillë do të ishte e rrezikshme për të drejtat e individëve, duke cenuar dhe parimin e sigurisë juridike.</w:t>
      </w:r>
    </w:p>
    <w:p w:rsidR="00DF4F2C" w:rsidRPr="00036C5C" w:rsidRDefault="00DF4F2C" w:rsidP="00B500A0">
      <w:pPr>
        <w:pStyle w:val="Paragrafi"/>
        <w:rPr>
          <w:lang w:val="sq-AL"/>
        </w:rPr>
      </w:pPr>
      <w:r w:rsidRPr="00036C5C">
        <w:rPr>
          <w:lang w:val="sq-AL"/>
        </w:rPr>
        <w:t>38. Gjykata ka theksuar se në vlerësimin e kushtetutshmërisë së ligjeve, ajo niset nga prezumimi i pajtueshmërisë së tyre me Kushtetutën. Kjo do të thotë se, lidhur me jokushtetutshmërinë e pretenduar, duhet të parashtrohen argumente bindëse, për t’i dhënë mundësi Gjykatës Kushtetuese të vlerësojë nëse zgjidhjet ligjore të zbatuara shkelin normat dhe vlerat kushtetuese (</w:t>
      </w:r>
      <w:r w:rsidRPr="00036C5C">
        <w:rPr>
          <w:i/>
          <w:iCs/>
          <w:lang w:val="sq-AL"/>
        </w:rPr>
        <w:t>vendimi i Gjykatës Kushtetuese nr.16, datë 25.07.2008</w:t>
      </w:r>
      <w:r w:rsidRPr="00036C5C">
        <w:rPr>
          <w:lang w:val="sq-AL"/>
        </w:rPr>
        <w:t xml:space="preserve">). </w:t>
      </w:r>
    </w:p>
    <w:p w:rsidR="00DF4F2C" w:rsidRPr="00036C5C" w:rsidRDefault="00DF4F2C" w:rsidP="00B500A0">
      <w:pPr>
        <w:pStyle w:val="Paragrafi"/>
        <w:rPr>
          <w:lang w:val="sq-AL"/>
        </w:rPr>
      </w:pPr>
      <w:r w:rsidRPr="00036C5C">
        <w:rPr>
          <w:lang w:val="sq-AL"/>
        </w:rPr>
        <w:t xml:space="preserve">39. Gjykata vlerëson se pretendimet e parashtruara për cenimin e sigurisë juridike nëpërmjet trajtimit të faturës së konsumit të energjisë elektrike si titull ekzekutiv, nuk janë të mjaftueshme për t’i konsideruar në nivel kushtetues. </w:t>
      </w:r>
    </w:p>
    <w:p w:rsidR="00DF4F2C" w:rsidRPr="00036C5C" w:rsidRDefault="00DF4F2C" w:rsidP="00B500A0">
      <w:pPr>
        <w:pStyle w:val="Paragrafi"/>
        <w:rPr>
          <w:lang w:val="sq-AL"/>
        </w:rPr>
      </w:pPr>
      <w:r w:rsidRPr="00036C5C">
        <w:rPr>
          <w:lang w:val="sq-AL"/>
        </w:rPr>
        <w:t>40. Gjykata, bazuar në analizën në tërësi të pretendimeve të Gjykatës së Rrethit Gjyqësor Vlorë, arrin në përfundimin se ligji për trajtimin si titull ekzekutiv të faturës së konsumit të energjisë elektrike, nuk bie në kundërshtim me kërkesat e neneve 42, dhe 17 të Kushtetutës. Për këtë arsye, kërkesa për vlerësimin e ligjit objekt shqyrtimi, si të papajtueshëm me Kushtetutën, është e pabazuar dhe për rrjedhojë duhet rrëzuar.</w:t>
      </w:r>
    </w:p>
    <w:p w:rsidR="00DF4F2C" w:rsidRPr="007D7C24" w:rsidRDefault="00DF4F2C" w:rsidP="00644C11">
      <w:pPr>
        <w:pStyle w:val="VENDOSI"/>
        <w:rPr>
          <w:rFonts w:cs="Times New Roman"/>
          <w:sz w:val="12"/>
          <w:lang w:val="sq-AL"/>
        </w:rPr>
      </w:pPr>
    </w:p>
    <w:p w:rsidR="00DF4F2C" w:rsidRPr="00036C5C" w:rsidRDefault="00DF4F2C" w:rsidP="00644C11">
      <w:pPr>
        <w:pStyle w:val="VENDOSI"/>
        <w:rPr>
          <w:lang w:val="sq-AL"/>
        </w:rPr>
      </w:pPr>
      <w:r w:rsidRPr="00036C5C">
        <w:rPr>
          <w:lang w:val="sq-AL"/>
        </w:rPr>
        <w:t>PËR KËTO ARSYE,</w:t>
      </w:r>
    </w:p>
    <w:p w:rsidR="00DF4F2C" w:rsidRPr="007D7C24" w:rsidRDefault="00DF4F2C" w:rsidP="00644C11">
      <w:pPr>
        <w:rPr>
          <w:sz w:val="18"/>
        </w:rPr>
      </w:pPr>
    </w:p>
    <w:p w:rsidR="00DF4F2C" w:rsidRPr="00036C5C" w:rsidRDefault="00DF4F2C" w:rsidP="00B500A0">
      <w:pPr>
        <w:pStyle w:val="Paragrafi"/>
        <w:rPr>
          <w:lang w:val="sq-AL"/>
        </w:rPr>
      </w:pPr>
      <w:r w:rsidRPr="00036C5C">
        <w:rPr>
          <w:lang w:val="sq-AL"/>
        </w:rPr>
        <w:t>Gjykata Kushtetuese e Republikës së Shqipërisë, në mbështetje të nenit 145/2 të Kushtetutës dhe nenit 72 të ligjit nr.8577, datë 10.02.2000 “Për organizimin dhe funksionimin e Gjykatës Kushtetuese të Republikës së Shqipërisë”, njëzëri,</w:t>
      </w:r>
    </w:p>
    <w:p w:rsidR="00344651" w:rsidRPr="007D7C24" w:rsidRDefault="00344651" w:rsidP="00344651">
      <w:pPr>
        <w:pStyle w:val="VENDOSI"/>
        <w:keepNext w:val="0"/>
        <w:rPr>
          <w:sz w:val="16"/>
          <w:lang w:val="sq-AL"/>
        </w:rPr>
      </w:pPr>
    </w:p>
    <w:p w:rsidR="00DF4F2C" w:rsidRPr="00036C5C" w:rsidRDefault="00DF4F2C" w:rsidP="00644C11">
      <w:pPr>
        <w:pStyle w:val="VENDOSI"/>
        <w:rPr>
          <w:lang w:val="sq-AL"/>
        </w:rPr>
      </w:pPr>
      <w:r w:rsidRPr="00036C5C">
        <w:rPr>
          <w:lang w:val="sq-AL"/>
        </w:rPr>
        <w:t>VENDOSI:</w:t>
      </w:r>
    </w:p>
    <w:p w:rsidR="00DF4F2C" w:rsidRPr="007D7C24" w:rsidRDefault="00DF4F2C" w:rsidP="00B500A0">
      <w:pPr>
        <w:pStyle w:val="Paragrafi"/>
        <w:rPr>
          <w:rFonts w:cs="Times New Roman"/>
          <w:sz w:val="14"/>
          <w:lang w:val="sq-AL"/>
        </w:rPr>
      </w:pPr>
    </w:p>
    <w:p w:rsidR="00DF4F2C" w:rsidRPr="00036C5C" w:rsidRDefault="00DF4F2C" w:rsidP="00B500A0">
      <w:pPr>
        <w:pStyle w:val="Paragrafi"/>
        <w:rPr>
          <w:lang w:val="sq-AL"/>
        </w:rPr>
      </w:pPr>
      <w:r w:rsidRPr="00036C5C">
        <w:rPr>
          <w:lang w:val="sq-AL"/>
        </w:rPr>
        <w:t>-  Rrëzimin e kërkesës.</w:t>
      </w:r>
    </w:p>
    <w:p w:rsidR="00DF4F2C" w:rsidRPr="00036C5C" w:rsidRDefault="00DF4F2C" w:rsidP="00B500A0">
      <w:pPr>
        <w:pStyle w:val="Paragrafi"/>
        <w:rPr>
          <w:lang w:val="sq-AL"/>
        </w:rPr>
      </w:pPr>
      <w:r w:rsidRPr="00036C5C">
        <w:rPr>
          <w:lang w:val="sq-AL"/>
        </w:rPr>
        <w:t>Ky vendim është përfundimtar, i formës së prerë dhe hyn në fuqi ditën e  botimit në Fletoren Zyrtare.</w:t>
      </w:r>
    </w:p>
    <w:p w:rsidR="00DF4F2C" w:rsidRPr="007D7C24" w:rsidRDefault="00DF4F2C" w:rsidP="00B500A0">
      <w:pPr>
        <w:pStyle w:val="Paragrafi"/>
        <w:rPr>
          <w:sz w:val="14"/>
          <w:lang w:val="sq-AL"/>
        </w:rPr>
      </w:pPr>
    </w:p>
    <w:p w:rsidR="00DF4F2C" w:rsidRPr="00036C5C" w:rsidRDefault="00DF4F2C" w:rsidP="00B500A0">
      <w:pPr>
        <w:pStyle w:val="Paragrafi"/>
        <w:rPr>
          <w:lang w:val="sq-AL"/>
        </w:rPr>
      </w:pPr>
      <w:r w:rsidRPr="00036C5C">
        <w:rPr>
          <w:lang w:val="sq-AL"/>
        </w:rPr>
        <w:t>Anëtarë: Bashkim Dedja (kryetar), Xhezair Zaganjori, Vladimir Kristo, Altina Xhoxhaj, Sokol Berberi, Vitore Tusha, Fatmir Hoxha, Admir Thanza.</w:t>
      </w:r>
    </w:p>
    <w:p w:rsidR="00DF4F2C" w:rsidRPr="00036C5C" w:rsidRDefault="00DF4F2C" w:rsidP="00B500A0">
      <w:pPr>
        <w:pStyle w:val="Paragrafi"/>
        <w:rPr>
          <w:lang w:val="sq-AL"/>
        </w:rPr>
      </w:pPr>
    </w:p>
    <w:p w:rsidR="00DF4F2C" w:rsidRPr="00036C5C" w:rsidRDefault="00DF4F2C" w:rsidP="00B500A0">
      <w:pPr>
        <w:pStyle w:val="Paragrafi"/>
        <w:rPr>
          <w:lang w:val="sq-AL"/>
        </w:rPr>
      </w:pPr>
    </w:p>
    <w:p w:rsidR="00DF4F2C" w:rsidRPr="00036C5C" w:rsidRDefault="00DF4F2C" w:rsidP="0073315A">
      <w:pPr>
        <w:pStyle w:val="Akti"/>
        <w:rPr>
          <w:lang w:val="sq-AL"/>
        </w:rPr>
      </w:pPr>
      <w:r w:rsidRPr="00036C5C">
        <w:rPr>
          <w:lang w:val="sq-AL"/>
        </w:rPr>
        <w:t>VENDIM</w:t>
      </w:r>
    </w:p>
    <w:p w:rsidR="00DF4F2C" w:rsidRPr="00036C5C" w:rsidRDefault="00DF4F2C" w:rsidP="0073315A">
      <w:pPr>
        <w:pStyle w:val="Numri"/>
        <w:rPr>
          <w:lang w:val="sq-AL"/>
        </w:rPr>
      </w:pPr>
      <w:r w:rsidRPr="00036C5C">
        <w:rPr>
          <w:lang w:val="sq-AL"/>
        </w:rPr>
        <w:t>Nr. 53, datë 5.12.2012</w:t>
      </w:r>
    </w:p>
    <w:p w:rsidR="00DF4F2C" w:rsidRPr="00036C5C" w:rsidRDefault="00DF4F2C" w:rsidP="008B209A">
      <w:pPr>
        <w:pStyle w:val="Paragrafi"/>
        <w:rPr>
          <w:rFonts w:cs="Times New Roman"/>
          <w:lang w:val="sq-AL"/>
        </w:rPr>
      </w:pPr>
    </w:p>
    <w:p w:rsidR="00DF4F2C" w:rsidRPr="00036C5C" w:rsidRDefault="00DF4F2C" w:rsidP="0073315A">
      <w:pPr>
        <w:pStyle w:val="Titulli"/>
        <w:rPr>
          <w:lang w:val="sq-AL"/>
        </w:rPr>
      </w:pPr>
      <w:r w:rsidRPr="00036C5C">
        <w:rPr>
          <w:lang w:val="sq-AL"/>
        </w:rPr>
        <w:t>NË EMËR TË REPUBLIKËS SË SHQIPËRISË</w:t>
      </w:r>
    </w:p>
    <w:p w:rsidR="00DF4F2C" w:rsidRPr="00036C5C" w:rsidRDefault="00DF4F2C" w:rsidP="008B209A">
      <w:pPr>
        <w:pStyle w:val="Paragrafi"/>
        <w:rPr>
          <w:rFonts w:cs="Times New Roman"/>
          <w:lang w:val="sq-AL"/>
        </w:rPr>
      </w:pPr>
    </w:p>
    <w:p w:rsidR="00DF4F2C" w:rsidRPr="00036C5C" w:rsidRDefault="00DF4F2C" w:rsidP="008B209A">
      <w:pPr>
        <w:pStyle w:val="Paragrafi"/>
        <w:rPr>
          <w:lang w:val="sq-AL"/>
        </w:rPr>
      </w:pPr>
      <w:r w:rsidRPr="00036C5C">
        <w:rPr>
          <w:lang w:val="sq-AL"/>
        </w:rPr>
        <w:t>Gjykata Kushtetuese e Republikës së Shqipërisë, e përbërë nga:</w:t>
      </w:r>
    </w:p>
    <w:p w:rsidR="00DF4F2C" w:rsidRPr="00036C5C" w:rsidRDefault="00DF4F2C" w:rsidP="008B209A">
      <w:pPr>
        <w:pStyle w:val="Paragrafi"/>
        <w:rPr>
          <w:lang w:val="sq-AL"/>
        </w:rPr>
      </w:pPr>
      <w:r w:rsidRPr="00036C5C">
        <w:rPr>
          <w:lang w:val="sq-AL"/>
        </w:rPr>
        <w:t>Vladimir Kristo</w:t>
      </w:r>
      <w:r w:rsidRPr="00036C5C">
        <w:rPr>
          <w:lang w:val="sq-AL"/>
        </w:rPr>
        <w:tab/>
      </w:r>
      <w:r w:rsidRPr="00036C5C">
        <w:rPr>
          <w:lang w:val="sq-AL"/>
        </w:rPr>
        <w:tab/>
        <w:t xml:space="preserve">Anëtar  i Gjykatës Kushtetuese </w:t>
      </w:r>
    </w:p>
    <w:p w:rsidR="00DF4F2C" w:rsidRPr="00036C5C" w:rsidRDefault="00DF4F2C" w:rsidP="008B209A">
      <w:pPr>
        <w:pStyle w:val="Paragrafi"/>
        <w:rPr>
          <w:lang w:val="sq-AL"/>
        </w:rPr>
      </w:pPr>
      <w:r w:rsidRPr="00036C5C">
        <w:rPr>
          <w:lang w:val="sq-AL"/>
        </w:rPr>
        <w:t>Xhezair Zaganjori</w:t>
      </w:r>
      <w:r w:rsidRPr="00036C5C">
        <w:rPr>
          <w:lang w:val="sq-AL"/>
        </w:rPr>
        <w:tab/>
        <w:t>Anëtar  i</w:t>
      </w:r>
      <w:r w:rsidRPr="00036C5C">
        <w:rPr>
          <w:lang w:val="sq-AL"/>
        </w:rPr>
        <w:tab/>
        <w:t>“</w:t>
      </w:r>
      <w:r w:rsidRPr="00036C5C">
        <w:rPr>
          <w:lang w:val="sq-AL"/>
        </w:rPr>
        <w:tab/>
        <w:t>“</w:t>
      </w:r>
    </w:p>
    <w:p w:rsidR="00DF4F2C" w:rsidRPr="00036C5C" w:rsidRDefault="00DF4F2C" w:rsidP="008B209A">
      <w:pPr>
        <w:pStyle w:val="Paragrafi"/>
        <w:rPr>
          <w:lang w:val="sq-AL"/>
        </w:rPr>
      </w:pPr>
      <w:r w:rsidRPr="00036C5C">
        <w:rPr>
          <w:lang w:val="sq-AL"/>
        </w:rPr>
        <w:t>Vitore Tusha</w:t>
      </w:r>
      <w:r w:rsidRPr="00036C5C">
        <w:rPr>
          <w:lang w:val="sq-AL"/>
        </w:rPr>
        <w:tab/>
      </w:r>
      <w:r w:rsidRPr="00036C5C">
        <w:rPr>
          <w:lang w:val="sq-AL"/>
        </w:rPr>
        <w:tab/>
        <w:t>Anëtare e</w:t>
      </w:r>
      <w:r w:rsidRPr="00036C5C">
        <w:rPr>
          <w:lang w:val="sq-AL"/>
        </w:rPr>
        <w:tab/>
        <w:t>“</w:t>
      </w:r>
      <w:r w:rsidRPr="00036C5C">
        <w:rPr>
          <w:lang w:val="sq-AL"/>
        </w:rPr>
        <w:tab/>
        <w:t>“</w:t>
      </w:r>
      <w:r w:rsidRPr="00036C5C">
        <w:rPr>
          <w:lang w:val="sq-AL"/>
        </w:rPr>
        <w:tab/>
      </w:r>
    </w:p>
    <w:p w:rsidR="00DF4F2C" w:rsidRPr="00036C5C" w:rsidRDefault="00DF4F2C" w:rsidP="008B209A">
      <w:pPr>
        <w:pStyle w:val="Paragrafi"/>
        <w:rPr>
          <w:lang w:val="sq-AL"/>
        </w:rPr>
      </w:pPr>
      <w:r w:rsidRPr="00036C5C">
        <w:rPr>
          <w:lang w:val="sq-AL"/>
        </w:rPr>
        <w:t>Sokol Berberi</w:t>
      </w:r>
      <w:r w:rsidRPr="00036C5C">
        <w:rPr>
          <w:lang w:val="sq-AL"/>
        </w:rPr>
        <w:tab/>
      </w:r>
      <w:r w:rsidRPr="00036C5C">
        <w:rPr>
          <w:lang w:val="sq-AL"/>
        </w:rPr>
        <w:tab/>
        <w:t>Anëtar  i</w:t>
      </w:r>
      <w:r w:rsidRPr="00036C5C">
        <w:rPr>
          <w:lang w:val="sq-AL"/>
        </w:rPr>
        <w:tab/>
        <w:t>“</w:t>
      </w:r>
      <w:r w:rsidRPr="00036C5C">
        <w:rPr>
          <w:lang w:val="sq-AL"/>
        </w:rPr>
        <w:tab/>
        <w:t>“</w:t>
      </w:r>
    </w:p>
    <w:p w:rsidR="00DF4F2C" w:rsidRPr="00036C5C" w:rsidRDefault="00DF4F2C" w:rsidP="008B209A">
      <w:pPr>
        <w:pStyle w:val="Paragrafi"/>
        <w:rPr>
          <w:lang w:val="sq-AL"/>
        </w:rPr>
      </w:pPr>
      <w:r w:rsidRPr="00036C5C">
        <w:rPr>
          <w:lang w:val="sq-AL"/>
        </w:rPr>
        <w:t xml:space="preserve">Fatmir Hoxha </w:t>
      </w:r>
      <w:r w:rsidRPr="00036C5C">
        <w:rPr>
          <w:lang w:val="sq-AL"/>
        </w:rPr>
        <w:tab/>
      </w:r>
      <w:r w:rsidRPr="00036C5C">
        <w:rPr>
          <w:lang w:val="sq-AL"/>
        </w:rPr>
        <w:tab/>
        <w:t xml:space="preserve">Anëtar i </w:t>
      </w:r>
      <w:r w:rsidRPr="00036C5C">
        <w:rPr>
          <w:lang w:val="sq-AL"/>
        </w:rPr>
        <w:tab/>
        <w:t>“</w:t>
      </w:r>
      <w:r w:rsidRPr="00036C5C">
        <w:rPr>
          <w:lang w:val="sq-AL"/>
        </w:rPr>
        <w:tab/>
        <w:t>“</w:t>
      </w:r>
    </w:p>
    <w:p w:rsidR="00DF4F2C" w:rsidRPr="00036C5C" w:rsidRDefault="00DF4F2C" w:rsidP="008B209A">
      <w:pPr>
        <w:pStyle w:val="Paragrafi"/>
        <w:rPr>
          <w:lang w:val="sq-AL"/>
        </w:rPr>
      </w:pPr>
      <w:r w:rsidRPr="00036C5C">
        <w:rPr>
          <w:lang w:val="sq-AL"/>
        </w:rPr>
        <w:t>Admir Thanza</w:t>
      </w:r>
      <w:r w:rsidRPr="00036C5C">
        <w:rPr>
          <w:lang w:val="sq-AL"/>
        </w:rPr>
        <w:tab/>
      </w:r>
      <w:r w:rsidRPr="00036C5C">
        <w:rPr>
          <w:lang w:val="sq-AL"/>
        </w:rPr>
        <w:tab/>
        <w:t>Anëtar  i</w:t>
      </w:r>
      <w:r w:rsidRPr="00036C5C">
        <w:rPr>
          <w:lang w:val="sq-AL"/>
        </w:rPr>
        <w:tab/>
        <w:t>“</w:t>
      </w:r>
      <w:r w:rsidRPr="00036C5C">
        <w:rPr>
          <w:lang w:val="sq-AL"/>
        </w:rPr>
        <w:tab/>
        <w:t>“</w:t>
      </w:r>
    </w:p>
    <w:p w:rsidR="00DF4F2C" w:rsidRPr="00036C5C" w:rsidRDefault="00DF4F2C" w:rsidP="008B209A">
      <w:pPr>
        <w:pStyle w:val="Paragrafi"/>
        <w:rPr>
          <w:lang w:val="sq-AL"/>
        </w:rPr>
      </w:pPr>
      <w:r w:rsidRPr="00036C5C">
        <w:rPr>
          <w:lang w:val="sq-AL"/>
        </w:rPr>
        <w:t xml:space="preserve">Altina Xhoxhaj </w:t>
      </w:r>
      <w:r w:rsidRPr="00036C5C">
        <w:rPr>
          <w:lang w:val="sq-AL"/>
        </w:rPr>
        <w:tab/>
      </w:r>
      <w:r w:rsidRPr="00036C5C">
        <w:rPr>
          <w:lang w:val="sq-AL"/>
        </w:rPr>
        <w:tab/>
        <w:t xml:space="preserve">Anëtare e </w:t>
      </w:r>
      <w:r w:rsidRPr="00036C5C">
        <w:rPr>
          <w:lang w:val="sq-AL"/>
        </w:rPr>
        <w:tab/>
        <w:t>“</w:t>
      </w:r>
      <w:r w:rsidRPr="00036C5C">
        <w:rPr>
          <w:lang w:val="sq-AL"/>
        </w:rPr>
        <w:tab/>
        <w:t>“</w:t>
      </w:r>
    </w:p>
    <w:p w:rsidR="00DF4F2C" w:rsidRPr="00036C5C" w:rsidRDefault="00DF4F2C" w:rsidP="008B209A">
      <w:pPr>
        <w:pStyle w:val="Paragrafi"/>
        <w:rPr>
          <w:lang w:val="sq-AL"/>
        </w:rPr>
      </w:pPr>
      <w:r w:rsidRPr="00036C5C">
        <w:rPr>
          <w:lang w:val="sq-AL"/>
        </w:rPr>
        <w:t>me sekretare Blerina Basha, në datën 04.10.2012, mori në shqyrtim në seancë plenare me dyer të hapura çështjen nr. 26 Akti, që i përket:</w:t>
      </w:r>
    </w:p>
    <w:p w:rsidR="00DF4F2C" w:rsidRPr="00036C5C" w:rsidRDefault="00DF4F2C" w:rsidP="0073315A">
      <w:pPr>
        <w:pStyle w:val="Paragrafi"/>
        <w:rPr>
          <w:lang w:val="sq-AL"/>
        </w:rPr>
      </w:pPr>
      <w:r w:rsidRPr="00036C5C">
        <w:rPr>
          <w:lang w:val="sq-AL"/>
        </w:rPr>
        <w:lastRenderedPageBreak/>
        <w:t>KËRKUES: Agim Molla, Petrit Molla</w:t>
      </w:r>
    </w:p>
    <w:p w:rsidR="00DF4F2C" w:rsidRPr="00036C5C" w:rsidRDefault="00DF4F2C" w:rsidP="0073315A">
      <w:pPr>
        <w:pStyle w:val="Paragrafi"/>
        <w:rPr>
          <w:lang w:val="sq-AL"/>
        </w:rPr>
      </w:pPr>
      <w:r w:rsidRPr="00036C5C">
        <w:rPr>
          <w:lang w:val="sq-AL"/>
        </w:rPr>
        <w:t>SUBJEKT I INTERESUAR: Prokuroria e Përgjithshme, në mungesë.</w:t>
      </w:r>
    </w:p>
    <w:p w:rsidR="00DF4F2C" w:rsidRPr="00036C5C" w:rsidRDefault="00DF4F2C" w:rsidP="008B209A">
      <w:pPr>
        <w:pStyle w:val="Paragrafi"/>
        <w:rPr>
          <w:lang w:val="sq-AL"/>
        </w:rPr>
      </w:pPr>
      <w:r w:rsidRPr="00036C5C">
        <w:rPr>
          <w:lang w:val="sq-AL"/>
        </w:rPr>
        <w:t xml:space="preserve">OBJEKTI: Shfuqizimi, si të papajtueshëm me Kushtetutën, i vendimeve: nr.59, datë 11.06.2007 të Gjykatës së Rrethit Gjyqësor Gramsh; nr.30, datë 27.03.2008 të Gjykatës së Apelit Durrës; nr.00-2010-462 (374), datë 23.04.2010 të Kolegjit Penal të Gjykatës së Lartë.   </w:t>
      </w:r>
    </w:p>
    <w:p w:rsidR="00DF4F2C" w:rsidRPr="00036C5C" w:rsidRDefault="00DF4F2C" w:rsidP="008B209A">
      <w:pPr>
        <w:pStyle w:val="Paragrafi"/>
        <w:rPr>
          <w:lang w:val="sq-AL"/>
        </w:rPr>
      </w:pPr>
      <w:r w:rsidRPr="00036C5C">
        <w:rPr>
          <w:lang w:val="sq-AL"/>
        </w:rPr>
        <w:t>BAZA LIGJORE: Nenet 31/ç, 37, 41, 42/1/2, 131/f, 132/1, 134/1/g dhe 142/1 të Kushtetutës së Republikës së Shqipërisë; nenet 24, 27, 28 dhe 30 të ligjit nr.8577, datë 10.02.2000, “Për organizimin dhe funksionimin e Gjykatës Kushtetuese të Republikës së Shqipërisë”.</w:t>
      </w:r>
    </w:p>
    <w:p w:rsidR="00DF4F2C" w:rsidRPr="00036C5C" w:rsidRDefault="00DF4F2C" w:rsidP="008B209A">
      <w:pPr>
        <w:pStyle w:val="Paragrafi"/>
        <w:rPr>
          <w:lang w:val="sq-AL"/>
        </w:rPr>
      </w:pPr>
    </w:p>
    <w:p w:rsidR="00DF4F2C" w:rsidRPr="00036C5C" w:rsidRDefault="00DF4F2C" w:rsidP="0073315A">
      <w:pPr>
        <w:pStyle w:val="VENDOSI"/>
        <w:rPr>
          <w:lang w:val="sq-AL"/>
        </w:rPr>
      </w:pPr>
      <w:r w:rsidRPr="00036C5C">
        <w:rPr>
          <w:lang w:val="sq-AL"/>
        </w:rPr>
        <w:t>GJYKATA KUSHTETUESE,</w:t>
      </w:r>
    </w:p>
    <w:p w:rsidR="00DF4F2C" w:rsidRPr="00A206AD" w:rsidRDefault="00DF4F2C" w:rsidP="008B209A">
      <w:pPr>
        <w:pStyle w:val="Paragrafi"/>
        <w:rPr>
          <w:rFonts w:cs="Times New Roman"/>
          <w:sz w:val="16"/>
          <w:lang w:val="sq-AL"/>
        </w:rPr>
      </w:pPr>
    </w:p>
    <w:p w:rsidR="00DF4F2C" w:rsidRPr="00036C5C" w:rsidRDefault="00DF4F2C" w:rsidP="008B209A">
      <w:pPr>
        <w:pStyle w:val="Paragrafi"/>
        <w:rPr>
          <w:lang w:val="sq-AL"/>
        </w:rPr>
      </w:pPr>
      <w:r w:rsidRPr="00036C5C">
        <w:rPr>
          <w:lang w:val="sq-AL"/>
        </w:rPr>
        <w:t xml:space="preserve">pasi dëgjoi relatoren e çështjes, Altina Xhoxhaj, kërkuesit që kërkuan pranimin e kërkesës, dhe, pasi shqyrtoi çështjen në tërësi, </w:t>
      </w:r>
    </w:p>
    <w:p w:rsidR="00DF4F2C" w:rsidRPr="00A206AD" w:rsidRDefault="00DF4F2C" w:rsidP="008B209A">
      <w:pPr>
        <w:pStyle w:val="Paragrafi"/>
        <w:rPr>
          <w:sz w:val="14"/>
          <w:lang w:val="sq-AL"/>
        </w:rPr>
      </w:pPr>
    </w:p>
    <w:p w:rsidR="00DF4F2C" w:rsidRPr="00036C5C" w:rsidRDefault="00DF4F2C" w:rsidP="0073315A">
      <w:pPr>
        <w:pStyle w:val="VENDOSI"/>
        <w:rPr>
          <w:lang w:val="sq-AL"/>
        </w:rPr>
      </w:pPr>
      <w:r w:rsidRPr="00036C5C">
        <w:rPr>
          <w:lang w:val="sq-AL"/>
        </w:rPr>
        <w:t>VËREN:</w:t>
      </w:r>
    </w:p>
    <w:p w:rsidR="00DF4F2C" w:rsidRPr="00A206AD" w:rsidRDefault="00DF4F2C" w:rsidP="0073315A">
      <w:pPr>
        <w:pStyle w:val="VENDOSI"/>
        <w:rPr>
          <w:sz w:val="14"/>
          <w:lang w:val="sq-AL"/>
        </w:rPr>
      </w:pPr>
    </w:p>
    <w:p w:rsidR="00DF4F2C" w:rsidRPr="00036C5C" w:rsidRDefault="00DF4F2C" w:rsidP="0073315A">
      <w:pPr>
        <w:pStyle w:val="VENDOSI"/>
        <w:rPr>
          <w:lang w:val="sq-AL"/>
        </w:rPr>
      </w:pPr>
      <w:r w:rsidRPr="00036C5C">
        <w:rPr>
          <w:lang w:val="sq-AL"/>
        </w:rPr>
        <w:t>I</w:t>
      </w:r>
    </w:p>
    <w:p w:rsidR="00DF4F2C" w:rsidRPr="00036C5C" w:rsidRDefault="00DF4F2C" w:rsidP="008B209A">
      <w:pPr>
        <w:pStyle w:val="Paragrafi"/>
        <w:rPr>
          <w:lang w:val="sq-AL"/>
        </w:rPr>
      </w:pPr>
      <w:r w:rsidRPr="00036C5C">
        <w:rPr>
          <w:lang w:val="sq-AL"/>
        </w:rPr>
        <w:t xml:space="preserve">1. Kërkuesit Agim Molla dhe Petrit Molla kanë paraqitur në Prokurorinë pranë Gjykatës së Rrethit Gjyqësor Elbasan kallëzim penal për shtetasit B.M. dhe S.B., përkatësisht me detyrën e prokurorit dhe oficerit të policisë gjyqësore në këtë prokurori, pasi me veprimet e tyre të kundërligjshme në mbrojtje të shtetasve B.N., M.A., V.ZH., E.K., M.S., Q.Ç., K.K. dhe S.M., kanë konsumuar veprat penale të parashikuara nga nenet 248, 119 dhe 120 të Kodit Penal (KP). Për shtetasit e përmendur në kallëzimin e tyre, kërkuesit kanë pretenduar të ndiqen edhe ata penalisht, për shkak se veprat penale janë konsumuar në kuadrin e një grupi të strukturuar kriminal, në kuptim të nenit 28/4 të KP-së.   </w:t>
      </w:r>
    </w:p>
    <w:p w:rsidR="00DF4F2C" w:rsidRPr="00036C5C" w:rsidRDefault="00DF4F2C" w:rsidP="008B209A">
      <w:pPr>
        <w:pStyle w:val="Paragrafi"/>
        <w:rPr>
          <w:lang w:val="sq-AL"/>
        </w:rPr>
      </w:pPr>
      <w:r w:rsidRPr="00036C5C">
        <w:rPr>
          <w:lang w:val="sq-AL"/>
        </w:rPr>
        <w:t>2. Me vendimin e datës 28.03.2007, Prokuroria pranë Gjykatës së Rrethit Gjyqësor Elbasan ka vendosur moskompetencën për shqyrtimin e këtij kallëzimi dhe kalimin e akteve për kompetencë në Prokurorinë pranë Gjykatës së Rrethit Gjyqësor Gramsh, për arsye se disa nga personat e akuzuar ushtronin përkatësisht detyrën e prokurorit dhe atë të oficerit të policisë gjyqësore pranë asaj prokurorie.</w:t>
      </w:r>
    </w:p>
    <w:p w:rsidR="00DF4F2C" w:rsidRPr="00036C5C" w:rsidRDefault="00DF4F2C" w:rsidP="008B209A">
      <w:pPr>
        <w:pStyle w:val="Paragrafi"/>
        <w:rPr>
          <w:lang w:val="sq-AL"/>
        </w:rPr>
      </w:pPr>
      <w:r w:rsidRPr="00036C5C">
        <w:rPr>
          <w:lang w:val="sq-AL"/>
        </w:rPr>
        <w:t xml:space="preserve">3. Me vendimin nr.223/1, datë 10.04.2007, Prokuroria pranë Gjykatës së Rrethit Gjyqësor Gramsh ka vendosur mosfillimin e procedimit penal, për shkak të vërtetimit të kushteve të parashikuara në nenin 290/1, shkronjat “ç” dhe “e”, të Kodit të Procedurës Penale (KPP). Kundër këtij vendimi kërkuesit kanë paraqitur ankim në gjykatë. </w:t>
      </w:r>
    </w:p>
    <w:p w:rsidR="00DF4F2C" w:rsidRPr="00036C5C" w:rsidRDefault="00DF4F2C" w:rsidP="008B209A">
      <w:pPr>
        <w:pStyle w:val="Paragrafi"/>
        <w:rPr>
          <w:lang w:val="sq-AL"/>
        </w:rPr>
      </w:pPr>
      <w:r w:rsidRPr="00036C5C">
        <w:rPr>
          <w:lang w:val="sq-AL"/>
        </w:rPr>
        <w:t xml:space="preserve">4. Me vendimin nr.59, datë 11.06.2007, Gjykata e Rrethit Gjyqësor Gramsh ka vendosur rrëzimin e kërkesës ankimore të paraqitur nga kërkuesit kundër vendimit për mosfillimin e procedimit penal. </w:t>
      </w:r>
    </w:p>
    <w:p w:rsidR="00DF4F2C" w:rsidRPr="00036C5C" w:rsidRDefault="00DF4F2C" w:rsidP="008B209A">
      <w:pPr>
        <w:pStyle w:val="Paragrafi"/>
        <w:rPr>
          <w:lang w:val="sq-AL"/>
        </w:rPr>
      </w:pPr>
      <w:r w:rsidRPr="00036C5C">
        <w:rPr>
          <w:lang w:val="sq-AL"/>
        </w:rPr>
        <w:t>5. Me vendimin nr.30, datë 27.03.2008, Gjykata e Apelit Durrës ka vendosur lënien në fuqi të vendimit nr.59, datë 11.06.2007 të Gjykatës së Rrethit Gjyqësor Gramsh. Kundër këtij vendimi kërkuesit kanë ushtruar rekurs në Gjykatën e Lartë.</w:t>
      </w:r>
    </w:p>
    <w:p w:rsidR="00DF4F2C" w:rsidRPr="00036C5C" w:rsidRDefault="00DF4F2C" w:rsidP="008B209A">
      <w:pPr>
        <w:pStyle w:val="Paragrafi"/>
        <w:rPr>
          <w:lang w:val="sq-AL"/>
        </w:rPr>
      </w:pPr>
      <w:r w:rsidRPr="00036C5C">
        <w:rPr>
          <w:lang w:val="sq-AL"/>
        </w:rPr>
        <w:t xml:space="preserve">6. Me vendimin nr.00-2010-462 (374), datë 23.04.2010, Kolegji Penal i Gjykatës së Lartë, në dhomë këshillimi, ka vendosur mospranimin e rekursit të paraqitur nga kërkuesit, për shkak se ai nuk është paraqitur në formën e kërkuar nga ligji, pasi mungon nënshkrimi i tij nga mbrojtësi. </w:t>
      </w:r>
    </w:p>
    <w:p w:rsidR="00DF4F2C" w:rsidRPr="00036C5C" w:rsidRDefault="00DF4F2C" w:rsidP="008B209A">
      <w:pPr>
        <w:pStyle w:val="Paragrafi"/>
        <w:rPr>
          <w:lang w:val="sq-AL"/>
        </w:rPr>
      </w:pPr>
      <w:r w:rsidRPr="00036C5C">
        <w:rPr>
          <w:lang w:val="sq-AL"/>
        </w:rPr>
        <w:t xml:space="preserve">7. </w:t>
      </w:r>
      <w:r w:rsidRPr="00036C5C">
        <w:rPr>
          <w:b/>
          <w:bCs/>
          <w:i/>
          <w:iCs/>
          <w:lang w:val="sq-AL"/>
        </w:rPr>
        <w:t>Kërkuesit Agim Molla dhe Petrit Molla</w:t>
      </w:r>
      <w:r w:rsidRPr="00036C5C">
        <w:rPr>
          <w:lang w:val="sq-AL"/>
        </w:rPr>
        <w:t xml:space="preserve"> i janë drejtuar Gjykatës Kushtetuese (Gjykata), duke pretenduar se vendimet gjyqësore të tri shkallëve të gjykimit janë jokushtetuese dhe kërkojnë shfuqizimin e tyre për këto shkaqe:</w:t>
      </w:r>
    </w:p>
    <w:p w:rsidR="00DF4F2C" w:rsidRPr="00036C5C" w:rsidRDefault="00AE56CF" w:rsidP="008B209A">
      <w:pPr>
        <w:pStyle w:val="Paragrafi"/>
        <w:rPr>
          <w:lang w:val="sq-AL"/>
        </w:rPr>
      </w:pPr>
      <w:r>
        <w:rPr>
          <w:lang w:val="sq-AL"/>
        </w:rPr>
        <w:t xml:space="preserve">7.1 </w:t>
      </w:r>
      <w:r w:rsidR="00DF4F2C" w:rsidRPr="00036C5C">
        <w:rPr>
          <w:lang w:val="sq-AL"/>
        </w:rPr>
        <w:t xml:space="preserve">Kolegji Penal i Gjykatës së Lartë, duke mos pranuar rekursin e paraqitur, edhe pse i paraqitur brenda afateve ligjore dhe i nënshkruar rregullisht prej kërkuesve, u ka cenuar të drejtën për t’iu drejtuar gjykatës dhe për të pasur një përgjigje përfundimtare lidhur me pretendimet e ngritura prej tyre. </w:t>
      </w:r>
    </w:p>
    <w:p w:rsidR="00DF4F2C" w:rsidRPr="00036C5C" w:rsidRDefault="00AE56CF" w:rsidP="008B209A">
      <w:pPr>
        <w:pStyle w:val="Paragrafi"/>
        <w:rPr>
          <w:lang w:val="sq-AL"/>
        </w:rPr>
      </w:pPr>
      <w:r>
        <w:rPr>
          <w:lang w:val="sq-AL"/>
        </w:rPr>
        <w:lastRenderedPageBreak/>
        <w:t xml:space="preserve">7.2 </w:t>
      </w:r>
      <w:r w:rsidR="00DF4F2C" w:rsidRPr="00036C5C">
        <w:rPr>
          <w:lang w:val="sq-AL"/>
        </w:rPr>
        <w:t xml:space="preserve">Vendimet gjyqësore të gjykatës së shkallës së parë dhe asaj të apelit janë të paarsyetuara, pasi ato nuk i përmendin fare dhe nuk shprehen lidhur me provat dhe pretendimet e paraqitura nga kërkuesit. </w:t>
      </w:r>
    </w:p>
    <w:p w:rsidR="00DF4F2C" w:rsidRPr="00036C5C" w:rsidRDefault="00AE56CF" w:rsidP="008B209A">
      <w:pPr>
        <w:pStyle w:val="Paragrafi"/>
        <w:rPr>
          <w:lang w:val="sq-AL"/>
        </w:rPr>
      </w:pPr>
      <w:r>
        <w:rPr>
          <w:lang w:val="sq-AL"/>
        </w:rPr>
        <w:t xml:space="preserve">7.3 </w:t>
      </w:r>
      <w:r w:rsidR="00DF4F2C" w:rsidRPr="00036C5C">
        <w:rPr>
          <w:lang w:val="sq-AL"/>
        </w:rPr>
        <w:t xml:space="preserve">Gjykata e shkallës së parë ka keqinterpretuar nenin 78 të KPP-së. Po ashtu, në dosjen në gjykim nuk gjendet asnjë akt që të provojë se prokurori ka kryer hetime lidhur me çështjen, ndërkohë që ka pasur një urdhërim të gjykatës jo vetëm për kryerjen e hetimit, por edhe për caktimin e një eksperti të fushës së ndërtimit, detyra këto që nuk janë plotësuar. Shkeljet e kryera nga prokurori nuk janë evidentuar dhe riparuar nga gjykatat që kanë shqyrtuar ankimin e kërkuesve. </w:t>
      </w:r>
    </w:p>
    <w:p w:rsidR="00DF4F2C" w:rsidRPr="00036C5C" w:rsidRDefault="00AE56CF" w:rsidP="008B209A">
      <w:pPr>
        <w:pStyle w:val="Paragrafi"/>
        <w:rPr>
          <w:lang w:val="sq-AL"/>
        </w:rPr>
      </w:pPr>
      <w:r>
        <w:rPr>
          <w:lang w:val="sq-AL"/>
        </w:rPr>
        <w:t xml:space="preserve">7.4 </w:t>
      </w:r>
      <w:r w:rsidR="00DF4F2C" w:rsidRPr="00036C5C">
        <w:rPr>
          <w:lang w:val="sq-AL"/>
        </w:rPr>
        <w:t xml:space="preserve">Vendimi i gjykatës së apelit është i gabuar, pasi kallëzimet penale të cilave ajo u referohet janë të ndryshme nga njëra–tjetra; ato nuk u referohen të njëjtëve persona, në ndryshim nga sa arsyeton ajo gjykatë. </w:t>
      </w:r>
    </w:p>
    <w:p w:rsidR="00DF4F2C" w:rsidRPr="00036C5C" w:rsidRDefault="00DF4F2C" w:rsidP="008B209A">
      <w:pPr>
        <w:pStyle w:val="Paragrafi"/>
        <w:rPr>
          <w:lang w:val="sq-AL"/>
        </w:rPr>
      </w:pPr>
    </w:p>
    <w:p w:rsidR="00DF4F2C" w:rsidRPr="00036C5C" w:rsidRDefault="00DF4F2C" w:rsidP="0073315A">
      <w:pPr>
        <w:pStyle w:val="VENDOSI"/>
        <w:rPr>
          <w:lang w:val="sq-AL"/>
        </w:rPr>
      </w:pPr>
      <w:r w:rsidRPr="00036C5C">
        <w:rPr>
          <w:lang w:val="sq-AL"/>
        </w:rPr>
        <w:t>II</w:t>
      </w:r>
    </w:p>
    <w:p w:rsidR="00DF4F2C" w:rsidRPr="00036C5C" w:rsidRDefault="00DF4F2C" w:rsidP="008B209A">
      <w:pPr>
        <w:pStyle w:val="Paragrafi"/>
        <w:rPr>
          <w:i/>
          <w:iCs/>
          <w:lang w:val="sq-AL"/>
        </w:rPr>
      </w:pPr>
      <w:r w:rsidRPr="00036C5C">
        <w:rPr>
          <w:i/>
          <w:iCs/>
          <w:lang w:val="sq-AL"/>
        </w:rPr>
        <w:t xml:space="preserve">A. Për pretendimin për cenimin e të drejtës për t’iu drejtuar Gjykatës së Lartë </w:t>
      </w:r>
    </w:p>
    <w:p w:rsidR="00DF4F2C" w:rsidRPr="00036C5C" w:rsidRDefault="00DF4F2C" w:rsidP="008B209A">
      <w:pPr>
        <w:pStyle w:val="Paragrafi"/>
        <w:rPr>
          <w:lang w:val="sq-AL"/>
        </w:rPr>
      </w:pPr>
      <w:r w:rsidRPr="00036C5C">
        <w:rPr>
          <w:lang w:val="sq-AL"/>
        </w:rPr>
        <w:t xml:space="preserve">8. Kërkuesit pretendojnë se Kolegji Penal i Gjykatës së Lartë, që ka vendosur mospranimin e rekursit për arsye se nuk përmbante nënshkrimin e mbrojtësit, u ka cenuar të drejtën për t’iu drejtuar asaj gjykate dhe për të marrë një përgjigje përfundimtare për pretendimet e ngritura para saj. </w:t>
      </w:r>
    </w:p>
    <w:p w:rsidR="00DF4F2C" w:rsidRPr="00036C5C" w:rsidRDefault="00DF4F2C" w:rsidP="008B209A">
      <w:pPr>
        <w:pStyle w:val="Paragrafi"/>
        <w:rPr>
          <w:lang w:val="sq-AL"/>
        </w:rPr>
      </w:pPr>
      <w:r w:rsidRPr="00036C5C">
        <w:rPr>
          <w:lang w:val="sq-AL"/>
        </w:rPr>
        <w:t>9. Në jurisprudencën e saj, Gjykata ka theksuar se e drejta e individit për t’iu drejtuar gjykatës, si një nga elementet e procesit të rregullt ligjor në kuptim të nenit 42 të Kushtetutës dhe nenit 6 të Konventës evropiane të të drejtave të njeriut (KEDNJ), nuk përfshin vetëm të drejtën për të hapur një proces, por edhe të drejtën për të pasur, nga ana e gjykatës, një zgjidhje përfundimtare në lidhje me mosmarrëveshjen objekt gjykimi, pasi aksesi në gjykatë duhet të jetë substantiv dhe jo thjesht formal. Mohimi i së drejtës për t’iu drejtuar gjykatës dhe për të marrë një përgjigje përfundimtare prej saj lidhur me pretendimet e ngritura, përbën cenim të së drejtës themelore për një proces të rregullt ligjor (</w:t>
      </w:r>
      <w:r w:rsidRPr="00036C5C">
        <w:rPr>
          <w:i/>
          <w:iCs/>
          <w:lang w:val="sq-AL"/>
        </w:rPr>
        <w:t>shih vendimet nr.38, datë 30.12.2010; nr.5, datë 2.03.2011; nr.8, datë 16.03.2011; nr.9, datë 29.03.2011; nr.10, datë 29.03.2011; nr.46, datë 04.11.2011 të Gjykatës Kushtetuese</w:t>
      </w:r>
      <w:r w:rsidRPr="00036C5C">
        <w:rPr>
          <w:lang w:val="sq-AL"/>
        </w:rPr>
        <w:t xml:space="preserve">). </w:t>
      </w:r>
    </w:p>
    <w:p w:rsidR="00DF4F2C" w:rsidRPr="00036C5C" w:rsidRDefault="00DF4F2C" w:rsidP="008B209A">
      <w:pPr>
        <w:pStyle w:val="Paragrafi"/>
        <w:rPr>
          <w:lang w:val="sq-AL"/>
        </w:rPr>
      </w:pPr>
      <w:r w:rsidRPr="00036C5C">
        <w:rPr>
          <w:lang w:val="sq-AL"/>
        </w:rPr>
        <w:t xml:space="preserve">10. Gjykata ka theksuar, megjithatë, se e drejta për t’iu drejtuar një gjykate nuk është absolute. Kjo e drejtë mund të jetë objekt kufizimesh (veçanërisht lidhur me kushtet e pranimit të një apelimi), por këto kufizime nuk duhet të jenë të tilla sa të dëmtojnë vetë thelbin e të drejtës. Në vështrim të garantimit të së drejtës së aksesit në gjykatë, Gjykata ka vlerësuar se neni 435/2 i KPP-së, i cili parashikon </w:t>
      </w:r>
      <w:r w:rsidRPr="00036C5C">
        <w:rPr>
          <w:i/>
          <w:iCs/>
          <w:lang w:val="sq-AL"/>
        </w:rPr>
        <w:t>inter alia</w:t>
      </w:r>
      <w:r w:rsidRPr="00036C5C">
        <w:rPr>
          <w:lang w:val="sq-AL"/>
        </w:rPr>
        <w:t xml:space="preserve"> se akti i rekursit dhe memoriet duhet të nënshkruhen nga mbrojtësit, me pasojë mospranimin, nuk mund të interpretohet nga Gjykata e Lartë në një mënyrë të tillë që cenon thelbin e të drejtës së një individi për t’iu drejtuar asaj gjykate. Zbatimi i nenit 435/2 të KPP-së, për të garantuar të drejtën e një individi për t’iu drejtuar Gjykatës së Lartë, duhet parë në raport me rregullimet e përgjithshme që disiplinojnë paraqitjen e ankimit (nenet 407- 421 të KPP-së), si dhe ato të veçanta për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w:t>
      </w:r>
      <w:r w:rsidRPr="00036C5C">
        <w:rPr>
          <w:i/>
          <w:iCs/>
          <w:lang w:val="sq-AL"/>
        </w:rPr>
        <w:t>shih vendimet nr.38, datë 30.12.2010; nr.10, datë 29.03.2011; nr.26, datë 13.06.2011, nr.41, datë 28.09.2011; nr.22, datë 23.04.2012; nr.29, datë 15.05.2012 të Gjykatës Kushtetuese</w:t>
      </w:r>
      <w:r w:rsidRPr="00036C5C">
        <w:rPr>
          <w:lang w:val="sq-AL"/>
        </w:rPr>
        <w:t>). Gjykata ka theksuar se çdo interpretim i ndryshëm, që mund t’i bëhet përmbajtjes së nenit 435/2 të KPP-së, nuk i shërben garantimit të standardeve për një proces të rregullt ligjor, në drejtim të së drejtës për t’iu drejtuar gjykatës. Referimi i bërë nga Kolegji Penal vetëm në kërkesat e nenit 435/2 të KPP-së, duke mos marrë në konsideratë kërkesat e nenit 432 të KPP-së për shqyrtimin e rekursit, cenon të drejtën e individit për t’iu drejtuar Gjykatës së Lartë (</w:t>
      </w:r>
      <w:r w:rsidRPr="00036C5C">
        <w:rPr>
          <w:i/>
          <w:iCs/>
          <w:lang w:val="sq-AL"/>
        </w:rPr>
        <w:t>shih vendimet e  Gjykatës Kushtetuese nr. 8, datë 16.03.2011, nr. 41, datë 28.09.2011</w:t>
      </w:r>
      <w:r w:rsidRPr="00036C5C">
        <w:rPr>
          <w:lang w:val="sq-AL"/>
        </w:rPr>
        <w:t>).</w:t>
      </w:r>
    </w:p>
    <w:p w:rsidR="00DF4F2C" w:rsidRPr="00036C5C" w:rsidRDefault="00DF4F2C" w:rsidP="008B209A">
      <w:pPr>
        <w:pStyle w:val="Paragrafi"/>
        <w:rPr>
          <w:lang w:val="sq-AL"/>
        </w:rPr>
      </w:pPr>
      <w:r w:rsidRPr="00036C5C">
        <w:rPr>
          <w:lang w:val="sq-AL"/>
        </w:rPr>
        <w:lastRenderedPageBreak/>
        <w:t>11.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drejta për akses në këtë gjykatë. Kërkesa kushtetuese dhe procedurale, për të garantuar mbrojtjen efektive dhe profesionale të të pandehurit në Gjykatën e Lartë, ka kuptim, para së gjithash, në funksion të aksesit që duhet të kenë të pandehurit për të ushtruar të drejtat që parashikon procedura penale (</w:t>
      </w:r>
      <w:r w:rsidRPr="00036C5C">
        <w:rPr>
          <w:i/>
          <w:iCs/>
          <w:lang w:val="sq-AL"/>
        </w:rPr>
        <w:t>shih vendimet nr.38, datë 30.12.2010; nr.10, datë 29.03.2011; nr.26, datë 13.06.2011, nr.41, datë 28.09.2011 të Gjykatës Kushtetuese</w:t>
      </w:r>
      <w:r w:rsidRPr="00036C5C">
        <w:rPr>
          <w:lang w:val="sq-AL"/>
        </w:rPr>
        <w:t>). Gjykata e Lartë, para se të vendosë mospranimin e rekursit për shkak të mosnënshkrimit të tij nga mbrojtësi, duhet të verifikojë nëse sekretaria gjyqësore ka zbatuar detyrimin ligjor lidhur me vënien në dijeni të rekursuesit, për ta plotësuar atë me nënshkrimin e mbrojtësit, sipas kuptimit që Kolegjet e Bashkuara të Gjykatës së Lartë, në vendimin unifikues nr.5, datë 15.09.2009, i kanë dhënë nenit 415/2 të KPP-së, ku shprehen se “</w:t>
      </w:r>
      <w:r w:rsidRPr="00036C5C">
        <w:rPr>
          <w:i/>
          <w:iCs/>
          <w:lang w:val="sq-AL"/>
        </w:rPr>
        <w:t>sekretaritë e gjykatave ku depozitohet ankimi mund dhe duhet të vënë në dijeni të pandehurit në rastet kur rekursi paraqitet i pa nënshkruar nga mbrojtësi, me qëllim që, në zbatim të kërkesave të nenit 415/2 të KPP-së, ai të ketë mundësinë për plotësimin e tij</w:t>
      </w:r>
      <w:r w:rsidRPr="00036C5C">
        <w:rPr>
          <w:lang w:val="sq-AL"/>
        </w:rPr>
        <w:t>”</w:t>
      </w:r>
      <w:bookmarkStart w:id="29" w:name="HIT4"/>
      <w:bookmarkEnd w:id="29"/>
      <w:r w:rsidRPr="00036C5C">
        <w:rPr>
          <w:lang w:val="sq-AL"/>
        </w:rPr>
        <w:t>. Gjykata thekson, gjithashtu, se përdorimi i mjetit procedural të përshtatshëm ankimues, në formë e në përmbajtje, siç është sanksionuar në KPP, nuk përbën një kërkesë formale, por një kërkesë që lidhet me thelbin e të drejtës së mbrojtjes dhe të pjesëmarrjes aktive në gjykim. Trajtimi i mjetit procedural në mënyrë josubstanciale cenon të drejtën e mbrojtjes të të gjykuarit dhe njëkohësisht aksesin e tij në Gjykatën e Lartë (</w:t>
      </w:r>
      <w:r w:rsidRPr="00036C5C">
        <w:rPr>
          <w:i/>
          <w:iCs/>
          <w:lang w:val="sq-AL"/>
        </w:rPr>
        <w:t>shih vendimet nr.38, datë 30.12.2010; nr.26, datë 13.06.2011; nr.41, datë 28.09.2011; nr.22, datë 23.04.2012; nr.29, datë 15.05.2012 të Gjykatës Kushtetuese</w:t>
      </w:r>
      <w:r w:rsidRPr="00036C5C">
        <w:rPr>
          <w:lang w:val="sq-AL"/>
        </w:rPr>
        <w:t xml:space="preserve">). </w:t>
      </w:r>
    </w:p>
    <w:p w:rsidR="00DF4F2C" w:rsidRPr="00036C5C" w:rsidRDefault="00DF4F2C" w:rsidP="008B209A">
      <w:pPr>
        <w:pStyle w:val="Paragrafi"/>
        <w:rPr>
          <w:lang w:val="sq-AL"/>
        </w:rPr>
      </w:pPr>
      <w:r w:rsidRPr="00036C5C">
        <w:rPr>
          <w:lang w:val="sq-AL"/>
        </w:rPr>
        <w:t xml:space="preserve">12. Gjykata vëren se kërkuesit Agim Molla dhe Petrit Molla kanë depozituar brenda afatit ligjor, pranë sekretarisë së gjykatës që ka dhënë vendimin, një rekurs i cili nuk ka qenë i nënshkruar nga një mbrojtës i zgjedhur, por është nënshkruar nga vetë ata. Kolegji Penal i Gjykatës së Lartë, në dhomën e këshillimit, ka vendosur mospranimin e rekursit për shkak të mosnënshkrimit të tij nga mbrojtësi, sipas kërkesave të nenit 435/2 të KPP-së. Në këndvështrim të garantimit të standardeve të trajtuara më sipër, Gjykata vlerëson se Kolegji Penal i Gjykatës së Lartë e ka interpretuar nenin 435/2 të KPP-së në një mënyrë të tillë (stricto senso) që ka cenuar thelbin e të drejtës së kërkuesve për t’iu drejtuar asaj gjykate. Nga materialet e paraqitura para kësaj Gjykate, nuk rezulton që Kolegji Penal të ketë vlerësuar veprimet e sekretarisë gjyqësore përkatëse për vënien në dijeni të kërkuesve për mosplotësimin e kërkesës formale të nënshkrimit të rekursit nga mbrojtësi, në mënyrë që ata të mund të bënin plotësimet e nevojshme. </w:t>
      </w:r>
    </w:p>
    <w:p w:rsidR="00DF4F2C" w:rsidRPr="00036C5C" w:rsidRDefault="00DF4F2C" w:rsidP="008B209A">
      <w:pPr>
        <w:pStyle w:val="Paragrafi"/>
        <w:rPr>
          <w:lang w:val="sq-AL"/>
        </w:rPr>
      </w:pPr>
      <w:r w:rsidRPr="00036C5C">
        <w:rPr>
          <w:lang w:val="sq-AL"/>
        </w:rPr>
        <w:t>13. Për sa më sipër, Gjykata arrin në përfundimin se Kolegji Penal i Gjykatës së Lartë, duke vendosur mospranimin e shqyrtimit të rekursit të paraqitur nga kërkuesit, me arsyetimin se nuk ka qenë i nënshkruar nga mbrojtësi, u ka cenuar atyre të drejtën e aksesit në Gjykatën e Lartë, si një nga standardet për një proces të rregullt ligjor, në kuptim të nenit 42 të Kushtetutës dhe nenit 6 të KEDNJ-së.</w:t>
      </w:r>
    </w:p>
    <w:p w:rsidR="00DF4F2C" w:rsidRPr="00036C5C" w:rsidRDefault="00DF4F2C" w:rsidP="008B209A">
      <w:pPr>
        <w:pStyle w:val="Paragrafi"/>
        <w:rPr>
          <w:lang w:val="sq-AL"/>
        </w:rPr>
      </w:pPr>
    </w:p>
    <w:p w:rsidR="00DF4F2C" w:rsidRPr="00036C5C" w:rsidRDefault="00DF4F2C" w:rsidP="008B209A">
      <w:pPr>
        <w:pStyle w:val="Paragrafi"/>
        <w:rPr>
          <w:i/>
          <w:iCs/>
          <w:lang w:val="sq-AL"/>
        </w:rPr>
      </w:pPr>
      <w:r w:rsidRPr="00036C5C">
        <w:rPr>
          <w:i/>
          <w:iCs/>
          <w:lang w:val="sq-AL"/>
        </w:rPr>
        <w:t>B. Për pretendimin për cenimin e standardit të arsyetimit të vendimeve gjyqësore</w:t>
      </w:r>
    </w:p>
    <w:p w:rsidR="00DF4F2C" w:rsidRPr="00036C5C" w:rsidRDefault="00DF4F2C" w:rsidP="008B209A">
      <w:pPr>
        <w:pStyle w:val="Paragrafi"/>
        <w:rPr>
          <w:lang w:val="sq-AL"/>
        </w:rPr>
      </w:pPr>
      <w:r w:rsidRPr="00036C5C">
        <w:rPr>
          <w:lang w:val="sq-AL"/>
        </w:rPr>
        <w:t xml:space="preserve">14. Kërkuesit pretendojnë, gjithashtu, se vendimet gjyqësore nuk janë të arsyetuara, se ato tregojnë vetëm historikun e vendimeve të dhëna nga prokuroritë dhe gjykatat dhe nuk shprehen në asnjë rresht për pretendimet dhe provat konkrete të kërkuesve apo arsyet pse nuk i pranojnë ato.  </w:t>
      </w:r>
    </w:p>
    <w:p w:rsidR="00DF4F2C" w:rsidRPr="00036C5C" w:rsidRDefault="00DF4F2C" w:rsidP="008B209A">
      <w:pPr>
        <w:pStyle w:val="Paragrafi"/>
        <w:rPr>
          <w:lang w:val="sq-AL"/>
        </w:rPr>
      </w:pPr>
      <w:r w:rsidRPr="00036C5C">
        <w:rPr>
          <w:lang w:val="sq-AL"/>
        </w:rPr>
        <w:t>15. Gjykata rithekson se e drejta për një proces të rregullt ligjor, që i garantohet individit nga neni 42, 142/1 i Kushtetutës dhe neni 6 i KEDNJ-së, përfshin edhe të drejtën për të pasur një vendim gjyqësor të arsyetuar. Funksioni i një vendimi të arsyetuar është t’u tregojë palëve që ato janë dëgjuar si dhe u jep mundësinë atyre ta apelojnë këtë vendim, si dhe organeve të apelit ta shqyrtojnë. Përveç kësaj, duke dhënë një vendim të arsyetuar, mund të realizohet vëzhgimi publik i administrimit të drejtësisë (</w:t>
      </w:r>
      <w:r w:rsidRPr="00036C5C">
        <w:rPr>
          <w:i/>
          <w:iCs/>
          <w:lang w:val="sq-AL"/>
        </w:rPr>
        <w:t>shih vendimet nr.7, datë 09.03.2009; nr.38, datë 30.12.2010; nr.8, datë 16.03.2011; nr.25. datë 10.06.2011; nr.8, datë 28.02.2012 të Gjykatës Kushtetuese</w:t>
      </w:r>
      <w:r w:rsidRPr="00036C5C">
        <w:rPr>
          <w:lang w:val="sq-AL"/>
        </w:rPr>
        <w:t>).</w:t>
      </w:r>
    </w:p>
    <w:p w:rsidR="00DF4F2C" w:rsidRPr="00036C5C" w:rsidRDefault="00DF4F2C" w:rsidP="008B209A">
      <w:pPr>
        <w:pStyle w:val="Paragrafi"/>
        <w:rPr>
          <w:lang w:val="sq-AL"/>
        </w:rPr>
      </w:pPr>
      <w:r w:rsidRPr="00036C5C">
        <w:rPr>
          <w:lang w:val="sq-AL"/>
        </w:rPr>
        <w:lastRenderedPageBreak/>
        <w:t>16. Në kuptim të sa më sipër, gjykatat duhet të parashtrojnë, në mënyrë të përmbledhur, rrethanat e faktit, provat mbi të cilat bazohet vendimi, mënyrën e vlerësimit të këtyre provave, pra të tregojnë me qartësi të mjaftueshme arsyet mbi të cilat mbështesin vendimet e tyre. Vendimet gjyqësore që japin gjykatat e të gjitha niveleve, në përfundim të gjykimit, përbëjnë aktin procedural kryesor të gjithë procesit gjyqësor. Ato përmbledhin dhe finalizojnë përfundimisht qëndrimet që mban gjykata lidhur me çështjen në gjykim.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 gjithashtu të mjaftueshme për të mbështetur dhe pranuar pjesën urdhëruese. Konkluzionet e pjesës arsyetuese duhet të bazohen jo vetëm në aktet ligjore, por edhe në parimet dhe rregullat që karakterizojnë mendimin e shëndoshë e logjik (</w:t>
      </w:r>
      <w:r w:rsidRPr="00036C5C">
        <w:rPr>
          <w:i/>
          <w:iCs/>
          <w:lang w:val="sq-AL"/>
        </w:rPr>
        <w:t>shih vendimet</w:t>
      </w:r>
      <w:bookmarkStart w:id="30" w:name="BM56"/>
      <w:r w:rsidRPr="00036C5C">
        <w:rPr>
          <w:i/>
          <w:iCs/>
          <w:lang w:val="sq-AL"/>
        </w:rPr>
        <w:t xml:space="preserve"> nr.33, datë 08.12.2005</w:t>
      </w:r>
      <w:bookmarkEnd w:id="30"/>
      <w:r w:rsidRPr="00036C5C">
        <w:rPr>
          <w:i/>
          <w:iCs/>
          <w:lang w:val="sq-AL"/>
        </w:rPr>
        <w:t>; nr.23, datë 04.11.2008; nr.36, datë 26.07.2011; nr.8, datë 28.02.2012 të Gjykatës Kushtetuese</w:t>
      </w:r>
      <w:r w:rsidRPr="00036C5C">
        <w:rPr>
          <w:lang w:val="sq-AL"/>
        </w:rPr>
        <w:t>).</w:t>
      </w:r>
    </w:p>
    <w:p w:rsidR="00DF4F2C" w:rsidRPr="00036C5C" w:rsidRDefault="00DF4F2C" w:rsidP="008B209A">
      <w:pPr>
        <w:pStyle w:val="Paragrafi"/>
        <w:rPr>
          <w:lang w:val="sq-AL"/>
        </w:rPr>
      </w:pPr>
      <w:r w:rsidRPr="00036C5C">
        <w:rPr>
          <w:lang w:val="sq-AL"/>
        </w:rPr>
        <w:t>17. Bazuar në këto standarde kushtetuese dhe në rrethanat e çështjes, Gjykata vlerëson se nuk rezulton që vendimet e kundërshtuara të jenë jologjike, të kenë kundërthënie, të mos kenë referencë në ligjin e zbatueshëm dhe të mos respektojnë elementet e përmendura më sipër. Për rrjedhojë, Gjykata vlerëson se pretendimi i kërkuesve, në drejtim të cenimit të standardit kushtetues të arsyetimit të vendimeve gjyqësore, është i pabazuar.</w:t>
      </w:r>
    </w:p>
    <w:p w:rsidR="00DF4F2C" w:rsidRPr="00036C5C" w:rsidRDefault="00DF4F2C" w:rsidP="008B209A">
      <w:pPr>
        <w:pStyle w:val="Paragrafi"/>
        <w:rPr>
          <w:lang w:val="sq-AL"/>
        </w:rPr>
      </w:pPr>
    </w:p>
    <w:p w:rsidR="00DF4F2C" w:rsidRPr="00036C5C" w:rsidRDefault="00DF4F2C" w:rsidP="008B209A">
      <w:pPr>
        <w:pStyle w:val="Paragrafi"/>
        <w:rPr>
          <w:i/>
          <w:iCs/>
          <w:lang w:val="sq-AL"/>
        </w:rPr>
      </w:pPr>
      <w:r w:rsidRPr="00036C5C">
        <w:rPr>
          <w:i/>
          <w:iCs/>
          <w:lang w:val="sq-AL"/>
        </w:rPr>
        <w:t>C. Për pretendimet e tjera të ngritura në kërkesë</w:t>
      </w:r>
    </w:p>
    <w:p w:rsidR="00DF4F2C" w:rsidRPr="00036C5C" w:rsidRDefault="00DF4F2C" w:rsidP="008B209A">
      <w:pPr>
        <w:pStyle w:val="Paragrafi"/>
        <w:rPr>
          <w:lang w:val="sq-AL"/>
        </w:rPr>
      </w:pPr>
      <w:r w:rsidRPr="00036C5C">
        <w:rPr>
          <w:lang w:val="sq-AL"/>
        </w:rPr>
        <w:t>18. Gjykata vëren se kërkuesit kanë ngritur edhe pretendime të tjera, siç janë ato lidhur me keqinterpretimin e ligjit, moskryerjen e veprimeve hetimore, se kallëzimet penale të cilave u referohet gjykata e apelit janë të ndryshme etj.</w:t>
      </w:r>
    </w:p>
    <w:p w:rsidR="00DF4F2C" w:rsidRPr="00036C5C" w:rsidRDefault="00DF4F2C" w:rsidP="008B209A">
      <w:pPr>
        <w:pStyle w:val="Paragrafi"/>
        <w:rPr>
          <w:lang w:val="sq-AL"/>
        </w:rPr>
      </w:pPr>
      <w:r w:rsidRPr="00036C5C">
        <w:rPr>
          <w:lang w:val="sq-AL"/>
        </w:rPr>
        <w:t xml:space="preserve">19. Gjykata ka theksuar se kontrolli kushtetues që ajo ushtron ndaj vendimeve gjyqësore është i kufizuar vetëm në funksion të mbrojtjes së të drejtave kushtetuese të individit për një proces të rregullt ligjor. Në lidhje me këto pretendime, Gjykata vlerëson se, në thelb, ato kanë të bëjnë me çështje që lidhen me mënyrën e vlerësimit dhe interpretimit të ligjit nga gjykatat e zakonshme. Kërkuesit nuk kanë arritur t’i ngrenë këto pretendime në nivel kushtetues, duke mos arritur të argumentojnë se cilat elemente të procesit të rregullt janë cenuar. Si të tilla, këto pretendime nuk hyjnë në juridiksionin kushtetues dhe nuk mund të merren në shqyrtim prej Gjykatës. </w:t>
      </w:r>
    </w:p>
    <w:p w:rsidR="00DF4F2C" w:rsidRPr="007D7C24" w:rsidRDefault="00DF4F2C" w:rsidP="008B209A">
      <w:pPr>
        <w:pStyle w:val="Paragrafi"/>
        <w:rPr>
          <w:sz w:val="16"/>
          <w:lang w:val="sq-AL"/>
        </w:rPr>
      </w:pPr>
    </w:p>
    <w:p w:rsidR="00DF4F2C" w:rsidRPr="00036C5C" w:rsidRDefault="00DF4F2C" w:rsidP="0073315A">
      <w:pPr>
        <w:pStyle w:val="VENDOSI"/>
        <w:rPr>
          <w:lang w:val="sq-AL"/>
        </w:rPr>
      </w:pPr>
      <w:r w:rsidRPr="00036C5C">
        <w:rPr>
          <w:lang w:val="sq-AL"/>
        </w:rPr>
        <w:t>PËR KËTO ARSYE,</w:t>
      </w:r>
    </w:p>
    <w:p w:rsidR="00DF4F2C" w:rsidRPr="007D7C24" w:rsidRDefault="00DF4F2C" w:rsidP="008B209A">
      <w:pPr>
        <w:pStyle w:val="Paragrafi"/>
        <w:rPr>
          <w:rFonts w:cs="Times New Roman"/>
          <w:sz w:val="12"/>
          <w:lang w:val="sq-AL"/>
        </w:rPr>
      </w:pPr>
    </w:p>
    <w:p w:rsidR="00DF4F2C" w:rsidRPr="00036C5C" w:rsidRDefault="00DF4F2C" w:rsidP="008B209A">
      <w:pPr>
        <w:pStyle w:val="Paragrafi"/>
        <w:rPr>
          <w:lang w:val="sq-AL"/>
        </w:rPr>
      </w:pPr>
      <w:r w:rsidRPr="00036C5C">
        <w:rPr>
          <w:lang w:val="sq-AL"/>
        </w:rPr>
        <w:t>Gjykata Kushtetuese e Republikës së Shqipërisë, në mbështetje të nenit 131, shkronja “f”  dhe nenit 134, pika 1, shkronja “g” të Kushtetutës, si dhe të neneve 72, 77 e vijues të ligjit nr.8577, datë 10.02.2000 “Për organizimin dhe funksionimin e Gjykatës Kushtetuese të Republikës së Shqipërisë”, me shumicë votash,  </w:t>
      </w:r>
    </w:p>
    <w:p w:rsidR="00DF4F2C" w:rsidRPr="007D7C24" w:rsidRDefault="00DF4F2C" w:rsidP="008B209A">
      <w:pPr>
        <w:pStyle w:val="Paragrafi"/>
        <w:rPr>
          <w:sz w:val="14"/>
          <w:lang w:val="sq-AL"/>
        </w:rPr>
      </w:pPr>
    </w:p>
    <w:p w:rsidR="00DF4F2C" w:rsidRPr="00036C5C" w:rsidRDefault="00DF4F2C" w:rsidP="0073315A">
      <w:pPr>
        <w:pStyle w:val="VENDOSI"/>
        <w:rPr>
          <w:lang w:val="sq-AL"/>
        </w:rPr>
      </w:pPr>
      <w:r w:rsidRPr="00036C5C">
        <w:rPr>
          <w:lang w:val="sq-AL"/>
        </w:rPr>
        <w:t>VENDOSI:</w:t>
      </w:r>
    </w:p>
    <w:p w:rsidR="00DF4F2C" w:rsidRPr="007D7C24" w:rsidRDefault="00DF4F2C" w:rsidP="008B209A">
      <w:pPr>
        <w:pStyle w:val="Paragrafi"/>
        <w:rPr>
          <w:rFonts w:cs="Times New Roman"/>
          <w:sz w:val="14"/>
          <w:lang w:val="sq-AL"/>
        </w:rPr>
      </w:pPr>
    </w:p>
    <w:p w:rsidR="00DF4F2C" w:rsidRPr="00036C5C" w:rsidRDefault="00DF4F2C" w:rsidP="008B209A">
      <w:pPr>
        <w:pStyle w:val="Paragrafi"/>
        <w:rPr>
          <w:lang w:val="sq-AL"/>
        </w:rPr>
      </w:pPr>
      <w:r w:rsidRPr="00036C5C">
        <w:rPr>
          <w:lang w:val="sq-AL"/>
        </w:rPr>
        <w:t xml:space="preserve">-  Pranimin pjesërisht të kërkesës. </w:t>
      </w:r>
    </w:p>
    <w:p w:rsidR="00DF4F2C" w:rsidRPr="00036C5C" w:rsidRDefault="00DF4F2C" w:rsidP="008B209A">
      <w:pPr>
        <w:pStyle w:val="Paragrafi"/>
        <w:rPr>
          <w:lang w:val="sq-AL"/>
        </w:rPr>
      </w:pPr>
      <w:r w:rsidRPr="00036C5C">
        <w:rPr>
          <w:lang w:val="sq-AL"/>
        </w:rPr>
        <w:t>- Shfuqizimin e vendimit nr.00-2010-462 (374), datë 23.04.2010 të Kolegjit Penal të Gjykatës së Lartë dhe kthimin e çështjes për shqyrtim në Gjykatën e Lartë.</w:t>
      </w:r>
    </w:p>
    <w:p w:rsidR="00DF4F2C" w:rsidRPr="00036C5C" w:rsidRDefault="00DF4F2C" w:rsidP="008B209A">
      <w:pPr>
        <w:pStyle w:val="Paragrafi"/>
        <w:rPr>
          <w:lang w:val="sq-AL"/>
        </w:rPr>
      </w:pPr>
      <w:r w:rsidRPr="00036C5C">
        <w:rPr>
          <w:lang w:val="sq-AL"/>
        </w:rPr>
        <w:t xml:space="preserve">- Rrëzimin e kërkesës për pretendimet e tjera.  </w:t>
      </w:r>
    </w:p>
    <w:p w:rsidR="00DF4F2C" w:rsidRPr="00036C5C" w:rsidRDefault="00DF4F2C" w:rsidP="008B209A">
      <w:pPr>
        <w:pStyle w:val="Paragrafi"/>
        <w:rPr>
          <w:lang w:val="sq-AL"/>
        </w:rPr>
      </w:pPr>
      <w:r w:rsidRPr="00036C5C">
        <w:rPr>
          <w:lang w:val="sq-AL"/>
        </w:rPr>
        <w:t xml:space="preserve">Ky vendim është përfundimtar, i formës së prerë dhe hyn në fuqi ditën e botimit në Fletoren Zyrtare. </w:t>
      </w:r>
    </w:p>
    <w:p w:rsidR="00DF4F2C" w:rsidRPr="007D7C24" w:rsidRDefault="00DF4F2C" w:rsidP="008B209A">
      <w:pPr>
        <w:pStyle w:val="Paragrafi"/>
        <w:rPr>
          <w:sz w:val="14"/>
          <w:lang w:val="sq-AL"/>
        </w:rPr>
      </w:pPr>
    </w:p>
    <w:p w:rsidR="00DF4F2C" w:rsidRPr="00036C5C" w:rsidRDefault="00DF4F2C" w:rsidP="008B209A">
      <w:pPr>
        <w:pStyle w:val="Paragrafi"/>
        <w:rPr>
          <w:lang w:val="sq-AL"/>
        </w:rPr>
      </w:pPr>
      <w:r w:rsidRPr="00036C5C">
        <w:rPr>
          <w:lang w:val="sq-AL"/>
        </w:rPr>
        <w:t>Anëtarë pro: Xhezair Zaganjori, Vladimir Kristo, Fatmir Hoxha, Sokol Berberi, Admir Thanza</w:t>
      </w:r>
    </w:p>
    <w:p w:rsidR="00DF4F2C" w:rsidRPr="00036C5C" w:rsidRDefault="00DF4F2C" w:rsidP="008B209A">
      <w:pPr>
        <w:pStyle w:val="Paragrafi"/>
        <w:rPr>
          <w:lang w:val="sq-AL"/>
        </w:rPr>
      </w:pPr>
      <w:r w:rsidRPr="00036C5C">
        <w:rPr>
          <w:lang w:val="sq-AL"/>
        </w:rPr>
        <w:t>Anëtarë kundër: Vitore Tusha, Altina Xhoxhaj</w:t>
      </w: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sectPr w:rsidR="00DF4F2C" w:rsidRPr="00036C5C" w:rsidSect="003858CD">
          <w:headerReference w:type="even" r:id="rId16"/>
          <w:headerReference w:type="default" r:id="rId17"/>
          <w:footerReference w:type="even" r:id="rId18"/>
          <w:footerReference w:type="default" r:id="rId19"/>
          <w:pgSz w:w="11907" w:h="16840" w:code="9"/>
          <w:pgMar w:top="1418" w:right="1418" w:bottom="1418" w:left="1418" w:header="1588" w:footer="1134" w:gutter="0"/>
          <w:pgNumType w:start="8675"/>
          <w:cols w:space="720"/>
          <w:docGrid w:linePitch="360"/>
        </w:sect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pPr>
    </w:p>
    <w:p w:rsidR="00DF4F2C" w:rsidRPr="00036C5C" w:rsidRDefault="00DF4F2C" w:rsidP="00B500A0">
      <w:pPr>
        <w:pStyle w:val="Paragrafi"/>
        <w:rPr>
          <w:rFonts w:cs="Times New Roman"/>
          <w:lang w:val="sq-AL"/>
        </w:rPr>
        <w:sectPr w:rsidR="00DF4F2C" w:rsidRPr="00036C5C" w:rsidSect="00DE5594">
          <w:pgSz w:w="11907" w:h="16840" w:code="9"/>
          <w:pgMar w:top="1418" w:right="1418" w:bottom="1418" w:left="1418" w:header="1588" w:footer="1134" w:gutter="0"/>
          <w:pgNumType w:start="9783"/>
          <w:cols w:space="720"/>
          <w:docGrid w:linePitch="360"/>
        </w:sectPr>
      </w:pPr>
    </w:p>
    <w:p w:rsidR="00DF4F2C" w:rsidRPr="00036C5C" w:rsidRDefault="00DF4F2C" w:rsidP="009C3FE3">
      <w:pPr>
        <w:pStyle w:val="Paragrafi"/>
        <w:rPr>
          <w:rFonts w:cs="Times New Roman"/>
          <w:lang w:val="sq-AL"/>
        </w:rPr>
      </w:pPr>
    </w:p>
    <w:sectPr w:rsidR="00DF4F2C" w:rsidRPr="00036C5C" w:rsidSect="00DE5594">
      <w:headerReference w:type="even" r:id="rId20"/>
      <w:headerReference w:type="default" r:id="rId2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58CD" w:rsidRDefault="003858CD" w:rsidP="0039754A">
      <w:pPr>
        <w:pStyle w:val="Paragrafi"/>
        <w:rPr>
          <w:rFonts w:cs="Times New Roman"/>
        </w:rPr>
      </w:pPr>
      <w:r>
        <w:rPr>
          <w:rFonts w:cs="Times New Roman"/>
        </w:rPr>
        <w:separator/>
      </w:r>
    </w:p>
  </w:endnote>
  <w:endnote w:type="continuationSeparator" w:id="0">
    <w:p w:rsidR="003858CD" w:rsidRDefault="003858CD" w:rsidP="0039754A">
      <w:pPr>
        <w:pStyle w:val="Paragrafi"/>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panose1 w:val="00000000000000000000"/>
    <w:charset w:val="EE"/>
    <w:family w:val="roman"/>
    <w:notTrueType/>
    <w:pitch w:val="variable"/>
    <w:sig w:usb0="00000005" w:usb1="00000000" w:usb2="00000000" w:usb3="00000000" w:csb0="00000002" w:csb1="00000000"/>
  </w:font>
  <w:font w:name="CG Times Tur">
    <w:altName w:val="Times New Roman"/>
    <w:panose1 w:val="00000000000000000000"/>
    <w:charset w:val="A2"/>
    <w:family w:val="roman"/>
    <w:notTrueType/>
    <w:pitch w:val="variable"/>
    <w:sig w:usb0="00000005" w:usb1="00000000" w:usb2="00000000" w:usb3="00000000" w:csb0="00000010" w:csb1="00000000"/>
  </w:font>
  <w:font w:name="CG Times CE">
    <w:altName w:val="Times New Roman"/>
    <w:panose1 w:val="00000000000000000000"/>
    <w:charset w:val="EE"/>
    <w:family w:val="roman"/>
    <w:notTrueType/>
    <w:pitch w:val="variable"/>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Pr="00A03E9D" w:rsidRDefault="00CA5FCB">
    <w:pPr>
      <w:pStyle w:val="Footer"/>
      <w:rPr>
        <w:rFonts w:ascii="CG Times" w:hAnsi="CG Times"/>
        <w:sz w:val="22"/>
        <w:szCs w:val="22"/>
      </w:rPr>
    </w:pPr>
    <w:r w:rsidRPr="00A03E9D">
      <w:rPr>
        <w:rFonts w:ascii="CG Times" w:hAnsi="CG Times"/>
        <w:sz w:val="22"/>
        <w:szCs w:val="22"/>
      </w:rPr>
      <w:fldChar w:fldCharType="begin"/>
    </w:r>
    <w:r w:rsidR="003858CD" w:rsidRPr="00A03E9D">
      <w:rPr>
        <w:rFonts w:ascii="CG Times" w:hAnsi="CG Times"/>
        <w:sz w:val="22"/>
        <w:szCs w:val="22"/>
      </w:rPr>
      <w:instrText xml:space="preserve"> PAGE   \* MERGEFORMAT </w:instrText>
    </w:r>
    <w:r w:rsidRPr="00A03E9D">
      <w:rPr>
        <w:rFonts w:ascii="CG Times" w:hAnsi="CG Times"/>
        <w:sz w:val="22"/>
        <w:szCs w:val="22"/>
      </w:rPr>
      <w:fldChar w:fldCharType="separate"/>
    </w:r>
    <w:r w:rsidR="009C3FE3">
      <w:rPr>
        <w:rFonts w:ascii="CG Times" w:hAnsi="CG Times"/>
        <w:noProof/>
        <w:sz w:val="22"/>
        <w:szCs w:val="22"/>
      </w:rPr>
      <w:t>8660</w:t>
    </w:r>
    <w:r w:rsidRPr="00A03E9D">
      <w:rPr>
        <w:rFonts w:ascii="CG Times" w:hAnsi="CG Times"/>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Pr="00A03E9D" w:rsidRDefault="00CA5FCB">
    <w:pPr>
      <w:pStyle w:val="Footer"/>
      <w:jc w:val="right"/>
      <w:rPr>
        <w:rFonts w:ascii="CG Times" w:hAnsi="CG Times"/>
        <w:sz w:val="22"/>
        <w:szCs w:val="22"/>
      </w:rPr>
    </w:pPr>
    <w:r w:rsidRPr="00A03E9D">
      <w:rPr>
        <w:rFonts w:ascii="CG Times" w:hAnsi="CG Times"/>
        <w:sz w:val="22"/>
        <w:szCs w:val="22"/>
      </w:rPr>
      <w:fldChar w:fldCharType="begin"/>
    </w:r>
    <w:r w:rsidR="003858CD" w:rsidRPr="00A03E9D">
      <w:rPr>
        <w:rFonts w:ascii="CG Times" w:hAnsi="CG Times"/>
        <w:sz w:val="22"/>
        <w:szCs w:val="22"/>
      </w:rPr>
      <w:instrText xml:space="preserve"> PAGE   \* MERGEFORMAT </w:instrText>
    </w:r>
    <w:r w:rsidRPr="00A03E9D">
      <w:rPr>
        <w:rFonts w:ascii="CG Times" w:hAnsi="CG Times"/>
        <w:sz w:val="22"/>
        <w:szCs w:val="22"/>
      </w:rPr>
      <w:fldChar w:fldCharType="separate"/>
    </w:r>
    <w:r w:rsidR="009C3FE3">
      <w:rPr>
        <w:rFonts w:ascii="CG Times" w:hAnsi="CG Times"/>
        <w:noProof/>
        <w:sz w:val="22"/>
        <w:szCs w:val="22"/>
      </w:rPr>
      <w:t>8659</w:t>
    </w:r>
    <w:r w:rsidRPr="00A03E9D">
      <w:rPr>
        <w:rFonts w:ascii="CG Times" w:hAnsi="CG Times"/>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Pr="00A03E9D" w:rsidRDefault="00CA5FCB">
    <w:pPr>
      <w:pStyle w:val="Footer"/>
      <w:rPr>
        <w:rFonts w:ascii="CG Times" w:hAnsi="CG Times"/>
        <w:sz w:val="22"/>
        <w:szCs w:val="22"/>
      </w:rPr>
    </w:pPr>
    <w:r w:rsidRPr="00A03E9D">
      <w:rPr>
        <w:rFonts w:ascii="CG Times" w:hAnsi="CG Times"/>
        <w:sz w:val="22"/>
        <w:szCs w:val="22"/>
      </w:rPr>
      <w:fldChar w:fldCharType="begin"/>
    </w:r>
    <w:r w:rsidR="003858CD" w:rsidRPr="00A03E9D">
      <w:rPr>
        <w:rFonts w:ascii="CG Times" w:hAnsi="CG Times"/>
        <w:sz w:val="22"/>
        <w:szCs w:val="22"/>
      </w:rPr>
      <w:instrText xml:space="preserve"> PAGE   \* MERGEFORMAT </w:instrText>
    </w:r>
    <w:r w:rsidRPr="00A03E9D">
      <w:rPr>
        <w:rFonts w:ascii="CG Times" w:hAnsi="CG Times"/>
        <w:sz w:val="22"/>
        <w:szCs w:val="22"/>
      </w:rPr>
      <w:fldChar w:fldCharType="separate"/>
    </w:r>
    <w:r w:rsidR="009C3FE3">
      <w:rPr>
        <w:rFonts w:ascii="CG Times" w:hAnsi="CG Times"/>
        <w:noProof/>
        <w:sz w:val="22"/>
        <w:szCs w:val="22"/>
      </w:rPr>
      <w:t>8692</w:t>
    </w:r>
    <w:r w:rsidRPr="00A03E9D">
      <w:rPr>
        <w:rFonts w:ascii="CG Times" w:hAnsi="CG Times"/>
        <w:sz w:val="22"/>
        <w:szCs w:val="22"/>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Pr="00A03E9D" w:rsidRDefault="00CA5FCB">
    <w:pPr>
      <w:pStyle w:val="Footer"/>
      <w:jc w:val="right"/>
      <w:rPr>
        <w:rFonts w:ascii="CG Times" w:hAnsi="CG Times"/>
        <w:sz w:val="22"/>
        <w:szCs w:val="22"/>
      </w:rPr>
    </w:pPr>
    <w:r w:rsidRPr="00A03E9D">
      <w:rPr>
        <w:rFonts w:ascii="CG Times" w:hAnsi="CG Times"/>
        <w:sz w:val="22"/>
        <w:szCs w:val="22"/>
      </w:rPr>
      <w:fldChar w:fldCharType="begin"/>
    </w:r>
    <w:r w:rsidR="003858CD" w:rsidRPr="00A03E9D">
      <w:rPr>
        <w:rFonts w:ascii="CG Times" w:hAnsi="CG Times"/>
        <w:sz w:val="22"/>
        <w:szCs w:val="22"/>
      </w:rPr>
      <w:instrText xml:space="preserve"> PAGE   \* MERGEFORMAT </w:instrText>
    </w:r>
    <w:r w:rsidRPr="00A03E9D">
      <w:rPr>
        <w:rFonts w:ascii="CG Times" w:hAnsi="CG Times"/>
        <w:sz w:val="22"/>
        <w:szCs w:val="22"/>
      </w:rPr>
      <w:fldChar w:fldCharType="separate"/>
    </w:r>
    <w:r w:rsidR="009C3FE3">
      <w:rPr>
        <w:rFonts w:ascii="CG Times" w:hAnsi="CG Times"/>
        <w:noProof/>
        <w:sz w:val="22"/>
        <w:szCs w:val="22"/>
      </w:rPr>
      <w:t>8691</w:t>
    </w:r>
    <w:r w:rsidRPr="00A03E9D">
      <w:rPr>
        <w:rFonts w:ascii="CG Times" w:hAnsi="CG Times"/>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58CD" w:rsidRDefault="003858CD" w:rsidP="0039754A">
      <w:pPr>
        <w:pStyle w:val="Paragrafi"/>
        <w:rPr>
          <w:rFonts w:cs="Times New Roman"/>
        </w:rPr>
      </w:pPr>
      <w:r>
        <w:rPr>
          <w:rFonts w:cs="Times New Roman"/>
        </w:rPr>
        <w:separator/>
      </w:r>
    </w:p>
  </w:footnote>
  <w:footnote w:type="continuationSeparator" w:id="0">
    <w:p w:rsidR="003858CD" w:rsidRDefault="003858CD" w:rsidP="0039754A">
      <w:pPr>
        <w:pStyle w:val="Paragrafi"/>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Default="00CA5FCB" w:rsidP="00FA48F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4pt;height:28.8pt">
          <v:imagedata r:id="rId1" o:title="" croptop="1938f" cropbottom="3208f"/>
        </v:shape>
      </w:pict>
    </w:r>
  </w:p>
  <w:p w:rsidR="003858CD" w:rsidRPr="00AE7784" w:rsidRDefault="003858CD" w:rsidP="00AF6F98">
    <w:pPr>
      <w:pStyle w:val="Header"/>
      <w:pBdr>
        <w:top w:val="single" w:sz="2" w:space="1" w:color="auto"/>
      </w:pBdr>
      <w:tabs>
        <w:tab w:val="clear" w:pos="9360"/>
      </w:tabs>
      <w:ind w:right="-1369"/>
      <w:rPr>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Default="00CA5FCB" w:rsidP="00A0512E">
    <w:pPr>
      <w:pStyle w:val="Header"/>
      <w:tabs>
        <w:tab w:val="clear" w:pos="4680"/>
        <w:tab w:val="clear" w:pos="9360"/>
      </w:tabs>
      <w:ind w:right="1134"/>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8pt;height:28.8pt">
          <v:imagedata r:id="rId1" o:title="" croptop="-7329f"/>
        </v:shape>
      </w:pict>
    </w:r>
  </w:p>
  <w:p w:rsidR="003858CD" w:rsidRPr="00213FDE" w:rsidRDefault="003858C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Default="009C3FE3" w:rsidP="00FA48F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2.4pt;height:28.8pt">
          <v:imagedata r:id="rId1" o:title="" croptop="1938f" cropbottom="3208f"/>
        </v:shape>
      </w:pict>
    </w:r>
  </w:p>
  <w:p w:rsidR="003858CD" w:rsidRPr="00AE7784" w:rsidRDefault="003858CD" w:rsidP="00AF6F98">
    <w:pPr>
      <w:pStyle w:val="Header"/>
      <w:pBdr>
        <w:top w:val="single" w:sz="2" w:space="1" w:color="auto"/>
      </w:pBdr>
      <w:tabs>
        <w:tab w:val="clear" w:pos="9360"/>
      </w:tabs>
      <w:ind w:right="-1369"/>
      <w:rPr>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Default="009C3FE3" w:rsidP="00A0512E">
    <w:pPr>
      <w:pStyle w:val="Header"/>
      <w:tabs>
        <w:tab w:val="clear" w:pos="4680"/>
        <w:tab w:val="clear" w:pos="9360"/>
      </w:tabs>
      <w:ind w:right="1134"/>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00.8pt;height:28.8pt">
          <v:imagedata r:id="rId1" o:title="" croptop="-7329f"/>
        </v:shape>
      </w:pict>
    </w:r>
  </w:p>
  <w:p w:rsidR="003858CD" w:rsidRPr="00213FDE" w:rsidRDefault="003858CD"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Default="003858CD" w:rsidP="0039754A">
    <w:pPr>
      <w:pStyle w:val="Header"/>
      <w:tabs>
        <w:tab w:val="clear" w:pos="9360"/>
      </w:tabs>
      <w:ind w:left="-1418" w:right="-1418"/>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8CD" w:rsidRDefault="003858CD" w:rsidP="0039754A">
    <w:pPr>
      <w:pStyle w:val="Header"/>
      <w:ind w:left="-141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cs="Symbol" w:hint="default"/>
      </w:rPr>
    </w:lvl>
  </w:abstractNum>
  <w:abstractNum w:abstractNumId="10">
    <w:nsid w:val="04D6241C"/>
    <w:multiLevelType w:val="hybridMultilevel"/>
    <w:tmpl w:val="E896760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cs="Wingdings" w:hint="default"/>
      </w:rPr>
    </w:lvl>
    <w:lvl w:ilvl="3" w:tplc="04100001">
      <w:start w:val="1"/>
      <w:numFmt w:val="bullet"/>
      <w:lvlText w:val=""/>
      <w:lvlJc w:val="left"/>
      <w:pPr>
        <w:ind w:left="3228" w:hanging="360"/>
      </w:pPr>
      <w:rPr>
        <w:rFonts w:ascii="Symbol" w:hAnsi="Symbol" w:cs="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cs="Wingdings" w:hint="default"/>
      </w:rPr>
    </w:lvl>
    <w:lvl w:ilvl="6" w:tplc="04100001">
      <w:start w:val="1"/>
      <w:numFmt w:val="bullet"/>
      <w:lvlText w:val=""/>
      <w:lvlJc w:val="left"/>
      <w:pPr>
        <w:ind w:left="5388" w:hanging="360"/>
      </w:pPr>
      <w:rPr>
        <w:rFonts w:ascii="Symbol" w:hAnsi="Symbol" w:cs="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cs="Wingdings" w:hint="default"/>
      </w:rPr>
    </w:lvl>
  </w:abstractNum>
  <w:abstractNum w:abstractNumId="12">
    <w:nsid w:val="08A95A83"/>
    <w:multiLevelType w:val="hybridMultilevel"/>
    <w:tmpl w:val="1E98309C"/>
    <w:lvl w:ilvl="0" w:tplc="04090001">
      <w:start w:val="1"/>
      <w:numFmt w:val="bullet"/>
      <w:lvlText w:val=""/>
      <w:lvlJc w:val="left"/>
      <w:pPr>
        <w:ind w:left="1446" w:hanging="360"/>
      </w:pPr>
      <w:rPr>
        <w:rFonts w:ascii="Symbol" w:hAnsi="Symbol" w:cs="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cs="Wingdings" w:hint="default"/>
      </w:rPr>
    </w:lvl>
    <w:lvl w:ilvl="3" w:tplc="04090001">
      <w:start w:val="1"/>
      <w:numFmt w:val="bullet"/>
      <w:lvlText w:val=""/>
      <w:lvlJc w:val="left"/>
      <w:pPr>
        <w:ind w:left="3606" w:hanging="360"/>
      </w:pPr>
      <w:rPr>
        <w:rFonts w:ascii="Symbol" w:hAnsi="Symbol" w:cs="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cs="Wingdings" w:hint="default"/>
      </w:rPr>
    </w:lvl>
    <w:lvl w:ilvl="6" w:tplc="04090001">
      <w:start w:val="1"/>
      <w:numFmt w:val="bullet"/>
      <w:lvlText w:val=""/>
      <w:lvlJc w:val="left"/>
      <w:pPr>
        <w:ind w:left="5766" w:hanging="360"/>
      </w:pPr>
      <w:rPr>
        <w:rFonts w:ascii="Symbol" w:hAnsi="Symbol" w:cs="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cs="Wingdings" w:hint="default"/>
      </w:rPr>
    </w:lvl>
  </w:abstractNum>
  <w:abstractNum w:abstractNumId="13">
    <w:nsid w:val="14886811"/>
    <w:multiLevelType w:val="hybridMultilevel"/>
    <w:tmpl w:val="9E78EF0A"/>
    <w:lvl w:ilvl="0" w:tplc="04090001">
      <w:start w:val="1"/>
      <w:numFmt w:val="bullet"/>
      <w:lvlText w:val=""/>
      <w:lvlJc w:val="left"/>
      <w:pPr>
        <w:ind w:left="1170" w:hanging="360"/>
      </w:pPr>
      <w:rPr>
        <w:rFonts w:ascii="Symbol" w:hAnsi="Symbol" w:cs="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cs="Wingdings" w:hint="default"/>
      </w:rPr>
    </w:lvl>
    <w:lvl w:ilvl="3" w:tplc="04090001">
      <w:start w:val="1"/>
      <w:numFmt w:val="bullet"/>
      <w:lvlText w:val=""/>
      <w:lvlJc w:val="left"/>
      <w:pPr>
        <w:ind w:left="3330" w:hanging="360"/>
      </w:pPr>
      <w:rPr>
        <w:rFonts w:ascii="Symbol" w:hAnsi="Symbol" w:cs="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cs="Wingdings" w:hint="default"/>
      </w:rPr>
    </w:lvl>
    <w:lvl w:ilvl="6" w:tplc="04090001">
      <w:start w:val="1"/>
      <w:numFmt w:val="bullet"/>
      <w:lvlText w:val=""/>
      <w:lvlJc w:val="left"/>
      <w:pPr>
        <w:ind w:left="5490" w:hanging="360"/>
      </w:pPr>
      <w:rPr>
        <w:rFonts w:ascii="Symbol" w:hAnsi="Symbol" w:cs="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cs="Wingdings" w:hint="default"/>
      </w:rPr>
    </w:lvl>
  </w:abstractNum>
  <w:abstractNum w:abstractNumId="14">
    <w:nsid w:val="1F5B2ABC"/>
    <w:multiLevelType w:val="hybridMultilevel"/>
    <w:tmpl w:val="FC421D20"/>
    <w:lvl w:ilvl="0" w:tplc="F5E641DC">
      <w:start w:val="10"/>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5">
    <w:nsid w:val="2B1F76FF"/>
    <w:multiLevelType w:val="hybridMultilevel"/>
    <w:tmpl w:val="BB740098"/>
    <w:lvl w:ilvl="0" w:tplc="0409000B">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6">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38C64A12"/>
    <w:multiLevelType w:val="hybridMultilevel"/>
    <w:tmpl w:val="C15EC4BA"/>
    <w:lvl w:ilvl="0" w:tplc="1D34DDAC">
      <w:start w:val="1"/>
      <w:numFmt w:val="decimal"/>
      <w:lvlText w:val="%1."/>
      <w:lvlJc w:val="left"/>
      <w:pPr>
        <w:ind w:left="45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9">
    <w:nsid w:val="44FB231C"/>
    <w:multiLevelType w:val="multilevel"/>
    <w:tmpl w:val="3086020E"/>
    <w:lvl w:ilvl="0">
      <w:start w:val="1"/>
      <w:numFmt w:val="decimal"/>
      <w:lvlText w:val="%1"/>
      <w:lvlJc w:val="left"/>
      <w:pPr>
        <w:ind w:left="435" w:hanging="435"/>
      </w:pPr>
      <w:rPr>
        <w:rFonts w:hint="default"/>
        <w:b/>
        <w:bCs/>
      </w:rPr>
    </w:lvl>
    <w:lvl w:ilvl="1">
      <w:start w:val="1"/>
      <w:numFmt w:val="decimal"/>
      <w:lvlText w:val="%1.%2"/>
      <w:lvlJc w:val="left"/>
      <w:pPr>
        <w:ind w:left="435" w:hanging="435"/>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440" w:hanging="1440"/>
      </w:pPr>
      <w:rPr>
        <w:rFonts w:hint="default"/>
        <w:b/>
        <w:bCs/>
      </w:rPr>
    </w:lvl>
    <w:lvl w:ilvl="6">
      <w:start w:val="1"/>
      <w:numFmt w:val="decimal"/>
      <w:lvlText w:val="%1.%2.%3.%4.%5.%6.%7"/>
      <w:lvlJc w:val="left"/>
      <w:pPr>
        <w:ind w:left="1440" w:hanging="1440"/>
      </w:pPr>
      <w:rPr>
        <w:rFonts w:hint="default"/>
        <w:b/>
        <w:bCs/>
      </w:rPr>
    </w:lvl>
    <w:lvl w:ilvl="7">
      <w:start w:val="1"/>
      <w:numFmt w:val="decimal"/>
      <w:lvlText w:val="%1.%2.%3.%4.%5.%6.%7.%8"/>
      <w:lvlJc w:val="left"/>
      <w:pPr>
        <w:ind w:left="1800" w:hanging="1800"/>
      </w:pPr>
      <w:rPr>
        <w:rFonts w:hint="default"/>
        <w:b/>
        <w:bCs/>
      </w:rPr>
    </w:lvl>
    <w:lvl w:ilvl="8">
      <w:start w:val="1"/>
      <w:numFmt w:val="decimal"/>
      <w:lvlText w:val="%1.%2.%3.%4.%5.%6.%7.%8.%9"/>
      <w:lvlJc w:val="left"/>
      <w:pPr>
        <w:ind w:left="1800" w:hanging="1800"/>
      </w:pPr>
      <w:rPr>
        <w:rFonts w:hint="default"/>
        <w:b/>
        <w:bCs/>
      </w:rPr>
    </w:lvl>
  </w:abstractNum>
  <w:abstractNum w:abstractNumId="20">
    <w:nsid w:val="591414EF"/>
    <w:multiLevelType w:val="hybridMultilevel"/>
    <w:tmpl w:val="180A8302"/>
    <w:lvl w:ilvl="0" w:tplc="74A2FBD8">
      <w:start w:val="7"/>
      <w:numFmt w:val="decimal"/>
      <w:lvlText w:val="%1."/>
      <w:lvlJc w:val="left"/>
      <w:pPr>
        <w:ind w:left="1778" w:hanging="360"/>
      </w:pPr>
      <w:rPr>
        <w:b/>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2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2">
    <w:nsid w:val="6BF72488"/>
    <w:multiLevelType w:val="hybridMultilevel"/>
    <w:tmpl w:val="4DFC2A5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3">
    <w:nsid w:val="73A13E8D"/>
    <w:multiLevelType w:val="hybridMultilevel"/>
    <w:tmpl w:val="E82C7CE0"/>
    <w:lvl w:ilvl="0" w:tplc="1346A4AE">
      <w:start w:val="9"/>
      <w:numFmt w:val="decimal"/>
      <w:lvlText w:val="%1."/>
      <w:lvlJc w:val="left"/>
      <w:pPr>
        <w:ind w:left="540" w:hanging="360"/>
      </w:pPr>
      <w:rPr>
        <w:rFonts w:hint="default"/>
        <w:b/>
        <w:bCs/>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4">
    <w:nsid w:val="7CCE3D5A"/>
    <w:multiLevelType w:val="hybridMultilevel"/>
    <w:tmpl w:val="A6E647AC"/>
    <w:lvl w:ilvl="0" w:tplc="04090001">
      <w:start w:val="1"/>
      <w:numFmt w:val="bullet"/>
      <w:lvlText w:val=""/>
      <w:lvlJc w:val="left"/>
      <w:pPr>
        <w:ind w:left="1170" w:hanging="360"/>
      </w:pPr>
      <w:rPr>
        <w:rFonts w:ascii="Symbol" w:hAnsi="Symbol" w:cs="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cs="Wingdings" w:hint="default"/>
      </w:rPr>
    </w:lvl>
    <w:lvl w:ilvl="3" w:tplc="04090001">
      <w:start w:val="1"/>
      <w:numFmt w:val="bullet"/>
      <w:lvlText w:val=""/>
      <w:lvlJc w:val="left"/>
      <w:pPr>
        <w:ind w:left="3330" w:hanging="360"/>
      </w:pPr>
      <w:rPr>
        <w:rFonts w:ascii="Symbol" w:hAnsi="Symbol" w:cs="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cs="Wingdings" w:hint="default"/>
      </w:rPr>
    </w:lvl>
    <w:lvl w:ilvl="6" w:tplc="04090001">
      <w:start w:val="1"/>
      <w:numFmt w:val="bullet"/>
      <w:lvlText w:val=""/>
      <w:lvlJc w:val="left"/>
      <w:pPr>
        <w:ind w:left="5490" w:hanging="360"/>
      </w:pPr>
      <w:rPr>
        <w:rFonts w:ascii="Symbol" w:hAnsi="Symbol" w:cs="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cs="Wingdings" w:hint="default"/>
      </w:rPr>
    </w:lvl>
  </w:abstractNum>
  <w:num w:numId="1">
    <w:abstractNumId w:val="7"/>
  </w:num>
  <w:num w:numId="2">
    <w:abstractNumId w:val="7"/>
  </w:num>
  <w:num w:numId="3">
    <w:abstractNumId w:val="7"/>
  </w:num>
  <w:num w:numId="4">
    <w:abstractNumId w:val="7"/>
  </w:num>
  <w:num w:numId="5">
    <w:abstractNumId w:val="7"/>
  </w:num>
  <w:num w:numId="6">
    <w:abstractNumId w:val="21"/>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3"/>
  </w:num>
  <w:num w:numId="11">
    <w:abstractNumId w:val="17"/>
  </w:num>
  <w:num w:numId="12">
    <w:abstractNumId w:val="13"/>
  </w:num>
  <w:num w:numId="13">
    <w:abstractNumId w:val="24"/>
  </w:num>
  <w:num w:numId="14">
    <w:abstractNumId w:val="9"/>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2"/>
  </w:num>
  <w:num w:numId="24">
    <w:abstractNumId w:val="12"/>
  </w:num>
  <w:num w:numId="25">
    <w:abstractNumId w:val="14"/>
  </w:num>
  <w:num w:numId="26">
    <w:abstractNumId w:val="19"/>
  </w:num>
  <w:num w:numId="27">
    <w:abstractNumId w:val="18"/>
  </w:num>
  <w:num w:numId="28">
    <w:abstractNumId w:val="16"/>
  </w:num>
  <w:num w:numId="29">
    <w:abstractNumId w:val="10"/>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819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207C"/>
    <w:rsid w:val="00000408"/>
    <w:rsid w:val="00004768"/>
    <w:rsid w:val="00036C5C"/>
    <w:rsid w:val="000401F3"/>
    <w:rsid w:val="00051F6B"/>
    <w:rsid w:val="0005775E"/>
    <w:rsid w:val="000A11A1"/>
    <w:rsid w:val="000B1276"/>
    <w:rsid w:val="000C48ED"/>
    <w:rsid w:val="000D0E53"/>
    <w:rsid w:val="000E060F"/>
    <w:rsid w:val="00110653"/>
    <w:rsid w:val="001302D1"/>
    <w:rsid w:val="00150C2E"/>
    <w:rsid w:val="00151ECF"/>
    <w:rsid w:val="001659FA"/>
    <w:rsid w:val="001674A9"/>
    <w:rsid w:val="001A10B3"/>
    <w:rsid w:val="001C0408"/>
    <w:rsid w:val="001C0623"/>
    <w:rsid w:val="001D5148"/>
    <w:rsid w:val="00202EDD"/>
    <w:rsid w:val="00213FDE"/>
    <w:rsid w:val="00233A49"/>
    <w:rsid w:val="002340BC"/>
    <w:rsid w:val="00235F0A"/>
    <w:rsid w:val="00240677"/>
    <w:rsid w:val="00251027"/>
    <w:rsid w:val="002616F1"/>
    <w:rsid w:val="00265F62"/>
    <w:rsid w:val="00275AA8"/>
    <w:rsid w:val="002B2A62"/>
    <w:rsid w:val="002D5F75"/>
    <w:rsid w:val="00312E0C"/>
    <w:rsid w:val="00324FE2"/>
    <w:rsid w:val="00326B0C"/>
    <w:rsid w:val="00332D96"/>
    <w:rsid w:val="00333B05"/>
    <w:rsid w:val="00335B02"/>
    <w:rsid w:val="00344651"/>
    <w:rsid w:val="003620E5"/>
    <w:rsid w:val="00376AA6"/>
    <w:rsid w:val="003858CD"/>
    <w:rsid w:val="0039754A"/>
    <w:rsid w:val="003B329D"/>
    <w:rsid w:val="003B3546"/>
    <w:rsid w:val="003B4296"/>
    <w:rsid w:val="003C7C6D"/>
    <w:rsid w:val="003D44CD"/>
    <w:rsid w:val="003E3217"/>
    <w:rsid w:val="003F4FF5"/>
    <w:rsid w:val="003F6068"/>
    <w:rsid w:val="00400758"/>
    <w:rsid w:val="004046C2"/>
    <w:rsid w:val="00407258"/>
    <w:rsid w:val="004101E2"/>
    <w:rsid w:val="00410C4E"/>
    <w:rsid w:val="00412F60"/>
    <w:rsid w:val="004210CA"/>
    <w:rsid w:val="00422CA6"/>
    <w:rsid w:val="0042709E"/>
    <w:rsid w:val="00435581"/>
    <w:rsid w:val="0045042C"/>
    <w:rsid w:val="00462CC4"/>
    <w:rsid w:val="004808DF"/>
    <w:rsid w:val="00486439"/>
    <w:rsid w:val="004C340A"/>
    <w:rsid w:val="00501C46"/>
    <w:rsid w:val="0050543B"/>
    <w:rsid w:val="00507BAC"/>
    <w:rsid w:val="00512D73"/>
    <w:rsid w:val="00523391"/>
    <w:rsid w:val="005660E4"/>
    <w:rsid w:val="00571337"/>
    <w:rsid w:val="00572063"/>
    <w:rsid w:val="0058158D"/>
    <w:rsid w:val="005F3372"/>
    <w:rsid w:val="00613502"/>
    <w:rsid w:val="00622F48"/>
    <w:rsid w:val="00644C11"/>
    <w:rsid w:val="00656102"/>
    <w:rsid w:val="0065652B"/>
    <w:rsid w:val="0067465B"/>
    <w:rsid w:val="0069429A"/>
    <w:rsid w:val="006D34FE"/>
    <w:rsid w:val="00721C49"/>
    <w:rsid w:val="00726052"/>
    <w:rsid w:val="0073315A"/>
    <w:rsid w:val="00740FC3"/>
    <w:rsid w:val="00747D0B"/>
    <w:rsid w:val="00760BD9"/>
    <w:rsid w:val="007A1301"/>
    <w:rsid w:val="007B00EC"/>
    <w:rsid w:val="007D22F0"/>
    <w:rsid w:val="007D2A90"/>
    <w:rsid w:val="007D62B2"/>
    <w:rsid w:val="007D7C24"/>
    <w:rsid w:val="007E1A4A"/>
    <w:rsid w:val="007F47DC"/>
    <w:rsid w:val="0082201D"/>
    <w:rsid w:val="008508D4"/>
    <w:rsid w:val="00865ED3"/>
    <w:rsid w:val="0088207C"/>
    <w:rsid w:val="008B209A"/>
    <w:rsid w:val="008B27E6"/>
    <w:rsid w:val="008E401F"/>
    <w:rsid w:val="008F279D"/>
    <w:rsid w:val="00907269"/>
    <w:rsid w:val="009230C0"/>
    <w:rsid w:val="009260B8"/>
    <w:rsid w:val="009309E9"/>
    <w:rsid w:val="00947EE5"/>
    <w:rsid w:val="00951404"/>
    <w:rsid w:val="0095190A"/>
    <w:rsid w:val="00967DEA"/>
    <w:rsid w:val="0099664F"/>
    <w:rsid w:val="009A5B54"/>
    <w:rsid w:val="009B7484"/>
    <w:rsid w:val="009C3FE3"/>
    <w:rsid w:val="00A03E9D"/>
    <w:rsid w:val="00A0512E"/>
    <w:rsid w:val="00A121C7"/>
    <w:rsid w:val="00A13827"/>
    <w:rsid w:val="00A206AD"/>
    <w:rsid w:val="00A4027C"/>
    <w:rsid w:val="00A604C0"/>
    <w:rsid w:val="00AC06B8"/>
    <w:rsid w:val="00AC76A2"/>
    <w:rsid w:val="00AE4CDC"/>
    <w:rsid w:val="00AE56CF"/>
    <w:rsid w:val="00AE7784"/>
    <w:rsid w:val="00AF6F98"/>
    <w:rsid w:val="00B0651D"/>
    <w:rsid w:val="00B06D47"/>
    <w:rsid w:val="00B23644"/>
    <w:rsid w:val="00B36A16"/>
    <w:rsid w:val="00B500A0"/>
    <w:rsid w:val="00B511D2"/>
    <w:rsid w:val="00B62DE8"/>
    <w:rsid w:val="00B7037F"/>
    <w:rsid w:val="00BA1063"/>
    <w:rsid w:val="00BA12AE"/>
    <w:rsid w:val="00BB692D"/>
    <w:rsid w:val="00BB703E"/>
    <w:rsid w:val="00BD61EB"/>
    <w:rsid w:val="00BE1B84"/>
    <w:rsid w:val="00BE4777"/>
    <w:rsid w:val="00BF5FAA"/>
    <w:rsid w:val="00BF7899"/>
    <w:rsid w:val="00C172B4"/>
    <w:rsid w:val="00C24036"/>
    <w:rsid w:val="00C47D3B"/>
    <w:rsid w:val="00C501FD"/>
    <w:rsid w:val="00C71B4C"/>
    <w:rsid w:val="00C7368A"/>
    <w:rsid w:val="00CA38C3"/>
    <w:rsid w:val="00CA5FCB"/>
    <w:rsid w:val="00CA7B3D"/>
    <w:rsid w:val="00CD2E8F"/>
    <w:rsid w:val="00D34BF9"/>
    <w:rsid w:val="00D3609F"/>
    <w:rsid w:val="00D76E7C"/>
    <w:rsid w:val="00DB3D2B"/>
    <w:rsid w:val="00DC0132"/>
    <w:rsid w:val="00DC5099"/>
    <w:rsid w:val="00DD04EB"/>
    <w:rsid w:val="00DE5594"/>
    <w:rsid w:val="00DF4F2C"/>
    <w:rsid w:val="00E36FD1"/>
    <w:rsid w:val="00E446FA"/>
    <w:rsid w:val="00E51779"/>
    <w:rsid w:val="00E6283C"/>
    <w:rsid w:val="00E766C1"/>
    <w:rsid w:val="00E90471"/>
    <w:rsid w:val="00EB3768"/>
    <w:rsid w:val="00ED2133"/>
    <w:rsid w:val="00ED515D"/>
    <w:rsid w:val="00ED79F4"/>
    <w:rsid w:val="00F02A7C"/>
    <w:rsid w:val="00F07EC5"/>
    <w:rsid w:val="00F26C1F"/>
    <w:rsid w:val="00F41E09"/>
    <w:rsid w:val="00F56619"/>
    <w:rsid w:val="00F81EC5"/>
    <w:rsid w:val="00F823DD"/>
    <w:rsid w:val="00F96EB3"/>
    <w:rsid w:val="00F97A4A"/>
    <w:rsid w:val="00FA48F7"/>
    <w:rsid w:val="00FA6018"/>
    <w:rsid w:val="00FD3F71"/>
    <w:rsid w:val="00FD59D8"/>
    <w:rsid w:val="00FE142A"/>
    <w:rsid w:val="00FF718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251027"/>
    <w:rPr>
      <w:sz w:val="24"/>
      <w:szCs w:val="24"/>
      <w:lang w:val="sq-AL"/>
    </w:rPr>
  </w:style>
  <w:style w:type="paragraph" w:styleId="Heading1">
    <w:name w:val="heading 1"/>
    <w:aliases w:val="Heading 1 Char1,Heading 1 Char1 Char,Heading 1 Char Char Char"/>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locked/>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locked/>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lang w:val="en-GB"/>
    </w:rPr>
  </w:style>
  <w:style w:type="paragraph" w:customStyle="1" w:styleId="Aneksi">
    <w:name w:val="Aneksi"/>
    <w:next w:val="Normal"/>
    <w:uiPriority w:val="99"/>
    <w:rsid w:val="00251027"/>
    <w:rPr>
      <w:rFonts w:ascii="CG Times" w:hAnsi="CG Times" w:cs="CG Times"/>
      <w:lang w:val="en-GB"/>
    </w:rPr>
  </w:style>
  <w:style w:type="paragraph" w:customStyle="1" w:styleId="AneksiNr">
    <w:name w:val="Aneksi_Nr"/>
    <w:next w:val="Normal"/>
    <w:uiPriority w:val="99"/>
    <w:rsid w:val="00251027"/>
    <w:pPr>
      <w:keepNext/>
      <w:widowControl w:val="0"/>
      <w:jc w:val="center"/>
    </w:pPr>
    <w:rPr>
      <w:rFonts w:ascii="CG Times" w:hAnsi="CG Times" w:cs="CG Times"/>
      <w:caps/>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lang w:val="en-GB"/>
    </w:rPr>
  </w:style>
  <w:style w:type="paragraph" w:customStyle="1" w:styleId="AutoritetiEmer">
    <w:name w:val="Autoriteti_Emer"/>
    <w:next w:val="Normal"/>
    <w:uiPriority w:val="99"/>
    <w:rsid w:val="00251027"/>
    <w:pPr>
      <w:widowControl w:val="0"/>
      <w:jc w:val="right"/>
    </w:pPr>
    <w:rPr>
      <w:rFonts w:ascii="CG Times" w:hAnsi="CG Times" w:cs="CG Times"/>
      <w:b/>
      <w:bCs/>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lang w:val="en-GB"/>
    </w:rPr>
  </w:style>
  <w:style w:type="paragraph" w:customStyle="1" w:styleId="Kapakufund">
    <w:name w:val="Kapaku_fund"/>
    <w:next w:val="Normal"/>
    <w:uiPriority w:val="99"/>
    <w:rsid w:val="00251027"/>
    <w:pPr>
      <w:pageBreakBefore/>
    </w:pPr>
    <w:rPr>
      <w:rFonts w:ascii="CG Times" w:hAnsi="CG Times" w:cs="CG Times"/>
      <w:b/>
      <w:bCs/>
    </w:rPr>
  </w:style>
  <w:style w:type="paragraph" w:customStyle="1" w:styleId="KapitulliNr">
    <w:name w:val="Kapitulli_Nr"/>
    <w:uiPriority w:val="99"/>
    <w:rsid w:val="00251027"/>
    <w:pPr>
      <w:keepNext/>
      <w:widowControl w:val="0"/>
      <w:jc w:val="center"/>
    </w:pPr>
    <w:rPr>
      <w:rFonts w:ascii="CG Times" w:hAnsi="CG Times" w:cs="CG Times"/>
      <w:caps/>
      <w:lang w:val="en-GB"/>
    </w:rPr>
  </w:style>
  <w:style w:type="paragraph" w:customStyle="1" w:styleId="KapitulliTitull">
    <w:name w:val="Kapitulli_Titull"/>
    <w:uiPriority w:val="99"/>
    <w:rsid w:val="00251027"/>
    <w:pPr>
      <w:keepNext/>
      <w:widowControl w:val="0"/>
      <w:jc w:val="center"/>
    </w:pPr>
    <w:rPr>
      <w:rFonts w:ascii="CG Times" w:hAnsi="CG Times" w:cs="CG Times"/>
      <w:caps/>
      <w:lang w:val="en-GB"/>
    </w:rPr>
  </w:style>
  <w:style w:type="paragraph" w:customStyle="1" w:styleId="KreuNr">
    <w:name w:val="Kreu_Nr"/>
    <w:uiPriority w:val="99"/>
    <w:rsid w:val="00251027"/>
    <w:pPr>
      <w:keepNext/>
      <w:widowControl w:val="0"/>
      <w:jc w:val="center"/>
    </w:pPr>
    <w:rPr>
      <w:rFonts w:ascii="CG Times" w:hAnsi="CG Times" w:cs="CG Times"/>
      <w:caps/>
    </w:rPr>
  </w:style>
  <w:style w:type="paragraph" w:customStyle="1" w:styleId="KreuTitull">
    <w:name w:val="Kreu_Titull"/>
    <w:next w:val="KapitulliTitull"/>
    <w:uiPriority w:val="99"/>
    <w:rsid w:val="00251027"/>
    <w:pPr>
      <w:keepNext/>
      <w:widowControl w:val="0"/>
      <w:jc w:val="center"/>
    </w:pPr>
    <w:rPr>
      <w:rFonts w:ascii="CG Times" w:hAnsi="CG Times" w:cs="CG Times"/>
      <w:cap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rPr>
  </w:style>
  <w:style w:type="paragraph" w:customStyle="1" w:styleId="NeniNr">
    <w:name w:val="Neni_Nr"/>
    <w:next w:val="Normal"/>
    <w:link w:val="NeniNrChar"/>
    <w:uiPriority w:val="99"/>
    <w:rsid w:val="00251027"/>
    <w:pPr>
      <w:keepNext/>
      <w:widowControl w:val="0"/>
      <w:jc w:val="center"/>
    </w:pPr>
    <w:rPr>
      <w:rFonts w:ascii="CG Times" w:hAnsi="CG Times" w:cs="CG Times"/>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lang w:val="en-GB"/>
    </w:rPr>
  </w:style>
  <w:style w:type="paragraph" w:customStyle="1" w:styleId="NenkreuNr">
    <w:name w:val="Nenkreu_Nr"/>
    <w:uiPriority w:val="99"/>
    <w:rsid w:val="00251027"/>
    <w:pPr>
      <w:keepNext/>
      <w:widowControl w:val="0"/>
      <w:jc w:val="center"/>
    </w:pPr>
    <w:rPr>
      <w:rFonts w:ascii="CG Times" w:hAnsi="CG Times" w:cs="CG Times"/>
      <w:caps/>
      <w:lang w:val="en-GB"/>
    </w:rPr>
  </w:style>
  <w:style w:type="paragraph" w:customStyle="1" w:styleId="NenkreuTitull">
    <w:name w:val="Nenkreu_Titull"/>
    <w:uiPriority w:val="99"/>
    <w:rsid w:val="00251027"/>
    <w:pPr>
      <w:jc w:val="center"/>
    </w:pPr>
    <w:rPr>
      <w:rFonts w:ascii="CG Times" w:hAnsi="CG Times" w:cs="CG Times"/>
      <w:caps/>
      <w:lang w:val="en-GB"/>
    </w:rPr>
  </w:style>
  <w:style w:type="paragraph" w:customStyle="1" w:styleId="Nenpika">
    <w:name w:val="Nenpika"/>
    <w:next w:val="Normal"/>
    <w:autoRedefine/>
    <w:uiPriority w:val="99"/>
    <w:rsid w:val="00251027"/>
    <w:pPr>
      <w:ind w:firstLine="720"/>
    </w:pPr>
    <w:rPr>
      <w:rFonts w:ascii="CG Times" w:hAnsi="CG Times" w:cs="CG Time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sz w:val="20"/>
      <w:szCs w:val="20"/>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lang w:val="en-GB"/>
    </w:rPr>
  </w:style>
  <w:style w:type="paragraph" w:customStyle="1" w:styleId="PjesaTitull">
    <w:name w:val="Pjesa_Titull"/>
    <w:uiPriority w:val="99"/>
    <w:rsid w:val="00251027"/>
    <w:pPr>
      <w:keepNext/>
      <w:widowControl w:val="0"/>
      <w:jc w:val="center"/>
    </w:pPr>
    <w:rPr>
      <w:rFonts w:ascii="CG Times" w:hAnsi="CG Times" w:cs="CG Times"/>
      <w:caps/>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rPr>
  </w:style>
  <w:style w:type="character" w:customStyle="1" w:styleId="FootnoteTextChar">
    <w:name w:val="Footnote Text Char"/>
    <w:basedOn w:val="DefaultParagraphFont"/>
    <w:link w:val="FootnoteText"/>
    <w:uiPriority w:val="99"/>
    <w:semiHidden/>
    <w:locked/>
    <w:rsid w:val="00A4027C"/>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6"/>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572063"/>
    <w:rPr>
      <w:b/>
      <w:bCs/>
      <w:sz w:val="21"/>
      <w:szCs w:val="21"/>
      <w:lang w:val="en-GB"/>
    </w:rPr>
  </w:style>
  <w:style w:type="paragraph" w:customStyle="1" w:styleId="Heading1Left0cm">
    <w:name w:val="Heading 1 + Left:  0 cm"/>
    <w:aliases w:val="First line:  0 cm"/>
    <w:basedOn w:val="Heading1"/>
    <w:uiPriority w:val="99"/>
    <w:rsid w:val="00572063"/>
    <w:rPr>
      <w:rFonts w:ascii="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pPr>
    <w:rPr>
      <w:rFonts w:ascii="Calibri" w:hAnsi="Calibri" w:cs="Calibri"/>
      <w:sz w:val="22"/>
      <w:szCs w:val="22"/>
    </w:rPr>
  </w:style>
  <w:style w:type="paragraph" w:styleId="NoSpacing">
    <w:name w:val="No Spacing"/>
    <w:uiPriority w:val="99"/>
    <w:qFormat/>
    <w:rsid w:val="00AC76A2"/>
    <w:rPr>
      <w:sz w:val="24"/>
      <w:szCs w:val="24"/>
    </w:rPr>
  </w:style>
  <w:style w:type="character" w:customStyle="1" w:styleId="TitulliChar">
    <w:name w:val="Titulli Char"/>
    <w:basedOn w:val="DefaultParagraphFont"/>
    <w:link w:val="Titulli"/>
    <w:uiPriority w:val="99"/>
    <w:locked/>
    <w:rsid w:val="00AC76A2"/>
    <w:rPr>
      <w:rFonts w:ascii="CG Times" w:hAnsi="CG Times" w:cs="CG Times"/>
      <w:b/>
      <w:bCs/>
      <w:caps/>
      <w:sz w:val="22"/>
      <w:szCs w:val="22"/>
      <w:lang w:val="en-GB" w:eastAsia="en-US"/>
    </w:rPr>
  </w:style>
  <w:style w:type="character" w:customStyle="1" w:styleId="f11">
    <w:name w:val="f11"/>
    <w:basedOn w:val="DefaultParagraphFont"/>
    <w:uiPriority w:val="99"/>
    <w:rsid w:val="00AC76A2"/>
    <w:rPr>
      <w:rFonts w:ascii="Bookman Old Style" w:hAnsi="Bookman Old Style" w:cs="Bookman Old Style"/>
      <w:color w:val="000000"/>
      <w:sz w:val="22"/>
      <w:szCs w:val="22"/>
    </w:rPr>
  </w:style>
  <w:style w:type="paragraph" w:customStyle="1" w:styleId="ModelNrmlDouble">
    <w:name w:val="ModelNrmlDouble"/>
    <w:basedOn w:val="Normal"/>
    <w:uiPriority w:val="99"/>
    <w:rsid w:val="00AC76A2"/>
    <w:pPr>
      <w:spacing w:after="360" w:line="480" w:lineRule="auto"/>
      <w:ind w:firstLine="720"/>
      <w:jc w:val="both"/>
    </w:pPr>
    <w:rPr>
      <w:sz w:val="22"/>
      <w:szCs w:val="22"/>
    </w:rPr>
  </w:style>
  <w:style w:type="paragraph" w:customStyle="1" w:styleId="ModelDoubleNoIndent">
    <w:name w:val="ModelDoubleNoIndent"/>
    <w:uiPriority w:val="99"/>
    <w:rsid w:val="00AC76A2"/>
    <w:pPr>
      <w:spacing w:after="360" w:line="480" w:lineRule="auto"/>
      <w:jc w:val="both"/>
    </w:pPr>
    <w:rPr>
      <w:u w:val="single"/>
      <w:lang w:val="sq-AL"/>
    </w:rPr>
  </w:style>
  <w:style w:type="paragraph" w:customStyle="1" w:styleId="ModelNrmlSingle">
    <w:name w:val="ModelNrmlSingle"/>
    <w:basedOn w:val="Normal"/>
    <w:uiPriority w:val="99"/>
    <w:rsid w:val="00AC76A2"/>
    <w:pPr>
      <w:spacing w:after="240"/>
      <w:ind w:firstLine="720"/>
      <w:jc w:val="both"/>
    </w:pPr>
    <w:rPr>
      <w:sz w:val="22"/>
      <w:szCs w:val="22"/>
    </w:rPr>
  </w:style>
  <w:style w:type="character" w:styleId="Hyperlink">
    <w:name w:val="Hyperlink"/>
    <w:basedOn w:val="DefaultParagraphFont"/>
    <w:uiPriority w:val="99"/>
    <w:rsid w:val="00AC76A2"/>
    <w:rPr>
      <w:color w:val="0000FF"/>
      <w:u w:val="single"/>
    </w:rPr>
  </w:style>
  <w:style w:type="character" w:customStyle="1" w:styleId="NeniNrChar">
    <w:name w:val="Neni_Nr Char"/>
    <w:basedOn w:val="DefaultParagraphFont"/>
    <w:link w:val="NeniNr"/>
    <w:uiPriority w:val="99"/>
    <w:locked/>
    <w:rsid w:val="00AC76A2"/>
    <w:rPr>
      <w:rFonts w:ascii="CG Times" w:hAnsi="CG Times" w:cs="CG Times"/>
      <w:sz w:val="22"/>
      <w:szCs w:val="22"/>
      <w:lang w:val="en-GB" w:eastAsia="en-US"/>
    </w:rPr>
  </w:style>
  <w:style w:type="character" w:customStyle="1" w:styleId="TitulliTitullChar">
    <w:name w:val="Titulli_Titull Char"/>
    <w:basedOn w:val="DefaultParagraphFont"/>
    <w:link w:val="TitulliTitull"/>
    <w:uiPriority w:val="99"/>
    <w:locked/>
    <w:rsid w:val="00AC76A2"/>
    <w:rPr>
      <w:rFonts w:ascii="CG Times" w:hAnsi="CG Times" w:cs="CG Times"/>
      <w:caps/>
      <w:sz w:val="22"/>
      <w:szCs w:val="22"/>
      <w:lang w:val="en-GB" w:eastAsia="en-US"/>
    </w:rPr>
  </w:style>
  <w:style w:type="paragraph" w:customStyle="1" w:styleId="ecxyiv2026995msonormal">
    <w:name w:val="ecxyiv2026995msonormal"/>
    <w:basedOn w:val="Normal"/>
    <w:uiPriority w:val="99"/>
    <w:rsid w:val="00AC76A2"/>
    <w:pPr>
      <w:spacing w:after="324"/>
    </w:pPr>
  </w:style>
  <w:style w:type="character" w:customStyle="1" w:styleId="hpsatn">
    <w:name w:val="hps atn"/>
    <w:basedOn w:val="DefaultParagraphFont"/>
    <w:uiPriority w:val="99"/>
    <w:rsid w:val="00AC76A2"/>
  </w:style>
  <w:style w:type="character" w:customStyle="1" w:styleId="atn">
    <w:name w:val="atn"/>
    <w:basedOn w:val="DefaultParagraphFont"/>
    <w:uiPriority w:val="99"/>
    <w:rsid w:val="00AC76A2"/>
  </w:style>
  <w:style w:type="character" w:customStyle="1" w:styleId="gt-icon-text1">
    <w:name w:val="gt-icon-text1"/>
    <w:basedOn w:val="DefaultParagraphFont"/>
    <w:uiPriority w:val="99"/>
    <w:rsid w:val="00AC76A2"/>
  </w:style>
  <w:style w:type="paragraph" w:customStyle="1" w:styleId="CM4">
    <w:name w:val="CM4"/>
    <w:basedOn w:val="Normal"/>
    <w:next w:val="Normal"/>
    <w:uiPriority w:val="99"/>
    <w:rsid w:val="00AC76A2"/>
    <w:pPr>
      <w:autoSpaceDE w:val="0"/>
      <w:autoSpaceDN w:val="0"/>
      <w:adjustRightInd w:val="0"/>
    </w:pPr>
    <w:rPr>
      <w:rFonts w:ascii="EUAlbertina" w:hAnsi="EUAlbertina" w:cs="EUAlbertina"/>
    </w:rPr>
  </w:style>
  <w:style w:type="paragraph" w:customStyle="1" w:styleId="a">
    <w:name w:val="Κείμενο πλαισίου"/>
    <w:basedOn w:val="Normal"/>
    <w:uiPriority w:val="99"/>
    <w:semiHidden/>
    <w:rsid w:val="00AC76A2"/>
    <w:pPr>
      <w:widowControl w:val="0"/>
      <w:autoSpaceDE w:val="0"/>
      <w:autoSpaceDN w:val="0"/>
      <w:adjustRightInd w:val="0"/>
    </w:pPr>
    <w:rPr>
      <w:rFonts w:ascii="Tahoma" w:hAnsi="Tahoma" w:cs="Tahoma"/>
      <w:sz w:val="16"/>
      <w:szCs w:val="16"/>
      <w:lang w:val="el-GR" w:eastAsia="el-GR"/>
    </w:rPr>
  </w:style>
  <w:style w:type="paragraph" w:styleId="Caption">
    <w:name w:val="caption"/>
    <w:basedOn w:val="Normal"/>
    <w:next w:val="Normal"/>
    <w:uiPriority w:val="99"/>
    <w:qFormat/>
    <w:locked/>
    <w:rsid w:val="00AC76A2"/>
    <w:rPr>
      <w:b/>
      <w:bCs/>
      <w:sz w:val="20"/>
      <w:szCs w:val="20"/>
      <w:lang w:val="en-GB"/>
    </w:rPr>
  </w:style>
  <w:style w:type="paragraph" w:styleId="BodyText2">
    <w:name w:val="Body Text 2"/>
    <w:basedOn w:val="Normal"/>
    <w:link w:val="BodyText2Char"/>
    <w:uiPriority w:val="99"/>
    <w:rsid w:val="00AC76A2"/>
    <w:pPr>
      <w:jc w:val="center"/>
    </w:pPr>
    <w:rPr>
      <w:rFonts w:ascii="Arial" w:hAnsi="Arial" w:cs="Arial"/>
      <w:b/>
      <w:bCs/>
      <w:caps/>
      <w:sz w:val="28"/>
      <w:szCs w:val="28"/>
    </w:rPr>
  </w:style>
  <w:style w:type="character" w:customStyle="1" w:styleId="BodyText2Char">
    <w:name w:val="Body Text 2 Char"/>
    <w:basedOn w:val="DefaultParagraphFont"/>
    <w:link w:val="BodyText2"/>
    <w:uiPriority w:val="99"/>
    <w:semiHidden/>
    <w:locked/>
    <w:rsid w:val="00907269"/>
    <w:rPr>
      <w:sz w:val="24"/>
      <w:szCs w:val="24"/>
      <w:lang w:val="sq-AL"/>
    </w:rPr>
  </w:style>
  <w:style w:type="paragraph" w:customStyle="1" w:styleId="Char1CharChar1CharCharCharChar1CharCharChar1">
    <w:name w:val="Char1 Char Char1 Char Char Char Char1 Char Char Char1"/>
    <w:basedOn w:val="Normal"/>
    <w:uiPriority w:val="99"/>
    <w:rsid w:val="0095190A"/>
    <w:pPr>
      <w:spacing w:after="160" w:line="240" w:lineRule="exact"/>
    </w:pPr>
    <w:rPr>
      <w:rFonts w:ascii="Tahoma" w:hAnsi="Tahoma" w:cs="Tahoma"/>
      <w:sz w:val="20"/>
      <w:szCs w:val="20"/>
    </w:rPr>
  </w:style>
  <w:style w:type="paragraph" w:customStyle="1" w:styleId="Normal0">
    <w:name w:val="[Normal]"/>
    <w:uiPriority w:val="99"/>
    <w:rsid w:val="0095190A"/>
    <w:pPr>
      <w:autoSpaceDE w:val="0"/>
      <w:autoSpaceDN w:val="0"/>
      <w:adjustRightInd w:val="0"/>
    </w:pPr>
    <w:rPr>
      <w:rFonts w:ascii="Arial" w:hAnsi="Arial" w:cs="Arial"/>
      <w:sz w:val="24"/>
      <w:szCs w:val="24"/>
    </w:rPr>
  </w:style>
  <w:style w:type="paragraph" w:customStyle="1" w:styleId="a0">
    <w:name w:val="a0"/>
    <w:basedOn w:val="Normal"/>
    <w:uiPriority w:val="99"/>
    <w:rsid w:val="0095190A"/>
    <w:pPr>
      <w:spacing w:before="100" w:beforeAutospacing="1" w:after="100" w:afterAutospacing="1"/>
      <w:jc w:val="center"/>
    </w:pPr>
  </w:style>
  <w:style w:type="paragraph" w:customStyle="1" w:styleId="a1">
    <w:name w:val="a1"/>
    <w:basedOn w:val="Normal"/>
    <w:uiPriority w:val="99"/>
    <w:rsid w:val="0095190A"/>
    <w:pPr>
      <w:spacing w:before="100" w:beforeAutospacing="1" w:after="100" w:afterAutospacing="1"/>
    </w:pPr>
  </w:style>
  <w:style w:type="paragraph" w:customStyle="1" w:styleId="a2">
    <w:name w:val="a2"/>
    <w:basedOn w:val="Normal"/>
    <w:uiPriority w:val="99"/>
    <w:rsid w:val="0095190A"/>
    <w:pPr>
      <w:spacing w:before="100" w:beforeAutospacing="1" w:after="100" w:afterAutospacing="1"/>
      <w:jc w:val="both"/>
    </w:pPr>
  </w:style>
  <w:style w:type="character" w:customStyle="1" w:styleId="actstitle">
    <w:name w:val="actstitle"/>
    <w:basedOn w:val="DefaultParagraphFont"/>
    <w:uiPriority w:val="99"/>
    <w:rsid w:val="0095190A"/>
  </w:style>
  <w:style w:type="paragraph" w:customStyle="1" w:styleId="akti0">
    <w:name w:val="akti"/>
    <w:basedOn w:val="Normal"/>
    <w:uiPriority w:val="99"/>
    <w:rsid w:val="0095190A"/>
    <w:pPr>
      <w:spacing w:before="100" w:beforeAutospacing="1" w:after="100" w:afterAutospacing="1"/>
    </w:pPr>
    <w:rPr>
      <w:rFonts w:eastAsia="SimSun"/>
      <w:lang w:eastAsia="zh-CN"/>
    </w:rPr>
  </w:style>
  <w:style w:type="paragraph" w:customStyle="1" w:styleId="Anlagentext">
    <w:name w:val="Anlagentext"/>
    <w:basedOn w:val="Normal"/>
    <w:uiPriority w:val="99"/>
    <w:rsid w:val="0095190A"/>
    <w:pPr>
      <w:tabs>
        <w:tab w:val="left" w:pos="1701"/>
        <w:tab w:val="left" w:pos="3969"/>
        <w:tab w:val="left" w:pos="6237"/>
      </w:tabs>
    </w:pPr>
    <w:rPr>
      <w:rFonts w:ascii="Arial" w:hAnsi="Arial" w:cs="Arial"/>
      <w:sz w:val="20"/>
      <w:szCs w:val="20"/>
      <w:lang w:eastAsia="de-DE"/>
    </w:rPr>
  </w:style>
  <w:style w:type="paragraph" w:customStyle="1" w:styleId="anrede">
    <w:name w:val="anrede"/>
    <w:basedOn w:val="Normal"/>
    <w:next w:val="Normal"/>
    <w:uiPriority w:val="99"/>
    <w:rsid w:val="0095190A"/>
    <w:pPr>
      <w:spacing w:after="240" w:line="360" w:lineRule="atLeast"/>
      <w:jc w:val="both"/>
    </w:pPr>
    <w:rPr>
      <w:rFonts w:ascii="Arial" w:hAnsi="Arial" w:cs="Arial"/>
      <w:lang w:eastAsia="de-DE"/>
    </w:rPr>
  </w:style>
  <w:style w:type="paragraph" w:customStyle="1" w:styleId="Artikel">
    <w:name w:val="Artikel"/>
    <w:basedOn w:val="Normal"/>
    <w:uiPriority w:val="99"/>
    <w:rsid w:val="0095190A"/>
    <w:pPr>
      <w:spacing w:after="480" w:line="360" w:lineRule="atLeast"/>
      <w:jc w:val="center"/>
    </w:pPr>
    <w:rPr>
      <w:rFonts w:ascii="Arial" w:hAnsi="Arial" w:cs="Arial"/>
      <w:b/>
      <w:bCs/>
      <w:u w:val="single"/>
      <w:lang w:eastAsia="de-DE"/>
    </w:rPr>
  </w:style>
  <w:style w:type="character" w:customStyle="1" w:styleId="bc">
    <w:name w:val="bc"/>
    <w:basedOn w:val="DefaultParagraphFont"/>
    <w:uiPriority w:val="99"/>
    <w:rsid w:val="0095190A"/>
  </w:style>
  <w:style w:type="paragraph" w:customStyle="1" w:styleId="betreff">
    <w:name w:val="betreff"/>
    <w:basedOn w:val="Normal"/>
    <w:next w:val="anrede"/>
    <w:uiPriority w:val="99"/>
    <w:rsid w:val="0095190A"/>
    <w:pPr>
      <w:spacing w:after="480" w:line="360" w:lineRule="atLeast"/>
      <w:ind w:left="1276" w:hanging="1276"/>
      <w:jc w:val="both"/>
    </w:pPr>
    <w:rPr>
      <w:rFonts w:ascii="Arial" w:hAnsi="Arial" w:cs="Arial"/>
      <w:b/>
      <w:bCs/>
      <w:lang w:eastAsia="de-DE"/>
    </w:rPr>
  </w:style>
  <w:style w:type="paragraph" w:customStyle="1" w:styleId="Normal115pt">
    <w:name w:val="Normal + 11.5 pt"/>
    <w:aliases w:val="Black,Justified"/>
    <w:basedOn w:val="Normal"/>
    <w:uiPriority w:val="99"/>
    <w:rsid w:val="0095190A"/>
    <w:pPr>
      <w:autoSpaceDE w:val="0"/>
      <w:autoSpaceDN w:val="0"/>
      <w:adjustRightInd w:val="0"/>
      <w:jc w:val="both"/>
    </w:pPr>
    <w:rPr>
      <w:color w:val="333333"/>
      <w:sz w:val="23"/>
      <w:szCs w:val="23"/>
    </w:rPr>
  </w:style>
  <w:style w:type="paragraph" w:customStyle="1" w:styleId="bodytext0">
    <w:name w:val="bodytext"/>
    <w:basedOn w:val="Normal"/>
    <w:uiPriority w:val="99"/>
    <w:rsid w:val="0095190A"/>
    <w:pPr>
      <w:spacing w:before="100" w:beforeAutospacing="1" w:after="100" w:afterAutospacing="1"/>
    </w:p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basedOn w:val="DefaultParagraphFont"/>
    <w:uiPriority w:val="99"/>
    <w:qFormat/>
    <w:rsid w:val="0095190A"/>
    <w:rPr>
      <w:i/>
      <w:iCs/>
      <w:smallCaps/>
      <w:spacing w:val="5"/>
    </w:rPr>
  </w:style>
  <w:style w:type="paragraph" w:customStyle="1" w:styleId="briefkopf">
    <w:name w:val="briefkopf"/>
    <w:basedOn w:val="Normal"/>
    <w:uiPriority w:val="99"/>
    <w:rsid w:val="0095190A"/>
    <w:pPr>
      <w:spacing w:before="1440" w:after="1200" w:line="240" w:lineRule="exact"/>
      <w:jc w:val="both"/>
    </w:pPr>
    <w:rPr>
      <w:rFonts w:ascii="Arial" w:hAnsi="Arial" w:cs="Arial"/>
      <w:sz w:val="22"/>
      <w:szCs w:val="22"/>
      <w:lang w:eastAsia="de-DE"/>
    </w:rPr>
  </w:style>
  <w:style w:type="character" w:customStyle="1" w:styleId="CharChar">
    <w:name w:val="Char Char"/>
    <w:basedOn w:val="DefaultParagraphFont"/>
    <w:uiPriority w:val="99"/>
    <w:locked/>
    <w:rsid w:val="0095190A"/>
    <w:rPr>
      <w:rFonts w:ascii="Trebuchet MS" w:eastAsia="MS Mincho" w:hAnsi="Trebuchet MS" w:cs="Trebuchet MS"/>
      <w:sz w:val="22"/>
      <w:szCs w:val="22"/>
      <w:lang w:val="en-GB" w:eastAsia="en-US"/>
    </w:rPr>
  </w:style>
  <w:style w:type="character" w:customStyle="1" w:styleId="CharCharChar">
    <w:name w:val="Char Char Char"/>
    <w:basedOn w:val="DefaultParagraphFont"/>
    <w:uiPriority w:val="99"/>
    <w:rsid w:val="0095190A"/>
    <w:rPr>
      <w:b/>
      <w:bCs/>
      <w:sz w:val="24"/>
      <w:szCs w:val="24"/>
      <w:lang w:val="en-US" w:eastAsia="en-US"/>
    </w:rPr>
  </w:style>
  <w:style w:type="paragraph" w:customStyle="1" w:styleId="CharCharCharChar">
    <w:name w:val="Char Char Char Char"/>
    <w:basedOn w:val="Normal"/>
    <w:uiPriority w:val="99"/>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uiPriority w:val="99"/>
    <w:rsid w:val="0095190A"/>
    <w:pPr>
      <w:spacing w:after="160" w:line="240" w:lineRule="exact"/>
    </w:pPr>
    <w:rPr>
      <w:rFonts w:ascii="Tahoma" w:hAnsi="Tahoma" w:cs="Tahoma"/>
      <w:sz w:val="20"/>
      <w:szCs w:val="20"/>
    </w:rPr>
  </w:style>
  <w:style w:type="character" w:customStyle="1" w:styleId="CharChar1">
    <w:name w:val="Char Char1"/>
    <w:basedOn w:val="DefaultParagraphFont"/>
    <w:uiPriority w:val="99"/>
    <w:rsid w:val="0095190A"/>
    <w:rPr>
      <w:rFonts w:ascii="Trebuchet MS" w:eastAsia="MS Mincho" w:hAnsi="Trebuchet MS" w:cs="Trebuchet MS"/>
      <w:lang w:val="en-GB" w:eastAsia="en-US"/>
    </w:rPr>
  </w:style>
  <w:style w:type="paragraph" w:customStyle="1" w:styleId="Char1">
    <w:name w:val="Char1"/>
    <w:basedOn w:val="Normal"/>
    <w:uiPriority w:val="99"/>
    <w:rsid w:val="0095190A"/>
    <w:pPr>
      <w:spacing w:after="160" w:line="240" w:lineRule="exact"/>
    </w:pPr>
    <w:rPr>
      <w:rFonts w:ascii="Tahoma" w:hAnsi="Tahoma" w:cs="Tahoma"/>
      <w:sz w:val="20"/>
      <w:szCs w:val="20"/>
    </w:rPr>
  </w:style>
  <w:style w:type="paragraph" w:customStyle="1" w:styleId="Char2">
    <w:name w:val="Char2"/>
    <w:basedOn w:val="Normal"/>
    <w:uiPriority w:val="99"/>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uiPriority w:val="99"/>
    <w:rsid w:val="0095190A"/>
    <w:pPr>
      <w:ind w:left="720"/>
    </w:pPr>
  </w:style>
  <w:style w:type="paragraph" w:customStyle="1" w:styleId="ColorfulList-Accent12">
    <w:name w:val="Colorful List - Accent 12"/>
    <w:basedOn w:val="Normal"/>
    <w:uiPriority w:val="99"/>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uiPriority w:val="99"/>
    <w:rsid w:val="0095190A"/>
    <w:rPr>
      <w:sz w:val="20"/>
      <w:szCs w:val="20"/>
    </w:rPr>
  </w:style>
  <w:style w:type="paragraph" w:customStyle="1" w:styleId="ecxmsonormal">
    <w:name w:val="ecxmsonormal"/>
    <w:basedOn w:val="Normal"/>
    <w:uiPriority w:val="99"/>
    <w:rsid w:val="0095190A"/>
    <w:pPr>
      <w:spacing w:after="324"/>
    </w:pPr>
    <w:rPr>
      <w:lang w:val="en-GB" w:eastAsia="en-GB"/>
    </w:rPr>
  </w:style>
  <w:style w:type="paragraph" w:customStyle="1" w:styleId="ein1">
    <w:name w:val="ein1"/>
    <w:basedOn w:val="Normal"/>
    <w:uiPriority w:val="99"/>
    <w:rsid w:val="0095190A"/>
    <w:pPr>
      <w:ind w:left="1134" w:hanging="1134"/>
      <w:jc w:val="both"/>
    </w:pPr>
    <w:rPr>
      <w:rFonts w:ascii="Arial" w:hAnsi="Arial" w:cs="Arial"/>
      <w:sz w:val="22"/>
      <w:szCs w:val="22"/>
      <w:lang w:eastAsia="de-DE"/>
    </w:rPr>
  </w:style>
  <w:style w:type="paragraph" w:customStyle="1" w:styleId="Einrck1">
    <w:name w:val="Einrück1"/>
    <w:basedOn w:val="Normal"/>
    <w:uiPriority w:val="99"/>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uiPriority w:val="99"/>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uiPriority w:val="99"/>
    <w:rsid w:val="0095190A"/>
    <w:pPr>
      <w:spacing w:line="360" w:lineRule="atLeast"/>
      <w:ind w:left="851" w:hanging="851"/>
      <w:jc w:val="both"/>
    </w:pPr>
    <w:rPr>
      <w:rFonts w:ascii="Arial" w:hAnsi="Arial" w:cs="Arial"/>
      <w:lang w:eastAsia="de-DE"/>
    </w:rPr>
  </w:style>
  <w:style w:type="paragraph" w:customStyle="1" w:styleId="Einrckung2">
    <w:name w:val="Einrückung 2"/>
    <w:basedOn w:val="Normal"/>
    <w:uiPriority w:val="99"/>
    <w:rsid w:val="0095190A"/>
    <w:pPr>
      <w:spacing w:line="360" w:lineRule="atLeast"/>
      <w:ind w:left="1701" w:hanging="851"/>
    </w:pPr>
    <w:rPr>
      <w:rFonts w:ascii="Arial" w:hAnsi="Arial" w:cs="Arial"/>
      <w:lang w:eastAsia="de-DE"/>
    </w:rPr>
  </w:style>
  <w:style w:type="paragraph" w:customStyle="1" w:styleId="Einrckung3">
    <w:name w:val="Einrückung 3"/>
    <w:basedOn w:val="Normal"/>
    <w:uiPriority w:val="99"/>
    <w:rsid w:val="0095190A"/>
    <w:pPr>
      <w:spacing w:line="360" w:lineRule="atLeast"/>
      <w:ind w:left="2552" w:hanging="851"/>
    </w:pPr>
    <w:rPr>
      <w:rFonts w:ascii="Arial" w:hAnsi="Arial" w:cs="Arial"/>
      <w:lang w:eastAsia="de-DE"/>
    </w:rPr>
  </w:style>
  <w:style w:type="character" w:customStyle="1" w:styleId="f01">
    <w:name w:val="f01"/>
    <w:basedOn w:val="DefaultParagraphFont"/>
    <w:uiPriority w:val="99"/>
    <w:rsid w:val="0095190A"/>
    <w:rPr>
      <w:rFonts w:ascii="FangSong" w:eastAsia="FangSong" w:hAnsi="FangSong" w:cs="FangSong"/>
      <w:color w:val="000000"/>
      <w:sz w:val="20"/>
      <w:szCs w:val="20"/>
    </w:rPr>
  </w:style>
  <w:style w:type="character" w:customStyle="1" w:styleId="f41">
    <w:name w:val="f41"/>
    <w:basedOn w:val="DefaultParagraphFont"/>
    <w:uiPriority w:val="99"/>
    <w:rsid w:val="0095190A"/>
    <w:rPr>
      <w:rFonts w:ascii="MS Mincho" w:eastAsia="MS Mincho" w:hAnsi="MS Mincho" w:cs="MS Mincho"/>
      <w:color w:val="000000"/>
      <w:sz w:val="20"/>
      <w:szCs w:val="20"/>
    </w:rPr>
  </w:style>
  <w:style w:type="paragraph" w:customStyle="1" w:styleId="FootnoteText1">
    <w:name w:val="Footnote Text1"/>
    <w:uiPriority w:val="99"/>
    <w:rsid w:val="0095190A"/>
    <w:rPr>
      <w:rFonts w:ascii="Helvetica" w:eastAsia="ヒラギノ角ゴ Pro W3" w:hAnsi="Helvetica" w:cs="Helvetica"/>
      <w:color w:val="000000"/>
      <w:sz w:val="20"/>
      <w:szCs w:val="20"/>
      <w:lang w:val="en-GB"/>
    </w:rPr>
  </w:style>
  <w:style w:type="character" w:styleId="IntenseEmphasis">
    <w:name w:val="Intense Emphasis"/>
    <w:basedOn w:val="DefaultParagraphFont"/>
    <w:uiPriority w:val="99"/>
    <w:qFormat/>
    <w:rsid w:val="0095190A"/>
    <w:rPr>
      <w:b/>
      <w:bCs/>
    </w:rPr>
  </w:style>
  <w:style w:type="paragraph" w:styleId="IntenseQuote">
    <w:name w:val="Intense Quote"/>
    <w:basedOn w:val="Normal"/>
    <w:next w:val="Normal"/>
    <w:link w:val="IntenseQuoteChar"/>
    <w:uiPriority w:val="99"/>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99"/>
    <w:locked/>
    <w:rsid w:val="00F02A7C"/>
    <w:rPr>
      <w:rFonts w:ascii="Arial" w:hAnsi="Arial" w:cs="Arial"/>
      <w:b/>
      <w:bCs/>
      <w:i/>
      <w:iCs/>
      <w:sz w:val="24"/>
      <w:szCs w:val="24"/>
      <w:lang w:val="de-DE" w:eastAsia="de-DE"/>
    </w:rPr>
  </w:style>
  <w:style w:type="character" w:styleId="IntenseReference">
    <w:name w:val="Intense Reference"/>
    <w:basedOn w:val="DefaultParagraphFont"/>
    <w:uiPriority w:val="99"/>
    <w:qFormat/>
    <w:rsid w:val="0095190A"/>
    <w:rPr>
      <w:smallCaps/>
      <w:spacing w:val="5"/>
      <w:u w:val="single"/>
    </w:rPr>
  </w:style>
  <w:style w:type="paragraph" w:customStyle="1" w:styleId="JuPara">
    <w:name w:val="Ju_Para"/>
    <w:basedOn w:val="Normal"/>
    <w:uiPriority w:val="99"/>
    <w:rsid w:val="0095190A"/>
    <w:pPr>
      <w:suppressAutoHyphens/>
      <w:ind w:firstLine="284"/>
      <w:jc w:val="both"/>
    </w:pPr>
    <w:rPr>
      <w:lang w:val="en-GB" w:eastAsia="fr-FR"/>
    </w:rPr>
  </w:style>
  <w:style w:type="paragraph" w:customStyle="1" w:styleId="ju-005fpara-0020char-0020char">
    <w:name w:val="ju-005fpara-0020char-0020char"/>
    <w:basedOn w:val="Normal"/>
    <w:uiPriority w:val="99"/>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uiPriority w:val="99"/>
    <w:rsid w:val="0095190A"/>
  </w:style>
  <w:style w:type="character" w:customStyle="1" w:styleId="ju--005fpara----char--char">
    <w:name w:val="ju--005fpara----char--char"/>
    <w:basedOn w:val="DefaultParagraphFont"/>
    <w:uiPriority w:val="99"/>
    <w:rsid w:val="0095190A"/>
  </w:style>
  <w:style w:type="character" w:customStyle="1" w:styleId="longtext1">
    <w:name w:val="long_text1"/>
    <w:basedOn w:val="DefaultParagraphFont"/>
    <w:uiPriority w:val="99"/>
    <w:rsid w:val="0095190A"/>
    <w:rPr>
      <w:sz w:val="20"/>
      <w:szCs w:val="20"/>
    </w:rPr>
  </w:style>
  <w:style w:type="character" w:customStyle="1" w:styleId="mediumtext">
    <w:name w:val="medium_text"/>
    <w:basedOn w:val="DefaultParagraphFont"/>
    <w:uiPriority w:val="99"/>
    <w:rsid w:val="0095190A"/>
  </w:style>
  <w:style w:type="paragraph" w:customStyle="1" w:styleId="neninr0">
    <w:name w:val="neninr"/>
    <w:basedOn w:val="Normal"/>
    <w:uiPriority w:val="99"/>
    <w:rsid w:val="0095190A"/>
    <w:pPr>
      <w:spacing w:before="100" w:beforeAutospacing="1" w:after="100" w:afterAutospacing="1"/>
    </w:pPr>
  </w:style>
  <w:style w:type="paragraph" w:customStyle="1" w:styleId="NormalLatinArial">
    <w:name w:val="Normal + (Latin) Arial"/>
    <w:basedOn w:val="Normal"/>
    <w:uiPriority w:val="99"/>
    <w:rsid w:val="0095190A"/>
    <w:rPr>
      <w:rFonts w:ascii="Arial" w:hAnsi="Arial" w:cs="Arial"/>
    </w:rPr>
  </w:style>
  <w:style w:type="paragraph" w:customStyle="1" w:styleId="Normal1">
    <w:name w:val="Normal+1"/>
    <w:basedOn w:val="Default"/>
    <w:next w:val="Default"/>
    <w:uiPriority w:val="99"/>
    <w:rsid w:val="0095190A"/>
    <w:rPr>
      <w:rFonts w:ascii="Life L2" w:hAnsi="Life L2" w:cs="Life L2"/>
      <w:color w:val="auto"/>
    </w:rPr>
  </w:style>
  <w:style w:type="paragraph" w:customStyle="1" w:styleId="NummerierteListe">
    <w:name w:val="Nummerierte Liste"/>
    <w:aliases w:val="Links:  0,63 cm"/>
    <w:basedOn w:val="Normal"/>
    <w:uiPriority w:val="99"/>
    <w:rsid w:val="0095190A"/>
    <w:pPr>
      <w:tabs>
        <w:tab w:val="left" w:pos="426"/>
      </w:tabs>
    </w:pPr>
    <w:rPr>
      <w:rFonts w:ascii="Arial" w:hAnsi="Arial" w:cs="Arial"/>
      <w:sz w:val="22"/>
      <w:szCs w:val="22"/>
      <w:lang w:val="en-GB" w:eastAsia="de-DE"/>
    </w:rPr>
  </w:style>
  <w:style w:type="paragraph" w:customStyle="1" w:styleId="numridata0">
    <w:name w:val="numridata"/>
    <w:basedOn w:val="Normal"/>
    <w:uiPriority w:val="99"/>
    <w:rsid w:val="0095190A"/>
    <w:pPr>
      <w:spacing w:before="100" w:beforeAutospacing="1" w:after="100" w:afterAutospacing="1"/>
    </w:pPr>
  </w:style>
  <w:style w:type="paragraph" w:customStyle="1" w:styleId="paragrafi0">
    <w:name w:val="paragrafi"/>
    <w:basedOn w:val="Normal"/>
    <w:uiPriority w:val="99"/>
    <w:rsid w:val="0095190A"/>
    <w:pPr>
      <w:spacing w:before="100" w:beforeAutospacing="1" w:after="100" w:afterAutospacing="1"/>
    </w:pPr>
    <w:rPr>
      <w:lang w:val="en-GB" w:eastAsia="en-GB"/>
    </w:rPr>
  </w:style>
  <w:style w:type="paragraph" w:customStyle="1" w:styleId="Paragrafoelenco">
    <w:name w:val="Paragrafo elenco"/>
    <w:basedOn w:val="Normal"/>
    <w:uiPriority w:val="99"/>
    <w:rsid w:val="0095190A"/>
    <w:pPr>
      <w:spacing w:after="200" w:line="276" w:lineRule="auto"/>
      <w:ind w:left="720"/>
    </w:pPr>
    <w:rPr>
      <w:rFonts w:ascii="Calibri" w:hAnsi="Calibri" w:cs="Calibri"/>
      <w:sz w:val="22"/>
      <w:szCs w:val="22"/>
      <w:lang w:val="it-IT"/>
    </w:rPr>
  </w:style>
  <w:style w:type="paragraph" w:customStyle="1" w:styleId="Prambelabsatz">
    <w:name w:val="Präambelabsatz"/>
    <w:basedOn w:val="Normal"/>
    <w:uiPriority w:val="99"/>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9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99"/>
    <w:locked/>
    <w:rsid w:val="00F02A7C"/>
    <w:rPr>
      <w:rFonts w:ascii="Arial" w:hAnsi="Arial" w:cs="Arial"/>
      <w:i/>
      <w:iCs/>
      <w:sz w:val="24"/>
      <w:szCs w:val="24"/>
      <w:lang w:val="de-DE" w:eastAsia="de-DE"/>
    </w:rPr>
  </w:style>
  <w:style w:type="character" w:customStyle="1" w:styleId="shorttext">
    <w:name w:val="short_text"/>
    <w:basedOn w:val="DefaultParagraphFont"/>
    <w:uiPriority w:val="99"/>
    <w:rsid w:val="0095190A"/>
  </w:style>
  <w:style w:type="paragraph" w:customStyle="1" w:styleId="Standard1">
    <w:name w:val="Standard1"/>
    <w:basedOn w:val="Normal"/>
    <w:uiPriority w:val="99"/>
    <w:rsid w:val="0095190A"/>
    <w:pPr>
      <w:spacing w:line="360" w:lineRule="atLeast"/>
      <w:jc w:val="both"/>
    </w:pPr>
    <w:rPr>
      <w:rFonts w:ascii="Arial" w:hAnsi="Arial" w:cs="Arial"/>
      <w:lang w:eastAsia="de-DE"/>
    </w:rPr>
  </w:style>
  <w:style w:type="paragraph" w:customStyle="1" w:styleId="Style1">
    <w:name w:val="Style 1"/>
    <w:uiPriority w:val="99"/>
    <w:rsid w:val="0095190A"/>
    <w:pPr>
      <w:widowControl w:val="0"/>
      <w:autoSpaceDE w:val="0"/>
      <w:autoSpaceDN w:val="0"/>
      <w:adjustRightInd w:val="0"/>
    </w:pPr>
    <w:rPr>
      <w:rFonts w:eastAsia="SimSun"/>
      <w:sz w:val="20"/>
      <w:szCs w:val="20"/>
      <w:lang w:eastAsia="zh-CN"/>
    </w:rPr>
  </w:style>
  <w:style w:type="paragraph" w:customStyle="1" w:styleId="Style4">
    <w:name w:val="Style 4"/>
    <w:uiPriority w:val="99"/>
    <w:rsid w:val="0095190A"/>
    <w:pPr>
      <w:widowControl w:val="0"/>
      <w:autoSpaceDE w:val="0"/>
      <w:autoSpaceDN w:val="0"/>
      <w:spacing w:before="108"/>
      <w:ind w:left="288" w:hanging="288"/>
    </w:pPr>
    <w:rPr>
      <w:rFonts w:eastAsia="SimSun"/>
      <w:sz w:val="18"/>
      <w:szCs w:val="18"/>
      <w:lang w:eastAsia="zh-CN"/>
    </w:rPr>
  </w:style>
  <w:style w:type="paragraph" w:customStyle="1" w:styleId="Style8">
    <w:name w:val="Style 8"/>
    <w:uiPriority w:val="99"/>
    <w:rsid w:val="0095190A"/>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uiPriority w:val="99"/>
    <w:rsid w:val="0095190A"/>
    <w:pPr>
      <w:spacing w:before="100" w:beforeAutospacing="1" w:after="100" w:afterAutospacing="1"/>
    </w:pPr>
  </w:style>
  <w:style w:type="character" w:styleId="SubtleEmphasis">
    <w:name w:val="Subtle Emphasis"/>
    <w:basedOn w:val="DefaultParagraphFont"/>
    <w:uiPriority w:val="99"/>
    <w:qFormat/>
    <w:rsid w:val="0095190A"/>
    <w:rPr>
      <w:i/>
      <w:iCs/>
    </w:rPr>
  </w:style>
  <w:style w:type="character" w:styleId="SubtleReference">
    <w:name w:val="Subtle Reference"/>
    <w:basedOn w:val="DefaultParagraphFont"/>
    <w:uiPriority w:val="99"/>
    <w:qFormat/>
    <w:rsid w:val="0095190A"/>
    <w:rPr>
      <w:smallCaps/>
    </w:rPr>
  </w:style>
  <w:style w:type="paragraph" w:customStyle="1" w:styleId="Tabellenberschrift">
    <w:name w:val="Tabellenüberschrift"/>
    <w:basedOn w:val="Normal"/>
    <w:uiPriority w:val="99"/>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uiPriority w:val="99"/>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uiPriority w:val="99"/>
    <w:rsid w:val="0095190A"/>
    <w:pPr>
      <w:tabs>
        <w:tab w:val="left" w:pos="851"/>
        <w:tab w:val="left" w:pos="1418"/>
        <w:tab w:val="left" w:pos="2127"/>
      </w:tabs>
      <w:spacing w:after="240" w:line="360" w:lineRule="atLeast"/>
      <w:jc w:val="both"/>
    </w:pPr>
    <w:rPr>
      <w:rFonts w:ascii="Arial" w:hAnsi="Arial" w:cs="Arial"/>
      <w:lang w:eastAsia="de-DE"/>
    </w:rPr>
  </w:style>
  <w:style w:type="paragraph" w:styleId="TOCHeading">
    <w:name w:val="TOC Heading"/>
    <w:basedOn w:val="Heading1"/>
    <w:next w:val="Normal"/>
    <w:uiPriority w:val="9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uiPriority w:val="99"/>
    <w:rsid w:val="0095190A"/>
    <w:pPr>
      <w:spacing w:after="120"/>
    </w:pPr>
    <w:rPr>
      <w:sz w:val="16"/>
      <w:szCs w:val="16"/>
      <w:lang w:val="en-GB"/>
    </w:rPr>
  </w:style>
  <w:style w:type="character" w:customStyle="1" w:styleId="BodyText3Char">
    <w:name w:val="Body Text 3 Char"/>
    <w:basedOn w:val="DefaultParagraphFont"/>
    <w:link w:val="BodyText3"/>
    <w:uiPriority w:val="99"/>
    <w:semiHidden/>
    <w:locked/>
    <w:rsid w:val="00907269"/>
    <w:rPr>
      <w:sz w:val="16"/>
      <w:szCs w:val="16"/>
      <w:lang w:val="sq-AL"/>
    </w:rPr>
  </w:style>
  <w:style w:type="paragraph" w:styleId="BodyTextIndent">
    <w:name w:val="Body Text Indent"/>
    <w:basedOn w:val="Normal"/>
    <w:link w:val="BodyTextIndentChar"/>
    <w:uiPriority w:val="99"/>
    <w:rsid w:val="0095190A"/>
    <w:pPr>
      <w:spacing w:after="120"/>
      <w:ind w:left="360"/>
    </w:pPr>
    <w:rPr>
      <w:sz w:val="20"/>
      <w:szCs w:val="20"/>
      <w:lang w:val="en-GB"/>
    </w:rPr>
  </w:style>
  <w:style w:type="character" w:customStyle="1" w:styleId="BodyTextIndentChar">
    <w:name w:val="Body Text Indent Char"/>
    <w:basedOn w:val="DefaultParagraphFont"/>
    <w:link w:val="BodyTextIndent"/>
    <w:uiPriority w:val="99"/>
    <w:semiHidden/>
    <w:locked/>
    <w:rsid w:val="00907269"/>
    <w:rPr>
      <w:sz w:val="24"/>
      <w:szCs w:val="24"/>
      <w:lang w:val="sq-AL"/>
    </w:rPr>
  </w:style>
  <w:style w:type="character" w:styleId="CommentReference">
    <w:name w:val="annotation reference"/>
    <w:basedOn w:val="DefaultParagraphFont"/>
    <w:uiPriority w:val="99"/>
    <w:semiHidden/>
    <w:rsid w:val="0095190A"/>
    <w:rPr>
      <w:sz w:val="16"/>
      <w:szCs w:val="16"/>
    </w:rPr>
  </w:style>
  <w:style w:type="paragraph" w:styleId="CommentText">
    <w:name w:val="annotation text"/>
    <w:basedOn w:val="Normal"/>
    <w:link w:val="CommentTextChar"/>
    <w:uiPriority w:val="99"/>
    <w:semiHidden/>
    <w:rsid w:val="0095190A"/>
    <w:pPr>
      <w:spacing w:after="200" w:line="276" w:lineRule="auto"/>
    </w:pPr>
    <w:rPr>
      <w:rFonts w:ascii="Calibri" w:hAnsi="Calibri" w:cs="Calibri"/>
      <w:sz w:val="20"/>
      <w:szCs w:val="20"/>
    </w:rPr>
  </w:style>
  <w:style w:type="character" w:customStyle="1" w:styleId="CommentTextChar">
    <w:name w:val="Comment Text Char"/>
    <w:basedOn w:val="DefaultParagraphFont"/>
    <w:link w:val="CommentText"/>
    <w:uiPriority w:val="99"/>
    <w:semiHidden/>
    <w:locked/>
    <w:rsid w:val="00907269"/>
    <w:rPr>
      <w:sz w:val="20"/>
      <w:szCs w:val="20"/>
      <w:lang w:val="sq-AL"/>
    </w:rPr>
  </w:style>
  <w:style w:type="paragraph" w:styleId="CommentSubject">
    <w:name w:val="annotation subject"/>
    <w:basedOn w:val="CommentText"/>
    <w:next w:val="CommentText"/>
    <w:link w:val="CommentSubjectChar"/>
    <w:uiPriority w:val="99"/>
    <w:semiHidden/>
    <w:rsid w:val="0095190A"/>
    <w:rPr>
      <w:b/>
      <w:bCs/>
    </w:rPr>
  </w:style>
  <w:style w:type="character" w:customStyle="1" w:styleId="CommentSubjectChar">
    <w:name w:val="Comment Subject Char"/>
    <w:basedOn w:val="CommentTextChar"/>
    <w:link w:val="CommentSubject"/>
    <w:uiPriority w:val="99"/>
    <w:semiHidden/>
    <w:locked/>
    <w:rsid w:val="00907269"/>
    <w:rPr>
      <w:b/>
      <w:bCs/>
    </w:rPr>
  </w:style>
  <w:style w:type="paragraph" w:customStyle="1" w:styleId="Corpodeltesto">
    <w:name w:val="Corpo del testo"/>
    <w:basedOn w:val="Default"/>
    <w:next w:val="Default"/>
    <w:uiPriority w:val="99"/>
    <w:rsid w:val="0095190A"/>
    <w:rPr>
      <w:color w:val="auto"/>
    </w:rPr>
  </w:style>
  <w:style w:type="paragraph" w:customStyle="1" w:styleId="Didascalia">
    <w:name w:val="Didascalia"/>
    <w:basedOn w:val="Default"/>
    <w:next w:val="Default"/>
    <w:uiPriority w:val="99"/>
    <w:rsid w:val="0095190A"/>
    <w:rPr>
      <w:color w:val="auto"/>
    </w:rPr>
  </w:style>
  <w:style w:type="paragraph" w:customStyle="1" w:styleId="Normale">
    <w:name w:val="Normale"/>
    <w:basedOn w:val="Default"/>
    <w:next w:val="Default"/>
    <w:uiPriority w:val="99"/>
    <w:rsid w:val="0095190A"/>
    <w:rPr>
      <w:color w:val="auto"/>
    </w:rPr>
  </w:style>
  <w:style w:type="paragraph" w:customStyle="1" w:styleId="Rientrocorpodeltesto">
    <w:name w:val="Rientro corpo del testo"/>
    <w:basedOn w:val="Default"/>
    <w:next w:val="Default"/>
    <w:uiPriority w:val="99"/>
    <w:rsid w:val="0095190A"/>
    <w:rPr>
      <w:color w:val="auto"/>
    </w:rPr>
  </w:style>
  <w:style w:type="paragraph" w:customStyle="1" w:styleId="Rientrocorpodeltesto2">
    <w:name w:val="Rientro corpo del testo 2"/>
    <w:basedOn w:val="Default"/>
    <w:next w:val="Default"/>
    <w:uiPriority w:val="99"/>
    <w:rsid w:val="0095190A"/>
    <w:rPr>
      <w:color w:val="auto"/>
    </w:rPr>
  </w:style>
  <w:style w:type="paragraph" w:customStyle="1" w:styleId="Rientrocorpodeltesto3">
    <w:name w:val="Rientro corpo del testo 3"/>
    <w:basedOn w:val="Default"/>
    <w:next w:val="Default"/>
    <w:uiPriority w:val="99"/>
    <w:rsid w:val="0095190A"/>
    <w:rPr>
      <w:color w:val="auto"/>
    </w:rPr>
  </w:style>
  <w:style w:type="character" w:customStyle="1" w:styleId="ssens">
    <w:name w:val="ssens"/>
    <w:basedOn w:val="DefaultParagraphFont"/>
    <w:uiPriority w:val="99"/>
    <w:rsid w:val="0095190A"/>
  </w:style>
  <w:style w:type="character" w:customStyle="1" w:styleId="subtitle0">
    <w:name w:val="subtitle"/>
    <w:basedOn w:val="DefaultParagraphFont"/>
    <w:uiPriority w:val="99"/>
    <w:rsid w:val="0095190A"/>
  </w:style>
  <w:style w:type="paragraph" w:customStyle="1" w:styleId="Titolo1">
    <w:name w:val="Titolo 1"/>
    <w:basedOn w:val="Default"/>
    <w:next w:val="Default"/>
    <w:uiPriority w:val="99"/>
    <w:rsid w:val="0095190A"/>
    <w:rPr>
      <w:color w:val="auto"/>
    </w:rPr>
  </w:style>
  <w:style w:type="paragraph" w:customStyle="1" w:styleId="Titolo2">
    <w:name w:val="Titolo 2"/>
    <w:basedOn w:val="Default"/>
    <w:next w:val="Default"/>
    <w:uiPriority w:val="99"/>
    <w:rsid w:val="0095190A"/>
    <w:rPr>
      <w:color w:val="auto"/>
    </w:rPr>
  </w:style>
  <w:style w:type="paragraph" w:customStyle="1" w:styleId="Titolo3">
    <w:name w:val="Titolo 3"/>
    <w:basedOn w:val="Default"/>
    <w:next w:val="Default"/>
    <w:uiPriority w:val="99"/>
    <w:rsid w:val="0095190A"/>
    <w:rPr>
      <w:color w:val="auto"/>
    </w:rPr>
  </w:style>
  <w:style w:type="paragraph" w:customStyle="1" w:styleId="Titolo4">
    <w:name w:val="Titolo 4"/>
    <w:basedOn w:val="Default"/>
    <w:next w:val="Default"/>
    <w:uiPriority w:val="99"/>
    <w:rsid w:val="0095190A"/>
    <w:rPr>
      <w:color w:val="auto"/>
    </w:rPr>
  </w:style>
  <w:style w:type="character" w:customStyle="1" w:styleId="vi">
    <w:name w:val="vi"/>
    <w:basedOn w:val="DefaultParagraphFont"/>
    <w:uiPriority w:val="99"/>
    <w:rsid w:val="0095190A"/>
  </w:style>
  <w:style w:type="character" w:customStyle="1" w:styleId="actsnumber">
    <w:name w:val="actsnumber"/>
    <w:basedOn w:val="DefaultParagraphFont"/>
    <w:uiPriority w:val="99"/>
    <w:rsid w:val="0095190A"/>
  </w:style>
  <w:style w:type="character" w:customStyle="1" w:styleId="actscontent">
    <w:name w:val="actscontent"/>
    <w:basedOn w:val="DefaultParagraphFont"/>
    <w:uiPriority w:val="99"/>
    <w:rsid w:val="0095190A"/>
  </w:style>
  <w:style w:type="character" w:styleId="FollowedHyperlink">
    <w:name w:val="FollowedHyperlink"/>
    <w:basedOn w:val="DefaultParagraphFont"/>
    <w:uiPriority w:val="99"/>
    <w:rsid w:val="0095190A"/>
    <w:rPr>
      <w:color w:val="800080"/>
      <w:u w:val="single"/>
    </w:rPr>
  </w:style>
  <w:style w:type="paragraph" w:customStyle="1" w:styleId="Char3">
    <w:name w:val="Char3"/>
    <w:basedOn w:val="Normal"/>
    <w:uiPriority w:val="99"/>
    <w:rsid w:val="0095190A"/>
    <w:pPr>
      <w:spacing w:after="160" w:line="240" w:lineRule="exact"/>
    </w:pPr>
    <w:rPr>
      <w:rFonts w:ascii="Tahoma" w:hAnsi="Tahoma" w:cs="Tahoma"/>
      <w:sz w:val="20"/>
      <w:szCs w:val="20"/>
      <w:lang w:val="en-GB"/>
    </w:rPr>
  </w:style>
  <w:style w:type="paragraph" w:customStyle="1" w:styleId="Numri">
    <w:name w:val="Numri"/>
    <w:aliases w:val="data"/>
    <w:uiPriority w:val="99"/>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hAnsi="CG Times" w:cs="CG Times"/>
      <w:b/>
      <w:bCs/>
    </w:rPr>
  </w:style>
  <w:style w:type="paragraph" w:styleId="EndnoteText">
    <w:name w:val="endnote text"/>
    <w:basedOn w:val="Normal"/>
    <w:link w:val="EndnoteTextChar"/>
    <w:uiPriority w:val="99"/>
    <w:semiHidden/>
    <w:rsid w:val="00CA38C3"/>
    <w:rPr>
      <w:rFonts w:ascii="Tahoma" w:hAnsi="Tahoma" w:cs="Tahoma"/>
      <w:sz w:val="20"/>
      <w:szCs w:val="20"/>
    </w:rPr>
  </w:style>
  <w:style w:type="character" w:customStyle="1" w:styleId="EndnoteTextChar">
    <w:name w:val="Endnote Text Char"/>
    <w:basedOn w:val="DefaultParagraphFont"/>
    <w:link w:val="EndnoteText"/>
    <w:uiPriority w:val="99"/>
    <w:semiHidden/>
    <w:locked/>
    <w:rsid w:val="00907269"/>
    <w:rPr>
      <w:sz w:val="20"/>
      <w:szCs w:val="20"/>
      <w:lang w:val="sq-AL"/>
    </w:rPr>
  </w:style>
  <w:style w:type="character" w:styleId="EndnoteReference">
    <w:name w:val="endnote reference"/>
    <w:basedOn w:val="DefaultParagraphFont"/>
    <w:uiPriority w:val="99"/>
    <w:semiHidden/>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rPr>
  </w:style>
  <w:style w:type="paragraph" w:customStyle="1" w:styleId="xl63">
    <w:name w:val="xl63"/>
    <w:basedOn w:val="Normal"/>
    <w:uiPriority w:val="99"/>
    <w:rsid w:val="00CA38C3"/>
    <w:pPr>
      <w:pBdr>
        <w:top w:val="double" w:sz="6" w:space="0" w:color="auto"/>
      </w:pBdr>
      <w:shd w:val="clear" w:color="auto" w:fill="FFFFFF"/>
      <w:spacing w:before="100" w:beforeAutospacing="1" w:after="100" w:afterAutospacing="1"/>
      <w:jc w:val="center"/>
    </w:pPr>
    <w:rPr>
      <w:rFonts w:ascii="CG Times" w:hAnsi="CG Times" w:cs="CG Times"/>
      <w:b/>
      <w:bCs/>
      <w:sz w:val="14"/>
      <w:szCs w:val="14"/>
    </w:rPr>
  </w:style>
  <w:style w:type="paragraph" w:customStyle="1" w:styleId="xl64">
    <w:name w:val="xl64"/>
    <w:basedOn w:val="Normal"/>
    <w:uiPriority w:val="99"/>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hAnsi="CG Times" w:cs="CG Times"/>
      <w:b/>
      <w:bCs/>
      <w:sz w:val="14"/>
      <w:szCs w:val="14"/>
    </w:rPr>
  </w:style>
  <w:style w:type="paragraph" w:customStyle="1" w:styleId="xl106">
    <w:name w:val="xl106"/>
    <w:basedOn w:val="Normal"/>
    <w:uiPriority w:val="99"/>
    <w:rsid w:val="00CA38C3"/>
    <w:pPr>
      <w:pBdr>
        <w:top w:val="single" w:sz="4" w:space="0" w:color="auto"/>
        <w:bottom w:val="double" w:sz="6" w:space="0" w:color="auto"/>
      </w:pBdr>
      <w:spacing w:before="100" w:beforeAutospacing="1" w:after="100" w:afterAutospacing="1"/>
      <w:jc w:val="right"/>
    </w:pPr>
    <w:rPr>
      <w:rFonts w:ascii="CG Times" w:hAnsi="CG Times" w:cs="CG Times"/>
      <w:sz w:val="14"/>
      <w:szCs w:val="14"/>
    </w:rPr>
  </w:style>
  <w:style w:type="paragraph" w:customStyle="1" w:styleId="xl107">
    <w:name w:val="xl107"/>
    <w:basedOn w:val="Normal"/>
    <w:uiPriority w:val="99"/>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hAnsi="CG Times" w:cs="CG Times"/>
      <w:sz w:val="14"/>
      <w:szCs w:val="14"/>
    </w:rPr>
  </w:style>
  <w:style w:type="paragraph" w:customStyle="1" w:styleId="xl108">
    <w:name w:val="xl108"/>
    <w:basedOn w:val="Normal"/>
    <w:uiPriority w:val="99"/>
    <w:rsid w:val="00CA38C3"/>
    <w:pPr>
      <w:pBdr>
        <w:top w:val="single" w:sz="4" w:space="0" w:color="auto"/>
        <w:left w:val="double" w:sz="6" w:space="0" w:color="auto"/>
        <w:bottom w:val="double" w:sz="6" w:space="0" w:color="auto"/>
      </w:pBdr>
      <w:spacing w:before="100" w:beforeAutospacing="1" w:after="100" w:afterAutospacing="1"/>
      <w:jc w:val="right"/>
    </w:pPr>
    <w:rPr>
      <w:rFonts w:ascii="CG Times" w:hAnsi="CG Times" w:cs="CG Times"/>
      <w:sz w:val="14"/>
      <w:szCs w:val="14"/>
    </w:rPr>
  </w:style>
  <w:style w:type="paragraph" w:customStyle="1" w:styleId="xl109">
    <w:name w:val="xl109"/>
    <w:basedOn w:val="Normal"/>
    <w:uiPriority w:val="99"/>
    <w:rsid w:val="00CA38C3"/>
    <w:pPr>
      <w:pBdr>
        <w:top w:val="single" w:sz="4" w:space="0" w:color="auto"/>
        <w:left w:val="double" w:sz="6" w:space="0" w:color="auto"/>
        <w:bottom w:val="double" w:sz="6" w:space="0" w:color="auto"/>
      </w:pBdr>
      <w:spacing w:before="100" w:beforeAutospacing="1" w:after="100" w:afterAutospacing="1"/>
      <w:jc w:val="center"/>
    </w:pPr>
    <w:rPr>
      <w:rFonts w:ascii="CG Times" w:hAnsi="CG Times" w:cs="CG Times"/>
      <w:sz w:val="14"/>
      <w:szCs w:val="14"/>
    </w:rPr>
  </w:style>
  <w:style w:type="paragraph" w:customStyle="1" w:styleId="xl110">
    <w:name w:val="xl110"/>
    <w:basedOn w:val="Normal"/>
    <w:uiPriority w:val="99"/>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hAnsi="CG Times" w:cs="CG Times"/>
      <w:b/>
      <w:bCs/>
      <w:sz w:val="14"/>
      <w:szCs w:val="14"/>
    </w:rPr>
  </w:style>
  <w:style w:type="paragraph" w:customStyle="1" w:styleId="xl111">
    <w:name w:val="xl111"/>
    <w:basedOn w:val="Normal"/>
    <w:uiPriority w:val="99"/>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hAnsi="CG Times" w:cs="CG Times"/>
      <w:sz w:val="14"/>
      <w:szCs w:val="14"/>
    </w:rPr>
  </w:style>
  <w:style w:type="paragraph" w:customStyle="1" w:styleId="xl112">
    <w:name w:val="xl112"/>
    <w:basedOn w:val="Normal"/>
    <w:uiPriority w:val="99"/>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hAnsi="CG Times" w:cs="CG Times"/>
      <w:b/>
      <w:bCs/>
      <w:sz w:val="14"/>
      <w:szCs w:val="14"/>
    </w:rPr>
  </w:style>
  <w:style w:type="paragraph" w:customStyle="1" w:styleId="xl113">
    <w:name w:val="xl113"/>
    <w:basedOn w:val="Normal"/>
    <w:uiPriority w:val="99"/>
    <w:rsid w:val="00CA38C3"/>
    <w:pPr>
      <w:pBdr>
        <w:top w:val="single" w:sz="4" w:space="0" w:color="auto"/>
        <w:left w:val="double" w:sz="6" w:space="0" w:color="auto"/>
        <w:right w:val="double" w:sz="6" w:space="0" w:color="auto"/>
      </w:pBdr>
      <w:spacing w:before="100" w:beforeAutospacing="1" w:after="100" w:afterAutospacing="1"/>
      <w:jc w:val="center"/>
    </w:pPr>
    <w:rPr>
      <w:rFonts w:ascii="CG Times" w:hAnsi="CG Times" w:cs="CG Times"/>
      <w:b/>
      <w:bCs/>
      <w:sz w:val="14"/>
      <w:szCs w:val="14"/>
    </w:rPr>
  </w:style>
  <w:style w:type="paragraph" w:customStyle="1" w:styleId="xl114">
    <w:name w:val="xl114"/>
    <w:basedOn w:val="Normal"/>
    <w:uiPriority w:val="99"/>
    <w:rsid w:val="00CA38C3"/>
    <w:pPr>
      <w:pBdr>
        <w:top w:val="single" w:sz="4" w:space="0" w:color="auto"/>
        <w:left w:val="double" w:sz="6" w:space="0" w:color="auto"/>
        <w:right w:val="double" w:sz="6" w:space="0" w:color="auto"/>
      </w:pBdr>
      <w:spacing w:before="100" w:beforeAutospacing="1" w:after="100" w:afterAutospacing="1"/>
    </w:pPr>
    <w:rPr>
      <w:rFonts w:ascii="CG Times" w:hAnsi="CG Times" w:cs="CG Times"/>
      <w:sz w:val="14"/>
      <w:szCs w:val="14"/>
    </w:rPr>
  </w:style>
  <w:style w:type="paragraph" w:customStyle="1" w:styleId="xl115">
    <w:name w:val="xl115"/>
    <w:basedOn w:val="Normal"/>
    <w:uiPriority w:val="99"/>
    <w:rsid w:val="00CA38C3"/>
    <w:pPr>
      <w:pBdr>
        <w:top w:val="single" w:sz="4" w:space="0" w:color="auto"/>
      </w:pBdr>
      <w:spacing w:before="100" w:beforeAutospacing="1" w:after="100" w:afterAutospacing="1"/>
    </w:pPr>
    <w:rPr>
      <w:rFonts w:ascii="CG Times" w:hAnsi="CG Times" w:cs="CG Times"/>
      <w:sz w:val="14"/>
      <w:szCs w:val="14"/>
    </w:rPr>
  </w:style>
  <w:style w:type="paragraph" w:customStyle="1" w:styleId="xl116">
    <w:name w:val="xl116"/>
    <w:basedOn w:val="Normal"/>
    <w:uiPriority w:val="99"/>
    <w:rsid w:val="00CA38C3"/>
    <w:pPr>
      <w:pBdr>
        <w:top w:val="single" w:sz="4" w:space="0" w:color="auto"/>
      </w:pBdr>
      <w:spacing w:before="100" w:beforeAutospacing="1" w:after="100" w:afterAutospacing="1"/>
      <w:jc w:val="center"/>
    </w:pPr>
    <w:rPr>
      <w:rFonts w:ascii="CG Times" w:hAnsi="CG Times" w:cs="CG Times"/>
      <w:sz w:val="14"/>
      <w:szCs w:val="14"/>
    </w:rPr>
  </w:style>
  <w:style w:type="paragraph" w:customStyle="1" w:styleId="xl117">
    <w:name w:val="xl117"/>
    <w:basedOn w:val="Normal"/>
    <w:uiPriority w:val="99"/>
    <w:rsid w:val="00CA38C3"/>
    <w:pPr>
      <w:pBdr>
        <w:top w:val="single" w:sz="4" w:space="0" w:color="auto"/>
        <w:left w:val="double" w:sz="6" w:space="0" w:color="auto"/>
        <w:right w:val="double" w:sz="6" w:space="0" w:color="auto"/>
      </w:pBdr>
      <w:spacing w:before="100" w:beforeAutospacing="1" w:after="100" w:afterAutospacing="1"/>
      <w:jc w:val="center"/>
    </w:pPr>
    <w:rPr>
      <w:rFonts w:ascii="CG Times" w:hAnsi="CG Times" w:cs="CG Times"/>
      <w:sz w:val="14"/>
      <w:szCs w:val="14"/>
    </w:rPr>
  </w:style>
  <w:style w:type="paragraph" w:customStyle="1" w:styleId="xl118">
    <w:name w:val="xl118"/>
    <w:basedOn w:val="Normal"/>
    <w:uiPriority w:val="99"/>
    <w:rsid w:val="00CA38C3"/>
    <w:pPr>
      <w:pBdr>
        <w:top w:val="single" w:sz="4" w:space="0" w:color="auto"/>
      </w:pBdr>
      <w:spacing w:before="100" w:beforeAutospacing="1" w:after="100" w:afterAutospacing="1"/>
      <w:jc w:val="right"/>
    </w:pPr>
    <w:rPr>
      <w:rFonts w:ascii="CG Times" w:hAnsi="CG Times" w:cs="CG Times"/>
      <w:sz w:val="14"/>
      <w:szCs w:val="14"/>
    </w:rPr>
  </w:style>
  <w:style w:type="paragraph" w:customStyle="1" w:styleId="xl119">
    <w:name w:val="xl119"/>
    <w:basedOn w:val="Normal"/>
    <w:uiPriority w:val="99"/>
    <w:rsid w:val="00CA38C3"/>
    <w:pPr>
      <w:pBdr>
        <w:top w:val="single" w:sz="4" w:space="0" w:color="auto"/>
        <w:left w:val="double" w:sz="6" w:space="0" w:color="auto"/>
        <w:right w:val="double" w:sz="6" w:space="0" w:color="auto"/>
      </w:pBdr>
      <w:spacing w:before="100" w:beforeAutospacing="1" w:after="100" w:afterAutospacing="1"/>
      <w:jc w:val="right"/>
    </w:pPr>
    <w:rPr>
      <w:rFonts w:ascii="CG Times" w:hAnsi="CG Times" w:cs="CG Times"/>
      <w:sz w:val="14"/>
      <w:szCs w:val="14"/>
    </w:rPr>
  </w:style>
  <w:style w:type="paragraph" w:customStyle="1" w:styleId="xl120">
    <w:name w:val="xl120"/>
    <w:basedOn w:val="Normal"/>
    <w:uiPriority w:val="99"/>
    <w:rsid w:val="00CA38C3"/>
    <w:pPr>
      <w:pBdr>
        <w:top w:val="single" w:sz="4" w:space="0" w:color="auto"/>
        <w:left w:val="double" w:sz="6" w:space="0" w:color="auto"/>
      </w:pBdr>
      <w:spacing w:before="100" w:beforeAutospacing="1" w:after="100" w:afterAutospacing="1"/>
      <w:jc w:val="center"/>
    </w:pPr>
    <w:rPr>
      <w:rFonts w:ascii="CG Times" w:hAnsi="CG Times" w:cs="CG Times"/>
      <w:sz w:val="14"/>
      <w:szCs w:val="14"/>
    </w:rPr>
  </w:style>
  <w:style w:type="paragraph" w:customStyle="1" w:styleId="xl121">
    <w:name w:val="xl121"/>
    <w:basedOn w:val="Normal"/>
    <w:uiPriority w:val="99"/>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hAnsi="CG Times" w:cs="CG Times"/>
      <w:sz w:val="14"/>
      <w:szCs w:val="14"/>
    </w:rPr>
  </w:style>
  <w:style w:type="paragraph" w:customStyle="1" w:styleId="xl122">
    <w:name w:val="xl122"/>
    <w:basedOn w:val="Normal"/>
    <w:uiPriority w:val="99"/>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cs="CG Times"/>
      <w:b/>
      <w:bCs/>
      <w:sz w:val="14"/>
      <w:szCs w:val="14"/>
    </w:rPr>
  </w:style>
  <w:style w:type="paragraph" w:customStyle="1" w:styleId="xl123">
    <w:name w:val="xl123"/>
    <w:basedOn w:val="Normal"/>
    <w:uiPriority w:val="99"/>
    <w:rsid w:val="00CA38C3"/>
    <w:pPr>
      <w:pBdr>
        <w:top w:val="double" w:sz="6" w:space="0" w:color="auto"/>
        <w:bottom w:val="double" w:sz="6" w:space="0" w:color="auto"/>
      </w:pBdr>
      <w:spacing w:before="100" w:beforeAutospacing="1" w:after="100" w:afterAutospacing="1"/>
      <w:jc w:val="center"/>
    </w:pPr>
    <w:rPr>
      <w:rFonts w:ascii="CG Times" w:hAnsi="CG Times" w:cs="CG Times"/>
      <w:sz w:val="14"/>
      <w:szCs w:val="14"/>
    </w:rPr>
  </w:style>
  <w:style w:type="paragraph" w:customStyle="1" w:styleId="xl124">
    <w:name w:val="xl124"/>
    <w:basedOn w:val="Normal"/>
    <w:uiPriority w:val="99"/>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hAnsi="CG Times" w:cs="CG Times"/>
      <w:sz w:val="14"/>
      <w:szCs w:val="14"/>
    </w:rPr>
  </w:style>
  <w:style w:type="paragraph" w:customStyle="1" w:styleId="xl125">
    <w:name w:val="xl125"/>
    <w:basedOn w:val="Normal"/>
    <w:uiPriority w:val="99"/>
    <w:rsid w:val="00CA38C3"/>
    <w:pPr>
      <w:pBdr>
        <w:top w:val="double" w:sz="6" w:space="0" w:color="auto"/>
        <w:bottom w:val="double" w:sz="6" w:space="0" w:color="auto"/>
      </w:pBdr>
      <w:spacing w:before="100" w:beforeAutospacing="1" w:after="100" w:afterAutospacing="1"/>
      <w:jc w:val="center"/>
    </w:pPr>
    <w:rPr>
      <w:rFonts w:ascii="CG Times" w:hAnsi="CG Times" w:cs="CG Times"/>
      <w:b/>
      <w:bCs/>
      <w:sz w:val="14"/>
      <w:szCs w:val="14"/>
    </w:rPr>
  </w:style>
  <w:style w:type="paragraph" w:customStyle="1" w:styleId="xl126">
    <w:name w:val="xl126"/>
    <w:basedOn w:val="Normal"/>
    <w:uiPriority w:val="99"/>
    <w:rsid w:val="00CA38C3"/>
    <w:pPr>
      <w:pBdr>
        <w:top w:val="double" w:sz="6" w:space="0" w:color="auto"/>
        <w:bottom w:val="double" w:sz="6" w:space="0" w:color="auto"/>
      </w:pBdr>
      <w:spacing w:before="100" w:beforeAutospacing="1" w:after="100" w:afterAutospacing="1"/>
      <w:jc w:val="right"/>
    </w:pPr>
    <w:rPr>
      <w:rFonts w:ascii="CG Times" w:hAnsi="CG Times" w:cs="CG Times"/>
      <w:b/>
      <w:bCs/>
      <w:sz w:val="14"/>
      <w:szCs w:val="14"/>
    </w:rPr>
  </w:style>
  <w:style w:type="paragraph" w:customStyle="1" w:styleId="xl127">
    <w:name w:val="xl127"/>
    <w:basedOn w:val="Normal"/>
    <w:uiPriority w:val="99"/>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hAnsi="CG Times" w:cs="CG Times"/>
      <w:b/>
      <w:bCs/>
      <w:sz w:val="14"/>
      <w:szCs w:val="14"/>
    </w:rPr>
  </w:style>
  <w:style w:type="character" w:customStyle="1" w:styleId="AktiChar">
    <w:name w:val="Akti Char"/>
    <w:basedOn w:val="DefaultParagraphFont"/>
    <w:link w:val="Akti"/>
    <w:uiPriority w:val="99"/>
    <w:locked/>
    <w:rsid w:val="00CA38C3"/>
    <w:rPr>
      <w:rFonts w:ascii="CG Times" w:hAnsi="CG Times" w:cs="CG Times"/>
      <w:b/>
      <w:bCs/>
      <w:caps/>
      <w:color w:val="000000"/>
      <w:sz w:val="22"/>
      <w:szCs w:val="22"/>
      <w:lang w:val="en-GB" w:eastAsia="en-US"/>
    </w:rPr>
  </w:style>
</w:styles>
</file>

<file path=word/webSettings.xml><?xml version="1.0" encoding="utf-8"?>
<w:webSettings xmlns:r="http://schemas.openxmlformats.org/officeDocument/2006/relationships" xmlns:w="http://schemas.openxmlformats.org/wordprocessingml/2006/main">
  <w:divs>
    <w:div w:id="790322436">
      <w:marLeft w:val="0"/>
      <w:marRight w:val="0"/>
      <w:marTop w:val="0"/>
      <w:marBottom w:val="0"/>
      <w:divBdr>
        <w:top w:val="none" w:sz="0" w:space="0" w:color="auto"/>
        <w:left w:val="none" w:sz="0" w:space="0" w:color="auto"/>
        <w:bottom w:val="none" w:sz="0" w:space="0" w:color="auto"/>
        <w:right w:val="none" w:sz="0" w:space="0" w:color="auto"/>
      </w:divBdr>
    </w:div>
    <w:div w:id="790322437">
      <w:marLeft w:val="0"/>
      <w:marRight w:val="0"/>
      <w:marTop w:val="0"/>
      <w:marBottom w:val="0"/>
      <w:divBdr>
        <w:top w:val="none" w:sz="0" w:space="0" w:color="auto"/>
        <w:left w:val="none" w:sz="0" w:space="0" w:color="auto"/>
        <w:bottom w:val="none" w:sz="0" w:space="0" w:color="auto"/>
        <w:right w:val="none" w:sz="0" w:space="0" w:color="auto"/>
      </w:divBdr>
    </w:div>
    <w:div w:id="790322438">
      <w:marLeft w:val="0"/>
      <w:marRight w:val="0"/>
      <w:marTop w:val="0"/>
      <w:marBottom w:val="0"/>
      <w:divBdr>
        <w:top w:val="none" w:sz="0" w:space="0" w:color="auto"/>
        <w:left w:val="none" w:sz="0" w:space="0" w:color="auto"/>
        <w:bottom w:val="none" w:sz="0" w:space="0" w:color="auto"/>
        <w:right w:val="none" w:sz="0" w:space="0" w:color="auto"/>
      </w:divBdr>
    </w:div>
    <w:div w:id="790322439">
      <w:marLeft w:val="0"/>
      <w:marRight w:val="0"/>
      <w:marTop w:val="0"/>
      <w:marBottom w:val="0"/>
      <w:divBdr>
        <w:top w:val="none" w:sz="0" w:space="0" w:color="auto"/>
        <w:left w:val="none" w:sz="0" w:space="0" w:color="auto"/>
        <w:bottom w:val="none" w:sz="0" w:space="0" w:color="auto"/>
        <w:right w:val="none" w:sz="0" w:space="0" w:color="auto"/>
      </w:divBdr>
    </w:div>
    <w:div w:id="790322440">
      <w:marLeft w:val="0"/>
      <w:marRight w:val="0"/>
      <w:marTop w:val="0"/>
      <w:marBottom w:val="0"/>
      <w:divBdr>
        <w:top w:val="none" w:sz="0" w:space="0" w:color="auto"/>
        <w:left w:val="none" w:sz="0" w:space="0" w:color="auto"/>
        <w:bottom w:val="none" w:sz="0" w:space="0" w:color="auto"/>
        <w:right w:val="none" w:sz="0" w:space="0" w:color="auto"/>
      </w:divBdr>
    </w:div>
    <w:div w:id="790322441">
      <w:marLeft w:val="0"/>
      <w:marRight w:val="0"/>
      <w:marTop w:val="0"/>
      <w:marBottom w:val="0"/>
      <w:divBdr>
        <w:top w:val="none" w:sz="0" w:space="0" w:color="auto"/>
        <w:left w:val="none" w:sz="0" w:space="0" w:color="auto"/>
        <w:bottom w:val="none" w:sz="0" w:space="0" w:color="auto"/>
        <w:right w:val="none" w:sz="0" w:space="0" w:color="auto"/>
      </w:divBdr>
      <w:divsChild>
        <w:div w:id="790322444">
          <w:marLeft w:val="0"/>
          <w:marRight w:val="0"/>
          <w:marTop w:val="0"/>
          <w:marBottom w:val="0"/>
          <w:divBdr>
            <w:top w:val="none" w:sz="0" w:space="0" w:color="auto"/>
            <w:left w:val="none" w:sz="0" w:space="0" w:color="auto"/>
            <w:bottom w:val="none" w:sz="0" w:space="0" w:color="auto"/>
            <w:right w:val="none" w:sz="0" w:space="0" w:color="auto"/>
          </w:divBdr>
        </w:div>
      </w:divsChild>
    </w:div>
    <w:div w:id="790322442">
      <w:marLeft w:val="0"/>
      <w:marRight w:val="0"/>
      <w:marTop w:val="0"/>
      <w:marBottom w:val="0"/>
      <w:divBdr>
        <w:top w:val="none" w:sz="0" w:space="0" w:color="auto"/>
        <w:left w:val="none" w:sz="0" w:space="0" w:color="auto"/>
        <w:bottom w:val="none" w:sz="0" w:space="0" w:color="auto"/>
        <w:right w:val="none" w:sz="0" w:space="0" w:color="auto"/>
      </w:divBdr>
      <w:divsChild>
        <w:div w:id="790322448">
          <w:marLeft w:val="0"/>
          <w:marRight w:val="0"/>
          <w:marTop w:val="0"/>
          <w:marBottom w:val="0"/>
          <w:divBdr>
            <w:top w:val="none" w:sz="0" w:space="0" w:color="auto"/>
            <w:left w:val="none" w:sz="0" w:space="0" w:color="auto"/>
            <w:bottom w:val="none" w:sz="0" w:space="0" w:color="auto"/>
            <w:right w:val="none" w:sz="0" w:space="0" w:color="auto"/>
          </w:divBdr>
        </w:div>
      </w:divsChild>
    </w:div>
    <w:div w:id="790322443">
      <w:marLeft w:val="0"/>
      <w:marRight w:val="0"/>
      <w:marTop w:val="0"/>
      <w:marBottom w:val="0"/>
      <w:divBdr>
        <w:top w:val="none" w:sz="0" w:space="0" w:color="auto"/>
        <w:left w:val="none" w:sz="0" w:space="0" w:color="auto"/>
        <w:bottom w:val="none" w:sz="0" w:space="0" w:color="auto"/>
        <w:right w:val="none" w:sz="0" w:space="0" w:color="auto"/>
      </w:divBdr>
    </w:div>
    <w:div w:id="790322445">
      <w:marLeft w:val="0"/>
      <w:marRight w:val="0"/>
      <w:marTop w:val="0"/>
      <w:marBottom w:val="0"/>
      <w:divBdr>
        <w:top w:val="none" w:sz="0" w:space="0" w:color="auto"/>
        <w:left w:val="none" w:sz="0" w:space="0" w:color="auto"/>
        <w:bottom w:val="none" w:sz="0" w:space="0" w:color="auto"/>
        <w:right w:val="none" w:sz="0" w:space="0" w:color="auto"/>
      </w:divBdr>
    </w:div>
    <w:div w:id="790322446">
      <w:marLeft w:val="0"/>
      <w:marRight w:val="0"/>
      <w:marTop w:val="0"/>
      <w:marBottom w:val="0"/>
      <w:divBdr>
        <w:top w:val="none" w:sz="0" w:space="0" w:color="auto"/>
        <w:left w:val="none" w:sz="0" w:space="0" w:color="auto"/>
        <w:bottom w:val="none" w:sz="0" w:space="0" w:color="auto"/>
        <w:right w:val="none" w:sz="0" w:space="0" w:color="auto"/>
      </w:divBdr>
    </w:div>
    <w:div w:id="790322447">
      <w:marLeft w:val="0"/>
      <w:marRight w:val="0"/>
      <w:marTop w:val="0"/>
      <w:marBottom w:val="0"/>
      <w:divBdr>
        <w:top w:val="none" w:sz="0" w:space="0" w:color="auto"/>
        <w:left w:val="none" w:sz="0" w:space="0" w:color="auto"/>
        <w:bottom w:val="none" w:sz="0" w:space="0" w:color="auto"/>
        <w:right w:val="none" w:sz="0" w:space="0" w:color="auto"/>
      </w:divBdr>
    </w:div>
    <w:div w:id="790322449">
      <w:marLeft w:val="0"/>
      <w:marRight w:val="0"/>
      <w:marTop w:val="0"/>
      <w:marBottom w:val="0"/>
      <w:divBdr>
        <w:top w:val="none" w:sz="0" w:space="0" w:color="auto"/>
        <w:left w:val="none" w:sz="0" w:space="0" w:color="auto"/>
        <w:bottom w:val="none" w:sz="0" w:space="0" w:color="auto"/>
        <w:right w:val="none" w:sz="0" w:space="0" w:color="auto"/>
      </w:divBdr>
    </w:div>
    <w:div w:id="790322450">
      <w:marLeft w:val="0"/>
      <w:marRight w:val="0"/>
      <w:marTop w:val="0"/>
      <w:marBottom w:val="0"/>
      <w:divBdr>
        <w:top w:val="none" w:sz="0" w:space="0" w:color="auto"/>
        <w:left w:val="none" w:sz="0" w:space="0" w:color="auto"/>
        <w:bottom w:val="none" w:sz="0" w:space="0" w:color="auto"/>
        <w:right w:val="none" w:sz="0" w:space="0" w:color="auto"/>
      </w:divBdr>
    </w:div>
    <w:div w:id="790322451">
      <w:marLeft w:val="0"/>
      <w:marRight w:val="0"/>
      <w:marTop w:val="0"/>
      <w:marBottom w:val="0"/>
      <w:divBdr>
        <w:top w:val="none" w:sz="0" w:space="0" w:color="auto"/>
        <w:left w:val="none" w:sz="0" w:space="0" w:color="auto"/>
        <w:bottom w:val="none" w:sz="0" w:space="0" w:color="auto"/>
        <w:right w:val="none" w:sz="0" w:space="0" w:color="auto"/>
      </w:divBdr>
    </w:div>
    <w:div w:id="790322452">
      <w:marLeft w:val="0"/>
      <w:marRight w:val="0"/>
      <w:marTop w:val="0"/>
      <w:marBottom w:val="0"/>
      <w:divBdr>
        <w:top w:val="none" w:sz="0" w:space="0" w:color="auto"/>
        <w:left w:val="none" w:sz="0" w:space="0" w:color="auto"/>
        <w:bottom w:val="none" w:sz="0" w:space="0" w:color="auto"/>
        <w:right w:val="none" w:sz="0" w:space="0" w:color="auto"/>
      </w:divBdr>
    </w:div>
    <w:div w:id="790322453">
      <w:marLeft w:val="0"/>
      <w:marRight w:val="0"/>
      <w:marTop w:val="0"/>
      <w:marBottom w:val="0"/>
      <w:divBdr>
        <w:top w:val="none" w:sz="0" w:space="0" w:color="auto"/>
        <w:left w:val="none" w:sz="0" w:space="0" w:color="auto"/>
        <w:bottom w:val="none" w:sz="0" w:space="0" w:color="auto"/>
        <w:right w:val="none" w:sz="0" w:space="0" w:color="auto"/>
      </w:divBdr>
    </w:div>
    <w:div w:id="790322454">
      <w:marLeft w:val="0"/>
      <w:marRight w:val="0"/>
      <w:marTop w:val="0"/>
      <w:marBottom w:val="0"/>
      <w:divBdr>
        <w:top w:val="none" w:sz="0" w:space="0" w:color="auto"/>
        <w:left w:val="none" w:sz="0" w:space="0" w:color="auto"/>
        <w:bottom w:val="none" w:sz="0" w:space="0" w:color="auto"/>
        <w:right w:val="none" w:sz="0" w:space="0" w:color="auto"/>
      </w:divBdr>
    </w:div>
    <w:div w:id="790322455">
      <w:marLeft w:val="0"/>
      <w:marRight w:val="0"/>
      <w:marTop w:val="0"/>
      <w:marBottom w:val="0"/>
      <w:divBdr>
        <w:top w:val="none" w:sz="0" w:space="0" w:color="auto"/>
        <w:left w:val="none" w:sz="0" w:space="0" w:color="auto"/>
        <w:bottom w:val="none" w:sz="0" w:space="0" w:color="auto"/>
        <w:right w:val="none" w:sz="0" w:space="0" w:color="auto"/>
      </w:divBdr>
    </w:div>
    <w:div w:id="790322456">
      <w:marLeft w:val="0"/>
      <w:marRight w:val="0"/>
      <w:marTop w:val="0"/>
      <w:marBottom w:val="0"/>
      <w:divBdr>
        <w:top w:val="none" w:sz="0" w:space="0" w:color="auto"/>
        <w:left w:val="none" w:sz="0" w:space="0" w:color="auto"/>
        <w:bottom w:val="none" w:sz="0" w:space="0" w:color="auto"/>
        <w:right w:val="none" w:sz="0" w:space="0" w:color="auto"/>
      </w:divBdr>
    </w:div>
    <w:div w:id="7903224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5.jpe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image" Target="media/image4.jpeg"/><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35</Pages>
  <Words>14151</Words>
  <Characters>78222</Characters>
  <Application>Microsoft Office Word</Application>
  <DocSecurity>0</DocSecurity>
  <Lines>651</Lines>
  <Paragraphs>184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n.fagu</cp:lastModifiedBy>
  <cp:revision>20</cp:revision>
  <cp:lastPrinted>2012-12-19T09:18:00Z</cp:lastPrinted>
  <dcterms:created xsi:type="dcterms:W3CDTF">2012-12-18T09:17:00Z</dcterms:created>
  <dcterms:modified xsi:type="dcterms:W3CDTF">2012-12-28T07:54:00Z</dcterms:modified>
</cp:coreProperties>
</file>