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63C" w:rsidRPr="00891C11" w:rsidRDefault="008C563C" w:rsidP="008C563C">
      <w:pPr>
        <w:pStyle w:val="Akti"/>
        <w:rPr>
          <w:lang w:val="it-IT"/>
        </w:rPr>
      </w:pPr>
      <w:bookmarkStart w:id="0" w:name="_GoBack"/>
      <w:bookmarkEnd w:id="0"/>
      <w:r w:rsidRPr="00891C11">
        <w:rPr>
          <w:lang w:val="it-IT"/>
        </w:rPr>
        <w:t>VENDIM</w:t>
      </w:r>
    </w:p>
    <w:p w:rsidR="008C563C" w:rsidRPr="00891C11" w:rsidRDefault="008C563C" w:rsidP="008C563C">
      <w:pPr>
        <w:pStyle w:val="NumriData"/>
        <w:rPr>
          <w:lang w:val="it-IT"/>
        </w:rPr>
      </w:pPr>
      <w:r w:rsidRPr="00891C11">
        <w:rPr>
          <w:lang w:val="it-IT"/>
        </w:rPr>
        <w:t>Nr. 27, datë 16.5.2012</w:t>
      </w:r>
    </w:p>
    <w:p w:rsidR="008C563C" w:rsidRPr="00891C11" w:rsidRDefault="008C563C" w:rsidP="008C563C">
      <w:pPr>
        <w:pStyle w:val="Paragrafi"/>
        <w:rPr>
          <w:lang w:val="it-IT"/>
        </w:rPr>
      </w:pPr>
    </w:p>
    <w:p w:rsidR="008C563C" w:rsidRPr="00891C11" w:rsidRDefault="008C563C" w:rsidP="008C563C">
      <w:pPr>
        <w:pStyle w:val="Titulli"/>
        <w:rPr>
          <w:lang w:val="it-IT"/>
        </w:rPr>
      </w:pPr>
      <w:r w:rsidRPr="00891C11">
        <w:rPr>
          <w:lang w:val="it-IT"/>
        </w:rPr>
        <w:t>Për miratimin e rregullores</w:t>
      </w:r>
    </w:p>
    <w:p w:rsidR="008C563C" w:rsidRPr="00891C11" w:rsidRDefault="008C563C" w:rsidP="008C563C">
      <w:pPr>
        <w:pStyle w:val="Titulli"/>
        <w:rPr>
          <w:lang w:val="it-IT"/>
        </w:rPr>
      </w:pPr>
      <w:r w:rsidRPr="00891C11">
        <w:rPr>
          <w:lang w:val="it-IT"/>
        </w:rPr>
        <w:t>“Për krijimin, licencimin dhe funksionimin e bankës urë”</w:t>
      </w:r>
    </w:p>
    <w:p w:rsidR="008C563C" w:rsidRPr="00891C11" w:rsidRDefault="008C563C" w:rsidP="008C563C">
      <w:pPr>
        <w:pStyle w:val="Paragrafi"/>
        <w:ind w:firstLine="0"/>
        <w:rPr>
          <w:lang w:val="it-IT"/>
        </w:rPr>
      </w:pPr>
    </w:p>
    <w:p w:rsidR="008C563C" w:rsidRPr="00891C11" w:rsidRDefault="008C563C" w:rsidP="008C563C">
      <w:pPr>
        <w:pStyle w:val="Paragrafi"/>
        <w:rPr>
          <w:lang w:val="it-IT"/>
        </w:rPr>
      </w:pPr>
      <w:r w:rsidRPr="00891C11">
        <w:rPr>
          <w:lang w:val="it-IT"/>
        </w:rPr>
        <w:t xml:space="preserve">Në bazë dhe për </w:t>
      </w:r>
      <w:r w:rsidR="00B52271" w:rsidRPr="00891C11">
        <w:rPr>
          <w:lang w:val="it-IT"/>
        </w:rPr>
        <w:t>zbatim të nenit 43 shkronja “c”</w:t>
      </w:r>
      <w:r w:rsidRPr="00891C11">
        <w:rPr>
          <w:lang w:val="it-IT"/>
        </w:rPr>
        <w:t xml:space="preserve"> të ligjit nr. 8269, datë 23.12.1</w:t>
      </w:r>
      <w:r w:rsidR="00B52271" w:rsidRPr="00891C11">
        <w:rPr>
          <w:lang w:val="it-IT"/>
        </w:rPr>
        <w:t>997 “Për Bankën e Shqipërisë”, të</w:t>
      </w:r>
      <w:r w:rsidRPr="00891C11">
        <w:rPr>
          <w:lang w:val="it-IT"/>
        </w:rPr>
        <w:t xml:space="preserve"> ndryshuar; dhe nenit 81/1</w:t>
      </w:r>
      <w:r w:rsidR="00B52271" w:rsidRPr="00891C11">
        <w:rPr>
          <w:lang w:val="it-IT"/>
        </w:rPr>
        <w:t xml:space="preserve"> pika 1</w:t>
      </w:r>
      <w:r w:rsidRPr="00891C11">
        <w:rPr>
          <w:lang w:val="it-IT"/>
        </w:rPr>
        <w:t xml:space="preserve"> të ligjit nr. 9662, datë 18.12.2006 “Për bankat në Republikën e Shqipërisë”, </w:t>
      </w:r>
      <w:r w:rsidR="00B52271" w:rsidRPr="00891C11">
        <w:rPr>
          <w:lang w:val="it-IT"/>
        </w:rPr>
        <w:t>të</w:t>
      </w:r>
      <w:r w:rsidRPr="00891C11">
        <w:rPr>
          <w:lang w:val="it-IT"/>
        </w:rPr>
        <w:t xml:space="preserve"> ndryshuar, Këshilli Mbikëqyrës i Bankës së Shqipërisë, me propozimin e Departamentit të Mbikëqyrjes,</w:t>
      </w:r>
    </w:p>
    <w:p w:rsidR="008C563C" w:rsidRPr="00891C11" w:rsidRDefault="008C563C" w:rsidP="008C563C">
      <w:pPr>
        <w:pStyle w:val="VENDOSI"/>
        <w:rPr>
          <w:lang w:val="it-IT"/>
        </w:rPr>
      </w:pPr>
      <w:r w:rsidRPr="00891C11">
        <w:rPr>
          <w:lang w:val="it-IT"/>
        </w:rPr>
        <w:t>VENDOSI:</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Miratimin e rregullores “Për krijimin, licencimin dhe funksionimin e bankës urë”, sipas tekstit bashkëlidhur këtij vendimi.</w:t>
      </w:r>
    </w:p>
    <w:p w:rsidR="008C563C" w:rsidRPr="00891C11" w:rsidRDefault="008C563C" w:rsidP="008C563C">
      <w:pPr>
        <w:pStyle w:val="Paragrafi"/>
        <w:rPr>
          <w:lang w:val="it-IT"/>
        </w:rPr>
      </w:pPr>
      <w:r w:rsidRPr="00891C11">
        <w:rPr>
          <w:lang w:val="it-IT"/>
        </w:rPr>
        <w:t>2. Ngarkohet Departamenti i Marrëdhënieve me Jashtë, Integrimit Evropian dhe Komunikimit, për publikimin e kësaj rregulloreje në Buletinin Zyrtar të Bankës së Shqipërisë dhe në Fletoren Zyrtare të Republikës së Shqipërisë.</w:t>
      </w:r>
    </w:p>
    <w:p w:rsidR="008C563C" w:rsidRPr="00891C11" w:rsidRDefault="008C563C" w:rsidP="008C563C">
      <w:pPr>
        <w:pStyle w:val="Paragrafi"/>
        <w:rPr>
          <w:lang w:val="it-IT"/>
        </w:rPr>
      </w:pPr>
      <w:r w:rsidRPr="00891C11">
        <w:rPr>
          <w:lang w:val="it-IT"/>
        </w:rPr>
        <w:t>3. Ky vendim hyn në fuqi 15 ditë pas botimit në Fletoren Zyrtare të Republikës së Shqipërisë.</w:t>
      </w:r>
    </w:p>
    <w:p w:rsidR="008C563C" w:rsidRPr="00891C11" w:rsidRDefault="008C563C" w:rsidP="008C563C">
      <w:pPr>
        <w:pStyle w:val="Paragrafi"/>
        <w:ind w:firstLine="0"/>
        <w:rPr>
          <w:lang w:val="it-IT"/>
        </w:rPr>
      </w:pPr>
    </w:p>
    <w:p w:rsidR="008C563C" w:rsidRPr="00891C11" w:rsidRDefault="008C563C" w:rsidP="008C563C">
      <w:pPr>
        <w:pStyle w:val="Autoriteti"/>
        <w:rPr>
          <w:lang w:val="it-IT"/>
        </w:rPr>
      </w:pPr>
      <w:r w:rsidRPr="00891C11">
        <w:rPr>
          <w:lang w:val="it-IT"/>
        </w:rPr>
        <w:t xml:space="preserve">                         </w:t>
      </w:r>
      <w:r w:rsidRPr="00891C11">
        <w:rPr>
          <w:lang w:val="it-IT"/>
        </w:rPr>
        <w:tab/>
      </w:r>
      <w:r w:rsidRPr="00891C11">
        <w:rPr>
          <w:lang w:val="it-IT"/>
        </w:rPr>
        <w:tab/>
      </w:r>
      <w:r w:rsidRPr="00891C11">
        <w:rPr>
          <w:lang w:val="it-IT"/>
        </w:rPr>
        <w:tab/>
        <w:t xml:space="preserve"> </w:t>
      </w:r>
      <w:r w:rsidRPr="00891C11">
        <w:rPr>
          <w:lang w:val="it-IT"/>
        </w:rPr>
        <w:tab/>
      </w:r>
      <w:r w:rsidRPr="00891C11">
        <w:rPr>
          <w:lang w:val="it-IT"/>
        </w:rPr>
        <w:tab/>
        <w:t xml:space="preserve">     KRYETARI</w:t>
      </w:r>
      <w:r w:rsidRPr="00891C11">
        <w:rPr>
          <w:lang w:val="it-IT"/>
        </w:rPr>
        <w:tab/>
        <w:t xml:space="preserve"> </w:t>
      </w:r>
    </w:p>
    <w:p w:rsidR="008C563C" w:rsidRPr="00891C11" w:rsidRDefault="008C563C" w:rsidP="008C563C">
      <w:pPr>
        <w:pStyle w:val="AutoritetiEmer"/>
        <w:rPr>
          <w:lang w:val="it-IT"/>
        </w:rPr>
      </w:pPr>
      <w:r w:rsidRPr="00891C11">
        <w:rPr>
          <w:lang w:val="it-IT"/>
        </w:rPr>
        <w:t xml:space="preserve">                    </w:t>
      </w:r>
      <w:r w:rsidRPr="00891C11">
        <w:rPr>
          <w:lang w:val="it-IT"/>
        </w:rPr>
        <w:tab/>
      </w:r>
      <w:r w:rsidRPr="00891C11">
        <w:rPr>
          <w:lang w:val="it-IT"/>
        </w:rPr>
        <w:tab/>
      </w:r>
      <w:r w:rsidRPr="00891C11">
        <w:rPr>
          <w:lang w:val="it-IT"/>
        </w:rPr>
        <w:tab/>
      </w:r>
      <w:r w:rsidRPr="00891C11">
        <w:rPr>
          <w:lang w:val="it-IT"/>
        </w:rPr>
        <w:tab/>
        <w:t xml:space="preserve">                    Ardian Fullani</w:t>
      </w:r>
    </w:p>
    <w:p w:rsidR="008C563C" w:rsidRPr="00891C11" w:rsidRDefault="008C563C" w:rsidP="008C563C">
      <w:pPr>
        <w:pStyle w:val="TitulliTitull"/>
        <w:keepNext w:val="0"/>
        <w:rPr>
          <w:b/>
          <w:lang w:val="it-IT"/>
        </w:rPr>
      </w:pPr>
    </w:p>
    <w:p w:rsidR="008C563C" w:rsidRPr="00891C11" w:rsidRDefault="008C563C" w:rsidP="008C563C">
      <w:pPr>
        <w:pStyle w:val="TitulliTitull"/>
        <w:rPr>
          <w:b/>
          <w:lang w:val="it-IT"/>
        </w:rPr>
      </w:pPr>
      <w:r w:rsidRPr="00891C11">
        <w:rPr>
          <w:b/>
          <w:lang w:val="it-IT"/>
        </w:rPr>
        <w:t>RREGULLORE</w:t>
      </w:r>
    </w:p>
    <w:p w:rsidR="008C563C" w:rsidRPr="00891C11" w:rsidRDefault="008C563C" w:rsidP="008C563C">
      <w:pPr>
        <w:pStyle w:val="TitulliTitull"/>
        <w:rPr>
          <w:lang w:val="it-IT"/>
        </w:rPr>
      </w:pPr>
      <w:r w:rsidRPr="00891C11">
        <w:rPr>
          <w:lang w:val="it-IT"/>
        </w:rPr>
        <w:t>PËR KRIJIMIN, LICENCIMI</w:t>
      </w:r>
      <w:r w:rsidR="00063B91" w:rsidRPr="00891C11">
        <w:rPr>
          <w:lang w:val="it-IT"/>
        </w:rPr>
        <w:t>N DHE FUNKSIONIMIN E BANKËS URË</w:t>
      </w:r>
      <w:r w:rsidRPr="00891C11">
        <w:rPr>
          <w:lang w:val="it-IT"/>
        </w:rPr>
        <w:t xml:space="preserve"> </w:t>
      </w:r>
    </w:p>
    <w:p w:rsidR="008C563C" w:rsidRPr="00891C11" w:rsidRDefault="008C563C" w:rsidP="008C563C">
      <w:pPr>
        <w:pStyle w:val="Paragrafi"/>
        <w:rPr>
          <w:lang w:val="it-IT"/>
        </w:rPr>
      </w:pPr>
    </w:p>
    <w:p w:rsidR="008C563C" w:rsidRPr="008F4146" w:rsidRDefault="008C563C" w:rsidP="008C563C">
      <w:pPr>
        <w:pStyle w:val="KreuNr"/>
      </w:pPr>
      <w:r w:rsidRPr="008F4146">
        <w:t>KREU I</w:t>
      </w:r>
    </w:p>
    <w:p w:rsidR="008C563C" w:rsidRPr="008F4146" w:rsidRDefault="008C563C" w:rsidP="008C563C">
      <w:pPr>
        <w:pStyle w:val="KreuTitull"/>
      </w:pPr>
      <w:r w:rsidRPr="008F4146">
        <w:t xml:space="preserve">Të përgjithshme </w:t>
      </w:r>
    </w:p>
    <w:p w:rsidR="008C563C" w:rsidRPr="008F4146" w:rsidRDefault="008C563C" w:rsidP="008C563C">
      <w:pPr>
        <w:pStyle w:val="Paragrafi"/>
      </w:pPr>
    </w:p>
    <w:p w:rsidR="008C563C" w:rsidRPr="008F4146" w:rsidRDefault="008C563C" w:rsidP="008C563C">
      <w:pPr>
        <w:pStyle w:val="NeniNr"/>
      </w:pPr>
      <w:r w:rsidRPr="008F4146">
        <w:t>Neni 1</w:t>
      </w:r>
    </w:p>
    <w:p w:rsidR="008C563C" w:rsidRPr="008F4146" w:rsidRDefault="008C563C" w:rsidP="008C563C">
      <w:pPr>
        <w:pStyle w:val="NeniTitull"/>
      </w:pPr>
      <w:r w:rsidRPr="008F4146">
        <w:t xml:space="preserve">Objekti </w:t>
      </w:r>
    </w:p>
    <w:p w:rsidR="008C563C" w:rsidRPr="008F4146" w:rsidRDefault="008C563C" w:rsidP="008C563C">
      <w:pPr>
        <w:pStyle w:val="Paragrafi"/>
      </w:pPr>
    </w:p>
    <w:p w:rsidR="008C563C" w:rsidRPr="008F4146" w:rsidRDefault="008C563C" w:rsidP="008C563C">
      <w:pPr>
        <w:pStyle w:val="Paragrafi"/>
      </w:pPr>
      <w:r w:rsidRPr="008F4146">
        <w:t xml:space="preserve">Objekti i kësaj rregulloreje është përcaktimi i kushteve të krijimit, licencimit dhe funksionimit të bankës urë. </w:t>
      </w:r>
    </w:p>
    <w:p w:rsidR="008C563C" w:rsidRPr="008F4146" w:rsidRDefault="008C563C" w:rsidP="008C563C">
      <w:pPr>
        <w:pStyle w:val="Paragrafi"/>
        <w:ind w:firstLine="0"/>
      </w:pPr>
    </w:p>
    <w:p w:rsidR="008C563C" w:rsidRPr="008F4146" w:rsidRDefault="008C563C" w:rsidP="008C563C">
      <w:pPr>
        <w:pStyle w:val="NeniNr"/>
      </w:pPr>
      <w:r w:rsidRPr="008F4146">
        <w:t xml:space="preserve">Neni 2 </w:t>
      </w:r>
    </w:p>
    <w:p w:rsidR="008C563C" w:rsidRPr="008F4146" w:rsidRDefault="008C563C" w:rsidP="008C563C">
      <w:pPr>
        <w:pStyle w:val="NeniTitull"/>
      </w:pPr>
      <w:r w:rsidRPr="008F4146">
        <w:t>Baza ligjore</w:t>
      </w:r>
    </w:p>
    <w:p w:rsidR="008C563C" w:rsidRPr="008F4146" w:rsidRDefault="008C563C" w:rsidP="008C563C">
      <w:pPr>
        <w:pStyle w:val="Paragrafi"/>
      </w:pPr>
    </w:p>
    <w:p w:rsidR="008C563C" w:rsidRPr="008F4146" w:rsidRDefault="008C563C" w:rsidP="008C563C">
      <w:pPr>
        <w:pStyle w:val="Paragrafi"/>
      </w:pPr>
      <w:r w:rsidRPr="008F4146">
        <w:t xml:space="preserve">1. Kjo rregullore nxirret në bazë dhe për zbatim të: </w:t>
      </w:r>
    </w:p>
    <w:p w:rsidR="008C563C" w:rsidRPr="008F4146" w:rsidRDefault="008C563C" w:rsidP="008C563C">
      <w:pPr>
        <w:pStyle w:val="Paragrafi"/>
      </w:pPr>
      <w:r w:rsidRPr="008F4146">
        <w:t xml:space="preserve">a) </w:t>
      </w:r>
      <w:r w:rsidR="00063B91">
        <w:t>nenit 12 shkronja “a” dhe nenit 43 shkronja “c”</w:t>
      </w:r>
      <w:r w:rsidRPr="008F4146">
        <w:t xml:space="preserve"> të ligjit nr. 8269, datë 23.12.1997 “Për Bankën e Shqipërisë”, </w:t>
      </w:r>
      <w:r w:rsidR="00063B91">
        <w:t>t</w:t>
      </w:r>
      <w:r w:rsidR="00063B91" w:rsidRPr="00875843">
        <w:t>ë</w:t>
      </w:r>
      <w:r w:rsidRPr="008F4146">
        <w:t xml:space="preserve"> ndryshuar (ligji “Për Bankën e Shqipërisë”); dhe</w:t>
      </w:r>
    </w:p>
    <w:p w:rsidR="008C563C" w:rsidRPr="008F4146" w:rsidRDefault="008C563C" w:rsidP="008C563C">
      <w:pPr>
        <w:pStyle w:val="Paragrafi"/>
      </w:pPr>
      <w:r w:rsidRPr="008F4146">
        <w:t xml:space="preserve">b) </w:t>
      </w:r>
      <w:r w:rsidR="00063B91">
        <w:t>nenit 81 shkronja “e”,</w:t>
      </w:r>
      <w:r w:rsidRPr="008F4146">
        <w:t xml:space="preserve"> nenit 81/1 pika 1, nenit 81/3 pik</w:t>
      </w:r>
      <w:r w:rsidR="00063B91">
        <w:t>a 2</w:t>
      </w:r>
      <w:r w:rsidRPr="008F4146">
        <w:t xml:space="preserve"> dhe nenit 81/4 të ligjit nr. 9662, datë 18.12.2006 “Për bankat në Republikën e Shqipërisë”, </w:t>
      </w:r>
      <w:r w:rsidR="00063B91">
        <w:t>t</w:t>
      </w:r>
      <w:r w:rsidR="00063B91" w:rsidRPr="00875843">
        <w:t>ë</w:t>
      </w:r>
      <w:r w:rsidRPr="008F4146">
        <w:t xml:space="preserve"> ndryshuar (ligji “Për bankat”).</w:t>
      </w:r>
    </w:p>
    <w:p w:rsidR="008C563C" w:rsidRPr="008F4146" w:rsidRDefault="008C563C" w:rsidP="008C563C">
      <w:pPr>
        <w:pStyle w:val="Paragrafi"/>
        <w:ind w:firstLine="0"/>
      </w:pPr>
    </w:p>
    <w:p w:rsidR="008C563C" w:rsidRPr="008F4146" w:rsidRDefault="008C563C" w:rsidP="008C563C">
      <w:pPr>
        <w:pStyle w:val="NeniNr"/>
      </w:pPr>
      <w:r w:rsidRPr="008F4146">
        <w:t>Neni 3</w:t>
      </w:r>
    </w:p>
    <w:p w:rsidR="008C563C" w:rsidRPr="008F4146" w:rsidRDefault="008C563C" w:rsidP="008C563C">
      <w:pPr>
        <w:pStyle w:val="NeniTitull"/>
      </w:pPr>
      <w:r w:rsidRPr="008F4146">
        <w:t>Subjektet</w:t>
      </w:r>
    </w:p>
    <w:p w:rsidR="008C563C" w:rsidRPr="008F4146" w:rsidRDefault="008C563C" w:rsidP="008C563C">
      <w:pPr>
        <w:pStyle w:val="Paragrafi"/>
      </w:pPr>
    </w:p>
    <w:p w:rsidR="008C563C" w:rsidRPr="008F4146" w:rsidRDefault="008C563C" w:rsidP="008C563C">
      <w:pPr>
        <w:pStyle w:val="Paragrafi"/>
      </w:pPr>
      <w:r w:rsidRPr="008F4146">
        <w:t xml:space="preserve">Subjekt i kësaj rregulloreje është banka urë. </w:t>
      </w:r>
    </w:p>
    <w:p w:rsidR="008C563C" w:rsidRPr="008F4146" w:rsidRDefault="008C563C" w:rsidP="008C563C">
      <w:pPr>
        <w:pStyle w:val="Paragrafi"/>
        <w:ind w:firstLine="0"/>
      </w:pPr>
    </w:p>
    <w:p w:rsidR="008C563C" w:rsidRPr="008F4146" w:rsidRDefault="008C563C" w:rsidP="008C563C">
      <w:pPr>
        <w:pStyle w:val="NeniNr"/>
      </w:pPr>
      <w:r w:rsidRPr="008F4146">
        <w:t>Neni 4</w:t>
      </w:r>
    </w:p>
    <w:p w:rsidR="008C563C" w:rsidRPr="008F4146" w:rsidRDefault="008C563C" w:rsidP="008C563C">
      <w:pPr>
        <w:pStyle w:val="NeniTitull"/>
      </w:pPr>
      <w:r w:rsidRPr="008F4146">
        <w:t>Përkufizimet</w:t>
      </w:r>
    </w:p>
    <w:p w:rsidR="008C563C" w:rsidRPr="008F4146" w:rsidRDefault="008C563C" w:rsidP="008C563C">
      <w:pPr>
        <w:pStyle w:val="Paragrafi"/>
      </w:pPr>
    </w:p>
    <w:p w:rsidR="008C563C" w:rsidRPr="008F4146" w:rsidRDefault="003469D9" w:rsidP="008C563C">
      <w:pPr>
        <w:pStyle w:val="Paragrafi"/>
      </w:pPr>
      <w:r>
        <w:lastRenderedPageBreak/>
        <w:t>1. Termat e përdorur</w:t>
      </w:r>
      <w:r w:rsidR="008C563C" w:rsidRPr="008F4146">
        <w:t xml:space="preserve"> në këtë rregullore kanë të njëjtin kuptim me termat dhe përkufizimet e përdorura në ligjin “Për bankat” dhe në aktet nënligjore të Bankës së Shqipërisë. </w:t>
      </w:r>
    </w:p>
    <w:p w:rsidR="008C563C" w:rsidRPr="008F4146" w:rsidRDefault="008C563C" w:rsidP="008C563C">
      <w:pPr>
        <w:pStyle w:val="Paragrafi"/>
      </w:pPr>
      <w:r w:rsidRPr="008F4146">
        <w:t>2. Përveç sa parashikohet në pikën 1 të këtij neni, për qëllime të zbatimit të kësaj rregulloreje, termi i mëposhtëm do të ketë këtë kuptim:</w:t>
      </w:r>
    </w:p>
    <w:p w:rsidR="008C563C" w:rsidRPr="008F4146" w:rsidRDefault="008C563C" w:rsidP="008C563C">
      <w:pPr>
        <w:pStyle w:val="Paragrafi"/>
      </w:pPr>
      <w:r w:rsidRPr="008F4146">
        <w:t>“</w:t>
      </w:r>
      <w:r w:rsidR="003469D9" w:rsidRPr="008F4146">
        <w:t xml:space="preserve">Bankë </w:t>
      </w:r>
      <w:r w:rsidRPr="008F4146">
        <w:t xml:space="preserve">me probleme/bankë e dobët”- është banka që, sipas vlerësimit të Bankës së Shqipërisë, ka ose mund të ketë një përkeqësim të likuiditetit ose të aftësisë paguese të saj, si dhe nëse nuk realizohet në vazhdimësi një përmirësim në burimet e saj financiare, në profilin e rrezikut, në drejtimin strategjik të biznesit, në aftësitë dhe/ose cilësinë e drejtuesve për administrimin e rrezikut. Për qëllime të kësaj rregulloreje dhe në varësi të situatës faktike, në termin </w:t>
      </w:r>
      <w:r w:rsidR="00681A8D">
        <w:t>“</w:t>
      </w:r>
      <w:r w:rsidRPr="008F4146">
        <w:t>bankë me probleme/bankë e dobët</w:t>
      </w:r>
      <w:r w:rsidR="00681A8D">
        <w:t>”</w:t>
      </w:r>
      <w:r w:rsidRPr="008F4146">
        <w:t xml:space="preserve"> do të përfshihen edhe bankat e vendosura në kujdestari ose likuidim nga </w:t>
      </w:r>
      <w:smartTag w:uri="urn:schemas-microsoft-com:office:smarttags" w:element="place">
        <w:r w:rsidRPr="008F4146">
          <w:t>Banka</w:t>
        </w:r>
      </w:smartTag>
      <w:r w:rsidRPr="008F4146">
        <w:t xml:space="preserve"> e Shqipërisë.</w:t>
      </w:r>
      <w:r w:rsidRPr="008F4146" w:rsidDel="00FA16DE">
        <w:t xml:space="preserve"> </w:t>
      </w:r>
    </w:p>
    <w:p w:rsidR="008C563C" w:rsidRPr="00030145" w:rsidRDefault="008C563C" w:rsidP="008C563C">
      <w:pPr>
        <w:pStyle w:val="Paragrafi"/>
        <w:rPr>
          <w:sz w:val="16"/>
        </w:rPr>
      </w:pPr>
    </w:p>
    <w:p w:rsidR="008C563C" w:rsidRPr="00891C11" w:rsidRDefault="008C563C" w:rsidP="008C563C">
      <w:pPr>
        <w:pStyle w:val="KreuNr"/>
        <w:rPr>
          <w:lang w:val="it-IT"/>
        </w:rPr>
      </w:pPr>
      <w:r w:rsidRPr="00891C11">
        <w:rPr>
          <w:lang w:val="it-IT"/>
        </w:rPr>
        <w:t>KREU II</w:t>
      </w:r>
    </w:p>
    <w:p w:rsidR="008C563C" w:rsidRPr="00891C11" w:rsidRDefault="008C563C" w:rsidP="008C563C">
      <w:pPr>
        <w:pStyle w:val="KapitulliTitull"/>
        <w:rPr>
          <w:lang w:val="it-IT"/>
        </w:rPr>
      </w:pPr>
      <w:r w:rsidRPr="00891C11">
        <w:rPr>
          <w:lang w:val="it-IT"/>
        </w:rPr>
        <w:t>Krijimi dhe licencimi i bankës urë</w:t>
      </w:r>
    </w:p>
    <w:p w:rsidR="008C563C" w:rsidRPr="00891C11" w:rsidRDefault="008C563C" w:rsidP="008C563C">
      <w:pPr>
        <w:pStyle w:val="Paragrafi"/>
        <w:rPr>
          <w:sz w:val="18"/>
          <w:lang w:val="it-IT"/>
        </w:rPr>
      </w:pPr>
    </w:p>
    <w:p w:rsidR="008C563C" w:rsidRPr="00891C11" w:rsidRDefault="008C563C" w:rsidP="008C563C">
      <w:pPr>
        <w:pStyle w:val="NeniNr"/>
        <w:rPr>
          <w:lang w:val="it-IT"/>
        </w:rPr>
      </w:pPr>
      <w:r w:rsidRPr="00891C11">
        <w:rPr>
          <w:lang w:val="it-IT"/>
        </w:rPr>
        <w:t>Neni 5</w:t>
      </w:r>
    </w:p>
    <w:p w:rsidR="008C563C" w:rsidRPr="00891C11" w:rsidRDefault="008C563C" w:rsidP="008C563C">
      <w:pPr>
        <w:pStyle w:val="NeniTitull"/>
        <w:rPr>
          <w:lang w:val="it-IT"/>
        </w:rPr>
      </w:pPr>
      <w:r w:rsidRPr="00891C11">
        <w:rPr>
          <w:lang w:val="it-IT"/>
        </w:rPr>
        <w:t>Krijimi i bankës urë</w:t>
      </w:r>
    </w:p>
    <w:p w:rsidR="008C563C" w:rsidRPr="00891C11" w:rsidRDefault="008C563C" w:rsidP="008C563C">
      <w:pPr>
        <w:pStyle w:val="Paragrafi"/>
        <w:rPr>
          <w:sz w:val="20"/>
          <w:lang w:val="it-IT"/>
        </w:rPr>
      </w:pPr>
    </w:p>
    <w:p w:rsidR="008C563C" w:rsidRPr="00891C11" w:rsidRDefault="008C563C" w:rsidP="008C563C">
      <w:pPr>
        <w:pStyle w:val="Paragrafi"/>
        <w:rPr>
          <w:lang w:val="it-IT"/>
        </w:rPr>
      </w:pPr>
      <w:r w:rsidRPr="00891C11">
        <w:rPr>
          <w:lang w:val="it-IT"/>
        </w:rPr>
        <w:t xml:space="preserve">1. Banka urë është një shoqëri aksionere. </w:t>
      </w:r>
    </w:p>
    <w:p w:rsidR="008C563C" w:rsidRPr="00891C11" w:rsidRDefault="008C563C" w:rsidP="008C563C">
      <w:pPr>
        <w:pStyle w:val="Paragrafi"/>
        <w:rPr>
          <w:lang w:val="it-IT"/>
        </w:rPr>
      </w:pPr>
      <w:r w:rsidRPr="00891C11">
        <w:rPr>
          <w:lang w:val="it-IT"/>
        </w:rPr>
        <w:t xml:space="preserve">2. Banka urë administron përkohësisht aktivet dhe detyrimet e transferuara nga një bankë me probleme. </w:t>
      </w:r>
    </w:p>
    <w:p w:rsidR="008C563C" w:rsidRPr="00891C11" w:rsidRDefault="008C563C" w:rsidP="008C563C">
      <w:pPr>
        <w:pStyle w:val="Paragrafi"/>
        <w:rPr>
          <w:lang w:val="it-IT"/>
        </w:rPr>
      </w:pPr>
      <w:r w:rsidRPr="00891C11">
        <w:rPr>
          <w:lang w:val="it-IT"/>
        </w:rPr>
        <w:t xml:space="preserve">3. Propozimi për krijimin e bankës urë përgatitet nga Grupi Mbikëqyrës, i cili asiston administratorët dhe/ose administrimin e bankës urë, gjatë gjithë kohëzgjatjes së saj. </w:t>
      </w:r>
    </w:p>
    <w:p w:rsidR="008C563C" w:rsidRPr="00891C11" w:rsidRDefault="008C563C" w:rsidP="008C563C">
      <w:pPr>
        <w:pStyle w:val="NeniNr"/>
        <w:rPr>
          <w:lang w:val="it-IT"/>
        </w:rPr>
      </w:pPr>
    </w:p>
    <w:p w:rsidR="008C563C" w:rsidRPr="00891C11" w:rsidRDefault="008C563C" w:rsidP="008C563C">
      <w:pPr>
        <w:pStyle w:val="NeniNr"/>
        <w:rPr>
          <w:lang w:val="it-IT"/>
        </w:rPr>
      </w:pPr>
      <w:r w:rsidRPr="00891C11">
        <w:rPr>
          <w:lang w:val="it-IT"/>
        </w:rPr>
        <w:t>Neni 6</w:t>
      </w:r>
    </w:p>
    <w:p w:rsidR="008C563C" w:rsidRPr="00891C11" w:rsidRDefault="008C563C" w:rsidP="008C563C">
      <w:pPr>
        <w:pStyle w:val="NeniTitull"/>
        <w:rPr>
          <w:lang w:val="it-IT"/>
        </w:rPr>
      </w:pPr>
      <w:r w:rsidRPr="00891C11">
        <w:rPr>
          <w:lang w:val="it-IT"/>
        </w:rPr>
        <w:t xml:space="preserve">Kriteret e krijimit të bankës urë </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Banka urë krijohet me vendim të Këshillit Mbikëqyrës të Bankës së Shqipërisë, vetëm nëse plotësohen kushtet e mëposhtme:</w:t>
      </w:r>
    </w:p>
    <w:p w:rsidR="008C563C" w:rsidRPr="00891C11" w:rsidRDefault="008C563C" w:rsidP="008C563C">
      <w:pPr>
        <w:pStyle w:val="Paragrafi"/>
        <w:rPr>
          <w:lang w:val="it-IT"/>
        </w:rPr>
      </w:pPr>
      <w:r w:rsidRPr="00891C11">
        <w:rPr>
          <w:lang w:val="it-IT"/>
        </w:rPr>
        <w:t xml:space="preserve">a) kapitali i nevojshëm dhe kostot e tjera për të vepruar si bankë urë nuk tejkalojnë shumën e kostove që parashikohen në rastet e vendosjes së bankës në kujdestari ose likuidim; </w:t>
      </w:r>
    </w:p>
    <w:p w:rsidR="008C563C" w:rsidRPr="00891C11" w:rsidRDefault="008C563C" w:rsidP="008C563C">
      <w:pPr>
        <w:pStyle w:val="Paragrafi"/>
        <w:rPr>
          <w:lang w:val="it-IT"/>
        </w:rPr>
      </w:pPr>
      <w:r w:rsidRPr="00891C11">
        <w:rPr>
          <w:lang w:val="it-IT"/>
        </w:rPr>
        <w:t>b) vazhdimi i veprimtarive të bankës me probleme është i domosdoshëm për shmangien/zvogëlimin e rrezikut sistemik dhe ruajtjen e stabilitetit financiar.</w:t>
      </w:r>
    </w:p>
    <w:p w:rsidR="008C563C" w:rsidRPr="00891C11" w:rsidRDefault="008C563C" w:rsidP="008C563C">
      <w:pPr>
        <w:pStyle w:val="Paragrafi"/>
        <w:ind w:firstLine="0"/>
        <w:rPr>
          <w:sz w:val="20"/>
          <w:highlight w:val="yellow"/>
          <w:lang w:val="it-IT"/>
        </w:rPr>
      </w:pPr>
    </w:p>
    <w:p w:rsidR="008C563C" w:rsidRPr="00891C11" w:rsidRDefault="008C563C" w:rsidP="008C563C">
      <w:pPr>
        <w:pStyle w:val="NeniNr"/>
        <w:rPr>
          <w:lang w:val="it-IT"/>
        </w:rPr>
      </w:pPr>
      <w:r w:rsidRPr="00891C11">
        <w:rPr>
          <w:lang w:val="it-IT"/>
        </w:rPr>
        <w:t>Neni 7</w:t>
      </w:r>
    </w:p>
    <w:p w:rsidR="008C563C" w:rsidRPr="00891C11" w:rsidRDefault="008C563C" w:rsidP="008C563C">
      <w:pPr>
        <w:pStyle w:val="NeniTitull"/>
        <w:rPr>
          <w:lang w:val="it-IT"/>
        </w:rPr>
      </w:pPr>
      <w:r w:rsidRPr="00891C11">
        <w:rPr>
          <w:lang w:val="it-IT"/>
        </w:rPr>
        <w:t>Regjistrimi në Qendrën Kombëtare të Regjistrimit</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Vendimi për krijimin e bankës urë, si dhe statuti i saj depozitohen në Qendrën Kombëtare të Regjistrimit. </w:t>
      </w:r>
    </w:p>
    <w:p w:rsidR="008C563C" w:rsidRPr="00891C11" w:rsidRDefault="008C563C" w:rsidP="008C563C">
      <w:pPr>
        <w:pStyle w:val="Paragrafi"/>
        <w:rPr>
          <w:lang w:val="it-IT"/>
        </w:rPr>
      </w:pPr>
      <w:r w:rsidRPr="00891C11">
        <w:rPr>
          <w:lang w:val="it-IT"/>
        </w:rPr>
        <w:t>2. Banka e Shqipërisë miraton statutin e bankës urë dhe çdo ndryshim të tij.</w:t>
      </w:r>
    </w:p>
    <w:p w:rsidR="008C563C" w:rsidRPr="00891C11" w:rsidRDefault="008C563C" w:rsidP="008C563C">
      <w:pPr>
        <w:pStyle w:val="NeniNr"/>
        <w:rPr>
          <w:lang w:val="it-IT"/>
        </w:rPr>
      </w:pPr>
    </w:p>
    <w:p w:rsidR="008C563C" w:rsidRPr="00891C11" w:rsidRDefault="008C563C" w:rsidP="008C563C">
      <w:pPr>
        <w:pStyle w:val="NeniNr"/>
        <w:rPr>
          <w:lang w:val="it-IT"/>
        </w:rPr>
      </w:pPr>
      <w:r w:rsidRPr="00891C11">
        <w:rPr>
          <w:lang w:val="it-IT"/>
        </w:rPr>
        <w:t>Neni 8</w:t>
      </w:r>
    </w:p>
    <w:p w:rsidR="008C563C" w:rsidRPr="00891C11" w:rsidRDefault="008C563C" w:rsidP="008C563C">
      <w:pPr>
        <w:pStyle w:val="NeniTitull"/>
        <w:rPr>
          <w:lang w:val="it-IT"/>
        </w:rPr>
      </w:pPr>
      <w:r w:rsidRPr="00891C11">
        <w:rPr>
          <w:lang w:val="it-IT"/>
        </w:rPr>
        <w:t xml:space="preserve">Karakteristikat e licencës </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Licenca e bankës urë është licencë e kufizuar në kohë, e patransferueshme dhe e patjetërsueshme.</w:t>
      </w:r>
    </w:p>
    <w:p w:rsidR="008C563C" w:rsidRPr="00891C11" w:rsidRDefault="008C563C" w:rsidP="008C563C">
      <w:pPr>
        <w:pStyle w:val="Paragrafi"/>
        <w:rPr>
          <w:lang w:val="it-IT"/>
        </w:rPr>
      </w:pPr>
      <w:r w:rsidRPr="00891C11">
        <w:rPr>
          <w:lang w:val="it-IT"/>
        </w:rPr>
        <w:t xml:space="preserve">2. Licenca ka si pjesë përbërëse të saj aneksin e veprimtarive bankare dhe/ose financiare, të cilat do të ushtrohen nga banka urë pas plotësimit të kushteve të licencimit të përcaktuara në këtë rregullore.  </w:t>
      </w:r>
    </w:p>
    <w:p w:rsidR="008C563C" w:rsidRPr="00891C11" w:rsidRDefault="008C563C" w:rsidP="008C563C">
      <w:pPr>
        <w:pStyle w:val="Paragrafi"/>
        <w:rPr>
          <w:lang w:val="it-IT"/>
        </w:rPr>
      </w:pPr>
      <w:r w:rsidRPr="00891C11">
        <w:rPr>
          <w:lang w:val="it-IT"/>
        </w:rPr>
        <w:t>3. Licenca e bankës urë është e të njëjtit format si licenca që lëshon Banka e Shqipërisë për bankat dhe degët e bankave të huaja.</w:t>
      </w:r>
    </w:p>
    <w:p w:rsidR="008C563C" w:rsidRPr="00891C11" w:rsidRDefault="008C563C" w:rsidP="008C563C">
      <w:pPr>
        <w:pStyle w:val="Paragrafi"/>
        <w:rPr>
          <w:lang w:val="it-IT"/>
        </w:rPr>
      </w:pPr>
      <w:r w:rsidRPr="00891C11">
        <w:rPr>
          <w:lang w:val="it-IT"/>
        </w:rPr>
        <w:t xml:space="preserve">4. Licenca dhe </w:t>
      </w:r>
      <w:r w:rsidR="00681A8D" w:rsidRPr="00891C11">
        <w:rPr>
          <w:lang w:val="it-IT"/>
        </w:rPr>
        <w:t>aneksi i licencës të bankës urë</w:t>
      </w:r>
      <w:r w:rsidRPr="00891C11">
        <w:rPr>
          <w:lang w:val="it-IT"/>
        </w:rPr>
        <w:t xml:space="preserve"> nënshkruhen nga Guvernatori i Bankës së </w:t>
      </w:r>
      <w:r w:rsidRPr="00891C11">
        <w:rPr>
          <w:lang w:val="it-IT"/>
        </w:rPr>
        <w:lastRenderedPageBreak/>
        <w:t>Shqipërisë.</w:t>
      </w:r>
    </w:p>
    <w:p w:rsidR="008C563C" w:rsidRPr="00891C11" w:rsidRDefault="008C563C" w:rsidP="008C563C">
      <w:pPr>
        <w:pStyle w:val="Paragrafi"/>
        <w:rPr>
          <w:lang w:val="it-IT"/>
        </w:rPr>
      </w:pPr>
      <w:r w:rsidRPr="00891C11">
        <w:rPr>
          <w:lang w:val="it-IT"/>
        </w:rPr>
        <w:t xml:space="preserve">5. Përbri emrit të bankës urë duhet të pasqyrohet edhe termi “bankë urë”. </w:t>
      </w:r>
    </w:p>
    <w:p w:rsidR="008C563C" w:rsidRPr="00891C11" w:rsidRDefault="008C563C" w:rsidP="008C563C">
      <w:pPr>
        <w:pStyle w:val="NeniNr"/>
        <w:rPr>
          <w:sz w:val="20"/>
          <w:lang w:val="it-IT"/>
        </w:rPr>
      </w:pPr>
    </w:p>
    <w:p w:rsidR="008C563C" w:rsidRPr="00891C11" w:rsidRDefault="008C563C" w:rsidP="008C563C">
      <w:pPr>
        <w:pStyle w:val="NeniNr"/>
        <w:rPr>
          <w:lang w:val="it-IT"/>
        </w:rPr>
      </w:pPr>
      <w:r w:rsidRPr="00891C11">
        <w:rPr>
          <w:lang w:val="it-IT"/>
        </w:rPr>
        <w:t>Neni 9</w:t>
      </w:r>
    </w:p>
    <w:p w:rsidR="008C563C" w:rsidRPr="00891C11" w:rsidRDefault="008C563C" w:rsidP="008C563C">
      <w:pPr>
        <w:pStyle w:val="NeniTitull"/>
        <w:rPr>
          <w:lang w:val="it-IT"/>
        </w:rPr>
      </w:pPr>
      <w:r w:rsidRPr="00891C11">
        <w:rPr>
          <w:lang w:val="it-IT"/>
        </w:rPr>
        <w:t>Afati i licencimit të bankës urë</w:t>
      </w:r>
    </w:p>
    <w:p w:rsidR="008C563C" w:rsidRPr="00891C11" w:rsidRDefault="008C563C" w:rsidP="008C563C">
      <w:pPr>
        <w:pStyle w:val="Paragrafi"/>
        <w:rPr>
          <w:sz w:val="20"/>
          <w:lang w:val="it-IT"/>
        </w:rPr>
      </w:pPr>
    </w:p>
    <w:p w:rsidR="008C563C" w:rsidRPr="00891C11" w:rsidRDefault="008C563C" w:rsidP="008C563C">
      <w:pPr>
        <w:pStyle w:val="Paragrafi"/>
        <w:rPr>
          <w:lang w:val="it-IT"/>
        </w:rPr>
      </w:pPr>
      <w:r w:rsidRPr="00891C11">
        <w:rPr>
          <w:lang w:val="it-IT"/>
        </w:rPr>
        <w:t xml:space="preserve">Banka e Shqipërisë licencon bankën urë jo më vonë se 5 ditë pas regjistrimit të saj në Qendrën Kombëtare të Regjistrimit. </w:t>
      </w:r>
    </w:p>
    <w:p w:rsidR="008C563C" w:rsidRPr="00891C11" w:rsidRDefault="008C563C" w:rsidP="008C563C">
      <w:pPr>
        <w:pStyle w:val="Paragrafi"/>
        <w:ind w:firstLine="0"/>
        <w:rPr>
          <w:sz w:val="12"/>
          <w:lang w:val="it-IT"/>
        </w:rPr>
      </w:pPr>
    </w:p>
    <w:p w:rsidR="008C563C" w:rsidRPr="00891C11" w:rsidRDefault="008C563C" w:rsidP="008C563C">
      <w:pPr>
        <w:pStyle w:val="NeniNr"/>
        <w:rPr>
          <w:lang w:val="it-IT"/>
        </w:rPr>
      </w:pPr>
      <w:r w:rsidRPr="00891C11">
        <w:rPr>
          <w:lang w:val="it-IT"/>
        </w:rPr>
        <w:t>Neni 10</w:t>
      </w:r>
    </w:p>
    <w:p w:rsidR="008C563C" w:rsidRPr="00891C11" w:rsidRDefault="008C563C" w:rsidP="008C563C">
      <w:pPr>
        <w:pStyle w:val="NeniTitull"/>
        <w:rPr>
          <w:lang w:val="it-IT"/>
        </w:rPr>
      </w:pPr>
      <w:r w:rsidRPr="00891C11">
        <w:rPr>
          <w:lang w:val="it-IT"/>
        </w:rPr>
        <w:t>Transferimi i aktiveve dhe detyrimeve</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 xml:space="preserve">1. Pas krijimit të bankës urë dhe marrjes së licencës, një pjesë e aktiveve dhe detyrimeve të bankës me probleme i transferohen bankës urë, me kushtin që vlera totale e detyrimeve të transferuara në bankën urë të mos jetë më e madhe se vlera totale e aktiveve/të drejtave të transferuara. </w:t>
      </w:r>
    </w:p>
    <w:p w:rsidR="008C563C" w:rsidRPr="00891C11" w:rsidRDefault="008C563C" w:rsidP="008C563C">
      <w:pPr>
        <w:pStyle w:val="Paragrafi"/>
        <w:rPr>
          <w:lang w:val="it-IT"/>
        </w:rPr>
      </w:pPr>
      <w:r w:rsidRPr="00891C11">
        <w:rPr>
          <w:lang w:val="it-IT"/>
        </w:rPr>
        <w:t xml:space="preserve">2. Në rastet kur detyrimet që i transferohen bankës urë nga banka me probleme janë më të mëdha se sa të drejtat/aktivet, diferenca mund të plotësohet nga Agjencia e Sigurimit të Depozitave. </w:t>
      </w:r>
    </w:p>
    <w:p w:rsidR="008C563C" w:rsidRPr="00891C11" w:rsidRDefault="008C563C" w:rsidP="008C563C">
      <w:pPr>
        <w:pStyle w:val="Paragrafi"/>
        <w:rPr>
          <w:lang w:val="it-IT"/>
        </w:rPr>
      </w:pPr>
      <w:r w:rsidRPr="00891C11">
        <w:rPr>
          <w:lang w:val="it-IT"/>
        </w:rPr>
        <w:t xml:space="preserve">3. Detyrimet që i transferohen bankës urë përbëhen kryesisht nga depozitat e siguruara të bankës me probleme, por pa u kufizuar vetëm në to. </w:t>
      </w:r>
    </w:p>
    <w:p w:rsidR="008C563C" w:rsidRPr="008F4146" w:rsidRDefault="008C563C" w:rsidP="008C563C">
      <w:pPr>
        <w:pStyle w:val="Paragrafi"/>
      </w:pPr>
      <w:r w:rsidRPr="008F4146">
        <w:t>4. Bankës urë nuk mund t’i transferohen aktivet e mëposhtme:</w:t>
      </w:r>
    </w:p>
    <w:p w:rsidR="008C563C" w:rsidRPr="008F4146" w:rsidRDefault="008C563C" w:rsidP="008C563C">
      <w:pPr>
        <w:pStyle w:val="Paragrafi"/>
      </w:pPr>
      <w:r w:rsidRPr="008F4146">
        <w:t>a) kredi të cilave u ka kaluar afati i shlyerjes më shumë se 90 ditë;</w:t>
      </w:r>
    </w:p>
    <w:p w:rsidR="008C563C" w:rsidRPr="008F4146" w:rsidRDefault="008C563C" w:rsidP="008C563C">
      <w:pPr>
        <w:pStyle w:val="Paragrafi"/>
      </w:pPr>
      <w:r w:rsidRPr="008F4146">
        <w:t>b) kreditë e fshira;</w:t>
      </w:r>
    </w:p>
    <w:p w:rsidR="008C563C" w:rsidRPr="008F4146" w:rsidRDefault="008C563C" w:rsidP="008C563C">
      <w:pPr>
        <w:pStyle w:val="Paragrafi"/>
      </w:pPr>
      <w:r w:rsidRPr="008F4146">
        <w:rPr>
          <w:lang w:val="sq-AL"/>
        </w:rPr>
        <w:t xml:space="preserve">c) </w:t>
      </w:r>
      <w:r w:rsidRPr="008F4146">
        <w:t>aktive, të cilat janë të vështira për t’u arkëtuar (kreditë konsumatore, overdraft-et për individë, kartat e kreditit etj.);</w:t>
      </w:r>
    </w:p>
    <w:p w:rsidR="008C563C" w:rsidRPr="008F4146" w:rsidRDefault="008C563C" w:rsidP="008C563C">
      <w:pPr>
        <w:pStyle w:val="Paragrafi"/>
      </w:pPr>
      <w:r w:rsidRPr="008F4146">
        <w:t>d) aktive të bankës me probleme, vlera e të cilave është vështirë të përcaktohet;</w:t>
      </w:r>
    </w:p>
    <w:p w:rsidR="008C563C" w:rsidRPr="008F4146" w:rsidRDefault="008C563C" w:rsidP="008C563C">
      <w:pPr>
        <w:pStyle w:val="Paragrafi"/>
      </w:pPr>
      <w:r w:rsidRPr="008F4146">
        <w:t>e) aktive të tjera, të cilat vlerësohen si aktive jo cilësore për t’u transferuar tek banka urë;</w:t>
      </w:r>
    </w:p>
    <w:p w:rsidR="008C563C" w:rsidRPr="00891C11" w:rsidRDefault="008C563C" w:rsidP="008C563C">
      <w:pPr>
        <w:pStyle w:val="Paragrafi"/>
        <w:rPr>
          <w:lang w:val="it-IT"/>
        </w:rPr>
      </w:pPr>
      <w:r w:rsidRPr="00891C11">
        <w:rPr>
          <w:lang w:val="it-IT"/>
        </w:rPr>
        <w:t xml:space="preserve">f) kreditë e dhëna për personat e lidhur me bankën me probleme ose bankën e vendosur në kujdestari/likuidim. </w:t>
      </w:r>
    </w:p>
    <w:p w:rsidR="008C563C" w:rsidRPr="00891C11" w:rsidRDefault="008C563C" w:rsidP="008C563C">
      <w:pPr>
        <w:pStyle w:val="Paragrafi"/>
        <w:rPr>
          <w:lang w:val="it-IT"/>
        </w:rPr>
      </w:pPr>
      <w:r w:rsidRPr="00891C11">
        <w:rPr>
          <w:lang w:val="it-IT"/>
        </w:rPr>
        <w:t xml:space="preserve">5. Marrëveshja e transferimit të aktiveve dhe detyrimeve miratohet paraprakisht nga Banka e Shqipërisë dhe nënshkruhet nga administratori i bankës urë dhe kujdestari/likuidatori. </w:t>
      </w:r>
    </w:p>
    <w:p w:rsidR="008C563C" w:rsidRPr="00891C11" w:rsidRDefault="008C563C" w:rsidP="008C563C">
      <w:pPr>
        <w:pStyle w:val="Paragrafi"/>
        <w:rPr>
          <w:sz w:val="18"/>
          <w:lang w:val="it-IT"/>
        </w:rPr>
      </w:pPr>
    </w:p>
    <w:p w:rsidR="008C563C" w:rsidRPr="00891C11" w:rsidRDefault="008C563C" w:rsidP="008C563C">
      <w:pPr>
        <w:pStyle w:val="NeniNr"/>
        <w:rPr>
          <w:lang w:val="it-IT"/>
        </w:rPr>
      </w:pPr>
      <w:r w:rsidRPr="00891C11">
        <w:rPr>
          <w:lang w:val="it-IT"/>
        </w:rPr>
        <w:t>Neni 11</w:t>
      </w:r>
    </w:p>
    <w:p w:rsidR="008C563C" w:rsidRPr="00891C11" w:rsidRDefault="008C563C" w:rsidP="008C563C">
      <w:pPr>
        <w:pStyle w:val="NeniTitull"/>
        <w:rPr>
          <w:lang w:val="it-IT"/>
        </w:rPr>
      </w:pPr>
      <w:r w:rsidRPr="00891C11">
        <w:rPr>
          <w:lang w:val="it-IT"/>
        </w:rPr>
        <w:t>Veprimtaritë e bankës urë</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 xml:space="preserve">1. Banka urë ushtron veprimtari bankare dhe/ose financiare siç përcaktohet në vendimin e Bankës së Shqipërisë për krijimin e saj, në përputhje me përcaktimet e ligjit “Për bankat”, të kuadrit rregullativ të Bankës së Shqipërisë, si dhe në përputhje me kërkesat e kësaj rregulloreje. </w:t>
      </w:r>
    </w:p>
    <w:p w:rsidR="008C563C" w:rsidRPr="00891C11" w:rsidRDefault="008C563C" w:rsidP="008C563C">
      <w:pPr>
        <w:pStyle w:val="Paragrafi"/>
        <w:rPr>
          <w:lang w:val="it-IT"/>
        </w:rPr>
      </w:pPr>
      <w:r w:rsidRPr="00891C11">
        <w:rPr>
          <w:lang w:val="it-IT"/>
        </w:rPr>
        <w:t xml:space="preserve">2. Banka urë nuk synon rritjen e depozitave, por kufizimin në pranimin e depozitave të reja të pasiguruara. </w:t>
      </w:r>
    </w:p>
    <w:p w:rsidR="008C563C" w:rsidRPr="00891C11" w:rsidRDefault="008C563C" w:rsidP="008C563C">
      <w:pPr>
        <w:pStyle w:val="Paragrafi"/>
        <w:rPr>
          <w:lang w:val="it-IT"/>
        </w:rPr>
      </w:pPr>
      <w:r w:rsidRPr="00891C11">
        <w:rPr>
          <w:lang w:val="it-IT"/>
        </w:rPr>
        <w:t xml:space="preserve">3. Banka urë kryen veprimtari kredidhënëse të kufizuar dhe me rrezik të ulët, si dhe ndaj klientëve të rregullt të bankës me probleme. </w:t>
      </w:r>
    </w:p>
    <w:p w:rsidR="008C563C" w:rsidRPr="00891C11" w:rsidRDefault="008C563C" w:rsidP="00030145">
      <w:pPr>
        <w:pStyle w:val="Paragrafi"/>
        <w:rPr>
          <w:lang w:val="it-IT"/>
        </w:rPr>
      </w:pPr>
      <w:r w:rsidRPr="00891C11">
        <w:rPr>
          <w:lang w:val="it-IT"/>
        </w:rPr>
        <w:t xml:space="preserve">4. Banka urë mund të vazhdojë përmbushjen e projekteve dhe/ose angazhimeve të ndërmarra më përpara nga banka me probleme. </w:t>
      </w:r>
    </w:p>
    <w:p w:rsidR="008C563C" w:rsidRPr="00891C11" w:rsidRDefault="008C563C" w:rsidP="008C563C">
      <w:pPr>
        <w:pStyle w:val="KreuNr"/>
        <w:rPr>
          <w:lang w:val="it-IT"/>
        </w:rPr>
      </w:pPr>
      <w:r w:rsidRPr="00891C11">
        <w:rPr>
          <w:lang w:val="it-IT"/>
        </w:rPr>
        <w:t xml:space="preserve">KREU III </w:t>
      </w:r>
    </w:p>
    <w:p w:rsidR="008C563C" w:rsidRPr="00891C11" w:rsidRDefault="008C563C" w:rsidP="008C563C">
      <w:pPr>
        <w:pStyle w:val="KreuTitull"/>
        <w:rPr>
          <w:lang w:val="it-IT"/>
        </w:rPr>
      </w:pPr>
      <w:r w:rsidRPr="00891C11">
        <w:rPr>
          <w:lang w:val="it-IT"/>
        </w:rPr>
        <w:t>Investimet e bankës urë</w:t>
      </w:r>
    </w:p>
    <w:p w:rsidR="008C563C" w:rsidRPr="00891C11" w:rsidRDefault="008C563C" w:rsidP="008C563C">
      <w:pPr>
        <w:pStyle w:val="Paragrafi"/>
        <w:rPr>
          <w:lang w:val="it-IT"/>
        </w:rPr>
      </w:pPr>
    </w:p>
    <w:p w:rsidR="008C563C" w:rsidRPr="00891C11" w:rsidRDefault="008C563C" w:rsidP="008C563C">
      <w:pPr>
        <w:pStyle w:val="NeniNr"/>
        <w:rPr>
          <w:lang w:val="it-IT"/>
        </w:rPr>
      </w:pPr>
      <w:r w:rsidRPr="00891C11">
        <w:rPr>
          <w:lang w:val="it-IT"/>
        </w:rPr>
        <w:t>Neni 12</w:t>
      </w:r>
    </w:p>
    <w:p w:rsidR="008C563C" w:rsidRPr="00891C11" w:rsidRDefault="008C563C" w:rsidP="008C563C">
      <w:pPr>
        <w:pStyle w:val="NeniTitull"/>
        <w:rPr>
          <w:lang w:val="it-IT"/>
        </w:rPr>
      </w:pPr>
      <w:r w:rsidRPr="00891C11">
        <w:rPr>
          <w:lang w:val="it-IT"/>
        </w:rPr>
        <w:t xml:space="preserve">Aktivet </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Banka urë, brenda 40 ditëve pas licencimit të saj, kryen inventarin për të identifikuar dhe vlerësuar realisht aktivet e transferuara nga banka me probleme. </w:t>
      </w:r>
    </w:p>
    <w:p w:rsidR="008C563C" w:rsidRPr="00891C11" w:rsidRDefault="008C563C" w:rsidP="008C563C">
      <w:pPr>
        <w:pStyle w:val="Paragrafi"/>
        <w:rPr>
          <w:lang w:val="it-IT"/>
        </w:rPr>
      </w:pPr>
      <w:r w:rsidRPr="00891C11">
        <w:rPr>
          <w:lang w:val="it-IT"/>
        </w:rPr>
        <w:t xml:space="preserve">2. Banka urë, brenda 60 ditëve pas licencimit të saj, mund të kthejë tek banka e vendosur në </w:t>
      </w:r>
      <w:r w:rsidRPr="00891C11">
        <w:rPr>
          <w:lang w:val="it-IT"/>
        </w:rPr>
        <w:lastRenderedPageBreak/>
        <w:t xml:space="preserve">kujdestari/likuidim aktivet të cilat i janë transferuar dhe që rezultojnë si aktive të cilat klasifikohen në nenin 10, pika 4 të kësaj rregulloreje. Ky veprim miratohet paraprakisht nga Banka e Shqipërisë. </w:t>
      </w:r>
    </w:p>
    <w:p w:rsidR="008C563C" w:rsidRPr="00891C11" w:rsidRDefault="008C563C" w:rsidP="008C563C">
      <w:pPr>
        <w:pStyle w:val="Paragrafi"/>
        <w:rPr>
          <w:lang w:val="it-IT"/>
        </w:rPr>
      </w:pPr>
      <w:r w:rsidRPr="00891C11">
        <w:rPr>
          <w:lang w:val="it-IT"/>
        </w:rPr>
        <w:t xml:space="preserve">3. Banka urë, gjatë procesit të identifikimit dhe vlerësimit të aktiveve të saj, mbështetet në kushtet aktuale të tregut dhe përllogarit fondet rezervë për humbjet. </w:t>
      </w:r>
    </w:p>
    <w:p w:rsidR="008C563C" w:rsidRPr="00891C11" w:rsidRDefault="008C563C" w:rsidP="008C563C">
      <w:pPr>
        <w:pStyle w:val="Paragrafi"/>
        <w:rPr>
          <w:lang w:val="it-IT"/>
        </w:rPr>
      </w:pPr>
      <w:r w:rsidRPr="00891C11">
        <w:rPr>
          <w:lang w:val="it-IT"/>
        </w:rPr>
        <w:t xml:space="preserve">4. Banka urë, për ushtrimin e veprimtarisë së lejuar në mënyrë të sigurt dhe të qëndrueshme, duke marrë në konsideratë kohëzgjatjen e saj dhe pas miratimit paraprak të Bankës së Shqipërisë, mund të investojë një pjesë të mjeteve të saj të lira në një nga aktivet e mëposhtme: </w:t>
      </w:r>
    </w:p>
    <w:p w:rsidR="008C563C" w:rsidRPr="00891C11" w:rsidRDefault="008C563C" w:rsidP="008C563C">
      <w:pPr>
        <w:pStyle w:val="Paragrafi"/>
        <w:rPr>
          <w:lang w:val="it-IT"/>
        </w:rPr>
      </w:pPr>
      <w:r w:rsidRPr="00891C11">
        <w:rPr>
          <w:lang w:val="it-IT"/>
        </w:rPr>
        <w:t>a) depozitë në Bankën e Shqipërisë;</w:t>
      </w:r>
    </w:p>
    <w:p w:rsidR="008C563C" w:rsidRPr="00891C11" w:rsidRDefault="008C563C" w:rsidP="008C563C">
      <w:pPr>
        <w:pStyle w:val="Paragrafi"/>
        <w:rPr>
          <w:lang w:val="it-IT"/>
        </w:rPr>
      </w:pPr>
      <w:r w:rsidRPr="00891C11">
        <w:rPr>
          <w:lang w:val="it-IT"/>
        </w:rPr>
        <w:t>b) tituj të emetuar nga Këshilli i Ministrave i Republikës së Shqipërisë ose nga Banka e Shqipërisë;</w:t>
      </w:r>
    </w:p>
    <w:p w:rsidR="008C563C" w:rsidRPr="00891C11" w:rsidRDefault="008C563C" w:rsidP="008C563C">
      <w:pPr>
        <w:pStyle w:val="Paragrafi"/>
        <w:rPr>
          <w:lang w:val="it-IT"/>
        </w:rPr>
      </w:pPr>
      <w:r w:rsidRPr="00891C11">
        <w:rPr>
          <w:lang w:val="it-IT"/>
        </w:rPr>
        <w:t>c) aktive me rrezik të ulët, sipas përcaktimit në aktet rregullative përkatëse të Bankës së Shqipërisë;</w:t>
      </w:r>
    </w:p>
    <w:p w:rsidR="008C563C" w:rsidRPr="00891C11" w:rsidRDefault="008C563C" w:rsidP="008C563C">
      <w:pPr>
        <w:pStyle w:val="Paragrafi"/>
        <w:rPr>
          <w:lang w:val="it-IT"/>
        </w:rPr>
      </w:pPr>
      <w:r w:rsidRPr="00891C11">
        <w:rPr>
          <w:lang w:val="it-IT"/>
        </w:rPr>
        <w:t>d) aktive të tjera me rrezik të ulët.</w:t>
      </w:r>
    </w:p>
    <w:p w:rsidR="008C563C" w:rsidRPr="00891C11" w:rsidRDefault="008C563C" w:rsidP="008C563C">
      <w:pPr>
        <w:pStyle w:val="Paragrafi"/>
        <w:ind w:firstLine="0"/>
        <w:rPr>
          <w:lang w:val="it-IT"/>
        </w:rPr>
      </w:pPr>
    </w:p>
    <w:p w:rsidR="008C563C" w:rsidRPr="00891C11" w:rsidRDefault="008C563C" w:rsidP="008C563C">
      <w:pPr>
        <w:pStyle w:val="NeniNr"/>
        <w:rPr>
          <w:lang w:val="it-IT"/>
        </w:rPr>
      </w:pPr>
      <w:r w:rsidRPr="00891C11">
        <w:rPr>
          <w:lang w:val="it-IT"/>
        </w:rPr>
        <w:t>Neni 13</w:t>
      </w:r>
    </w:p>
    <w:p w:rsidR="008C563C" w:rsidRPr="00891C11" w:rsidRDefault="008C563C" w:rsidP="008C563C">
      <w:pPr>
        <w:pStyle w:val="NeniTitull"/>
        <w:rPr>
          <w:lang w:val="it-IT"/>
        </w:rPr>
      </w:pPr>
      <w:r w:rsidRPr="00891C11">
        <w:rPr>
          <w:lang w:val="it-IT"/>
        </w:rPr>
        <w:t xml:space="preserve">Depozitat </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Interesat e depozitave të transferuara nga banka me probleme tek banka urë, ruhen për një afat 20-ditor.</w:t>
      </w:r>
    </w:p>
    <w:p w:rsidR="008C563C" w:rsidRPr="00891C11" w:rsidRDefault="008C563C" w:rsidP="008C563C">
      <w:pPr>
        <w:pStyle w:val="Paragrafi"/>
        <w:rPr>
          <w:lang w:val="it-IT"/>
        </w:rPr>
      </w:pPr>
      <w:r w:rsidRPr="00891C11">
        <w:rPr>
          <w:lang w:val="it-IT"/>
        </w:rPr>
        <w:t xml:space="preserve">2. Banka urë, me kalimin e afatit të përcaktuar në pikën 1 të këtij neni, mund të përcaktojë normat e reja të interesit për depozitën/at e transferuara nga banka me probleme. </w:t>
      </w:r>
    </w:p>
    <w:p w:rsidR="008C563C" w:rsidRPr="00891C11" w:rsidRDefault="008C563C" w:rsidP="008C563C">
      <w:pPr>
        <w:pStyle w:val="Paragrafi"/>
        <w:rPr>
          <w:lang w:val="it-IT"/>
        </w:rPr>
      </w:pPr>
      <w:r w:rsidRPr="00891C11">
        <w:rPr>
          <w:lang w:val="it-IT"/>
        </w:rPr>
        <w:t xml:space="preserve">3. Në rastin e tërheqjes së depozitave të transferuara tek banka urë, pas afatit të përcaktuar në pikën 2 të këtij neni, depozituesi/t nuk përfiton/jnë interesin e depozitës. </w:t>
      </w:r>
    </w:p>
    <w:p w:rsidR="00030145" w:rsidRPr="00891C11" w:rsidRDefault="00030145" w:rsidP="008C563C">
      <w:pPr>
        <w:pStyle w:val="NeniNr"/>
        <w:rPr>
          <w:lang w:val="it-IT"/>
        </w:rPr>
      </w:pPr>
    </w:p>
    <w:p w:rsidR="008C563C" w:rsidRPr="00891C11" w:rsidRDefault="008C563C" w:rsidP="008C563C">
      <w:pPr>
        <w:pStyle w:val="NeniNr"/>
        <w:rPr>
          <w:lang w:val="it-IT"/>
        </w:rPr>
      </w:pPr>
      <w:r w:rsidRPr="00891C11">
        <w:rPr>
          <w:lang w:val="it-IT"/>
        </w:rPr>
        <w:t>Neni 14</w:t>
      </w:r>
    </w:p>
    <w:p w:rsidR="008C563C" w:rsidRPr="00891C11" w:rsidRDefault="008C563C" w:rsidP="008C563C">
      <w:pPr>
        <w:pStyle w:val="NeniTitull"/>
        <w:rPr>
          <w:lang w:val="it-IT"/>
        </w:rPr>
      </w:pPr>
      <w:r w:rsidRPr="00891C11">
        <w:rPr>
          <w:lang w:val="it-IT"/>
        </w:rPr>
        <w:t xml:space="preserve">Likuiditeti </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Banka e Shqipërisë shqyrton gjendjen e likuiditetit të bankës me probleme gjatë fazës përgatitore, për të përcaktuar nevojat për likuiditet të bankës urë. </w:t>
      </w:r>
    </w:p>
    <w:p w:rsidR="008C563C" w:rsidRPr="00891C11" w:rsidRDefault="008C563C" w:rsidP="008C563C">
      <w:pPr>
        <w:pStyle w:val="Paragrafi"/>
        <w:rPr>
          <w:lang w:val="it-IT"/>
        </w:rPr>
      </w:pPr>
      <w:r w:rsidRPr="00891C11">
        <w:rPr>
          <w:lang w:val="it-IT"/>
        </w:rPr>
        <w:t xml:space="preserve">2. Banka e Shqipërisë monitoron në vazhdimësi nivelet e likuiditetit për të përcaktuar nëse banka urë mund të plotësojë ose jo, nevojat e veta për likuiditet. </w:t>
      </w:r>
    </w:p>
    <w:p w:rsidR="008C563C" w:rsidRPr="00891C11" w:rsidRDefault="008C563C" w:rsidP="008C563C">
      <w:pPr>
        <w:pStyle w:val="Paragrafi"/>
        <w:rPr>
          <w:lang w:val="it-IT"/>
        </w:rPr>
      </w:pPr>
      <w:r w:rsidRPr="00891C11">
        <w:rPr>
          <w:lang w:val="it-IT"/>
        </w:rPr>
        <w:t>3. Banka urë mund të rivendosë linjat e kreditit dhe/ose marrëdhëniet me bankat e tjera korrespondente të bankës me probleme, për sigurimin e likuiditetit të nevojshëm.</w:t>
      </w:r>
    </w:p>
    <w:p w:rsidR="008C563C" w:rsidRPr="00891C11" w:rsidRDefault="008C563C" w:rsidP="008C563C">
      <w:pPr>
        <w:pStyle w:val="Paragrafi"/>
        <w:ind w:firstLine="0"/>
        <w:rPr>
          <w:lang w:val="it-IT"/>
        </w:rPr>
      </w:pPr>
    </w:p>
    <w:p w:rsidR="00030145" w:rsidRPr="00891C11" w:rsidRDefault="00030145" w:rsidP="008C563C">
      <w:pPr>
        <w:pStyle w:val="Paragrafi"/>
        <w:ind w:firstLine="0"/>
        <w:rPr>
          <w:lang w:val="it-IT"/>
        </w:rPr>
      </w:pPr>
    </w:p>
    <w:p w:rsidR="00030145" w:rsidRPr="00891C11" w:rsidRDefault="00030145" w:rsidP="008C563C">
      <w:pPr>
        <w:pStyle w:val="Paragrafi"/>
        <w:ind w:firstLine="0"/>
        <w:rPr>
          <w:lang w:val="it-IT"/>
        </w:rPr>
      </w:pPr>
    </w:p>
    <w:p w:rsidR="00030145" w:rsidRPr="00891C11" w:rsidRDefault="00030145" w:rsidP="008C563C">
      <w:pPr>
        <w:pStyle w:val="Paragrafi"/>
        <w:ind w:firstLine="0"/>
        <w:rPr>
          <w:lang w:val="it-IT"/>
        </w:rPr>
      </w:pPr>
    </w:p>
    <w:p w:rsidR="00030145" w:rsidRPr="00891C11" w:rsidRDefault="00030145" w:rsidP="008C563C">
      <w:pPr>
        <w:pStyle w:val="Paragrafi"/>
        <w:ind w:firstLine="0"/>
        <w:rPr>
          <w:lang w:val="it-IT"/>
        </w:rPr>
      </w:pPr>
    </w:p>
    <w:p w:rsidR="008C563C" w:rsidRPr="00891C11" w:rsidRDefault="008C563C" w:rsidP="008C563C">
      <w:pPr>
        <w:pStyle w:val="KreuNr"/>
        <w:rPr>
          <w:lang w:val="it-IT"/>
        </w:rPr>
      </w:pPr>
      <w:r w:rsidRPr="00891C11">
        <w:rPr>
          <w:lang w:val="it-IT"/>
        </w:rPr>
        <w:t>KREU IV</w:t>
      </w:r>
    </w:p>
    <w:p w:rsidR="008C563C" w:rsidRPr="00891C11" w:rsidRDefault="008C563C" w:rsidP="008C563C">
      <w:pPr>
        <w:pStyle w:val="KreuTitull"/>
        <w:rPr>
          <w:lang w:val="it-IT"/>
        </w:rPr>
      </w:pPr>
      <w:r w:rsidRPr="00891C11">
        <w:rPr>
          <w:lang w:val="it-IT"/>
        </w:rPr>
        <w:t>Organizimi dhe administrimi i bankës urë</w:t>
      </w:r>
    </w:p>
    <w:p w:rsidR="008C563C" w:rsidRPr="00891C11" w:rsidRDefault="008C563C" w:rsidP="008C563C">
      <w:pPr>
        <w:pStyle w:val="Paragrafi"/>
        <w:rPr>
          <w:sz w:val="18"/>
          <w:lang w:val="it-IT"/>
        </w:rPr>
      </w:pPr>
    </w:p>
    <w:p w:rsidR="008C563C" w:rsidRPr="00891C11" w:rsidRDefault="008C563C" w:rsidP="008C563C">
      <w:pPr>
        <w:pStyle w:val="NeniNr"/>
        <w:rPr>
          <w:lang w:val="it-IT"/>
        </w:rPr>
      </w:pPr>
      <w:r w:rsidRPr="00891C11">
        <w:rPr>
          <w:lang w:val="it-IT"/>
        </w:rPr>
        <w:t>Neni 15</w:t>
      </w:r>
    </w:p>
    <w:p w:rsidR="008C563C" w:rsidRPr="00891C11" w:rsidRDefault="008C563C" w:rsidP="008C563C">
      <w:pPr>
        <w:pStyle w:val="NeniTitull"/>
        <w:rPr>
          <w:lang w:val="it-IT"/>
        </w:rPr>
      </w:pPr>
      <w:r w:rsidRPr="00891C11">
        <w:rPr>
          <w:lang w:val="it-IT"/>
        </w:rPr>
        <w:t>Organet e bankës urë</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 xml:space="preserve">1. Banka urë ka të njëjtat organe me ato të përcaktuara në nenin 32 të ligjit “Për bankat”, me përjashtim të rasteve kur Banka e Shqipërisë mund të vendosë ndryshe për struktura më të thjeshta. Organet e bankës urë përcaktohen në vendimin për krijimin ose në statutin e saj.  </w:t>
      </w:r>
    </w:p>
    <w:p w:rsidR="008C563C" w:rsidRPr="00891C11" w:rsidRDefault="008C563C" w:rsidP="008C563C">
      <w:pPr>
        <w:pStyle w:val="Paragrafi"/>
        <w:rPr>
          <w:lang w:val="it-IT"/>
        </w:rPr>
      </w:pPr>
      <w:r w:rsidRPr="00891C11">
        <w:rPr>
          <w:lang w:val="it-IT"/>
        </w:rPr>
        <w:t xml:space="preserve">2. Funksionet e organeve të bankës urë janë të njëjta me ato të përcaktuara në dispozitat e ligjit “Për bankat”, me përjashtim të rasteve kur Banka e Shqipërisë vendos ndryshe në vendimin e krijimit të bankës urë, në miratimin e statutit të kësaj banke apo ndryshimeve të mëvonshme të tij. </w:t>
      </w:r>
    </w:p>
    <w:p w:rsidR="008C563C" w:rsidRPr="00891C11" w:rsidRDefault="008C563C" w:rsidP="008C563C">
      <w:pPr>
        <w:pStyle w:val="Paragrafi"/>
        <w:ind w:firstLine="0"/>
        <w:rPr>
          <w:sz w:val="16"/>
          <w:lang w:val="it-IT"/>
        </w:rPr>
      </w:pPr>
    </w:p>
    <w:p w:rsidR="008C563C" w:rsidRPr="00891C11" w:rsidRDefault="008C563C" w:rsidP="008C563C">
      <w:pPr>
        <w:pStyle w:val="NeniNr"/>
        <w:rPr>
          <w:lang w:val="it-IT"/>
        </w:rPr>
      </w:pPr>
      <w:r w:rsidRPr="00891C11">
        <w:rPr>
          <w:lang w:val="it-IT"/>
        </w:rPr>
        <w:lastRenderedPageBreak/>
        <w:t>Neni 16</w:t>
      </w:r>
    </w:p>
    <w:p w:rsidR="008C563C" w:rsidRPr="00891C11" w:rsidRDefault="008C563C" w:rsidP="008C563C">
      <w:pPr>
        <w:pStyle w:val="NeniTitull"/>
        <w:rPr>
          <w:lang w:val="it-IT"/>
        </w:rPr>
      </w:pPr>
      <w:r w:rsidRPr="00891C11">
        <w:rPr>
          <w:lang w:val="it-IT"/>
        </w:rPr>
        <w:t>Parimet e administrimit të bankës urë</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1. Drejtimi i bankës urë synon ruajtjen e madhësisë dhe jo shtrirjen dhe zgjerimin e rrjetit të saj.</w:t>
      </w:r>
    </w:p>
    <w:p w:rsidR="008C563C" w:rsidRPr="00891C11" w:rsidRDefault="008C563C" w:rsidP="008C563C">
      <w:pPr>
        <w:pStyle w:val="Paragrafi"/>
        <w:rPr>
          <w:lang w:val="it-IT"/>
        </w:rPr>
      </w:pPr>
      <w:r w:rsidRPr="00891C11">
        <w:rPr>
          <w:lang w:val="it-IT"/>
        </w:rPr>
        <w:t xml:space="preserve">2. Drejtimi i bankës urë synon ruajtjen dhe rritjen e vlerës së aktiveve të bankës dhe të fitimit të saj. </w:t>
      </w:r>
    </w:p>
    <w:p w:rsidR="008C563C" w:rsidRPr="00891C11" w:rsidRDefault="008C563C" w:rsidP="008C563C">
      <w:pPr>
        <w:pStyle w:val="Paragrafi"/>
        <w:rPr>
          <w:lang w:val="it-IT"/>
        </w:rPr>
      </w:pPr>
      <w:r w:rsidRPr="00891C11">
        <w:rPr>
          <w:lang w:val="it-IT"/>
        </w:rPr>
        <w:t>3. Administratorët e bankës urë njohin profilin e rrezikut dhe sigurojnë që nivelet e kapitalit të mbulojnë mjaftueshëm rrezikun.</w:t>
      </w:r>
    </w:p>
    <w:p w:rsidR="008C563C" w:rsidRPr="00891C11" w:rsidRDefault="008C563C" w:rsidP="008C563C">
      <w:pPr>
        <w:pStyle w:val="Paragrafi"/>
        <w:ind w:firstLine="0"/>
        <w:rPr>
          <w:sz w:val="14"/>
          <w:lang w:val="it-IT"/>
        </w:rPr>
      </w:pPr>
    </w:p>
    <w:p w:rsidR="008C563C" w:rsidRPr="00891C11" w:rsidRDefault="008C563C" w:rsidP="008C563C">
      <w:pPr>
        <w:pStyle w:val="NeniNr"/>
        <w:rPr>
          <w:lang w:val="it-IT"/>
        </w:rPr>
      </w:pPr>
      <w:r w:rsidRPr="00891C11">
        <w:rPr>
          <w:lang w:val="it-IT"/>
        </w:rPr>
        <w:t>Neni 17</w:t>
      </w:r>
    </w:p>
    <w:p w:rsidR="008C563C" w:rsidRPr="00891C11" w:rsidRDefault="008C563C" w:rsidP="008C563C">
      <w:pPr>
        <w:pStyle w:val="NeniTitull"/>
        <w:rPr>
          <w:lang w:val="it-IT"/>
        </w:rPr>
      </w:pPr>
      <w:r w:rsidRPr="00891C11">
        <w:rPr>
          <w:lang w:val="it-IT"/>
        </w:rPr>
        <w:t>Administratorët e bankës urë</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 xml:space="preserve">1. Administrimi i bankës urë kryhet nga administratorët e emëruar nga Banka e Shqipërisë. </w:t>
      </w:r>
    </w:p>
    <w:p w:rsidR="008C563C" w:rsidRPr="00891C11" w:rsidRDefault="008C563C" w:rsidP="008C563C">
      <w:pPr>
        <w:pStyle w:val="Paragrafi"/>
        <w:rPr>
          <w:lang w:val="it-IT"/>
        </w:rPr>
      </w:pPr>
      <w:r w:rsidRPr="00891C11">
        <w:rPr>
          <w:lang w:val="it-IT"/>
        </w:rPr>
        <w:t xml:space="preserve">2. Banka e Shqipërisë miraton çdo ndryshim të administratorëve të bankës urë dhe mund t’i shkarkojë ata (administratorët) në çdo kohë. </w:t>
      </w:r>
    </w:p>
    <w:p w:rsidR="008C563C" w:rsidRPr="00891C11" w:rsidRDefault="008C563C" w:rsidP="008C563C">
      <w:pPr>
        <w:pStyle w:val="Paragrafi"/>
        <w:rPr>
          <w:lang w:val="it-IT"/>
        </w:rPr>
      </w:pPr>
      <w:r w:rsidRPr="00891C11">
        <w:rPr>
          <w:lang w:val="it-IT"/>
        </w:rPr>
        <w:t xml:space="preserve">3. Kriteret dhe kushtet për emërimin e administratorëve të bankës urë janë të njëjta me ato të parashikuara në ligjin “Për bankat” dhe në rregulloren “Mbi parimet bazë të drejtimit të bankave dhe degëve të bankave të huaja dhe kriteret për miratimin e administratorëve të tyre”. </w:t>
      </w:r>
    </w:p>
    <w:p w:rsidR="008C563C" w:rsidRPr="00891C11" w:rsidRDefault="008C563C" w:rsidP="008C563C">
      <w:pPr>
        <w:pStyle w:val="Paragrafi"/>
        <w:ind w:firstLine="0"/>
        <w:rPr>
          <w:sz w:val="18"/>
          <w:lang w:val="it-IT"/>
        </w:rPr>
      </w:pPr>
    </w:p>
    <w:p w:rsidR="008C563C" w:rsidRPr="00891C11" w:rsidRDefault="008C563C" w:rsidP="008C563C">
      <w:pPr>
        <w:pStyle w:val="KreuNr"/>
        <w:rPr>
          <w:lang w:val="it-IT"/>
        </w:rPr>
      </w:pPr>
      <w:r w:rsidRPr="00891C11">
        <w:rPr>
          <w:lang w:val="it-IT"/>
        </w:rPr>
        <w:t>KREU V</w:t>
      </w:r>
    </w:p>
    <w:p w:rsidR="008C563C" w:rsidRPr="00891C11" w:rsidRDefault="008C563C" w:rsidP="008C563C">
      <w:pPr>
        <w:pStyle w:val="KreuTitull"/>
        <w:rPr>
          <w:lang w:val="it-IT"/>
        </w:rPr>
      </w:pPr>
      <w:r w:rsidRPr="00891C11">
        <w:rPr>
          <w:lang w:val="it-IT"/>
        </w:rPr>
        <w:t xml:space="preserve">Shitja e bankës urë </w:t>
      </w:r>
    </w:p>
    <w:p w:rsidR="008C563C" w:rsidRPr="00891C11" w:rsidRDefault="008C563C" w:rsidP="008C563C">
      <w:pPr>
        <w:pStyle w:val="Paragrafi"/>
        <w:rPr>
          <w:sz w:val="18"/>
          <w:lang w:val="it-IT"/>
        </w:rPr>
      </w:pPr>
    </w:p>
    <w:p w:rsidR="008C563C" w:rsidRPr="00891C11" w:rsidRDefault="008C563C" w:rsidP="008C563C">
      <w:pPr>
        <w:pStyle w:val="NeniNr"/>
        <w:rPr>
          <w:lang w:val="it-IT"/>
        </w:rPr>
      </w:pPr>
      <w:r w:rsidRPr="00891C11">
        <w:rPr>
          <w:lang w:val="it-IT"/>
        </w:rPr>
        <w:t>Neni 18</w:t>
      </w:r>
    </w:p>
    <w:p w:rsidR="008C563C" w:rsidRPr="00891C11" w:rsidRDefault="008C563C" w:rsidP="008C563C">
      <w:pPr>
        <w:pStyle w:val="NeniTitull"/>
        <w:rPr>
          <w:lang w:val="it-IT"/>
        </w:rPr>
      </w:pPr>
      <w:r w:rsidRPr="00891C11">
        <w:rPr>
          <w:lang w:val="it-IT"/>
        </w:rPr>
        <w:t xml:space="preserve">Transferimi i kapitalit ose i aktiveve dhe detyrimeve të bankës urë </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1. Banka urë, në bashkëpunim me Grupin Mbikëqyrës, harton një strategji shitjeje, e cila duhet të marrë parasysh kryesisht faktorët e mëposhtëm:</w:t>
      </w:r>
    </w:p>
    <w:p w:rsidR="008C563C" w:rsidRPr="00891C11" w:rsidRDefault="008C563C" w:rsidP="008C563C">
      <w:pPr>
        <w:pStyle w:val="Paragrafi"/>
        <w:rPr>
          <w:lang w:val="it-IT"/>
        </w:rPr>
      </w:pPr>
      <w:r w:rsidRPr="00891C11">
        <w:rPr>
          <w:lang w:val="it-IT"/>
        </w:rPr>
        <w:t>a) përbërjen e aktiveve dhe detyrimeve të bankës urë;</w:t>
      </w:r>
    </w:p>
    <w:p w:rsidR="008C563C" w:rsidRPr="00891C11" w:rsidRDefault="008C563C" w:rsidP="008C563C">
      <w:pPr>
        <w:pStyle w:val="Paragrafi"/>
        <w:rPr>
          <w:lang w:val="it-IT"/>
        </w:rPr>
      </w:pPr>
      <w:r w:rsidRPr="00891C11">
        <w:rPr>
          <w:lang w:val="it-IT"/>
        </w:rPr>
        <w:t>b) kushtet ekonomike dhe konkurruese të bankës në tregun përkatës;</w:t>
      </w:r>
    </w:p>
    <w:p w:rsidR="008C563C" w:rsidRPr="00891C11" w:rsidRDefault="008C563C" w:rsidP="008C563C">
      <w:pPr>
        <w:pStyle w:val="Paragrafi"/>
        <w:rPr>
          <w:lang w:val="it-IT"/>
        </w:rPr>
      </w:pPr>
      <w:r w:rsidRPr="00891C11">
        <w:rPr>
          <w:lang w:val="it-IT"/>
        </w:rPr>
        <w:t>c) eksperiencat e mëparshme në tregtimin e aktiveve dhe detyrimeve të një shoqërie (bankë, subjekt financiar jobankë, etj.);</w:t>
      </w:r>
    </w:p>
    <w:p w:rsidR="008C563C" w:rsidRPr="00891C11" w:rsidRDefault="008C563C" w:rsidP="008C563C">
      <w:pPr>
        <w:pStyle w:val="Paragrafi"/>
        <w:rPr>
          <w:lang w:val="it-IT"/>
        </w:rPr>
      </w:pPr>
      <w:r w:rsidRPr="00891C11">
        <w:rPr>
          <w:lang w:val="it-IT"/>
        </w:rPr>
        <w:t>d) çdo informacion tjetër të rëndësishëm;</w:t>
      </w:r>
    </w:p>
    <w:p w:rsidR="008C563C" w:rsidRPr="00891C11" w:rsidRDefault="008C563C" w:rsidP="008C563C">
      <w:pPr>
        <w:pStyle w:val="Paragrafi"/>
        <w:rPr>
          <w:lang w:val="it-IT"/>
        </w:rPr>
      </w:pPr>
      <w:r w:rsidRPr="00891C11">
        <w:rPr>
          <w:lang w:val="it-IT"/>
        </w:rPr>
        <w:t>e) si do të tregtohet banka urë (pjesërisht apo e gjitha, etj.);</w:t>
      </w:r>
    </w:p>
    <w:p w:rsidR="008C563C" w:rsidRPr="00891C11" w:rsidRDefault="008C563C" w:rsidP="008C563C">
      <w:pPr>
        <w:pStyle w:val="Paragrafi"/>
        <w:rPr>
          <w:lang w:val="it-IT"/>
        </w:rPr>
      </w:pPr>
      <w:r w:rsidRPr="00891C11">
        <w:rPr>
          <w:lang w:val="it-IT"/>
        </w:rPr>
        <w:t>f) cilat lloje të aktiveve të bankës urë duhet t’u ofrohen blerësve të ardhshëm;</w:t>
      </w:r>
    </w:p>
    <w:p w:rsidR="008C563C" w:rsidRPr="00891C11" w:rsidRDefault="008C563C" w:rsidP="008C563C">
      <w:pPr>
        <w:pStyle w:val="Paragrafi"/>
        <w:rPr>
          <w:lang w:val="it-IT"/>
        </w:rPr>
      </w:pPr>
      <w:r w:rsidRPr="00891C11">
        <w:rPr>
          <w:lang w:val="it-IT"/>
        </w:rPr>
        <w:t>g) çmimin e shitjes së aktiveve (ku do të bazohet çmimi i shitjes së aktiveve etj.).</w:t>
      </w:r>
    </w:p>
    <w:p w:rsidR="008C563C" w:rsidRPr="00891C11" w:rsidRDefault="008C563C" w:rsidP="008C563C">
      <w:pPr>
        <w:pStyle w:val="Paragrafi"/>
        <w:rPr>
          <w:lang w:val="it-IT"/>
        </w:rPr>
      </w:pPr>
      <w:r w:rsidRPr="00891C11">
        <w:rPr>
          <w:lang w:val="it-IT"/>
        </w:rPr>
        <w:t xml:space="preserve">2. Blerësi të cilit mund t’i transferohet kapitali ose aktivet dhe detyrimet e bankës urë, është një bankë vendase ose e huaj. </w:t>
      </w:r>
    </w:p>
    <w:p w:rsidR="008C563C" w:rsidRPr="00891C11" w:rsidRDefault="00566392" w:rsidP="008C563C">
      <w:pPr>
        <w:pStyle w:val="Paragrafi"/>
        <w:rPr>
          <w:lang w:val="it-IT"/>
        </w:rPr>
      </w:pPr>
      <w:r w:rsidRPr="00891C11">
        <w:rPr>
          <w:lang w:val="it-IT"/>
        </w:rPr>
        <w:t>3</w:t>
      </w:r>
      <w:r w:rsidR="008C563C" w:rsidRPr="00891C11">
        <w:rPr>
          <w:lang w:val="it-IT"/>
        </w:rPr>
        <w:t xml:space="preserve">. Banka e cila kërkon të blejë kapitalin, aktivet dhe detyrimet e bankës urë, duhet të ketë fonde të mjaftueshme për të kryer këtë transaksion, i cili nuk duhet të cenojë gjendjen financiare të saj. </w:t>
      </w:r>
    </w:p>
    <w:p w:rsidR="008C563C" w:rsidRPr="00891C11" w:rsidRDefault="00566392" w:rsidP="008C563C">
      <w:pPr>
        <w:pStyle w:val="Paragrafi"/>
        <w:rPr>
          <w:lang w:val="it-IT"/>
        </w:rPr>
      </w:pPr>
      <w:r w:rsidRPr="00891C11">
        <w:rPr>
          <w:lang w:val="it-IT"/>
        </w:rPr>
        <w:t>4</w:t>
      </w:r>
      <w:r w:rsidR="008C563C" w:rsidRPr="00891C11">
        <w:rPr>
          <w:lang w:val="it-IT"/>
        </w:rPr>
        <w:t>. Administratorët e bankës urë, pas përfundimit të hartimit të strategjisë dhe të strukturës së shitjes së kapitalit, aktiveve dhe detyrimeve të bankës urë, vendosin në dispozicion të bankave blerëse informacionin e mëposhtëm:</w:t>
      </w:r>
    </w:p>
    <w:p w:rsidR="008C563C" w:rsidRPr="00891C11" w:rsidRDefault="008C563C" w:rsidP="008C563C">
      <w:pPr>
        <w:pStyle w:val="Paragrafi"/>
        <w:rPr>
          <w:lang w:val="it-IT"/>
        </w:rPr>
      </w:pPr>
      <w:r w:rsidRPr="00891C11">
        <w:rPr>
          <w:lang w:val="it-IT"/>
        </w:rPr>
        <w:t>a) vendndodhjen gjeografike të bankës urë;</w:t>
      </w:r>
    </w:p>
    <w:p w:rsidR="008C563C" w:rsidRPr="00891C11" w:rsidRDefault="008C563C" w:rsidP="008C563C">
      <w:pPr>
        <w:pStyle w:val="Paragrafi"/>
        <w:rPr>
          <w:lang w:val="it-IT"/>
        </w:rPr>
      </w:pPr>
      <w:r w:rsidRPr="00891C11">
        <w:rPr>
          <w:lang w:val="it-IT"/>
        </w:rPr>
        <w:t>b) mjedisin konkurrues;</w:t>
      </w:r>
    </w:p>
    <w:p w:rsidR="008C563C" w:rsidRPr="00891C11" w:rsidRDefault="008C563C" w:rsidP="008C563C">
      <w:pPr>
        <w:pStyle w:val="Paragrafi"/>
        <w:rPr>
          <w:lang w:val="it-IT"/>
        </w:rPr>
      </w:pPr>
      <w:r w:rsidRPr="00891C11">
        <w:rPr>
          <w:lang w:val="it-IT"/>
        </w:rPr>
        <w:t>c) kushtet e përgjithshme financiare të bankës urë;</w:t>
      </w:r>
    </w:p>
    <w:p w:rsidR="008C563C" w:rsidRPr="00891C11" w:rsidRDefault="008C563C" w:rsidP="008C563C">
      <w:pPr>
        <w:pStyle w:val="Paragrafi"/>
        <w:rPr>
          <w:lang w:val="it-IT"/>
        </w:rPr>
      </w:pPr>
      <w:r w:rsidRPr="00891C11">
        <w:rPr>
          <w:lang w:val="it-IT"/>
        </w:rPr>
        <w:t>d) totalin e aktiveve;</w:t>
      </w:r>
    </w:p>
    <w:p w:rsidR="008C563C" w:rsidRPr="00891C11" w:rsidRDefault="008C563C" w:rsidP="008C563C">
      <w:pPr>
        <w:pStyle w:val="Paragrafi"/>
        <w:rPr>
          <w:lang w:val="it-IT"/>
        </w:rPr>
      </w:pPr>
      <w:r w:rsidRPr="00891C11">
        <w:rPr>
          <w:lang w:val="it-IT"/>
        </w:rPr>
        <w:t>e) nivelin e kapitalit; dhe</w:t>
      </w:r>
    </w:p>
    <w:p w:rsidR="008C563C" w:rsidRPr="00891C11" w:rsidRDefault="008C563C" w:rsidP="008C563C">
      <w:pPr>
        <w:pStyle w:val="Paragrafi"/>
        <w:rPr>
          <w:lang w:val="it-IT"/>
        </w:rPr>
      </w:pPr>
      <w:r w:rsidRPr="00891C11">
        <w:rPr>
          <w:lang w:val="it-IT"/>
        </w:rPr>
        <w:t xml:space="preserve">f) vlerësimin e bankës urë nga Banka e Shqipërisë. </w:t>
      </w:r>
    </w:p>
    <w:p w:rsidR="008C563C" w:rsidRPr="00891C11" w:rsidRDefault="00566392" w:rsidP="008C563C">
      <w:pPr>
        <w:pStyle w:val="Paragrafi"/>
        <w:rPr>
          <w:lang w:val="it-IT"/>
        </w:rPr>
      </w:pPr>
      <w:r w:rsidRPr="00891C11">
        <w:rPr>
          <w:lang w:val="it-IT"/>
        </w:rPr>
        <w:t>5</w:t>
      </w:r>
      <w:r w:rsidR="008C563C" w:rsidRPr="00891C11">
        <w:rPr>
          <w:lang w:val="it-IT"/>
        </w:rPr>
        <w:t xml:space="preserve">. Administratorët e bankës urë, bazuar në listën e blerësve potencialë dhe pas miratimit paraprak të Bankës së Shqipërisë, mund të vendosin kontakte dhe/ose të kryejnë takime me blerësit potencialë për t’i informuar ata mbi të dhënat, strukturën, etj. për sa lidhet me shitjen e bankës urë. </w:t>
      </w:r>
    </w:p>
    <w:p w:rsidR="008C563C" w:rsidRPr="00891C11" w:rsidRDefault="00566392" w:rsidP="008C563C">
      <w:pPr>
        <w:pStyle w:val="Paragrafi"/>
        <w:rPr>
          <w:lang w:val="it-IT"/>
        </w:rPr>
      </w:pPr>
      <w:r w:rsidRPr="00891C11">
        <w:rPr>
          <w:lang w:val="it-IT"/>
        </w:rPr>
        <w:lastRenderedPageBreak/>
        <w:t>6</w:t>
      </w:r>
      <w:r w:rsidR="008C563C" w:rsidRPr="00891C11">
        <w:rPr>
          <w:lang w:val="it-IT"/>
        </w:rPr>
        <w:t xml:space="preserve">. Bankat, të cilat do të konsiderohen nga administratorët e bankës urë si blerës potencialë, nënshkruajnë një marrëveshje konfidencialiteti mbi negociatat e mundshme për tregtimin e aktiveve dhe detyrimeve të bankës urë. </w:t>
      </w:r>
    </w:p>
    <w:p w:rsidR="008C563C" w:rsidRPr="00891C11" w:rsidRDefault="00566392" w:rsidP="008C563C">
      <w:pPr>
        <w:pStyle w:val="Paragrafi"/>
        <w:rPr>
          <w:lang w:val="it-IT"/>
        </w:rPr>
      </w:pPr>
      <w:r w:rsidRPr="00891C11">
        <w:rPr>
          <w:lang w:val="it-IT"/>
        </w:rPr>
        <w:t>7</w:t>
      </w:r>
      <w:r w:rsidR="008C563C" w:rsidRPr="00891C11">
        <w:rPr>
          <w:lang w:val="it-IT"/>
        </w:rPr>
        <w:t xml:space="preserve">. Në rast se vlera e detyrimeve të bankës urë, që do të transferohen është më e madhe se vlera e aktiveve, diferenca ndërmjet këtyre të dyjave është pjesë e çmimit të shitjes që merr përsipër blerësi. </w:t>
      </w:r>
    </w:p>
    <w:p w:rsidR="008C563C" w:rsidRPr="00891C11" w:rsidRDefault="00566392" w:rsidP="008C563C">
      <w:pPr>
        <w:pStyle w:val="Paragrafi"/>
        <w:rPr>
          <w:lang w:val="it-IT"/>
        </w:rPr>
      </w:pPr>
      <w:r w:rsidRPr="00891C11">
        <w:rPr>
          <w:lang w:val="it-IT"/>
        </w:rPr>
        <w:t>8</w:t>
      </w:r>
      <w:r w:rsidR="008C563C" w:rsidRPr="00891C11">
        <w:rPr>
          <w:lang w:val="it-IT"/>
        </w:rPr>
        <w:t xml:space="preserve">. Kontrata e shitjes së kapitalit, aktiveve dhe detyrimeve të bankës urë tek një bankë tjetër, duhet të miratohet paraprakisht nga Këshilli Mbikëqyrës i Bankës së Shqipërisë. </w:t>
      </w:r>
    </w:p>
    <w:p w:rsidR="008C563C" w:rsidRPr="00891C11" w:rsidRDefault="008C563C" w:rsidP="008C563C">
      <w:pPr>
        <w:pStyle w:val="Paragrafi"/>
        <w:ind w:firstLine="0"/>
        <w:rPr>
          <w:lang w:val="it-IT"/>
        </w:rPr>
      </w:pPr>
    </w:p>
    <w:p w:rsidR="008C563C" w:rsidRPr="00891C11" w:rsidRDefault="008C563C" w:rsidP="008C563C">
      <w:pPr>
        <w:pStyle w:val="KreuNr"/>
        <w:rPr>
          <w:lang w:val="it-IT"/>
        </w:rPr>
      </w:pPr>
      <w:r w:rsidRPr="00891C11">
        <w:rPr>
          <w:lang w:val="it-IT"/>
        </w:rPr>
        <w:t>KREU VI</w:t>
      </w:r>
    </w:p>
    <w:p w:rsidR="008C563C" w:rsidRPr="00891C11" w:rsidRDefault="008C563C" w:rsidP="008C563C">
      <w:pPr>
        <w:pStyle w:val="KreuTitull"/>
        <w:rPr>
          <w:lang w:val="it-IT"/>
        </w:rPr>
      </w:pPr>
      <w:r w:rsidRPr="00891C11">
        <w:rPr>
          <w:lang w:val="it-IT"/>
        </w:rPr>
        <w:t>Raportimet dhe mbikëqyrja e bankës urë</w:t>
      </w:r>
    </w:p>
    <w:p w:rsidR="008C563C" w:rsidRPr="00891C11" w:rsidRDefault="008C563C" w:rsidP="008C563C">
      <w:pPr>
        <w:pStyle w:val="Paragrafi"/>
        <w:rPr>
          <w:lang w:val="it-IT"/>
        </w:rPr>
      </w:pPr>
    </w:p>
    <w:p w:rsidR="008C563C" w:rsidRPr="00891C11" w:rsidRDefault="008C563C" w:rsidP="008C563C">
      <w:pPr>
        <w:pStyle w:val="NeniNr"/>
        <w:rPr>
          <w:lang w:val="it-IT"/>
        </w:rPr>
      </w:pPr>
      <w:r w:rsidRPr="00891C11">
        <w:rPr>
          <w:lang w:val="it-IT"/>
        </w:rPr>
        <w:t>Neni 19</w:t>
      </w:r>
    </w:p>
    <w:p w:rsidR="008C563C" w:rsidRPr="00891C11" w:rsidRDefault="008C563C" w:rsidP="008C563C">
      <w:pPr>
        <w:pStyle w:val="NeniTitull"/>
        <w:rPr>
          <w:lang w:val="it-IT"/>
        </w:rPr>
      </w:pPr>
      <w:r w:rsidRPr="00891C11">
        <w:rPr>
          <w:lang w:val="it-IT"/>
        </w:rPr>
        <w:t>Raportimet</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Drejtori i bankës urë mban kontakte të vazhdueshme me Grupin Mbikëqyrës të krijuar nga Banka e Shqipërisë. </w:t>
      </w:r>
    </w:p>
    <w:p w:rsidR="008C563C" w:rsidRPr="00891C11" w:rsidRDefault="008C563C" w:rsidP="008C563C">
      <w:pPr>
        <w:pStyle w:val="Paragrafi"/>
        <w:rPr>
          <w:lang w:val="it-IT"/>
        </w:rPr>
      </w:pPr>
      <w:r w:rsidRPr="00891C11">
        <w:rPr>
          <w:lang w:val="it-IT"/>
        </w:rPr>
        <w:t xml:space="preserve">2. Drejtori i bankës urë raporton çdo 2 muaj tek Grupi Mbikëqyrës, në lidhje me ecurinë e gjendjes financiare të bankës urë, si dhe të masave dhe projekteve për shitjen e bankës urë. </w:t>
      </w:r>
    </w:p>
    <w:p w:rsidR="008C563C" w:rsidRPr="00891C11" w:rsidRDefault="008C563C" w:rsidP="008C563C">
      <w:pPr>
        <w:pStyle w:val="Paragrafi"/>
        <w:ind w:firstLine="0"/>
        <w:rPr>
          <w:lang w:val="it-IT"/>
        </w:rPr>
      </w:pPr>
    </w:p>
    <w:p w:rsidR="008C563C" w:rsidRPr="00891C11" w:rsidRDefault="008C563C" w:rsidP="008C563C">
      <w:pPr>
        <w:pStyle w:val="NeniNr"/>
        <w:rPr>
          <w:lang w:val="it-IT"/>
        </w:rPr>
      </w:pPr>
      <w:r w:rsidRPr="00891C11">
        <w:rPr>
          <w:lang w:val="it-IT"/>
        </w:rPr>
        <w:t>Neni 20</w:t>
      </w:r>
    </w:p>
    <w:p w:rsidR="008C563C" w:rsidRPr="00891C11" w:rsidRDefault="008C563C" w:rsidP="008C563C">
      <w:pPr>
        <w:pStyle w:val="NeniTitull"/>
        <w:rPr>
          <w:lang w:val="it-IT"/>
        </w:rPr>
      </w:pPr>
      <w:r w:rsidRPr="00891C11">
        <w:rPr>
          <w:lang w:val="it-IT"/>
        </w:rPr>
        <w:t>Mbikëqyrja e bankës urë</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Banka urë respekton kërkesat ligjore dhe/ose nënligjore në fuqi, në lidhje me ushtrimin e veprimtarive bankare dhe/ose financiare, të përcaktuara në vendimin e krijimit të saj dhe/ose sipas ndryshimeve të mëvonshme.</w:t>
      </w:r>
    </w:p>
    <w:p w:rsidR="008C563C" w:rsidRPr="00891C11" w:rsidRDefault="008C563C" w:rsidP="008C563C">
      <w:pPr>
        <w:pStyle w:val="Paragrafi"/>
        <w:rPr>
          <w:lang w:val="it-IT"/>
        </w:rPr>
      </w:pPr>
      <w:r w:rsidRPr="00891C11">
        <w:rPr>
          <w:lang w:val="it-IT"/>
        </w:rPr>
        <w:t xml:space="preserve">2. Banka e Shqipërisë mbikëqyr bankën urë, në përputhje me kërkesat e ligjit “Për bankat” si dhe me aktet nënligjore të nxjerra në bazë dhe për zbatim të këtij ligji. </w:t>
      </w:r>
    </w:p>
    <w:p w:rsidR="008C563C" w:rsidRPr="00891C11" w:rsidRDefault="008C563C" w:rsidP="00030145">
      <w:pPr>
        <w:pStyle w:val="Paragrafi"/>
        <w:rPr>
          <w:lang w:val="it-IT"/>
        </w:rPr>
      </w:pPr>
      <w:r w:rsidRPr="00891C11">
        <w:rPr>
          <w:lang w:val="it-IT"/>
        </w:rPr>
        <w:t xml:space="preserve">3. Banka e Shqipërisë, sipas rastit, mund të marrë ndaj bankës urë masat mbikëqyrëse që gjykon të nevojshme, në përputhje me dispozitat e ligjit “Për bankat” dhe/ose kuadrit rregullativ mbikëqyrës të nxjerrë në bazë dhe për zbatim të tij. </w:t>
      </w:r>
    </w:p>
    <w:p w:rsidR="008C563C" w:rsidRPr="00891C11" w:rsidRDefault="008C563C" w:rsidP="008C563C">
      <w:pPr>
        <w:pStyle w:val="KreuNr"/>
        <w:rPr>
          <w:lang w:val="it-IT"/>
        </w:rPr>
      </w:pPr>
      <w:r w:rsidRPr="00891C11">
        <w:rPr>
          <w:lang w:val="it-IT"/>
        </w:rPr>
        <w:t>KREU VII</w:t>
      </w:r>
    </w:p>
    <w:p w:rsidR="008C563C" w:rsidRPr="00891C11" w:rsidRDefault="008C563C" w:rsidP="008C563C">
      <w:pPr>
        <w:pStyle w:val="KreuTitull"/>
        <w:rPr>
          <w:lang w:val="it-IT"/>
        </w:rPr>
      </w:pPr>
      <w:r w:rsidRPr="00891C11">
        <w:rPr>
          <w:lang w:val="it-IT"/>
        </w:rPr>
        <w:t xml:space="preserve">Mbyllja dhe likuidimi i bankës urë </w:t>
      </w:r>
    </w:p>
    <w:p w:rsidR="008C563C" w:rsidRPr="00891C11" w:rsidRDefault="008C563C" w:rsidP="008C563C">
      <w:pPr>
        <w:pStyle w:val="Paragrafi"/>
        <w:rPr>
          <w:sz w:val="16"/>
          <w:lang w:val="it-IT"/>
        </w:rPr>
      </w:pPr>
    </w:p>
    <w:p w:rsidR="008C563C" w:rsidRPr="00891C11" w:rsidRDefault="008C563C" w:rsidP="008C563C">
      <w:pPr>
        <w:pStyle w:val="NeniNr"/>
        <w:rPr>
          <w:lang w:val="it-IT"/>
        </w:rPr>
      </w:pPr>
      <w:r w:rsidRPr="00891C11">
        <w:rPr>
          <w:lang w:val="it-IT"/>
        </w:rPr>
        <w:t>Neni 21</w:t>
      </w:r>
    </w:p>
    <w:p w:rsidR="008C563C" w:rsidRPr="00891C11" w:rsidRDefault="008C563C" w:rsidP="008C563C">
      <w:pPr>
        <w:pStyle w:val="NeniTitull"/>
        <w:rPr>
          <w:lang w:val="it-IT"/>
        </w:rPr>
      </w:pPr>
      <w:r w:rsidRPr="00891C11">
        <w:rPr>
          <w:lang w:val="it-IT"/>
        </w:rPr>
        <w:t>Mbyllja e bankës urë</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 xml:space="preserve">1. Banka urë mbyllet kur përfundon afati i përcaktuar në vendimin për krijimin e saj. </w:t>
      </w:r>
    </w:p>
    <w:p w:rsidR="008C563C" w:rsidRPr="00891C11" w:rsidRDefault="008C563C" w:rsidP="008C563C">
      <w:pPr>
        <w:pStyle w:val="Paragrafi"/>
        <w:rPr>
          <w:lang w:val="it-IT"/>
        </w:rPr>
      </w:pPr>
      <w:r w:rsidRPr="00891C11">
        <w:rPr>
          <w:lang w:val="it-IT"/>
        </w:rPr>
        <w:t xml:space="preserve">2. Banka urë mbyllet përpara afatit, kur ka transferuar ose shitur të gjitha aktivet dhe detyrimet tek një bankë tjetër vendase dhe/ose e huaj, ose kur kapitali i saj është blerë nga subjektet e interesuara. </w:t>
      </w:r>
    </w:p>
    <w:p w:rsidR="008C563C" w:rsidRPr="00891C11" w:rsidRDefault="008C563C" w:rsidP="008C563C">
      <w:pPr>
        <w:pStyle w:val="Paragrafi"/>
        <w:rPr>
          <w:lang w:val="it-IT"/>
        </w:rPr>
      </w:pPr>
      <w:r w:rsidRPr="00891C11">
        <w:rPr>
          <w:lang w:val="it-IT"/>
        </w:rPr>
        <w:t xml:space="preserve">3. Vendimi për mbylljen e bankës urë miratohet paraprakisht nga Banka e Shqipërisë. </w:t>
      </w:r>
    </w:p>
    <w:p w:rsidR="008C563C" w:rsidRPr="00891C11" w:rsidRDefault="008C563C" w:rsidP="008C563C">
      <w:pPr>
        <w:pStyle w:val="Paragrafi"/>
        <w:rPr>
          <w:lang w:val="it-IT"/>
        </w:rPr>
      </w:pPr>
      <w:r w:rsidRPr="00891C11">
        <w:rPr>
          <w:lang w:val="it-IT"/>
        </w:rPr>
        <w:t xml:space="preserve">4. Banka urë mbyllet me vendim të Bankës së Shqipërisë edhe në rastet kur vlera totale e aktiveve bie si pasojë e tërheqjes së depozitave nga klientët e saj. </w:t>
      </w:r>
    </w:p>
    <w:p w:rsidR="008C563C" w:rsidRPr="00891C11" w:rsidRDefault="008C563C" w:rsidP="008C563C">
      <w:pPr>
        <w:pStyle w:val="Paragrafi"/>
        <w:ind w:firstLine="0"/>
        <w:rPr>
          <w:sz w:val="16"/>
          <w:lang w:val="it-IT"/>
        </w:rPr>
      </w:pPr>
    </w:p>
    <w:p w:rsidR="008C563C" w:rsidRPr="00891C11" w:rsidRDefault="008C563C" w:rsidP="008C563C">
      <w:pPr>
        <w:pStyle w:val="NeniNr"/>
        <w:rPr>
          <w:lang w:val="it-IT"/>
        </w:rPr>
      </w:pPr>
      <w:r w:rsidRPr="00891C11">
        <w:rPr>
          <w:lang w:val="it-IT"/>
        </w:rPr>
        <w:t>Neni 22</w:t>
      </w:r>
    </w:p>
    <w:p w:rsidR="008C563C" w:rsidRPr="00891C11" w:rsidRDefault="008C563C" w:rsidP="008C563C">
      <w:pPr>
        <w:pStyle w:val="NeniTitull"/>
        <w:rPr>
          <w:lang w:val="it-IT"/>
        </w:rPr>
      </w:pPr>
      <w:r w:rsidRPr="00891C11">
        <w:rPr>
          <w:lang w:val="it-IT"/>
        </w:rPr>
        <w:t>Likuidimi i bankës urë</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 xml:space="preserve">1. Banka e Shqipërisë, pas mbylljes së bankës urë në përputhje me rastet e përcaktuara në nenin 21 të kësaj rregulloreje, revokon licencën e bankës urë. </w:t>
      </w:r>
    </w:p>
    <w:p w:rsidR="008C563C" w:rsidRPr="00891C11" w:rsidRDefault="008C563C" w:rsidP="008C563C">
      <w:pPr>
        <w:pStyle w:val="Paragrafi"/>
        <w:rPr>
          <w:lang w:val="it-IT"/>
        </w:rPr>
      </w:pPr>
      <w:r w:rsidRPr="00891C11">
        <w:rPr>
          <w:lang w:val="it-IT"/>
        </w:rPr>
        <w:t xml:space="preserve">2. Me revokimin e licencës së bankës urë, aktivet dhe detyrimet e patransferuara ose të pashitura, vendosen në likuidim nga Banka e Shqipërisë. </w:t>
      </w:r>
    </w:p>
    <w:p w:rsidR="008C563C" w:rsidRPr="00891C11" w:rsidRDefault="008C563C" w:rsidP="008C563C">
      <w:pPr>
        <w:pStyle w:val="Paragrafi"/>
        <w:rPr>
          <w:lang w:val="it-IT"/>
        </w:rPr>
      </w:pPr>
      <w:r w:rsidRPr="00891C11">
        <w:rPr>
          <w:lang w:val="it-IT"/>
        </w:rPr>
        <w:t xml:space="preserve">3. Grupi Mbikëqyrës, i cili ka monitoruar dhe asistuar administratorin/ët e bankës urë, asiston edhe likuidatorin e kësaj banke, në përputhje me detyrat e tij të përcaktuara në manualin “Për </w:t>
      </w:r>
      <w:r w:rsidR="00681A8D" w:rsidRPr="00891C11">
        <w:rPr>
          <w:lang w:val="it-IT"/>
        </w:rPr>
        <w:t>k</w:t>
      </w:r>
      <w:r w:rsidRPr="00891C11">
        <w:rPr>
          <w:lang w:val="it-IT"/>
        </w:rPr>
        <w:t xml:space="preserve">ujdestarinë dhe </w:t>
      </w:r>
      <w:r w:rsidR="00681A8D" w:rsidRPr="00891C11">
        <w:rPr>
          <w:lang w:val="it-IT"/>
        </w:rPr>
        <w:t>l</w:t>
      </w:r>
      <w:r w:rsidRPr="00891C11">
        <w:rPr>
          <w:lang w:val="it-IT"/>
        </w:rPr>
        <w:t xml:space="preserve">ikuidimin”.  </w:t>
      </w:r>
    </w:p>
    <w:p w:rsidR="008C563C" w:rsidRPr="00891C11" w:rsidRDefault="008C563C" w:rsidP="008C563C">
      <w:pPr>
        <w:pStyle w:val="Paragrafi"/>
        <w:rPr>
          <w:lang w:val="it-IT"/>
        </w:rPr>
      </w:pPr>
      <w:r w:rsidRPr="00891C11">
        <w:rPr>
          <w:lang w:val="it-IT"/>
        </w:rPr>
        <w:t xml:space="preserve">4. Likuidimi i aktiveve dhe detyrimeve të patransferuara ose të pashitura të bankës urë kryhet në përputhje me kriteret, kushtet dhe procedurat e përcaktuara në dispozitat e ligjit “Për bankat” dhe/ose në aktet rregullative të nxjerra në bazë dhe për zbatim të tij nga Banka e Shqipërisë. </w:t>
      </w:r>
    </w:p>
    <w:p w:rsidR="008C563C" w:rsidRPr="00891C11" w:rsidRDefault="008C563C" w:rsidP="008C563C">
      <w:pPr>
        <w:pStyle w:val="Paragrafi"/>
        <w:ind w:firstLine="0"/>
        <w:rPr>
          <w:sz w:val="18"/>
          <w:lang w:val="it-IT"/>
        </w:rPr>
      </w:pPr>
    </w:p>
    <w:p w:rsidR="008C563C" w:rsidRPr="00891C11" w:rsidRDefault="008C563C" w:rsidP="008C563C">
      <w:pPr>
        <w:pStyle w:val="KreuNr"/>
        <w:rPr>
          <w:lang w:val="it-IT"/>
        </w:rPr>
      </w:pPr>
      <w:r w:rsidRPr="00891C11">
        <w:rPr>
          <w:lang w:val="it-IT"/>
        </w:rPr>
        <w:t>KREU VIII</w:t>
      </w:r>
    </w:p>
    <w:p w:rsidR="008C563C" w:rsidRPr="00891C11" w:rsidRDefault="008C563C" w:rsidP="008C563C">
      <w:pPr>
        <w:pStyle w:val="KreuTitull"/>
        <w:rPr>
          <w:lang w:val="it-IT"/>
        </w:rPr>
      </w:pPr>
      <w:r w:rsidRPr="00891C11">
        <w:rPr>
          <w:lang w:val="it-IT"/>
        </w:rPr>
        <w:t>Të tjera</w:t>
      </w:r>
    </w:p>
    <w:p w:rsidR="008C563C" w:rsidRPr="00891C11" w:rsidRDefault="008C563C" w:rsidP="008C563C">
      <w:pPr>
        <w:pStyle w:val="Paragrafi"/>
        <w:rPr>
          <w:sz w:val="16"/>
          <w:lang w:val="it-IT"/>
        </w:rPr>
      </w:pPr>
      <w:r w:rsidRPr="00891C11">
        <w:rPr>
          <w:lang w:val="it-IT"/>
        </w:rPr>
        <w:t xml:space="preserve"> </w:t>
      </w:r>
    </w:p>
    <w:p w:rsidR="008C563C" w:rsidRPr="00891C11" w:rsidRDefault="008C563C" w:rsidP="008C563C">
      <w:pPr>
        <w:pStyle w:val="NeniNr"/>
        <w:rPr>
          <w:lang w:val="it-IT"/>
        </w:rPr>
      </w:pPr>
      <w:r w:rsidRPr="00891C11">
        <w:rPr>
          <w:lang w:val="it-IT"/>
        </w:rPr>
        <w:t>Neni 23</w:t>
      </w:r>
    </w:p>
    <w:p w:rsidR="008C563C" w:rsidRPr="00891C11" w:rsidRDefault="008C563C" w:rsidP="008C563C">
      <w:pPr>
        <w:pStyle w:val="NeniTitull"/>
        <w:rPr>
          <w:lang w:val="it-IT"/>
        </w:rPr>
      </w:pPr>
      <w:r w:rsidRPr="00891C11">
        <w:rPr>
          <w:lang w:val="it-IT"/>
        </w:rPr>
        <w:t>Konfidencialiteti</w:t>
      </w:r>
    </w:p>
    <w:p w:rsidR="008C563C" w:rsidRPr="00891C11" w:rsidRDefault="008C563C" w:rsidP="008C563C">
      <w:pPr>
        <w:pStyle w:val="Paragrafi"/>
        <w:rPr>
          <w:sz w:val="18"/>
          <w:lang w:val="it-IT"/>
        </w:rPr>
      </w:pPr>
    </w:p>
    <w:p w:rsidR="008C563C" w:rsidRPr="00891C11" w:rsidRDefault="00566392" w:rsidP="008C563C">
      <w:pPr>
        <w:pStyle w:val="Paragrafi"/>
        <w:rPr>
          <w:lang w:val="it-IT"/>
        </w:rPr>
      </w:pPr>
      <w:r w:rsidRPr="00891C11">
        <w:rPr>
          <w:lang w:val="it-IT"/>
        </w:rPr>
        <w:t xml:space="preserve">1. </w:t>
      </w:r>
      <w:r w:rsidR="008C563C" w:rsidRPr="00891C11">
        <w:rPr>
          <w:lang w:val="it-IT"/>
        </w:rPr>
        <w:t xml:space="preserve">Procesi i transferimit të aktiveve dhe detyrimeve nga banka me probleme tek banka urë, si dhe transferimi i tyre tek një bankë tjetër vendase ose e huaj, është një proces që zhvillohet në fshehtësi të lartë, me qëllim shmangien e humbjeve të mëtejshme gjatë këtij procesi. </w:t>
      </w:r>
    </w:p>
    <w:p w:rsidR="008C563C" w:rsidRPr="00891C11" w:rsidRDefault="00566392" w:rsidP="008C563C">
      <w:pPr>
        <w:pStyle w:val="Paragrafi"/>
        <w:rPr>
          <w:lang w:val="it-IT"/>
        </w:rPr>
      </w:pPr>
      <w:r w:rsidRPr="00891C11">
        <w:rPr>
          <w:lang w:val="it-IT"/>
        </w:rPr>
        <w:t xml:space="preserve">2. </w:t>
      </w:r>
      <w:r w:rsidR="008C563C" w:rsidRPr="00891C11">
        <w:rPr>
          <w:lang w:val="it-IT"/>
        </w:rPr>
        <w:t xml:space="preserve">Palët në transaksionet përkatëse janë të detyruara për ruajtjen e sekretit profesional, si dhe të konfidencialitetit të informacionit të marrë gjatë procesit të krijimit, funksionimit, si dhe shitjes së bankës urë. </w:t>
      </w:r>
    </w:p>
    <w:p w:rsidR="00030145" w:rsidRPr="00891C11" w:rsidRDefault="00030145" w:rsidP="008C563C">
      <w:pPr>
        <w:pStyle w:val="Akti"/>
        <w:keepNext w:val="0"/>
        <w:jc w:val="left"/>
        <w:rPr>
          <w:lang w:val="it-IT"/>
        </w:rPr>
      </w:pPr>
    </w:p>
    <w:p w:rsidR="008C563C" w:rsidRPr="00891C11" w:rsidRDefault="008C563C" w:rsidP="008C563C">
      <w:pPr>
        <w:pStyle w:val="Akti"/>
        <w:rPr>
          <w:lang w:val="it-IT"/>
        </w:rPr>
      </w:pPr>
      <w:r w:rsidRPr="00891C11">
        <w:rPr>
          <w:lang w:val="it-IT"/>
        </w:rPr>
        <w:t>VENDIM</w:t>
      </w:r>
    </w:p>
    <w:p w:rsidR="008C563C" w:rsidRPr="00891C11" w:rsidRDefault="009254FC" w:rsidP="008C563C">
      <w:pPr>
        <w:pStyle w:val="NumriData"/>
        <w:rPr>
          <w:lang w:val="it-IT"/>
        </w:rPr>
      </w:pPr>
      <w:r w:rsidRPr="00891C11">
        <w:rPr>
          <w:lang w:val="it-IT"/>
        </w:rPr>
        <w:t>Nr. 28, datë 16.5.2012</w:t>
      </w:r>
    </w:p>
    <w:p w:rsidR="008C563C" w:rsidRPr="00891C11" w:rsidRDefault="008C563C" w:rsidP="008C563C">
      <w:pPr>
        <w:pStyle w:val="Paragrafi"/>
        <w:ind w:firstLine="0"/>
        <w:rPr>
          <w:sz w:val="18"/>
          <w:lang w:val="it-IT"/>
        </w:rPr>
      </w:pPr>
    </w:p>
    <w:p w:rsidR="008C563C" w:rsidRPr="00891C11" w:rsidRDefault="008C563C" w:rsidP="008C563C">
      <w:pPr>
        <w:pStyle w:val="Titulli"/>
        <w:rPr>
          <w:lang w:val="it-IT"/>
        </w:rPr>
      </w:pPr>
      <w:r w:rsidRPr="00891C11">
        <w:rPr>
          <w:lang w:val="it-IT"/>
        </w:rPr>
        <w:t xml:space="preserve">Për një shtesë në rregulloren </w:t>
      </w:r>
    </w:p>
    <w:p w:rsidR="008C563C" w:rsidRPr="00891C11" w:rsidRDefault="008C563C" w:rsidP="008C563C">
      <w:pPr>
        <w:pStyle w:val="Titulli"/>
        <w:rPr>
          <w:lang w:val="it-IT"/>
        </w:rPr>
      </w:pPr>
      <w:r w:rsidRPr="00891C11">
        <w:rPr>
          <w:lang w:val="it-IT"/>
        </w:rPr>
        <w:t>“Për licencimin dhe ushtrimin e veprimtarisë së bankave dhe degëve të bankave të huaja në Republikën e Shqipërisë”</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 xml:space="preserve">Në bazë dhe për </w:t>
      </w:r>
      <w:r w:rsidR="00927E21" w:rsidRPr="00891C11">
        <w:rPr>
          <w:lang w:val="it-IT"/>
        </w:rPr>
        <w:t>zbatim të nenit 12 shkronja “a” dhe të nenit 43 shkronja “c”</w:t>
      </w:r>
      <w:r w:rsidRPr="00891C11">
        <w:rPr>
          <w:lang w:val="it-IT"/>
        </w:rPr>
        <w:t xml:space="preserve"> të ligjit nr. 8269, datë 23.12.1997 “Për Bankën e Shqipërisë”, </w:t>
      </w:r>
      <w:r w:rsidR="009254FC" w:rsidRPr="00891C11">
        <w:rPr>
          <w:lang w:val="it-IT"/>
        </w:rPr>
        <w:t>të</w:t>
      </w:r>
      <w:r w:rsidRPr="00891C11">
        <w:rPr>
          <w:lang w:val="it-IT"/>
        </w:rPr>
        <w:t xml:space="preserve"> ndryshuar; të ligjit nr. 9662, datë 18.12.2006 “Për bankat në Republikën e Shqipërisë”, </w:t>
      </w:r>
      <w:r w:rsidR="00F53348" w:rsidRPr="00891C11">
        <w:rPr>
          <w:lang w:val="it-IT"/>
        </w:rPr>
        <w:t>të</w:t>
      </w:r>
      <w:r w:rsidRPr="00891C11">
        <w:rPr>
          <w:lang w:val="it-IT"/>
        </w:rPr>
        <w:t xml:space="preserve"> nd</w:t>
      </w:r>
      <w:r w:rsidR="00927E21" w:rsidRPr="00891C11">
        <w:rPr>
          <w:lang w:val="it-IT"/>
        </w:rPr>
        <w:t>ryshuar; dhe të nenit 79 pika 3</w:t>
      </w:r>
      <w:r w:rsidRPr="00891C11">
        <w:rPr>
          <w:lang w:val="it-IT"/>
        </w:rPr>
        <w:t xml:space="preserve"> të ligjit nr. 9267, datë 29.07.2004 “Për veprimtarinë e sigurimit, të risigurimit dhe ndërmjetësimit në sigurime dhe risigurime”, </w:t>
      </w:r>
      <w:r w:rsidR="00927E21" w:rsidRPr="00891C11">
        <w:rPr>
          <w:lang w:val="it-IT"/>
        </w:rPr>
        <w:t>të</w:t>
      </w:r>
      <w:r w:rsidRPr="00891C11">
        <w:rPr>
          <w:lang w:val="it-IT"/>
        </w:rPr>
        <w:t xml:space="preserve"> ndryshuar; me propozim të Departamentit të Mbikëqyrjes, Këshilli Mbi</w:t>
      </w:r>
      <w:r w:rsidR="00927E21" w:rsidRPr="00891C11">
        <w:rPr>
          <w:lang w:val="it-IT"/>
        </w:rPr>
        <w:t>këqyrës i Bankës së Shqipërisë</w:t>
      </w:r>
    </w:p>
    <w:p w:rsidR="008C563C" w:rsidRPr="00891C11" w:rsidRDefault="008C563C" w:rsidP="008C563C">
      <w:pPr>
        <w:pStyle w:val="Paragrafi"/>
        <w:rPr>
          <w:sz w:val="14"/>
          <w:lang w:val="it-IT"/>
        </w:rPr>
      </w:pPr>
    </w:p>
    <w:p w:rsidR="008C563C" w:rsidRPr="00891C11" w:rsidRDefault="008C563C" w:rsidP="008C563C">
      <w:pPr>
        <w:pStyle w:val="VENDOSI"/>
        <w:rPr>
          <w:lang w:val="it-IT"/>
        </w:rPr>
      </w:pPr>
      <w:r w:rsidRPr="00891C11">
        <w:rPr>
          <w:lang w:val="it-IT"/>
        </w:rPr>
        <w:t>VENDOSI:</w:t>
      </w:r>
    </w:p>
    <w:p w:rsidR="008C563C" w:rsidRPr="00891C11" w:rsidRDefault="008C563C" w:rsidP="008C563C">
      <w:pPr>
        <w:pStyle w:val="Paragrafi"/>
        <w:rPr>
          <w:lang w:val="it-IT"/>
        </w:rPr>
      </w:pPr>
      <w:r w:rsidRPr="00891C11">
        <w:rPr>
          <w:lang w:val="it-IT"/>
        </w:rPr>
        <w:t xml:space="preserve">                                     </w:t>
      </w:r>
    </w:p>
    <w:p w:rsidR="008C563C" w:rsidRPr="00891C11" w:rsidRDefault="008C563C" w:rsidP="008C563C">
      <w:pPr>
        <w:pStyle w:val="Paragrafi"/>
        <w:rPr>
          <w:lang w:val="it-IT"/>
        </w:rPr>
      </w:pPr>
      <w:r w:rsidRPr="00891C11">
        <w:rPr>
          <w:lang w:val="it-IT"/>
        </w:rPr>
        <w:t xml:space="preserve">1. Në rregulloren “Për licencimin dhe ushtrimin e veprimtarisë së bankave dhe degëve të bankave të huaja në Republikën e Shqipërisë”, miratuar me vendimin nr. 14, datë 11.03.2009 të Këshillit Mbikëqyrës, </w:t>
      </w:r>
      <w:r w:rsidR="00927E21" w:rsidRPr="00891C11">
        <w:rPr>
          <w:lang w:val="it-IT"/>
        </w:rPr>
        <w:t>të</w:t>
      </w:r>
      <w:r w:rsidRPr="00891C11">
        <w:rPr>
          <w:lang w:val="it-IT"/>
        </w:rPr>
        <w:t xml:space="preserve"> ndryshuar, pas pikës 7 të nenit 18, të shtohet pika 8, me përmbajtjen si më poshtë vijon:</w:t>
      </w:r>
    </w:p>
    <w:p w:rsidR="008C563C" w:rsidRPr="00891C11" w:rsidRDefault="00927E21" w:rsidP="008C563C">
      <w:pPr>
        <w:pStyle w:val="Paragrafi"/>
        <w:rPr>
          <w:lang w:val="it-IT"/>
        </w:rPr>
      </w:pPr>
      <w:r w:rsidRPr="00891C11">
        <w:rPr>
          <w:lang w:val="it-IT"/>
        </w:rPr>
        <w:t xml:space="preserve">1.1 </w:t>
      </w:r>
      <w:r w:rsidR="008C563C" w:rsidRPr="00891C11">
        <w:rPr>
          <w:lang w:val="it-IT"/>
        </w:rPr>
        <w:t>Banka mund të ushtrojë veprimtarinë e ndërmjetësimit në sigurime dhe risigurime</w:t>
      </w:r>
      <w:r w:rsidRPr="00891C11">
        <w:rPr>
          <w:lang w:val="it-IT"/>
        </w:rPr>
        <w:t>,</w:t>
      </w:r>
      <w:r w:rsidR="008C563C" w:rsidRPr="00891C11">
        <w:rPr>
          <w:lang w:val="it-IT"/>
        </w:rPr>
        <w:t xml:space="preserve"> të parashikuara në ligjin nr. 9267, datë 29.7.2004 “Për veprimtarinë e sigurimit, të risigurimit dhe ndërmjetësimit në sigurime dhe risigurime”, pas marrjes së miratimit paraprak nga Banka e Shqipërisë dhe përmbushjes së kushteve ligjore të parashikuara në ligj, për ushtrimin e kësaj veprimtarie. Në këtë rast, banka paraqet në Bankën e Shqipërisë:</w:t>
      </w:r>
    </w:p>
    <w:p w:rsidR="008C563C" w:rsidRPr="00891C11" w:rsidRDefault="008C563C" w:rsidP="008C563C">
      <w:pPr>
        <w:pStyle w:val="Paragrafi"/>
        <w:rPr>
          <w:lang w:val="it-IT"/>
        </w:rPr>
      </w:pPr>
      <w:r w:rsidRPr="00891C11">
        <w:rPr>
          <w:lang w:val="it-IT"/>
        </w:rPr>
        <w:t xml:space="preserve">a) kërkesën për lejimin e përfshirjes së bankës në veprimtarinë financiare, duke shpjeguar fushën e veprimtarisë që do të kryejë, nivelin e rrezikut të ndërmarrë, si dhe kategorinë e klientëve të bankës të cilëve do t’u ofrohet ky shërbim; </w:t>
      </w:r>
    </w:p>
    <w:p w:rsidR="008C563C" w:rsidRPr="00891C11" w:rsidRDefault="008C563C" w:rsidP="008C563C">
      <w:pPr>
        <w:pStyle w:val="Paragrafi"/>
        <w:rPr>
          <w:lang w:val="it-IT"/>
        </w:rPr>
      </w:pPr>
      <w:r w:rsidRPr="00891C11">
        <w:rPr>
          <w:lang w:val="it-IT"/>
        </w:rPr>
        <w:t xml:space="preserve">b) vendimin e organit përkatës vendimmarrës të bankës ose të bankës së huaj në rastin e degës së bankës së huaj, për miratimin e ushtrimit të veprimtarisë financiare; </w:t>
      </w:r>
    </w:p>
    <w:p w:rsidR="008C563C" w:rsidRPr="00891C11" w:rsidRDefault="008C563C" w:rsidP="008C563C">
      <w:pPr>
        <w:pStyle w:val="Paragrafi"/>
        <w:rPr>
          <w:lang w:val="it-IT"/>
        </w:rPr>
      </w:pPr>
      <w:r w:rsidRPr="00891C11">
        <w:rPr>
          <w:lang w:val="it-IT"/>
        </w:rPr>
        <w:t>c) projektin e ndryshuar të statutit, nëse statuti përmban një dispozitë që përcakton objektin e veprimtarisë;</w:t>
      </w:r>
    </w:p>
    <w:p w:rsidR="008C563C" w:rsidRPr="00891C11" w:rsidRDefault="008C563C" w:rsidP="008C563C">
      <w:pPr>
        <w:pStyle w:val="Paragrafi"/>
        <w:rPr>
          <w:lang w:val="it-IT"/>
        </w:rPr>
      </w:pPr>
      <w:r w:rsidRPr="00891C11">
        <w:rPr>
          <w:lang w:val="it-IT"/>
        </w:rPr>
        <w:t xml:space="preserve">d) parashikimet e bankës ose të degës së bankës së huaj, për përfitueshmërinë e kryerjes së një veprimtarie të tillë;   </w:t>
      </w:r>
    </w:p>
    <w:p w:rsidR="008C563C" w:rsidRPr="00891C11" w:rsidRDefault="008C563C" w:rsidP="008C563C">
      <w:pPr>
        <w:pStyle w:val="Paragrafi"/>
        <w:rPr>
          <w:lang w:val="it-IT"/>
        </w:rPr>
      </w:pPr>
      <w:r w:rsidRPr="00891C11">
        <w:rPr>
          <w:lang w:val="it-IT"/>
        </w:rPr>
        <w:t xml:space="preserve">e) procedurat dhe rregullat e brendshme të bankës, lidhur me kryerjen dhe kontrollin e kësaj veprimtarie. </w:t>
      </w:r>
    </w:p>
    <w:p w:rsidR="008C563C" w:rsidRPr="00891C11" w:rsidRDefault="008C563C" w:rsidP="008C563C">
      <w:pPr>
        <w:pStyle w:val="Paragrafi"/>
        <w:rPr>
          <w:lang w:val="it-IT"/>
        </w:rPr>
      </w:pPr>
      <w:r w:rsidRPr="00891C11">
        <w:rPr>
          <w:lang w:val="it-IT"/>
        </w:rPr>
        <w:t>1.2 Pika 8 në këtë nen, bëhet pika 9.</w:t>
      </w:r>
    </w:p>
    <w:p w:rsidR="008C563C" w:rsidRPr="00891C11" w:rsidRDefault="008C563C" w:rsidP="008C563C">
      <w:pPr>
        <w:pStyle w:val="Paragrafi"/>
        <w:rPr>
          <w:lang w:val="it-IT"/>
        </w:rPr>
      </w:pPr>
      <w:r w:rsidRPr="00891C11">
        <w:rPr>
          <w:lang w:val="it-IT"/>
        </w:rPr>
        <w:t>2. Ngarkohet Departamenti i Mbikëqyrjes me zbatimin e këtij vendimi.</w:t>
      </w:r>
    </w:p>
    <w:p w:rsidR="008C563C" w:rsidRPr="00891C11" w:rsidRDefault="008C563C" w:rsidP="008C563C">
      <w:pPr>
        <w:pStyle w:val="Paragrafi"/>
        <w:rPr>
          <w:lang w:val="it-IT"/>
        </w:rPr>
      </w:pPr>
      <w:r w:rsidRPr="00891C11">
        <w:rPr>
          <w:lang w:val="it-IT"/>
        </w:rPr>
        <w:t>3. Ngarkohet Departamenti i Marrëdhënieve me Jashtë, Integrimit Evropian dhe Komunikimit, për publikimin e këtij vendimi në Fletoren Zyrtare të Republikës së Shqipërisë dhe në Buletinin Zyrtar të Bankës së Shqipërisë.</w:t>
      </w:r>
    </w:p>
    <w:p w:rsidR="008C563C" w:rsidRPr="00891C11" w:rsidRDefault="008C563C" w:rsidP="008C563C">
      <w:pPr>
        <w:pStyle w:val="Paragrafi"/>
        <w:rPr>
          <w:lang w:val="it-IT"/>
        </w:rPr>
      </w:pPr>
      <w:r w:rsidRPr="00891C11">
        <w:rPr>
          <w:lang w:val="it-IT"/>
        </w:rPr>
        <w:t>Ky vendim hyn në fuqi 15 (pesëmbëdhjetë) ditë pas botimit në Fletoren Zyrtare të Republikës së Shqipërisë.</w:t>
      </w:r>
    </w:p>
    <w:p w:rsidR="008C563C" w:rsidRPr="00891C11" w:rsidRDefault="008C563C" w:rsidP="008C563C">
      <w:pPr>
        <w:pStyle w:val="Paragrafi"/>
        <w:rPr>
          <w:sz w:val="20"/>
          <w:lang w:val="it-IT"/>
        </w:rPr>
      </w:pPr>
    </w:p>
    <w:p w:rsidR="008C563C" w:rsidRPr="00891C11" w:rsidRDefault="008C563C" w:rsidP="008C563C">
      <w:pPr>
        <w:pStyle w:val="Autoriteti"/>
        <w:rPr>
          <w:lang w:val="it-IT"/>
        </w:rPr>
      </w:pPr>
      <w:r w:rsidRPr="00891C11">
        <w:rPr>
          <w:lang w:val="it-IT"/>
        </w:rPr>
        <w:t xml:space="preserve">          </w:t>
      </w:r>
      <w:r w:rsidRPr="00891C11">
        <w:rPr>
          <w:lang w:val="it-IT"/>
        </w:rPr>
        <w:tab/>
        <w:t xml:space="preserve">       </w:t>
      </w:r>
      <w:r w:rsidRPr="00891C11">
        <w:rPr>
          <w:lang w:val="it-IT"/>
        </w:rPr>
        <w:tab/>
      </w:r>
      <w:r w:rsidRPr="00891C11">
        <w:rPr>
          <w:lang w:val="it-IT"/>
        </w:rPr>
        <w:tab/>
      </w:r>
      <w:r w:rsidRPr="00891C11">
        <w:rPr>
          <w:lang w:val="it-IT"/>
        </w:rPr>
        <w:tab/>
        <w:t xml:space="preserve">                 KRYETARI </w:t>
      </w:r>
    </w:p>
    <w:p w:rsidR="008C563C" w:rsidRPr="00891C11" w:rsidRDefault="008C563C" w:rsidP="008C563C">
      <w:pPr>
        <w:pStyle w:val="AutoritetiEmer"/>
        <w:rPr>
          <w:lang w:val="it-IT"/>
        </w:rPr>
      </w:pPr>
      <w:r w:rsidRPr="00891C11">
        <w:rPr>
          <w:lang w:val="it-IT"/>
        </w:rPr>
        <w:t xml:space="preserve">                                                         </w:t>
      </w:r>
      <w:r w:rsidRPr="00891C11">
        <w:rPr>
          <w:lang w:val="it-IT"/>
        </w:rPr>
        <w:tab/>
        <w:t xml:space="preserve">               Ardian Fullani</w:t>
      </w:r>
    </w:p>
    <w:p w:rsidR="008C563C" w:rsidRPr="00891C11" w:rsidRDefault="008C563C" w:rsidP="008C563C">
      <w:pPr>
        <w:pStyle w:val="Paragrafi"/>
        <w:rPr>
          <w:sz w:val="12"/>
          <w:lang w:val="it-IT"/>
        </w:rPr>
      </w:pPr>
    </w:p>
    <w:p w:rsidR="008C563C" w:rsidRPr="00891C11" w:rsidRDefault="008C563C" w:rsidP="008C563C">
      <w:pPr>
        <w:pStyle w:val="Paragrafi"/>
        <w:ind w:firstLine="0"/>
        <w:rPr>
          <w:lang w:val="it-IT"/>
        </w:rPr>
      </w:pPr>
    </w:p>
    <w:p w:rsidR="008C563C" w:rsidRPr="00891C11" w:rsidRDefault="008C563C" w:rsidP="008C563C">
      <w:pPr>
        <w:pStyle w:val="Akti"/>
        <w:rPr>
          <w:lang w:val="it-IT"/>
        </w:rPr>
      </w:pPr>
      <w:r w:rsidRPr="00891C11">
        <w:rPr>
          <w:lang w:val="it-IT"/>
        </w:rPr>
        <w:t>VENDIM</w:t>
      </w:r>
    </w:p>
    <w:p w:rsidR="008C563C" w:rsidRPr="00891C11" w:rsidRDefault="008C563C" w:rsidP="008C563C">
      <w:pPr>
        <w:pStyle w:val="NumriData"/>
        <w:rPr>
          <w:lang w:val="it-IT"/>
        </w:rPr>
      </w:pPr>
      <w:r w:rsidRPr="00891C11">
        <w:rPr>
          <w:lang w:val="it-IT"/>
        </w:rPr>
        <w:t xml:space="preserve">Nr. 29, datë 16.5.2012 </w:t>
      </w:r>
    </w:p>
    <w:p w:rsidR="008C563C" w:rsidRPr="00891C11" w:rsidRDefault="008C563C" w:rsidP="008C563C">
      <w:pPr>
        <w:pStyle w:val="Paragrafi"/>
        <w:rPr>
          <w:sz w:val="18"/>
          <w:lang w:val="it-IT"/>
        </w:rPr>
      </w:pPr>
    </w:p>
    <w:p w:rsidR="008C563C" w:rsidRPr="00891C11" w:rsidRDefault="008C563C" w:rsidP="008C563C">
      <w:pPr>
        <w:pStyle w:val="Titulli"/>
        <w:rPr>
          <w:lang w:val="it-IT"/>
        </w:rPr>
      </w:pPr>
      <w:r w:rsidRPr="00891C11">
        <w:rPr>
          <w:lang w:val="it-IT"/>
        </w:rPr>
        <w:t>për miratimin e rregullores</w:t>
      </w:r>
    </w:p>
    <w:p w:rsidR="008C563C" w:rsidRPr="00891C11" w:rsidRDefault="001A2DB2" w:rsidP="008C563C">
      <w:pPr>
        <w:pStyle w:val="Titulli"/>
        <w:rPr>
          <w:lang w:val="it-IT"/>
        </w:rPr>
      </w:pPr>
      <w:r w:rsidRPr="00891C11">
        <w:rPr>
          <w:lang w:val="it-IT"/>
        </w:rPr>
        <w:t>“</w:t>
      </w:r>
      <w:r w:rsidR="008C563C" w:rsidRPr="00891C11">
        <w:rPr>
          <w:lang w:val="it-IT"/>
        </w:rPr>
        <w:t xml:space="preserve">mbi minimumin e rezervës së detyruar mbajtur </w:t>
      </w:r>
    </w:p>
    <w:p w:rsidR="008C563C" w:rsidRPr="00891C11" w:rsidRDefault="008C563C" w:rsidP="008C563C">
      <w:pPr>
        <w:pStyle w:val="Titulli"/>
        <w:rPr>
          <w:lang w:val="it-IT"/>
        </w:rPr>
      </w:pPr>
      <w:r w:rsidRPr="00891C11">
        <w:rPr>
          <w:lang w:val="it-IT"/>
        </w:rPr>
        <w:t>në bankën e shqipërisë nga bankat</w:t>
      </w:r>
      <w:r w:rsidR="001A2DB2" w:rsidRPr="00891C11">
        <w:rPr>
          <w:lang w:val="it-IT"/>
        </w:rPr>
        <w:t>”</w:t>
      </w:r>
      <w:r w:rsidRPr="00891C11">
        <w:rPr>
          <w:lang w:val="it-IT"/>
        </w:rPr>
        <w:t xml:space="preserve"> </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 xml:space="preserve">Në bazë dhe për zbatim të nenit 43 shkronja “c”, të nenit  19 dhe nenit 20 të ligjit nr. 8269, datë 23.12.1997  “Për Bankën e Shqipërisë” </w:t>
      </w:r>
      <w:r w:rsidR="001A2DB2" w:rsidRPr="00891C11">
        <w:rPr>
          <w:lang w:val="it-IT"/>
        </w:rPr>
        <w:t>të</w:t>
      </w:r>
      <w:r w:rsidRPr="00891C11">
        <w:rPr>
          <w:lang w:val="it-IT"/>
        </w:rPr>
        <w:t xml:space="preserve"> ndryshuar; si dhe të nenit 67 të ligjit nr. 9662, datë 18.12.2006 “Për ba</w:t>
      </w:r>
      <w:r w:rsidR="001A2DB2" w:rsidRPr="00891C11">
        <w:rPr>
          <w:lang w:val="it-IT"/>
        </w:rPr>
        <w:t>nkat në Republikën e Shqipërisë”</w:t>
      </w:r>
      <w:r w:rsidRPr="00891C11">
        <w:rPr>
          <w:lang w:val="it-IT"/>
        </w:rPr>
        <w:t>, i ndryshuar; Këshilli Mbikëqyrës i Bankës së Shqipërisë,</w:t>
      </w:r>
    </w:p>
    <w:p w:rsidR="008C563C" w:rsidRPr="00891C11" w:rsidRDefault="008C563C" w:rsidP="008C563C">
      <w:pPr>
        <w:pStyle w:val="Paragrafi"/>
        <w:rPr>
          <w:sz w:val="12"/>
          <w:lang w:val="it-IT"/>
        </w:rPr>
      </w:pPr>
    </w:p>
    <w:p w:rsidR="008C563C" w:rsidRPr="00891C11" w:rsidRDefault="008C563C" w:rsidP="008C563C">
      <w:pPr>
        <w:pStyle w:val="VENDOSI"/>
        <w:rPr>
          <w:lang w:val="it-IT"/>
        </w:rPr>
      </w:pPr>
      <w:r w:rsidRPr="00891C11">
        <w:rPr>
          <w:lang w:val="it-IT"/>
        </w:rPr>
        <w:t>VENDOSI:</w:t>
      </w:r>
    </w:p>
    <w:p w:rsidR="008C563C" w:rsidRPr="00891C11" w:rsidRDefault="008C563C" w:rsidP="008C563C">
      <w:pPr>
        <w:pStyle w:val="Paragrafi"/>
        <w:rPr>
          <w:sz w:val="20"/>
          <w:lang w:val="it-IT"/>
        </w:rPr>
      </w:pPr>
    </w:p>
    <w:p w:rsidR="008C563C" w:rsidRPr="00891C11" w:rsidRDefault="008C563C" w:rsidP="008C563C">
      <w:pPr>
        <w:pStyle w:val="Paragrafi"/>
        <w:rPr>
          <w:lang w:val="it-IT"/>
        </w:rPr>
      </w:pPr>
      <w:r w:rsidRPr="00891C11">
        <w:rPr>
          <w:lang w:val="it-IT"/>
        </w:rPr>
        <w:t>1. Të miratojë rregulloren “Mbi minimumin e rezervës së detyruar mbajtur në Bankën e Shqipërisë nga bankat”</w:t>
      </w:r>
      <w:r w:rsidR="001A2DB2" w:rsidRPr="00891C11">
        <w:rPr>
          <w:lang w:val="it-IT"/>
        </w:rPr>
        <w:t>,</w:t>
      </w:r>
      <w:r w:rsidRPr="00891C11">
        <w:rPr>
          <w:lang w:val="it-IT"/>
        </w:rPr>
        <w:t xml:space="preserve"> sipas tekstit bashkëlidhur këtij vendimi.</w:t>
      </w:r>
    </w:p>
    <w:p w:rsidR="008C563C" w:rsidRPr="00891C11" w:rsidRDefault="008C563C" w:rsidP="008C563C">
      <w:pPr>
        <w:pStyle w:val="Paragrafi"/>
        <w:rPr>
          <w:lang w:val="it-IT"/>
        </w:rPr>
      </w:pPr>
      <w:r w:rsidRPr="00891C11">
        <w:rPr>
          <w:lang w:val="it-IT"/>
        </w:rPr>
        <w:t>2. Bankat zbatojnë dispozitat e rregullores së përcaktuar në pikën 1 të këtij vendimi, për periudhën bazë pasardhëse të muajit kalendarik në të cilin ky vendim hyn në fuqi.</w:t>
      </w:r>
    </w:p>
    <w:p w:rsidR="008C563C" w:rsidRPr="00891C11" w:rsidRDefault="008C563C" w:rsidP="008C563C">
      <w:pPr>
        <w:pStyle w:val="Paragrafi"/>
        <w:rPr>
          <w:lang w:val="it-IT"/>
        </w:rPr>
      </w:pPr>
      <w:r w:rsidRPr="00891C11">
        <w:rPr>
          <w:lang w:val="it-IT"/>
        </w:rPr>
        <w:t>3. Ngarkohet Departamenti i Operacioneve Monetare, Departamenti i Mbikëqyrjes, Departamenti i Emisionit, si dhe të gjitha strukturat e tjera në Bankën e Shqipërisë për zbatimin e këtij vendimi.</w:t>
      </w:r>
    </w:p>
    <w:p w:rsidR="008C563C" w:rsidRPr="00891C11" w:rsidRDefault="008C563C" w:rsidP="008C563C">
      <w:pPr>
        <w:pStyle w:val="Paragrafi"/>
        <w:rPr>
          <w:lang w:val="it-IT"/>
        </w:rPr>
      </w:pPr>
      <w:r w:rsidRPr="00891C11">
        <w:rPr>
          <w:lang w:val="it-IT"/>
        </w:rPr>
        <w:t>4. Ngarkohet Departamenti i Marrëdhënieve me Jashtë, Integrimit Evropian dhe Komunikimit për publikimin e këtij vendimi në Fletoren Zyrtare të Republikës së Shqipërisë</w:t>
      </w:r>
      <w:r w:rsidR="001A2DB2" w:rsidRPr="00891C11">
        <w:rPr>
          <w:lang w:val="it-IT"/>
        </w:rPr>
        <w:t>,</w:t>
      </w:r>
      <w:r w:rsidRPr="00891C11">
        <w:rPr>
          <w:lang w:val="it-IT"/>
        </w:rPr>
        <w:t xml:space="preserve"> si dhe në Buletinin Zyrtar të Bankës së Shqipërisë.</w:t>
      </w:r>
    </w:p>
    <w:p w:rsidR="008C563C" w:rsidRPr="00891C11" w:rsidRDefault="008C563C" w:rsidP="008C563C">
      <w:pPr>
        <w:pStyle w:val="Paragrafi"/>
        <w:rPr>
          <w:lang w:val="it-IT"/>
        </w:rPr>
      </w:pPr>
      <w:r w:rsidRPr="00891C11">
        <w:rPr>
          <w:lang w:val="it-IT"/>
        </w:rPr>
        <w:t>5. Me hyrjen në fuqi të këtij vendimi, shfuqizohet vendimi nr. 43, datë 16.07.2008 i Këshillit Mbikëqyrës për miratimin e rregullores “Mbi minimumin e rezervës së detyruar mbajtur në Bankën e Shqipërisë nga bankat”, i ndryshuar.</w:t>
      </w:r>
    </w:p>
    <w:p w:rsidR="008C563C" w:rsidRPr="00891C11" w:rsidRDefault="008C563C" w:rsidP="008C563C">
      <w:pPr>
        <w:pStyle w:val="Paragrafi"/>
        <w:rPr>
          <w:lang w:val="it-IT"/>
        </w:rPr>
      </w:pPr>
      <w:bookmarkStart w:id="1" w:name="OLE_LINK15"/>
      <w:bookmarkStart w:id="2" w:name="OLE_LINK16"/>
      <w:r w:rsidRPr="00891C11">
        <w:rPr>
          <w:lang w:val="it-IT"/>
        </w:rPr>
        <w:t xml:space="preserve">Ky vendim hyn në fuqi menjëherë </w:t>
      </w:r>
      <w:bookmarkEnd w:id="1"/>
      <w:bookmarkEnd w:id="2"/>
      <w:r w:rsidRPr="00891C11">
        <w:rPr>
          <w:lang w:val="it-IT"/>
        </w:rPr>
        <w:t>.</w:t>
      </w:r>
    </w:p>
    <w:p w:rsidR="001A1A2D" w:rsidRPr="00891C11" w:rsidRDefault="001A1A2D" w:rsidP="001A1A2D">
      <w:pPr>
        <w:pStyle w:val="Autoriteti"/>
        <w:jc w:val="left"/>
        <w:rPr>
          <w:caps w:val="0"/>
          <w:sz w:val="16"/>
          <w:lang w:val="it-IT"/>
        </w:rPr>
      </w:pPr>
    </w:p>
    <w:p w:rsidR="008C563C" w:rsidRPr="00891C11" w:rsidRDefault="008C563C" w:rsidP="001A1A2D">
      <w:pPr>
        <w:pStyle w:val="Autoriteti"/>
        <w:rPr>
          <w:lang w:val="it-IT"/>
        </w:rPr>
      </w:pPr>
      <w:r w:rsidRPr="00891C11">
        <w:rPr>
          <w:lang w:val="it-IT"/>
        </w:rPr>
        <w:t xml:space="preserve"> </w:t>
      </w:r>
      <w:r w:rsidRPr="00891C11">
        <w:rPr>
          <w:lang w:val="it-IT"/>
        </w:rPr>
        <w:tab/>
      </w:r>
      <w:r w:rsidRPr="00891C11">
        <w:rPr>
          <w:lang w:val="it-IT"/>
        </w:rPr>
        <w:tab/>
      </w:r>
      <w:r w:rsidRPr="00891C11">
        <w:rPr>
          <w:lang w:val="it-IT"/>
        </w:rPr>
        <w:tab/>
      </w:r>
      <w:r w:rsidRPr="00891C11">
        <w:rPr>
          <w:lang w:val="it-IT"/>
        </w:rPr>
        <w:tab/>
      </w:r>
      <w:r w:rsidRPr="00891C11">
        <w:rPr>
          <w:lang w:val="it-IT"/>
        </w:rPr>
        <w:tab/>
      </w:r>
      <w:r w:rsidRPr="00891C11">
        <w:rPr>
          <w:lang w:val="it-IT"/>
        </w:rPr>
        <w:tab/>
        <w:t xml:space="preserve">KRYETARI    </w:t>
      </w:r>
    </w:p>
    <w:p w:rsidR="008C563C" w:rsidRPr="00891C11" w:rsidRDefault="008C563C" w:rsidP="008C563C">
      <w:pPr>
        <w:pStyle w:val="AutoritetiEmer"/>
        <w:rPr>
          <w:lang w:val="it-IT"/>
        </w:rPr>
      </w:pPr>
      <w:r w:rsidRPr="00891C11">
        <w:rPr>
          <w:lang w:val="it-IT"/>
        </w:rPr>
        <w:t xml:space="preserve">                                                        Ardian Fullani</w:t>
      </w:r>
    </w:p>
    <w:p w:rsidR="008C563C" w:rsidRPr="00891C11" w:rsidRDefault="008C563C" w:rsidP="008C563C">
      <w:pPr>
        <w:pStyle w:val="Paragrafi"/>
        <w:ind w:firstLine="0"/>
        <w:rPr>
          <w:sz w:val="18"/>
          <w:lang w:val="it-IT"/>
        </w:rPr>
      </w:pPr>
    </w:p>
    <w:p w:rsidR="008C563C" w:rsidRPr="00891C11" w:rsidRDefault="008C563C" w:rsidP="008C563C">
      <w:pPr>
        <w:pStyle w:val="Paragrafi"/>
        <w:ind w:firstLine="0"/>
        <w:rPr>
          <w:sz w:val="18"/>
          <w:lang w:val="it-IT"/>
        </w:rPr>
      </w:pPr>
    </w:p>
    <w:p w:rsidR="008C563C" w:rsidRPr="00891C11" w:rsidRDefault="008C563C" w:rsidP="008C563C">
      <w:pPr>
        <w:pStyle w:val="Titulli"/>
        <w:rPr>
          <w:lang w:val="it-IT"/>
        </w:rPr>
      </w:pPr>
      <w:r w:rsidRPr="00891C11">
        <w:rPr>
          <w:lang w:val="it-IT"/>
        </w:rPr>
        <w:t>Rregullore</w:t>
      </w:r>
    </w:p>
    <w:p w:rsidR="008C563C" w:rsidRPr="00891C11" w:rsidRDefault="008C563C" w:rsidP="008C563C">
      <w:pPr>
        <w:pStyle w:val="Titulli"/>
        <w:rPr>
          <w:b w:val="0"/>
          <w:lang w:val="it-IT"/>
        </w:rPr>
      </w:pPr>
      <w:r w:rsidRPr="00891C11">
        <w:rPr>
          <w:b w:val="0"/>
          <w:lang w:val="it-IT"/>
        </w:rPr>
        <w:t>Mbi MINIMUMIN E rezervëS Së detyruar të mbajtur në Bankën e Shqipërisë nga bankat</w:t>
      </w:r>
    </w:p>
    <w:p w:rsidR="008C563C" w:rsidRPr="00891C11" w:rsidRDefault="008C563C" w:rsidP="008C563C">
      <w:pPr>
        <w:pStyle w:val="Paragrafi"/>
        <w:rPr>
          <w:sz w:val="18"/>
          <w:lang w:val="it-IT"/>
        </w:rPr>
      </w:pPr>
    </w:p>
    <w:p w:rsidR="008C563C" w:rsidRPr="008F4146" w:rsidRDefault="008C563C" w:rsidP="008C563C">
      <w:pPr>
        <w:pStyle w:val="KreuNr"/>
      </w:pPr>
      <w:r w:rsidRPr="008F4146">
        <w:t>Kreu I</w:t>
      </w:r>
    </w:p>
    <w:p w:rsidR="008C563C" w:rsidRPr="008F4146" w:rsidRDefault="008C563C" w:rsidP="008C563C">
      <w:pPr>
        <w:pStyle w:val="KreuTitull"/>
      </w:pPr>
      <w:r w:rsidRPr="008F4146">
        <w:t>Të përgjithshme</w:t>
      </w:r>
    </w:p>
    <w:p w:rsidR="008C563C" w:rsidRPr="001A1A2D" w:rsidRDefault="008C563C" w:rsidP="008C563C">
      <w:pPr>
        <w:pStyle w:val="Paragrafi"/>
        <w:ind w:firstLine="0"/>
        <w:rPr>
          <w:sz w:val="18"/>
        </w:rPr>
      </w:pPr>
    </w:p>
    <w:p w:rsidR="008C563C" w:rsidRPr="008F4146" w:rsidRDefault="008C563C" w:rsidP="008C563C">
      <w:pPr>
        <w:pStyle w:val="NeniNr"/>
      </w:pPr>
      <w:r w:rsidRPr="008F4146">
        <w:t>Neni 1</w:t>
      </w:r>
    </w:p>
    <w:p w:rsidR="008C563C" w:rsidRPr="008F4146" w:rsidRDefault="008C563C" w:rsidP="008C563C">
      <w:pPr>
        <w:pStyle w:val="NeniTitull"/>
      </w:pPr>
      <w:r w:rsidRPr="008F4146">
        <w:t>Objekti</w:t>
      </w:r>
    </w:p>
    <w:p w:rsidR="008C563C" w:rsidRPr="001A1A2D" w:rsidRDefault="008C563C" w:rsidP="008C563C">
      <w:pPr>
        <w:pStyle w:val="Paragrafi"/>
        <w:rPr>
          <w:sz w:val="18"/>
        </w:rPr>
      </w:pPr>
    </w:p>
    <w:p w:rsidR="008C563C" w:rsidRDefault="008C563C" w:rsidP="00030145">
      <w:pPr>
        <w:pStyle w:val="Paragrafi"/>
      </w:pPr>
      <w:r w:rsidRPr="008F4146">
        <w:t xml:space="preserve">Objekti i kësaj rregulloreje është përcaktimi i rregullave për llogaritjen, raportimin, mbajtjen, përdorimin dhe remunerimin e rezervës së detyruar në Bankën e Shqipërisë. </w:t>
      </w:r>
    </w:p>
    <w:p w:rsidR="00030145" w:rsidRPr="001A1A2D" w:rsidRDefault="00030145" w:rsidP="00030145">
      <w:pPr>
        <w:pStyle w:val="Paragrafi"/>
        <w:rPr>
          <w:sz w:val="20"/>
        </w:rPr>
      </w:pPr>
    </w:p>
    <w:p w:rsidR="008C563C" w:rsidRPr="008F4146" w:rsidRDefault="008C563C" w:rsidP="008C563C">
      <w:pPr>
        <w:pStyle w:val="NeniNr"/>
      </w:pPr>
      <w:r w:rsidRPr="008F4146">
        <w:t>Neni 2</w:t>
      </w:r>
    </w:p>
    <w:p w:rsidR="008C563C" w:rsidRPr="008F4146" w:rsidRDefault="008C563C" w:rsidP="008C563C">
      <w:pPr>
        <w:pStyle w:val="NeniTitull"/>
      </w:pPr>
      <w:r w:rsidRPr="008F4146">
        <w:t>Baza ligjore</w:t>
      </w:r>
    </w:p>
    <w:p w:rsidR="008C563C" w:rsidRPr="001A1A2D" w:rsidRDefault="008C563C" w:rsidP="008C563C">
      <w:pPr>
        <w:pStyle w:val="Paragrafi"/>
        <w:rPr>
          <w:sz w:val="18"/>
        </w:rPr>
      </w:pPr>
    </w:p>
    <w:p w:rsidR="008C563C" w:rsidRPr="008F4146" w:rsidRDefault="008C563C" w:rsidP="008C563C">
      <w:pPr>
        <w:pStyle w:val="Paragrafi"/>
      </w:pPr>
      <w:r w:rsidRPr="008F4146">
        <w:t>Kjo rregullore nxirret në bazë dhe në përputhje me:</w:t>
      </w:r>
    </w:p>
    <w:p w:rsidR="008C563C" w:rsidRPr="008F4146" w:rsidRDefault="008C563C" w:rsidP="008C563C">
      <w:pPr>
        <w:pStyle w:val="Paragrafi"/>
      </w:pPr>
      <w:r w:rsidRPr="008F4146">
        <w:t xml:space="preserve">a) ligjin nr. 8269, datë 23.12.1997  “Për Bankën e Shqipërisë”, </w:t>
      </w:r>
      <w:r w:rsidR="001A2DB2">
        <w:t>t</w:t>
      </w:r>
      <w:r w:rsidR="001A2DB2" w:rsidRPr="00875843">
        <w:t>ë</w:t>
      </w:r>
      <w:r w:rsidRPr="008F4146">
        <w:t xml:space="preserve"> ndryshuar;</w:t>
      </w:r>
    </w:p>
    <w:p w:rsidR="008C563C" w:rsidRPr="008F4146" w:rsidRDefault="008C563C" w:rsidP="008C563C">
      <w:pPr>
        <w:pStyle w:val="Paragrafi"/>
      </w:pPr>
      <w:r w:rsidRPr="008F4146">
        <w:t xml:space="preserve">b) ligjin nr. 9662, datë 18.12.2006 “Për bankat në Republikën e Shqipërisë”, </w:t>
      </w:r>
      <w:r w:rsidR="001A2DB2">
        <w:t>t</w:t>
      </w:r>
      <w:r w:rsidR="001A2DB2" w:rsidRPr="00875843">
        <w:t>ë</w:t>
      </w:r>
      <w:r w:rsidRPr="008F4146">
        <w:t xml:space="preserve"> ndryshuar;</w:t>
      </w:r>
    </w:p>
    <w:p w:rsidR="008C563C" w:rsidRPr="00891C11" w:rsidRDefault="008C563C" w:rsidP="008C563C">
      <w:pPr>
        <w:pStyle w:val="Paragrafi"/>
        <w:rPr>
          <w:lang w:val="it-IT"/>
        </w:rPr>
      </w:pPr>
      <w:r w:rsidRPr="00891C11">
        <w:rPr>
          <w:lang w:val="it-IT"/>
        </w:rPr>
        <w:t>c) vendimin e Këshillit Mbikëqyrës për miratimin e rregullores “Mbi organizimin dhe funksionimin e Departamentit të Operacioneve Monetare”; dhe</w:t>
      </w:r>
    </w:p>
    <w:p w:rsidR="008C563C" w:rsidRPr="00891C11" w:rsidRDefault="008C563C" w:rsidP="008C563C">
      <w:pPr>
        <w:pStyle w:val="Paragrafi"/>
        <w:rPr>
          <w:lang w:val="it-IT"/>
        </w:rPr>
      </w:pPr>
      <w:r w:rsidRPr="00891C11">
        <w:rPr>
          <w:lang w:val="it-IT"/>
        </w:rPr>
        <w:t>d) akteve të tjera nënligjore të Bankës së Shqipërisë.</w:t>
      </w:r>
    </w:p>
    <w:p w:rsidR="008C563C" w:rsidRPr="00891C11" w:rsidRDefault="008C563C" w:rsidP="008C563C">
      <w:pPr>
        <w:pStyle w:val="Paragrafi"/>
        <w:ind w:firstLine="0"/>
        <w:rPr>
          <w:sz w:val="18"/>
          <w:lang w:val="it-IT"/>
        </w:rPr>
      </w:pPr>
    </w:p>
    <w:p w:rsidR="008C563C" w:rsidRPr="00891C11" w:rsidRDefault="008C563C" w:rsidP="008C563C">
      <w:pPr>
        <w:pStyle w:val="NeniNr"/>
        <w:rPr>
          <w:lang w:val="it-IT"/>
        </w:rPr>
      </w:pPr>
      <w:r w:rsidRPr="00891C11">
        <w:rPr>
          <w:lang w:val="it-IT"/>
        </w:rPr>
        <w:t>Neni 3</w:t>
      </w:r>
    </w:p>
    <w:p w:rsidR="008C563C" w:rsidRPr="00891C11" w:rsidRDefault="008C563C" w:rsidP="008C563C">
      <w:pPr>
        <w:pStyle w:val="NeniTitull"/>
        <w:rPr>
          <w:lang w:val="it-IT"/>
        </w:rPr>
      </w:pPr>
      <w:r w:rsidRPr="00891C11">
        <w:rPr>
          <w:lang w:val="it-IT"/>
        </w:rPr>
        <w:t>Objektivi i mbajtjes së rezervës së detyruar</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Rezerva e detyruar është instrument i politikës monetare të Bankës së Shqipërisë, e cila synon rregullimin e likuiditetit të sistemin bankar dhe stabilizimin e normave të interesit në tregun e parasë.</w:t>
      </w:r>
    </w:p>
    <w:p w:rsidR="008C563C" w:rsidRPr="00891C11" w:rsidRDefault="008C563C" w:rsidP="008C563C">
      <w:pPr>
        <w:pStyle w:val="Paragrafi"/>
        <w:ind w:firstLine="0"/>
        <w:rPr>
          <w:sz w:val="8"/>
          <w:lang w:val="it-IT"/>
        </w:rPr>
      </w:pPr>
    </w:p>
    <w:p w:rsidR="008C563C" w:rsidRPr="00891C11" w:rsidRDefault="008C563C" w:rsidP="008C563C">
      <w:pPr>
        <w:pStyle w:val="NeniNr"/>
        <w:rPr>
          <w:lang w:val="it-IT"/>
        </w:rPr>
      </w:pPr>
      <w:r w:rsidRPr="00891C11">
        <w:rPr>
          <w:lang w:val="it-IT"/>
        </w:rPr>
        <w:t>Neni 4</w:t>
      </w:r>
    </w:p>
    <w:p w:rsidR="008C563C" w:rsidRPr="00891C11" w:rsidRDefault="008C563C" w:rsidP="008C563C">
      <w:pPr>
        <w:pStyle w:val="NeniTitull"/>
        <w:rPr>
          <w:lang w:val="it-IT"/>
        </w:rPr>
      </w:pPr>
      <w:r w:rsidRPr="00891C11">
        <w:rPr>
          <w:lang w:val="it-IT"/>
        </w:rPr>
        <w:t>Përkufizime</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Në zbatim të kësaj rregulloreje, termat e mëposhtëm kanë këtë kuptim:</w:t>
      </w:r>
    </w:p>
    <w:p w:rsidR="008C563C" w:rsidRPr="00891C11" w:rsidRDefault="008C563C" w:rsidP="008C563C">
      <w:pPr>
        <w:pStyle w:val="Paragrafi"/>
        <w:rPr>
          <w:lang w:val="it-IT"/>
        </w:rPr>
      </w:pPr>
      <w:r w:rsidRPr="00891C11">
        <w:rPr>
          <w:lang w:val="it-IT"/>
        </w:rPr>
        <w:t xml:space="preserve">a) </w:t>
      </w:r>
      <w:r w:rsidR="001A2DB2" w:rsidRPr="00891C11">
        <w:rPr>
          <w:lang w:val="it-IT"/>
        </w:rPr>
        <w:t>“</w:t>
      </w:r>
      <w:r w:rsidRPr="00891C11">
        <w:rPr>
          <w:lang w:val="it-IT"/>
        </w:rPr>
        <w:t>Periudha bazë</w:t>
      </w:r>
      <w:r w:rsidR="001A2DB2" w:rsidRPr="00891C11">
        <w:rPr>
          <w:lang w:val="it-IT"/>
        </w:rPr>
        <w:t>”</w:t>
      </w:r>
      <w:r w:rsidRPr="00891C11">
        <w:rPr>
          <w:lang w:val="it-IT"/>
        </w:rPr>
        <w:t xml:space="preserve"> është çdo muaj kalendarik</w:t>
      </w:r>
      <w:r w:rsidR="001A2DB2" w:rsidRPr="00891C11">
        <w:rPr>
          <w:lang w:val="it-IT"/>
        </w:rPr>
        <w:t>,</w:t>
      </w:r>
      <w:r w:rsidRPr="00891C11">
        <w:rPr>
          <w:lang w:val="it-IT"/>
        </w:rPr>
        <w:t xml:space="preserve"> fundi i të cilit shërben për  monitorimin e bazës së rezervës së detyruar, me qëllim llogaritjen e rezervës së detyruar. </w:t>
      </w:r>
    </w:p>
    <w:p w:rsidR="008C563C" w:rsidRPr="00891C11" w:rsidRDefault="001A2DB2" w:rsidP="008C563C">
      <w:pPr>
        <w:pStyle w:val="Paragrafi"/>
        <w:rPr>
          <w:lang w:val="it-IT"/>
        </w:rPr>
      </w:pPr>
      <w:r w:rsidRPr="00891C11">
        <w:rPr>
          <w:lang w:val="it-IT"/>
        </w:rPr>
        <w:t>b) “Periudha e mbajtjes”</w:t>
      </w:r>
      <w:r w:rsidR="008C563C" w:rsidRPr="00891C11">
        <w:rPr>
          <w:lang w:val="it-IT"/>
        </w:rPr>
        <w:t xml:space="preserve"> është periudha në të cilën bankat mbajnë rezervën e detyruar në Bankën e Shqipërisë.</w:t>
      </w:r>
    </w:p>
    <w:p w:rsidR="008C563C" w:rsidRPr="00891C11" w:rsidRDefault="008C563C" w:rsidP="008C563C">
      <w:pPr>
        <w:pStyle w:val="Paragrafi"/>
        <w:rPr>
          <w:lang w:val="it-IT"/>
        </w:rPr>
      </w:pPr>
      <w:r w:rsidRPr="008F4146">
        <w:rPr>
          <w:lang w:val="sq-AL"/>
        </w:rPr>
        <w:t xml:space="preserve">c) </w:t>
      </w:r>
      <w:r w:rsidR="001A2DB2">
        <w:rPr>
          <w:lang w:val="sq-AL"/>
        </w:rPr>
        <w:t>“</w:t>
      </w:r>
      <w:r w:rsidR="001A2DB2" w:rsidRPr="00891C11">
        <w:rPr>
          <w:lang w:val="it-IT"/>
        </w:rPr>
        <w:t>Baza e reserves”</w:t>
      </w:r>
      <w:r w:rsidRPr="00891C11">
        <w:rPr>
          <w:lang w:val="it-IT"/>
        </w:rPr>
        <w:t xml:space="preserve"> është bashkësia e detyrimeve të një banke, e vrojtuar në ditën e fundit të periudhës bazë, për të cilën do të mbahet rezervë e detyruar. </w:t>
      </w:r>
    </w:p>
    <w:p w:rsidR="008C563C" w:rsidRPr="00891C11" w:rsidRDefault="008C563C" w:rsidP="008C563C">
      <w:pPr>
        <w:pStyle w:val="Paragrafi"/>
        <w:rPr>
          <w:lang w:val="it-IT"/>
        </w:rPr>
      </w:pPr>
      <w:r w:rsidRPr="00891C11">
        <w:rPr>
          <w:lang w:val="it-IT"/>
        </w:rPr>
        <w:t xml:space="preserve">d) </w:t>
      </w:r>
      <w:r w:rsidR="001A2DB2" w:rsidRPr="00891C11">
        <w:rPr>
          <w:lang w:val="it-IT"/>
        </w:rPr>
        <w:t>“Rezerva e detyruar”</w:t>
      </w:r>
      <w:r w:rsidRPr="00891C11">
        <w:rPr>
          <w:lang w:val="it-IT"/>
        </w:rPr>
        <w:t xml:space="preserve"> është niveli minimal i rezervës që një bankë është e detyruar të mbajë pranë Bankës së Shqipërisë. Rezerva e detyruar llogaritet si prodhim i bazës së rezervës me normën e rezervës së detyruar. </w:t>
      </w:r>
    </w:p>
    <w:p w:rsidR="008C563C" w:rsidRPr="00891C11" w:rsidRDefault="008C563C" w:rsidP="008C563C">
      <w:pPr>
        <w:pStyle w:val="Paragrafi"/>
        <w:rPr>
          <w:lang w:val="it-IT"/>
        </w:rPr>
      </w:pPr>
      <w:r w:rsidRPr="00891C11">
        <w:rPr>
          <w:lang w:val="it-IT"/>
        </w:rPr>
        <w:t xml:space="preserve">e) </w:t>
      </w:r>
      <w:r w:rsidR="001A2DB2" w:rsidRPr="00891C11">
        <w:rPr>
          <w:lang w:val="it-IT"/>
        </w:rPr>
        <w:t>“Llogaria reserve”</w:t>
      </w:r>
      <w:r w:rsidRPr="00891C11">
        <w:rPr>
          <w:lang w:val="it-IT"/>
        </w:rPr>
        <w:t xml:space="preserve"> është llogaria e bankës pranë Bankës së Shqipërisë.</w:t>
      </w:r>
    </w:p>
    <w:p w:rsidR="008C563C" w:rsidRPr="00891C11" w:rsidRDefault="008C563C" w:rsidP="008C563C">
      <w:pPr>
        <w:pStyle w:val="Paragrafi"/>
        <w:rPr>
          <w:lang w:val="it-IT"/>
        </w:rPr>
      </w:pPr>
      <w:r w:rsidRPr="00891C11">
        <w:rPr>
          <w:lang w:val="it-IT"/>
        </w:rPr>
        <w:t xml:space="preserve">f) </w:t>
      </w:r>
      <w:r w:rsidR="001A2DB2" w:rsidRPr="00891C11">
        <w:rPr>
          <w:lang w:val="it-IT"/>
        </w:rPr>
        <w:t>“</w:t>
      </w:r>
      <w:r w:rsidRPr="00891C11">
        <w:rPr>
          <w:lang w:val="it-IT"/>
        </w:rPr>
        <w:t>Norma e rezervës së detyr</w:t>
      </w:r>
      <w:r w:rsidR="001A2DB2" w:rsidRPr="00891C11">
        <w:rPr>
          <w:lang w:val="it-IT"/>
        </w:rPr>
        <w:t>uar”</w:t>
      </w:r>
      <w:r w:rsidRPr="00891C11">
        <w:rPr>
          <w:lang w:val="it-IT"/>
        </w:rPr>
        <w:t xml:space="preserve"> është përqindja e bazës së rezervës së detyruar.</w:t>
      </w:r>
    </w:p>
    <w:p w:rsidR="008C563C" w:rsidRPr="00891C11" w:rsidRDefault="008C563C" w:rsidP="008C563C">
      <w:pPr>
        <w:pStyle w:val="Paragrafi"/>
        <w:rPr>
          <w:lang w:val="it-IT"/>
        </w:rPr>
      </w:pPr>
      <w:r w:rsidRPr="00891C11">
        <w:rPr>
          <w:lang w:val="it-IT"/>
        </w:rPr>
        <w:t xml:space="preserve">g) </w:t>
      </w:r>
      <w:r w:rsidR="001A2DB2" w:rsidRPr="00891C11">
        <w:rPr>
          <w:lang w:val="it-IT"/>
        </w:rPr>
        <w:t>“Banka”</w:t>
      </w:r>
      <w:r w:rsidRPr="00891C11">
        <w:rPr>
          <w:lang w:val="it-IT"/>
        </w:rPr>
        <w:t xml:space="preserve"> janë bankat dhe degët e bankave të huaja të licencuara nga Banka e Shqipërisë.</w:t>
      </w:r>
    </w:p>
    <w:p w:rsidR="008C563C" w:rsidRPr="00891C11" w:rsidRDefault="008C563C" w:rsidP="008C563C">
      <w:pPr>
        <w:pStyle w:val="Paragrafi"/>
        <w:rPr>
          <w:lang w:val="it-IT"/>
        </w:rPr>
      </w:pPr>
      <w:r w:rsidRPr="00891C11">
        <w:rPr>
          <w:lang w:val="it-IT"/>
        </w:rPr>
        <w:t xml:space="preserve">h) </w:t>
      </w:r>
      <w:r w:rsidR="001A2DB2" w:rsidRPr="00891C11">
        <w:rPr>
          <w:lang w:val="it-IT"/>
        </w:rPr>
        <w:t>“Remunerimi”</w:t>
      </w:r>
      <w:r w:rsidRPr="00891C11">
        <w:rPr>
          <w:lang w:val="it-IT"/>
        </w:rPr>
        <w:t xml:space="preserve"> është shuma e interesit që paguhet nga Banka e Shqipërisë për bankat, për rezervën e detyruar të mbajtur nga këto të fundit në Bankën e Shqipërisë.</w:t>
      </w:r>
    </w:p>
    <w:p w:rsidR="008C563C" w:rsidRPr="00891C11" w:rsidRDefault="008C563C" w:rsidP="008C563C">
      <w:pPr>
        <w:pStyle w:val="Paragrafi"/>
        <w:rPr>
          <w:lang w:val="it-IT"/>
        </w:rPr>
      </w:pPr>
      <w:r w:rsidRPr="00891C11">
        <w:rPr>
          <w:lang w:val="it-IT"/>
        </w:rPr>
        <w:t xml:space="preserve">i) </w:t>
      </w:r>
      <w:r w:rsidR="001A2DB2" w:rsidRPr="00891C11">
        <w:rPr>
          <w:lang w:val="it-IT"/>
        </w:rPr>
        <w:t>“</w:t>
      </w:r>
      <w:r w:rsidRPr="00891C11">
        <w:rPr>
          <w:lang w:val="it-IT"/>
        </w:rPr>
        <w:t>Siste</w:t>
      </w:r>
      <w:r w:rsidR="001A2DB2" w:rsidRPr="00891C11">
        <w:rPr>
          <w:lang w:val="it-IT"/>
        </w:rPr>
        <w:t>mi i unifikuar raportues (SRU)”</w:t>
      </w:r>
      <w:r w:rsidRPr="00891C11">
        <w:rPr>
          <w:lang w:val="it-IT"/>
        </w:rPr>
        <w:t xml:space="preserve"> është tërësia e formularëve të përcaktuar nga Banka e Shqipërisë, sipas të cilëve bankat i raportojnë Bankës së Shqipërisë në bazë dhe për zbatim të nenit 47, të ligjit “Për bankat në Republikën e Shqipërisë”, </w:t>
      </w:r>
      <w:r w:rsidR="001A2DB2" w:rsidRPr="00891C11">
        <w:rPr>
          <w:lang w:val="it-IT"/>
        </w:rPr>
        <w:t>të</w:t>
      </w:r>
      <w:r w:rsidRPr="00891C11">
        <w:rPr>
          <w:lang w:val="it-IT"/>
        </w:rPr>
        <w:t xml:space="preserve"> ndryshuar.</w:t>
      </w:r>
    </w:p>
    <w:p w:rsidR="008C563C" w:rsidRPr="00891C11" w:rsidRDefault="008C563C" w:rsidP="008C563C">
      <w:pPr>
        <w:pStyle w:val="Paragrafi"/>
        <w:rPr>
          <w:lang w:val="it-IT"/>
        </w:rPr>
      </w:pPr>
      <w:r w:rsidRPr="00891C11">
        <w:rPr>
          <w:lang w:val="it-IT"/>
        </w:rPr>
        <w:t xml:space="preserve">j) </w:t>
      </w:r>
      <w:r w:rsidR="001A2DB2" w:rsidRPr="00891C11">
        <w:rPr>
          <w:lang w:val="it-IT"/>
        </w:rPr>
        <w:t>“Gjoba”</w:t>
      </w:r>
      <w:r w:rsidRPr="00891C11">
        <w:rPr>
          <w:lang w:val="it-IT"/>
        </w:rPr>
        <w:t xml:space="preserve"> është</w:t>
      </w:r>
      <w:r w:rsidR="001A2DB2" w:rsidRPr="00891C11">
        <w:rPr>
          <w:lang w:val="it-IT"/>
        </w:rPr>
        <w:t xml:space="preserve"> shuma monetare në formë kamatë</w:t>
      </w:r>
      <w:r w:rsidRPr="00891C11">
        <w:rPr>
          <w:lang w:val="it-IT"/>
        </w:rPr>
        <w:t>vonese, që banka dhe dega e bankës së huaj detyrohet të paguajë, për mosplotësimin e rezervës së detyrueshme sipas dispozitave të kësaj rregulloreje.</w:t>
      </w:r>
    </w:p>
    <w:p w:rsidR="008C563C" w:rsidRPr="00891C11" w:rsidRDefault="008C563C" w:rsidP="008C563C">
      <w:pPr>
        <w:pStyle w:val="Paragrafi"/>
        <w:rPr>
          <w:lang w:val="it-IT"/>
        </w:rPr>
      </w:pPr>
      <w:r w:rsidRPr="00891C11">
        <w:rPr>
          <w:lang w:val="it-IT"/>
        </w:rPr>
        <w:t xml:space="preserve">k) </w:t>
      </w:r>
      <w:r w:rsidR="001A2DB2" w:rsidRPr="00891C11">
        <w:rPr>
          <w:lang w:val="it-IT"/>
        </w:rPr>
        <w:t>“Cash në kujdestari”</w:t>
      </w:r>
      <w:r w:rsidRPr="00891C11">
        <w:rPr>
          <w:lang w:val="it-IT"/>
        </w:rPr>
        <w:t xml:space="preserve"> është depozitimi i kartëmonedhave dhe i monedhave metalike për ruajtje pranë Bankës së Shqipërisë.</w:t>
      </w:r>
      <w:r w:rsidRPr="00891C11" w:rsidDel="00E37562">
        <w:rPr>
          <w:lang w:val="it-IT"/>
        </w:rPr>
        <w:t xml:space="preserve"> </w:t>
      </w:r>
    </w:p>
    <w:p w:rsidR="008C563C" w:rsidRPr="00891C11" w:rsidRDefault="008C563C" w:rsidP="008C563C">
      <w:pPr>
        <w:pStyle w:val="Paragrafi"/>
        <w:ind w:firstLine="0"/>
        <w:rPr>
          <w:lang w:val="it-IT"/>
        </w:rPr>
      </w:pPr>
      <w:r w:rsidRPr="00891C11">
        <w:rPr>
          <w:lang w:val="it-IT"/>
        </w:rPr>
        <w:t xml:space="preserve">                                  </w:t>
      </w:r>
      <w:r w:rsidRPr="00891C11">
        <w:rPr>
          <w:sz w:val="16"/>
          <w:lang w:val="it-IT"/>
        </w:rPr>
        <w:t xml:space="preserve"> </w:t>
      </w:r>
      <w:r w:rsidRPr="00891C11">
        <w:rPr>
          <w:sz w:val="2"/>
          <w:lang w:val="it-IT"/>
        </w:rPr>
        <w:t xml:space="preserve">       </w:t>
      </w:r>
      <w:r w:rsidRPr="00891C11">
        <w:rPr>
          <w:sz w:val="16"/>
          <w:lang w:val="it-IT"/>
        </w:rPr>
        <w:t xml:space="preserve">                  </w:t>
      </w:r>
      <w:r w:rsidRPr="00891C11">
        <w:rPr>
          <w:lang w:val="it-IT"/>
        </w:rPr>
        <w:t xml:space="preserve">                                                                                                                                                                     </w:t>
      </w:r>
    </w:p>
    <w:p w:rsidR="008C563C" w:rsidRPr="00891C11" w:rsidRDefault="008C563C" w:rsidP="008C563C">
      <w:pPr>
        <w:pStyle w:val="KreuNr"/>
        <w:rPr>
          <w:lang w:val="it-IT"/>
        </w:rPr>
      </w:pPr>
      <w:r w:rsidRPr="00891C11">
        <w:rPr>
          <w:lang w:val="it-IT"/>
        </w:rPr>
        <w:t>KREU II</w:t>
      </w:r>
    </w:p>
    <w:p w:rsidR="008C563C" w:rsidRPr="00891C11" w:rsidRDefault="008C563C" w:rsidP="008C563C">
      <w:pPr>
        <w:pStyle w:val="KreuTitull"/>
        <w:rPr>
          <w:lang w:val="it-IT"/>
        </w:rPr>
      </w:pPr>
      <w:r w:rsidRPr="00891C11">
        <w:rPr>
          <w:lang w:val="it-IT"/>
        </w:rPr>
        <w:t>Llogaritja dhe raportimi i rezervës së detyruar</w:t>
      </w:r>
    </w:p>
    <w:p w:rsidR="008C563C" w:rsidRPr="00891C11" w:rsidRDefault="008C563C" w:rsidP="008C563C">
      <w:pPr>
        <w:pStyle w:val="Paragrafi"/>
        <w:rPr>
          <w:sz w:val="16"/>
          <w:lang w:val="it-IT"/>
        </w:rPr>
      </w:pPr>
    </w:p>
    <w:p w:rsidR="008C563C" w:rsidRPr="00891C11" w:rsidRDefault="008C563C" w:rsidP="008C563C">
      <w:pPr>
        <w:pStyle w:val="NeniNr"/>
        <w:rPr>
          <w:lang w:val="it-IT"/>
        </w:rPr>
      </w:pPr>
      <w:r w:rsidRPr="00891C11">
        <w:rPr>
          <w:lang w:val="it-IT"/>
        </w:rPr>
        <w:t>Neni 5</w:t>
      </w:r>
    </w:p>
    <w:p w:rsidR="008C563C" w:rsidRPr="00891C11" w:rsidRDefault="008C563C" w:rsidP="008C563C">
      <w:pPr>
        <w:pStyle w:val="NeniTitull"/>
        <w:rPr>
          <w:lang w:val="it-IT"/>
        </w:rPr>
      </w:pPr>
      <w:r w:rsidRPr="00891C11">
        <w:rPr>
          <w:lang w:val="it-IT"/>
        </w:rPr>
        <w:t>Subjektet e detyruara për të mbajtur rezervë të detyruar</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1. Të gjitha bankat duhet të mbajnë rezervë të detyruar pranë Bankës së Shqipërisë sipas dispozitave të kësaj rregulloreje.</w:t>
      </w:r>
    </w:p>
    <w:p w:rsidR="008C563C" w:rsidRPr="00891C11" w:rsidRDefault="008C563C" w:rsidP="008C563C">
      <w:pPr>
        <w:pStyle w:val="Paragrafi"/>
        <w:rPr>
          <w:lang w:val="it-IT"/>
        </w:rPr>
      </w:pPr>
      <w:r w:rsidRPr="00891C11">
        <w:rPr>
          <w:lang w:val="it-IT"/>
        </w:rPr>
        <w:t>2. Banka raporton për rezervën e detyruar në momentin e dhënies së licencës nga Banka e Shqipërisë sipas kushteve të përcaktuara në këtë rregullore edhe në qoftë se baza e rezervës së saj është zero.</w:t>
      </w:r>
    </w:p>
    <w:p w:rsidR="008C563C" w:rsidRPr="00891C11" w:rsidRDefault="008C563C" w:rsidP="008C563C">
      <w:pPr>
        <w:pStyle w:val="Paragrafi"/>
        <w:rPr>
          <w:lang w:val="it-IT"/>
        </w:rPr>
      </w:pPr>
      <w:r w:rsidRPr="00891C11">
        <w:rPr>
          <w:lang w:val="it-IT"/>
        </w:rPr>
        <w:t>3. Përjashtohen nga detyrimi i përcaktuar në pikën 1 të këtij neni:</w:t>
      </w:r>
    </w:p>
    <w:p w:rsidR="008C563C" w:rsidRPr="00891C11" w:rsidRDefault="008C563C" w:rsidP="008C563C">
      <w:pPr>
        <w:pStyle w:val="Paragrafi"/>
        <w:rPr>
          <w:lang w:val="it-IT"/>
        </w:rPr>
      </w:pPr>
      <w:r w:rsidRPr="00891C11">
        <w:rPr>
          <w:lang w:val="it-IT"/>
        </w:rPr>
        <w:t>a) bankat, të cilat janë vendosur në likuidim; dhe</w:t>
      </w:r>
    </w:p>
    <w:p w:rsidR="008C563C" w:rsidRPr="00891C11" w:rsidRDefault="008C563C" w:rsidP="000D4845">
      <w:pPr>
        <w:pStyle w:val="Paragrafi"/>
        <w:rPr>
          <w:lang w:val="it-IT"/>
        </w:rPr>
      </w:pPr>
      <w:r w:rsidRPr="00891C11">
        <w:rPr>
          <w:lang w:val="it-IT"/>
        </w:rPr>
        <w:t xml:space="preserve">b) bankat, gjatë mbylljes përfundimtare të aktivitetit të tyre sipas dispozitave të ligjit “Për bankat në Republikën e Shqipërisë”, i ndryshuar, si pasojë e revokimit të licencës së tyre. </w:t>
      </w:r>
    </w:p>
    <w:p w:rsidR="000D4845" w:rsidRPr="00891C11" w:rsidRDefault="000D4845" w:rsidP="000D4845">
      <w:pPr>
        <w:pStyle w:val="Paragrafi"/>
        <w:rPr>
          <w:lang w:val="it-IT"/>
        </w:rPr>
      </w:pPr>
    </w:p>
    <w:p w:rsidR="008C563C" w:rsidRPr="00891C11" w:rsidRDefault="008C563C" w:rsidP="008C563C">
      <w:pPr>
        <w:pStyle w:val="NeniNr"/>
        <w:rPr>
          <w:lang w:val="it-IT"/>
        </w:rPr>
      </w:pPr>
      <w:r w:rsidRPr="00891C11">
        <w:rPr>
          <w:lang w:val="it-IT"/>
        </w:rPr>
        <w:t>Neni 6</w:t>
      </w:r>
    </w:p>
    <w:p w:rsidR="008C563C" w:rsidRPr="00891C11" w:rsidRDefault="008C563C" w:rsidP="008C563C">
      <w:pPr>
        <w:pStyle w:val="NeniTitull"/>
        <w:rPr>
          <w:lang w:val="it-IT"/>
        </w:rPr>
      </w:pPr>
      <w:r w:rsidRPr="00891C11">
        <w:rPr>
          <w:lang w:val="it-IT"/>
        </w:rPr>
        <w:t>Baza e rezervës</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Baza e rezervës përfshin detyrimet që rezultojnë nga pranimi i fondeve nga bankat, të pasqyruara në bilancin kontabël të tyre, në lekë dhe në valutë.</w:t>
      </w:r>
    </w:p>
    <w:p w:rsidR="008C563C" w:rsidRPr="00891C11" w:rsidRDefault="008C563C" w:rsidP="008C563C">
      <w:pPr>
        <w:pStyle w:val="Paragrafi"/>
        <w:rPr>
          <w:lang w:val="it-IT"/>
        </w:rPr>
      </w:pPr>
      <w:r w:rsidRPr="00891C11">
        <w:rPr>
          <w:lang w:val="it-IT"/>
        </w:rPr>
        <w:t>2. Përjashtohen nga baza e rezervës kategoritë e mëposhtme të detyrimeve:</w:t>
      </w:r>
    </w:p>
    <w:p w:rsidR="008C563C" w:rsidRPr="00891C11" w:rsidRDefault="008C563C" w:rsidP="008C563C">
      <w:pPr>
        <w:pStyle w:val="Paragrafi"/>
        <w:rPr>
          <w:lang w:val="it-IT"/>
        </w:rPr>
      </w:pPr>
      <w:r w:rsidRPr="00891C11">
        <w:rPr>
          <w:lang w:val="it-IT"/>
        </w:rPr>
        <w:t>a) detyrimet ndërmjet bankave (depozita me afat dhe llogaritë rrjedhëse që bankat kanë ndërmjet tyre);</w:t>
      </w:r>
    </w:p>
    <w:p w:rsidR="008C563C" w:rsidRPr="00891C11" w:rsidRDefault="008C563C" w:rsidP="008C563C">
      <w:pPr>
        <w:pStyle w:val="Paragrafi"/>
        <w:rPr>
          <w:lang w:val="it-IT"/>
        </w:rPr>
      </w:pPr>
      <w:r w:rsidRPr="00891C11">
        <w:rPr>
          <w:lang w:val="it-IT"/>
        </w:rPr>
        <w:t>b) detyrimet ndaj Bankës së Shqipërisë;</w:t>
      </w:r>
    </w:p>
    <w:p w:rsidR="008C563C" w:rsidRPr="008F4146" w:rsidRDefault="008C563C" w:rsidP="008C563C">
      <w:pPr>
        <w:pStyle w:val="Paragrafi"/>
      </w:pPr>
      <w:r w:rsidRPr="008F4146">
        <w:t>c) detyrimet ndaj Qeverisë dhe organeve të administratës publike;</w:t>
      </w:r>
    </w:p>
    <w:p w:rsidR="008C563C" w:rsidRPr="00891C11" w:rsidRDefault="008C563C" w:rsidP="008C563C">
      <w:pPr>
        <w:pStyle w:val="Paragrafi"/>
        <w:rPr>
          <w:lang w:val="it-IT"/>
        </w:rPr>
      </w:pPr>
      <w:r w:rsidRPr="00891C11">
        <w:rPr>
          <w:lang w:val="it-IT"/>
        </w:rPr>
        <w:t>d) detyrimet e krijuara për mbulimin e letër-kredive;</w:t>
      </w:r>
    </w:p>
    <w:p w:rsidR="008C563C" w:rsidRPr="00891C11" w:rsidRDefault="008C563C" w:rsidP="008C563C">
      <w:pPr>
        <w:pStyle w:val="Paragrafi"/>
        <w:rPr>
          <w:lang w:val="it-IT"/>
        </w:rPr>
      </w:pPr>
      <w:r w:rsidRPr="00891C11">
        <w:rPr>
          <w:lang w:val="it-IT"/>
        </w:rPr>
        <w:t>e) detyrimet e krijuara nga bllokimi i fondeve për garanci; dhe</w:t>
      </w:r>
    </w:p>
    <w:p w:rsidR="008C563C" w:rsidRPr="00891C11" w:rsidRDefault="008C563C" w:rsidP="008C563C">
      <w:pPr>
        <w:pStyle w:val="Paragrafi"/>
        <w:rPr>
          <w:lang w:val="it-IT"/>
        </w:rPr>
      </w:pPr>
      <w:r w:rsidRPr="00891C11">
        <w:rPr>
          <w:lang w:val="it-IT"/>
        </w:rPr>
        <w:t xml:space="preserve">f) llogaritë </w:t>
      </w:r>
      <w:r w:rsidRPr="00891C11">
        <w:rPr>
          <w:i/>
          <w:lang w:val="it-IT"/>
        </w:rPr>
        <w:t>escrow</w:t>
      </w:r>
      <w:r w:rsidRPr="00891C11">
        <w:rPr>
          <w:lang w:val="it-IT"/>
        </w:rPr>
        <w:t>.</w:t>
      </w:r>
    </w:p>
    <w:p w:rsidR="008C563C" w:rsidRPr="00891C11" w:rsidRDefault="008C563C" w:rsidP="008C563C">
      <w:pPr>
        <w:pStyle w:val="Paragrafi"/>
        <w:rPr>
          <w:lang w:val="it-IT"/>
        </w:rPr>
      </w:pPr>
      <w:r w:rsidRPr="00891C11">
        <w:rPr>
          <w:lang w:val="it-IT"/>
        </w:rPr>
        <w:t xml:space="preserve">Pjesë e kësaj rregulloreje është dhe aneksi 1 me pasqyrën e llogarive të bilancit kontabël, të përfshira në bazën e rezervës. </w:t>
      </w:r>
    </w:p>
    <w:p w:rsidR="008C563C" w:rsidRPr="00891C11" w:rsidRDefault="008C563C" w:rsidP="008C563C">
      <w:pPr>
        <w:pStyle w:val="Paragrafi"/>
        <w:rPr>
          <w:lang w:val="it-IT"/>
        </w:rPr>
      </w:pPr>
      <w:r w:rsidRPr="00891C11">
        <w:rPr>
          <w:lang w:val="it-IT"/>
        </w:rPr>
        <w:t xml:space="preserve">3. Baza e rezervës llogaritet sipas të dhënave të bilancit kontabël të bankave në ditën e fundit të muajit kalendarik, që i paraprin muajit në të cilin fillon periudha e mbajtjes të rezervës së detyruar. </w:t>
      </w:r>
    </w:p>
    <w:p w:rsidR="008C563C" w:rsidRPr="00891C11" w:rsidRDefault="008C563C" w:rsidP="008C563C">
      <w:pPr>
        <w:pStyle w:val="Paragrafi"/>
        <w:rPr>
          <w:lang w:val="it-IT"/>
        </w:rPr>
      </w:pPr>
      <w:r w:rsidRPr="00891C11">
        <w:rPr>
          <w:lang w:val="it-IT"/>
        </w:rPr>
        <w:t xml:space="preserve">4. Valutat, në të cilat shprehet baza e rezervës që rrjedh nga detyrimet e bankave në valutë, janë euro dhe dollari amerikan. </w:t>
      </w:r>
    </w:p>
    <w:p w:rsidR="008C563C" w:rsidRPr="00891C11" w:rsidRDefault="008C563C" w:rsidP="008C563C">
      <w:pPr>
        <w:pStyle w:val="Paragrafi"/>
        <w:rPr>
          <w:lang w:val="it-IT"/>
        </w:rPr>
      </w:pPr>
      <w:r w:rsidRPr="00891C11">
        <w:rPr>
          <w:lang w:val="it-IT"/>
        </w:rPr>
        <w:t>5. Të gjitha detyrimet e bankave në valuta të tjera nga ato të përmendura në pikën 4 të këtij neni konvertohen në euro, me kursin fiks të ditës së fundit të periudhës bazë, të publikuar nga Banka e Shqipërisë.</w:t>
      </w:r>
    </w:p>
    <w:p w:rsidR="001A1A2D" w:rsidRPr="00891C11" w:rsidRDefault="001A1A2D" w:rsidP="008C563C">
      <w:pPr>
        <w:pStyle w:val="Paragrafi"/>
        <w:rPr>
          <w:sz w:val="8"/>
          <w:lang w:val="it-IT"/>
        </w:rPr>
      </w:pPr>
    </w:p>
    <w:p w:rsidR="008C563C" w:rsidRPr="00891C11" w:rsidRDefault="008C563C" w:rsidP="008C563C">
      <w:pPr>
        <w:pStyle w:val="NeniNr"/>
        <w:rPr>
          <w:lang w:val="it-IT"/>
        </w:rPr>
      </w:pPr>
      <w:r w:rsidRPr="00891C11">
        <w:rPr>
          <w:lang w:val="it-IT"/>
        </w:rPr>
        <w:t>Neni 7</w:t>
      </w:r>
    </w:p>
    <w:p w:rsidR="008C563C" w:rsidRPr="00891C11" w:rsidRDefault="008C563C" w:rsidP="008C563C">
      <w:pPr>
        <w:pStyle w:val="NeniTitull"/>
        <w:rPr>
          <w:lang w:val="it-IT"/>
        </w:rPr>
      </w:pPr>
      <w:r w:rsidRPr="00891C11">
        <w:rPr>
          <w:lang w:val="it-IT"/>
        </w:rPr>
        <w:t>Norma e rezervës së detyruar</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1. Norma e rezervës së detyruar është 0 (zero) për qind për kategoritë e mëposhtme të detyrimeve:</w:t>
      </w:r>
    </w:p>
    <w:p w:rsidR="008C563C" w:rsidRPr="00891C11" w:rsidRDefault="008C563C" w:rsidP="008C563C">
      <w:pPr>
        <w:pStyle w:val="Paragrafi"/>
        <w:rPr>
          <w:lang w:val="it-IT"/>
        </w:rPr>
      </w:pPr>
      <w:r w:rsidRPr="00891C11">
        <w:rPr>
          <w:lang w:val="it-IT"/>
        </w:rPr>
        <w:t>a) depozita me afat maturimi fillestar mbi 2 vjet;</w:t>
      </w:r>
    </w:p>
    <w:p w:rsidR="008C563C" w:rsidRPr="00891C11" w:rsidRDefault="008C563C" w:rsidP="008C563C">
      <w:pPr>
        <w:pStyle w:val="Paragrafi"/>
        <w:rPr>
          <w:lang w:val="it-IT"/>
        </w:rPr>
      </w:pPr>
      <w:r w:rsidRPr="00891C11">
        <w:rPr>
          <w:lang w:val="it-IT"/>
        </w:rPr>
        <w:t>b) certifikatat e depozitave me afat maturimi fillestar mbi 2 vjet;</w:t>
      </w:r>
    </w:p>
    <w:p w:rsidR="008C563C" w:rsidRPr="00891C11" w:rsidRDefault="008C563C" w:rsidP="008C563C">
      <w:pPr>
        <w:pStyle w:val="Paragrafi"/>
        <w:rPr>
          <w:lang w:val="it-IT"/>
        </w:rPr>
      </w:pPr>
      <w:r w:rsidRPr="00891C11">
        <w:rPr>
          <w:lang w:val="it-IT"/>
        </w:rPr>
        <w:t>c) marrëveshjet e riblerjes/të anasjellta të riblerjes.</w:t>
      </w:r>
    </w:p>
    <w:p w:rsidR="008C563C" w:rsidRPr="00891C11" w:rsidRDefault="008C563C" w:rsidP="008C563C">
      <w:pPr>
        <w:pStyle w:val="Paragrafi"/>
        <w:rPr>
          <w:lang w:val="it-IT"/>
        </w:rPr>
      </w:pPr>
      <w:r w:rsidRPr="00891C11">
        <w:rPr>
          <w:lang w:val="it-IT"/>
        </w:rPr>
        <w:t>2. Norma e rezervës së detyruar për të gjitha kategoritë e tjera të detyrimeve përcaktohet me vendim të Këshillit Mbikëqyrës të Bankës së Shqipërisë dhe iu njoftohet bankave të paktën 30 (tridhjetë) ditë përpara fillimit të periudhës së mbajtjes të rezervës së detyruar.</w:t>
      </w:r>
    </w:p>
    <w:p w:rsidR="008C563C" w:rsidRPr="00891C11" w:rsidRDefault="008C563C" w:rsidP="008C563C">
      <w:pPr>
        <w:pStyle w:val="NeniNr"/>
        <w:rPr>
          <w:sz w:val="20"/>
          <w:lang w:val="it-IT"/>
        </w:rPr>
      </w:pPr>
    </w:p>
    <w:p w:rsidR="008C563C" w:rsidRPr="00891C11" w:rsidRDefault="008C563C" w:rsidP="008C563C">
      <w:pPr>
        <w:pStyle w:val="NeniNr"/>
        <w:rPr>
          <w:lang w:val="it-IT"/>
        </w:rPr>
      </w:pPr>
      <w:r w:rsidRPr="00891C11">
        <w:rPr>
          <w:lang w:val="it-IT"/>
        </w:rPr>
        <w:t>Neni 8</w:t>
      </w:r>
    </w:p>
    <w:p w:rsidR="008C563C" w:rsidRPr="00891C11" w:rsidRDefault="008C563C" w:rsidP="008C563C">
      <w:pPr>
        <w:pStyle w:val="NeniTitull"/>
        <w:rPr>
          <w:lang w:val="it-IT"/>
        </w:rPr>
      </w:pPr>
      <w:r w:rsidRPr="00891C11">
        <w:rPr>
          <w:lang w:val="it-IT"/>
        </w:rPr>
        <w:t xml:space="preserve">Mënyra e llogaritjes  së rezervës së detyruar </w:t>
      </w:r>
    </w:p>
    <w:p w:rsidR="008C563C" w:rsidRPr="00891C11" w:rsidRDefault="008C563C" w:rsidP="008C563C">
      <w:pPr>
        <w:pStyle w:val="Paragrafi"/>
        <w:rPr>
          <w:sz w:val="18"/>
          <w:lang w:val="it-IT"/>
        </w:rPr>
      </w:pPr>
    </w:p>
    <w:p w:rsidR="008C563C" w:rsidRPr="00891C11" w:rsidRDefault="008C563C" w:rsidP="008C563C">
      <w:pPr>
        <w:pStyle w:val="Paragrafi"/>
        <w:rPr>
          <w:lang w:val="it-IT"/>
        </w:rPr>
      </w:pPr>
      <w:r w:rsidRPr="00891C11">
        <w:rPr>
          <w:lang w:val="it-IT"/>
        </w:rPr>
        <w:t>1. Niveli i rezervës së detyruar që secila nga bankat mban gjatë periudhës së mbajtjes, llogaritet duke aplikuar normën e rezervës së detyruar për çdo kategori të detyrimeve sipas përcaktimit në nenin 7 të kësaj rregulloreje.</w:t>
      </w:r>
    </w:p>
    <w:p w:rsidR="008C563C" w:rsidRPr="00891C11" w:rsidRDefault="008C563C" w:rsidP="00331214">
      <w:pPr>
        <w:pStyle w:val="Paragrafi"/>
        <w:rPr>
          <w:lang w:val="it-IT"/>
        </w:rPr>
      </w:pPr>
      <w:r w:rsidRPr="00891C11">
        <w:rPr>
          <w:lang w:val="it-IT"/>
        </w:rPr>
        <w:t xml:space="preserve">2. Shifrat e bazës së rezervës dhe të rezervës së detyruar raportohen të plota, pa shifra pas presjes dhjetore. </w:t>
      </w:r>
    </w:p>
    <w:p w:rsidR="008C563C" w:rsidRPr="00891C11" w:rsidRDefault="008C563C" w:rsidP="008C563C">
      <w:pPr>
        <w:pStyle w:val="NeniNr"/>
        <w:rPr>
          <w:lang w:val="it-IT"/>
        </w:rPr>
      </w:pPr>
      <w:r w:rsidRPr="00891C11">
        <w:rPr>
          <w:lang w:val="it-IT"/>
        </w:rPr>
        <w:t>Neni 9</w:t>
      </w:r>
    </w:p>
    <w:p w:rsidR="008C563C" w:rsidRPr="00891C11" w:rsidRDefault="008C563C" w:rsidP="008C563C">
      <w:pPr>
        <w:pStyle w:val="NeniTitull"/>
        <w:rPr>
          <w:lang w:val="it-IT"/>
        </w:rPr>
      </w:pPr>
      <w:r w:rsidRPr="00891C11">
        <w:rPr>
          <w:lang w:val="it-IT"/>
        </w:rPr>
        <w:t>Raportimi i rezervës së detyruar</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 xml:space="preserve">1. Raportimi për rezervën e detyruar bëhet në përputhje me formën e përcaktuar në aneksin 1, bashkëlidhur kësaj rregulloreje. </w:t>
      </w:r>
    </w:p>
    <w:p w:rsidR="008C563C" w:rsidRPr="00891C11" w:rsidRDefault="008C563C" w:rsidP="008C563C">
      <w:pPr>
        <w:pStyle w:val="Paragrafi"/>
        <w:rPr>
          <w:lang w:val="it-IT"/>
        </w:rPr>
      </w:pPr>
      <w:r w:rsidRPr="00891C11">
        <w:rPr>
          <w:lang w:val="it-IT"/>
        </w:rPr>
        <w:t>2. Detyrimet e bankave në valuta të tjera nga ato të përcaktuara në nenin 6, pika 4 të kësaj rregulloreje, përfshihen në bazën e rezervës së detyruar në euro dhe gjithashtu, raportohen edhe në një pasqyrë të veçantë për secilën monedhë, sipas formatit së paraqitur në aneksin nr. 2 bashkëlidhur kësaj rregulloreje.</w:t>
      </w:r>
    </w:p>
    <w:p w:rsidR="008C563C" w:rsidRPr="00891C11" w:rsidRDefault="008C563C" w:rsidP="008C563C">
      <w:pPr>
        <w:pStyle w:val="Paragrafi"/>
        <w:rPr>
          <w:lang w:val="it-IT"/>
        </w:rPr>
      </w:pPr>
      <w:r w:rsidRPr="00891C11">
        <w:rPr>
          <w:lang w:val="it-IT"/>
        </w:rPr>
        <w:t xml:space="preserve">3. Bankat dorëzojnë në Bankën e Shqipërisë pasqyrën(at) e llogaritjes të rezervës së detyruar në lekë dhe në valutë, sipas anekseve nr. 1 dhe nr. 2 bashkëlidhur kësaj rregulloreje, brenda datës 15 të muajit në të cilin fillon periudha e mbajtjes së rezervës së detyruar. </w:t>
      </w:r>
    </w:p>
    <w:p w:rsidR="008C563C" w:rsidRPr="00891C11" w:rsidRDefault="008C563C" w:rsidP="008C563C">
      <w:pPr>
        <w:pStyle w:val="Paragrafi"/>
        <w:rPr>
          <w:lang w:val="it-IT"/>
        </w:rPr>
      </w:pPr>
      <w:r w:rsidRPr="00891C11">
        <w:rPr>
          <w:lang w:val="it-IT"/>
        </w:rPr>
        <w:t>4. Pasqyra e llogaritjes së rezervës së detyruar dorëzohet në Bankën e Shqipërisë nëpërmjet protokollit me shënimin: Banka e Shqipërisë, Departamenti i Operacioneve Monetare, Sektori i Operacioneve:</w:t>
      </w:r>
    </w:p>
    <w:p w:rsidR="008C563C" w:rsidRPr="00891C11" w:rsidRDefault="008C563C" w:rsidP="008C563C">
      <w:pPr>
        <w:pStyle w:val="Paragrafi"/>
        <w:rPr>
          <w:lang w:val="it-IT"/>
        </w:rPr>
      </w:pPr>
      <w:r w:rsidRPr="00891C11">
        <w:rPr>
          <w:lang w:val="it-IT"/>
        </w:rPr>
        <w:t>a) e nënshkruar nga personi që e ka përgatitur;  e nënshkruar nga përfaqësuesi i bankës, i cili ka nënshkrim të autorizuar dhe e vulosur me vulën e bankës;</w:t>
      </w:r>
    </w:p>
    <w:p w:rsidR="008C563C" w:rsidRPr="00891C11" w:rsidRDefault="008C563C" w:rsidP="008C563C">
      <w:pPr>
        <w:pStyle w:val="Paragrafi"/>
        <w:rPr>
          <w:lang w:val="it-IT"/>
        </w:rPr>
      </w:pPr>
      <w:r w:rsidRPr="00891C11">
        <w:rPr>
          <w:lang w:val="it-IT"/>
        </w:rPr>
        <w:t>b) e shoqëruar me shkresë përcjellëse të nënshkruar nga përfaqësuesi i bankës, i cili ka nënshkrim të autorizuar dhe e vulosur me vulën e bankës.</w:t>
      </w:r>
    </w:p>
    <w:p w:rsidR="008C563C" w:rsidRPr="00891C11" w:rsidRDefault="008C563C" w:rsidP="008C563C">
      <w:pPr>
        <w:pStyle w:val="Paragrafi"/>
        <w:rPr>
          <w:lang w:val="it-IT"/>
        </w:rPr>
      </w:pPr>
      <w:r w:rsidRPr="00891C11">
        <w:rPr>
          <w:lang w:val="it-IT"/>
        </w:rPr>
        <w:t>Data e marrjes në dorëzim të pasqyrës nga Banka e Shqipërisë, është data që merret në konsideratë për vlerësimin, nëse raportimi është brenda afatit apo jo.</w:t>
      </w:r>
    </w:p>
    <w:p w:rsidR="008C563C" w:rsidRPr="00891C11" w:rsidRDefault="008C563C" w:rsidP="008C563C">
      <w:pPr>
        <w:pStyle w:val="Paragrafi"/>
        <w:rPr>
          <w:lang w:val="it-IT"/>
        </w:rPr>
      </w:pPr>
      <w:r w:rsidRPr="00891C11">
        <w:rPr>
          <w:lang w:val="it-IT"/>
        </w:rPr>
        <w:t>5. Pasqyra sipas anekseve nr. 1 dhe nr. 2 bashkëlidhur kësaj rregulloreje, dërgohet(n) në Bankën e Shqipërisë edhe në mënyrë elektronike në adresën(at) që do të bëhet(n) e(të) njohur(a) nga Departamenti i Operacioneve Monetare i Bankës së Shqipërisë.</w:t>
      </w:r>
    </w:p>
    <w:p w:rsidR="008C563C" w:rsidRPr="00891C11" w:rsidRDefault="008C563C" w:rsidP="008C563C">
      <w:pPr>
        <w:pStyle w:val="Paragrafi"/>
        <w:ind w:firstLine="0"/>
        <w:rPr>
          <w:sz w:val="18"/>
          <w:lang w:val="it-IT"/>
        </w:rPr>
      </w:pPr>
    </w:p>
    <w:p w:rsidR="008C563C" w:rsidRPr="00891C11" w:rsidRDefault="008C563C" w:rsidP="008C563C">
      <w:pPr>
        <w:pStyle w:val="KreuNr"/>
        <w:rPr>
          <w:lang w:val="it-IT"/>
        </w:rPr>
      </w:pPr>
      <w:r w:rsidRPr="00891C11">
        <w:rPr>
          <w:lang w:val="it-IT"/>
        </w:rPr>
        <w:t>Kreu III</w:t>
      </w:r>
    </w:p>
    <w:p w:rsidR="008C563C" w:rsidRPr="00891C11" w:rsidRDefault="008C563C" w:rsidP="008C563C">
      <w:pPr>
        <w:pStyle w:val="KreuTitull"/>
        <w:rPr>
          <w:lang w:val="it-IT"/>
        </w:rPr>
      </w:pPr>
      <w:r w:rsidRPr="00891C11">
        <w:rPr>
          <w:lang w:val="it-IT"/>
        </w:rPr>
        <w:t>Mbajtja, përdorimi dhe remunerimi i rezervës së detyruar</w:t>
      </w:r>
    </w:p>
    <w:p w:rsidR="008C563C" w:rsidRPr="00891C11" w:rsidRDefault="008C563C" w:rsidP="008C563C">
      <w:pPr>
        <w:pStyle w:val="Paragrafi"/>
        <w:rPr>
          <w:sz w:val="14"/>
          <w:lang w:val="it-IT"/>
        </w:rPr>
      </w:pPr>
    </w:p>
    <w:p w:rsidR="008C563C" w:rsidRPr="00891C11" w:rsidRDefault="008C563C" w:rsidP="008C563C">
      <w:pPr>
        <w:pStyle w:val="NeniNr"/>
        <w:rPr>
          <w:lang w:val="it-IT"/>
        </w:rPr>
      </w:pPr>
      <w:r w:rsidRPr="00891C11">
        <w:rPr>
          <w:lang w:val="it-IT"/>
        </w:rPr>
        <w:t>Neni 10</w:t>
      </w:r>
    </w:p>
    <w:p w:rsidR="008C563C" w:rsidRPr="00891C11" w:rsidRDefault="008C563C" w:rsidP="008C563C">
      <w:pPr>
        <w:pStyle w:val="NeniTitull"/>
        <w:rPr>
          <w:lang w:val="it-IT"/>
        </w:rPr>
      </w:pPr>
      <w:r w:rsidRPr="00891C11">
        <w:rPr>
          <w:lang w:val="it-IT"/>
        </w:rPr>
        <w:t>Mbajtja e rezervës së detyruar</w:t>
      </w:r>
    </w:p>
    <w:p w:rsidR="008C563C" w:rsidRPr="00891C11" w:rsidRDefault="008C563C" w:rsidP="008C563C">
      <w:pPr>
        <w:pStyle w:val="Paragrafi"/>
        <w:rPr>
          <w:sz w:val="16"/>
          <w:lang w:val="it-IT"/>
        </w:rPr>
      </w:pPr>
    </w:p>
    <w:p w:rsidR="008C563C" w:rsidRPr="00891C11" w:rsidRDefault="008C563C" w:rsidP="008C563C">
      <w:pPr>
        <w:pStyle w:val="Paragrafi"/>
        <w:rPr>
          <w:lang w:val="it-IT"/>
        </w:rPr>
      </w:pPr>
      <w:r w:rsidRPr="00891C11">
        <w:rPr>
          <w:lang w:val="it-IT"/>
        </w:rPr>
        <w:t xml:space="preserve">1. Bankat mbajnë rezervën e detyruar në llogaritë e tyre rezervë në lekë dhe në valutë (në euro dhe në dollarë amerikanë) në Bankën e Shqipërisë. </w:t>
      </w:r>
    </w:p>
    <w:p w:rsidR="008C563C" w:rsidRPr="00891C11" w:rsidRDefault="008C563C" w:rsidP="008C563C">
      <w:pPr>
        <w:pStyle w:val="Paragrafi"/>
        <w:rPr>
          <w:lang w:val="it-IT"/>
        </w:rPr>
      </w:pPr>
      <w:r w:rsidRPr="00891C11">
        <w:rPr>
          <w:lang w:val="it-IT"/>
        </w:rPr>
        <w:t xml:space="preserve">2. Bankat mund të mbajnë rezervën e detyruar në lekë edhe në formën cash në kujdestari pranë Bankës së Shqipërisë. Mbajtja e rezervës së detyruar në lekë në formën cash në kujdestari mund të jetë e pjesshme ose e plotë. </w:t>
      </w:r>
    </w:p>
    <w:p w:rsidR="008C563C" w:rsidRPr="00891C11" w:rsidRDefault="008C563C" w:rsidP="008C563C">
      <w:pPr>
        <w:pStyle w:val="Paragrafi"/>
        <w:rPr>
          <w:lang w:val="it-IT"/>
        </w:rPr>
      </w:pPr>
      <w:r w:rsidRPr="00891C11">
        <w:rPr>
          <w:lang w:val="it-IT"/>
        </w:rPr>
        <w:t>Pra për Lekun: RD = RDLL + RDC</w:t>
      </w:r>
    </w:p>
    <w:p w:rsidR="008C563C" w:rsidRPr="00891C11" w:rsidRDefault="008C563C" w:rsidP="008C563C">
      <w:pPr>
        <w:pStyle w:val="Paragrafi"/>
        <w:rPr>
          <w:lang w:val="it-IT"/>
        </w:rPr>
      </w:pPr>
      <w:r w:rsidRPr="00891C11">
        <w:rPr>
          <w:lang w:val="it-IT"/>
        </w:rPr>
        <w:t>Ku:</w:t>
      </w:r>
      <w:r w:rsidRPr="00891C11">
        <w:rPr>
          <w:lang w:val="it-IT"/>
        </w:rPr>
        <w:tab/>
        <w:t xml:space="preserve">RDLL – është vlera e rezervës së detyruar e mbajtur në llogari; </w:t>
      </w:r>
    </w:p>
    <w:p w:rsidR="008C563C" w:rsidRPr="00891C11" w:rsidRDefault="008C563C" w:rsidP="008C563C">
      <w:pPr>
        <w:pStyle w:val="Paragrafi"/>
        <w:rPr>
          <w:lang w:val="it-IT"/>
        </w:rPr>
      </w:pPr>
      <w:r w:rsidRPr="00891C11">
        <w:rPr>
          <w:lang w:val="it-IT"/>
        </w:rPr>
        <w:t>RDC – është vlera e rezervës së detyruar e mbajtur në formën cash në kujdestari.</w:t>
      </w:r>
    </w:p>
    <w:p w:rsidR="008C563C" w:rsidRPr="00891C11" w:rsidRDefault="008C563C" w:rsidP="008C563C">
      <w:pPr>
        <w:pStyle w:val="Paragrafi"/>
        <w:rPr>
          <w:lang w:val="it-IT"/>
        </w:rPr>
      </w:pPr>
      <w:r w:rsidRPr="00891C11">
        <w:rPr>
          <w:lang w:val="it-IT"/>
        </w:rPr>
        <w:t>3. Kërkesa e bankës për të mbajtur rezervën e detyruar në lekë në formën cash në kujdestari shqyrtohet nga Komiteti i Zbatimit të Politikës Monetare. Komiteti shprehet me vendim në përfundim të shqyrtimit. Në vendim ndër të tjera jepet kohëzgjatja, si dhe pjesa e rezervës së detyruar që do të mbahet në formën cash në kujdestari.</w:t>
      </w:r>
    </w:p>
    <w:p w:rsidR="008C563C" w:rsidRPr="00891C11" w:rsidRDefault="008C563C" w:rsidP="008C563C">
      <w:pPr>
        <w:pStyle w:val="Paragrafi"/>
        <w:rPr>
          <w:lang w:val="it-IT"/>
        </w:rPr>
      </w:pPr>
      <w:r w:rsidRPr="00891C11">
        <w:rPr>
          <w:lang w:val="it-IT"/>
        </w:rPr>
        <w:t>4. Periudha e mbajtjes së rezervës së detyruar është 1 (një) muaj. Ajo fillon nga dita e 24-të e muajit që pason periudhën bazë dhe përfundon në ditën e 23-të të muajit pasues.</w:t>
      </w:r>
    </w:p>
    <w:p w:rsidR="008C563C" w:rsidRPr="00891C11" w:rsidRDefault="008C563C" w:rsidP="008C563C">
      <w:pPr>
        <w:pStyle w:val="Paragrafi"/>
        <w:rPr>
          <w:lang w:val="it-IT"/>
        </w:rPr>
      </w:pPr>
      <w:r w:rsidRPr="00891C11">
        <w:rPr>
          <w:lang w:val="it-IT"/>
        </w:rPr>
        <w:t>5. Nëse data 24 është ditë pushimi zyrtar në Republikën e Shqipërisë, atëherë:</w:t>
      </w:r>
    </w:p>
    <w:p w:rsidR="008C563C" w:rsidRPr="00891C11" w:rsidRDefault="008C563C" w:rsidP="008C563C">
      <w:pPr>
        <w:pStyle w:val="Paragrafi"/>
        <w:rPr>
          <w:lang w:val="it-IT"/>
        </w:rPr>
      </w:pPr>
      <w:r w:rsidRPr="00891C11">
        <w:rPr>
          <w:lang w:val="it-IT"/>
        </w:rPr>
        <w:t>a) veprimet për mbajtjen e rezervës së detyruar kryhen në ditën pasuese të punës;</w:t>
      </w:r>
    </w:p>
    <w:p w:rsidR="008C563C" w:rsidRPr="00891C11" w:rsidRDefault="008C563C" w:rsidP="008C563C">
      <w:pPr>
        <w:pStyle w:val="Paragrafi"/>
        <w:rPr>
          <w:lang w:val="it-IT"/>
        </w:rPr>
      </w:pPr>
      <w:r w:rsidRPr="00891C11">
        <w:rPr>
          <w:lang w:val="it-IT"/>
        </w:rPr>
        <w:t>b) periudha e mbajtjes së rezervës ekzistuese zgjatet deri në ditën paraardhëse të ditës së kryerjes së veprimeve për mbajtjen e rezervës së detyruar, sipas pikës “a” më sipër.</w:t>
      </w:r>
    </w:p>
    <w:p w:rsidR="008C563C" w:rsidRPr="00891C11" w:rsidRDefault="008C563C" w:rsidP="008C563C">
      <w:pPr>
        <w:pStyle w:val="Paragrafi"/>
        <w:rPr>
          <w:lang w:val="it-IT"/>
        </w:rPr>
      </w:pPr>
      <w:r w:rsidRPr="00891C11">
        <w:rPr>
          <w:lang w:val="it-IT"/>
        </w:rPr>
        <w:t>6. Nëse data 24 është pushim zyrtar në juridiksionin përkatës për secilën valutë (për euron ose për dollarin amerikan), veprimet për mbajtjen e rezervës së detyruar në këtë  valutë (për euron ose dollarin amerikan) kryhen sipas pikës 3 të këtij neni.</w:t>
      </w:r>
    </w:p>
    <w:p w:rsidR="008C563C" w:rsidRPr="00891C11" w:rsidRDefault="008C563C" w:rsidP="008C563C">
      <w:pPr>
        <w:pStyle w:val="Paragrafi"/>
        <w:ind w:firstLine="0"/>
        <w:rPr>
          <w:sz w:val="14"/>
          <w:lang w:val="it-IT"/>
        </w:rPr>
      </w:pPr>
    </w:p>
    <w:p w:rsidR="008C563C" w:rsidRPr="00891C11" w:rsidRDefault="008C563C" w:rsidP="008C563C">
      <w:pPr>
        <w:pStyle w:val="NeniNr"/>
        <w:rPr>
          <w:lang w:val="it-IT"/>
        </w:rPr>
      </w:pPr>
      <w:r w:rsidRPr="00891C11">
        <w:rPr>
          <w:lang w:val="it-IT"/>
        </w:rPr>
        <w:t>Neni 11</w:t>
      </w:r>
    </w:p>
    <w:p w:rsidR="008C563C" w:rsidRPr="00891C11" w:rsidRDefault="008C563C" w:rsidP="008C563C">
      <w:pPr>
        <w:pStyle w:val="NeniTitull"/>
        <w:rPr>
          <w:lang w:val="it-IT"/>
        </w:rPr>
      </w:pPr>
      <w:r w:rsidRPr="00891C11">
        <w:rPr>
          <w:lang w:val="it-IT"/>
        </w:rPr>
        <w:t>Përdorimi i rezervës së detyruar në lekë</w:t>
      </w:r>
    </w:p>
    <w:p w:rsidR="008C563C" w:rsidRPr="00891C11" w:rsidRDefault="008C563C" w:rsidP="008C563C">
      <w:pPr>
        <w:pStyle w:val="Paragrafi"/>
        <w:rPr>
          <w:sz w:val="14"/>
          <w:lang w:val="it-IT"/>
        </w:rPr>
      </w:pPr>
    </w:p>
    <w:p w:rsidR="008C563C" w:rsidRPr="00891C11" w:rsidRDefault="008C563C" w:rsidP="008C563C">
      <w:pPr>
        <w:pStyle w:val="Paragrafi"/>
        <w:rPr>
          <w:lang w:val="it-IT"/>
        </w:rPr>
      </w:pPr>
      <w:r w:rsidRPr="00891C11">
        <w:rPr>
          <w:lang w:val="it-IT"/>
        </w:rPr>
        <w:t xml:space="preserve">1. Gjatë periudhës së mbajtjes, bankat mund të përdorin rezervën e detyruar në lekë, me kusht që mesatarja e gjendjes së llogarisë rezervë ditën e fundit të periudhës së mbajtjes të mos jetë nën nivelin e rezervës së detyruar.  </w:t>
      </w:r>
    </w:p>
    <w:p w:rsidR="008C563C" w:rsidRPr="00891C11" w:rsidRDefault="008C563C" w:rsidP="008C563C">
      <w:pPr>
        <w:pStyle w:val="Paragrafi"/>
        <w:rPr>
          <w:lang w:val="it-IT"/>
        </w:rPr>
      </w:pPr>
      <w:bookmarkStart w:id="3" w:name="OLE_LINK17"/>
      <w:bookmarkStart w:id="4" w:name="OLE_LINK18"/>
      <w:r w:rsidRPr="00891C11">
        <w:rPr>
          <w:lang w:val="it-IT"/>
        </w:rPr>
        <w:t xml:space="preserve">2. Masa e rezervës së detyruar, e cila mund të përdoret në një ditë nga bankat shprehet në përqindje të rezervës së detyruar dhe përcaktohet me vendim të Këshillit Mbikëqyrës të Bankës së Shqipërisë si dhe njoftohet të paktën 30 (tridhjetë) ditë pune përpara fillimit të periudhës së mbajtjes. </w:t>
      </w:r>
    </w:p>
    <w:p w:rsidR="008C563C" w:rsidRPr="00891C11" w:rsidRDefault="008C563C" w:rsidP="008C563C">
      <w:pPr>
        <w:pStyle w:val="Paragrafi"/>
        <w:rPr>
          <w:lang w:val="it-IT"/>
        </w:rPr>
      </w:pPr>
      <w:r w:rsidRPr="00891C11">
        <w:rPr>
          <w:lang w:val="it-IT"/>
        </w:rPr>
        <w:t xml:space="preserve">3. Bankat, që mbajnë pjesërisht rezervën e detyruar në lekë në formën cash në kujdestari, mund të vijojnë të përdorin gjendjen në llogarinë rezervë deri në nivelin zero të saj, por gjithmonë duke zbatuar masën e përcaktuar në pikën 2 të këtij neni.  </w:t>
      </w:r>
    </w:p>
    <w:p w:rsidR="008C563C" w:rsidRPr="00891C11" w:rsidRDefault="008C563C" w:rsidP="008C563C">
      <w:pPr>
        <w:pStyle w:val="Paragrafi"/>
        <w:rPr>
          <w:lang w:val="it-IT"/>
        </w:rPr>
      </w:pPr>
      <w:r w:rsidRPr="00891C11">
        <w:rPr>
          <w:lang w:val="it-IT"/>
        </w:rPr>
        <w:t xml:space="preserve">4. Bankat  të cilat kanë vendosur rezervën e detyruar në lekë si garanci më shumë se masa e përcaktuar në pikën 2 të këtij neni, përjashtohen nga e drejta e përdorimit të rezervës së detyruar në lekë. </w:t>
      </w:r>
    </w:p>
    <w:p w:rsidR="008C563C" w:rsidRPr="00891C11" w:rsidRDefault="008C563C" w:rsidP="008C563C">
      <w:pPr>
        <w:pStyle w:val="Paragrafi"/>
        <w:rPr>
          <w:lang w:val="it-IT"/>
        </w:rPr>
      </w:pPr>
      <w:r w:rsidRPr="00891C11">
        <w:rPr>
          <w:lang w:val="it-IT"/>
        </w:rPr>
        <w:t>5. Bankat nuk mund të përdorin rezervën e detyruar që vendoset si kolateral dhe/ose rezervën e detyruar që mbahet në formën cash në kujdestari, pavarësisht përdorimit/vendosjes së saj të plotë apo të pjesshme.</w:t>
      </w:r>
    </w:p>
    <w:p w:rsidR="008C563C" w:rsidRPr="00891C11" w:rsidRDefault="008C563C" w:rsidP="008C563C">
      <w:pPr>
        <w:pStyle w:val="Paragrafi"/>
        <w:ind w:firstLine="0"/>
        <w:rPr>
          <w:lang w:val="it-IT"/>
        </w:rPr>
      </w:pPr>
    </w:p>
    <w:bookmarkEnd w:id="3"/>
    <w:bookmarkEnd w:id="4"/>
    <w:p w:rsidR="008C563C" w:rsidRPr="00891C11" w:rsidRDefault="008C563C" w:rsidP="008C563C">
      <w:pPr>
        <w:pStyle w:val="NeniNr"/>
        <w:rPr>
          <w:lang w:val="it-IT"/>
        </w:rPr>
      </w:pPr>
      <w:r w:rsidRPr="00891C11">
        <w:rPr>
          <w:lang w:val="it-IT"/>
        </w:rPr>
        <w:t>Neni 12</w:t>
      </w:r>
    </w:p>
    <w:p w:rsidR="008C563C" w:rsidRPr="00891C11" w:rsidRDefault="008C563C" w:rsidP="008C563C">
      <w:pPr>
        <w:pStyle w:val="NeniTitull"/>
        <w:rPr>
          <w:lang w:val="it-IT"/>
        </w:rPr>
      </w:pPr>
      <w:r w:rsidRPr="00891C11">
        <w:rPr>
          <w:lang w:val="it-IT"/>
        </w:rPr>
        <w:t>Remunerimi i rezervës së detyruar</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Banka e Shqipërisë remuneron bankat për mbajtjen e rezervës së detyruar në lekë dhe në valutë, për periudhën e mbajtjes së saj. Remunerimi aplikohet vetëm për rezervën e detyruar që mbahet në llogarinë rezervë në Bankën e Shqipërisë dhe jo për rezervën e detyruar që mbahet në formën cash kujdestari apo atë pjesë që vendoset si garanci. </w:t>
      </w:r>
    </w:p>
    <w:p w:rsidR="008C563C" w:rsidRPr="00891C11" w:rsidRDefault="008C563C" w:rsidP="008C563C">
      <w:pPr>
        <w:pStyle w:val="Paragrafi"/>
        <w:rPr>
          <w:lang w:val="it-IT"/>
        </w:rPr>
      </w:pPr>
      <w:r w:rsidRPr="00891C11">
        <w:rPr>
          <w:lang w:val="it-IT"/>
        </w:rPr>
        <w:t>2. Interesi për remunerimin e rezervës së detyruar kalohet në llogaritë rezervë të bankave në ditën pasardhëse të ditës së fundit të periudhës së mbajtjes të rezervës së detyruar.</w:t>
      </w:r>
    </w:p>
    <w:p w:rsidR="008C563C" w:rsidRPr="00891C11" w:rsidRDefault="008C563C" w:rsidP="008C563C">
      <w:pPr>
        <w:pStyle w:val="Paragrafi"/>
        <w:rPr>
          <w:lang w:val="it-IT"/>
        </w:rPr>
      </w:pPr>
      <w:r w:rsidRPr="00891C11">
        <w:rPr>
          <w:lang w:val="it-IT"/>
        </w:rPr>
        <w:t>3. Interesi për remunerimin e rezervës së detyruar llogaritet deri në dy shifra pas presjes dhjetore, sipas formulave të mëposhtme:</w:t>
      </w:r>
    </w:p>
    <w:p w:rsidR="008C563C" w:rsidRPr="00891C11" w:rsidRDefault="008C563C" w:rsidP="008C563C">
      <w:pPr>
        <w:pStyle w:val="Paragrafi"/>
        <w:rPr>
          <w:lang w:val="it-IT"/>
        </w:rPr>
      </w:pPr>
      <w:r w:rsidRPr="00891C11">
        <w:rPr>
          <w:lang w:val="it-IT"/>
        </w:rPr>
        <w:t xml:space="preserve">a) për rezervën e detyruar në lekë        </w:t>
      </w:r>
      <w:r w:rsidRPr="008F4146">
        <w:rPr>
          <w:position w:val="-24"/>
        </w:rPr>
        <w:object w:dxaOrig="18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3.75pt;height:30.75pt" o:ole="">
            <v:imagedata r:id="rId7" o:title=""/>
          </v:shape>
          <o:OLEObject Type="Embed" ProgID="Equation.3" ShapeID="_x0000_i1037" DrawAspect="Content" ObjectID="_1611756550" r:id="rId8"/>
        </w:object>
      </w:r>
      <w:r w:rsidRPr="00891C11">
        <w:rPr>
          <w:lang w:val="it-IT"/>
        </w:rPr>
        <w:t>;</w:t>
      </w:r>
    </w:p>
    <w:p w:rsidR="008C563C" w:rsidRPr="00891C11" w:rsidRDefault="008C563C" w:rsidP="008C563C">
      <w:pPr>
        <w:jc w:val="both"/>
        <w:rPr>
          <w:sz w:val="22"/>
          <w:szCs w:val="22"/>
          <w:lang w:val="it-IT"/>
        </w:rPr>
      </w:pPr>
    </w:p>
    <w:p w:rsidR="008C563C" w:rsidRPr="00891C11" w:rsidRDefault="008C563C" w:rsidP="008C563C">
      <w:pPr>
        <w:pStyle w:val="Paragrafi"/>
        <w:rPr>
          <w:lang w:val="it-IT"/>
        </w:rPr>
      </w:pPr>
      <w:r w:rsidRPr="00891C11">
        <w:rPr>
          <w:lang w:val="it-IT"/>
        </w:rPr>
        <w:t xml:space="preserve">b) për rezervën e detyruar në valutë    </w:t>
      </w:r>
      <w:r w:rsidRPr="008F4146">
        <w:rPr>
          <w:position w:val="-24"/>
        </w:rPr>
        <w:object w:dxaOrig="1579" w:dyaOrig="620">
          <v:shape id="_x0000_i1038" type="#_x0000_t75" style="width:78.75pt;height:30.75pt" o:ole="">
            <v:imagedata r:id="rId9" o:title=""/>
          </v:shape>
          <o:OLEObject Type="Embed" ProgID="Equation.3" ShapeID="_x0000_i1038" DrawAspect="Content" ObjectID="_1611756551" r:id="rId10"/>
        </w:object>
      </w:r>
    </w:p>
    <w:p w:rsidR="008C563C" w:rsidRPr="00891C11" w:rsidRDefault="008C563C" w:rsidP="008C563C">
      <w:pPr>
        <w:pStyle w:val="Paragrafi"/>
        <w:rPr>
          <w:lang w:val="it-IT"/>
        </w:rPr>
      </w:pPr>
      <w:r w:rsidRPr="00891C11">
        <w:rPr>
          <w:lang w:val="it-IT"/>
        </w:rPr>
        <w:t>Ku:</w:t>
      </w:r>
    </w:p>
    <w:p w:rsidR="008C563C" w:rsidRPr="00891C11" w:rsidRDefault="008C563C" w:rsidP="008C563C">
      <w:pPr>
        <w:pStyle w:val="Paragrafi"/>
        <w:rPr>
          <w:lang w:val="it-IT"/>
        </w:rPr>
      </w:pPr>
      <w:r w:rsidRPr="00891C11">
        <w:rPr>
          <w:lang w:val="it-IT"/>
        </w:rPr>
        <w:t>I = interesi i paguar për remunerimin e rezervës së detyruar për periudhën e mbajtjes;</w:t>
      </w:r>
    </w:p>
    <w:p w:rsidR="008C563C" w:rsidRPr="00891C11" w:rsidRDefault="008C563C" w:rsidP="008C563C">
      <w:pPr>
        <w:pStyle w:val="Paragrafi"/>
        <w:rPr>
          <w:lang w:val="it-IT"/>
        </w:rPr>
      </w:pPr>
      <w:r w:rsidRPr="00891C11">
        <w:rPr>
          <w:lang w:val="it-IT"/>
        </w:rPr>
        <w:t xml:space="preserve">RD = niveli i rezervës së detyruar për periudhën e mbajtjes të rezervës së detyruar; </w:t>
      </w:r>
    </w:p>
    <w:p w:rsidR="008C563C" w:rsidRPr="00891C11" w:rsidRDefault="008C563C" w:rsidP="008C563C">
      <w:pPr>
        <w:pStyle w:val="Paragrafi"/>
        <w:rPr>
          <w:lang w:val="it-IT"/>
        </w:rPr>
      </w:pPr>
      <w:r w:rsidRPr="00891C11">
        <w:rPr>
          <w:lang w:val="it-IT"/>
        </w:rPr>
        <w:t>NI = norma e remunerimit të rezervës së detyruar;</w:t>
      </w:r>
    </w:p>
    <w:p w:rsidR="008C563C" w:rsidRPr="00891C11" w:rsidRDefault="008C563C" w:rsidP="008C563C">
      <w:pPr>
        <w:pStyle w:val="Paragrafi"/>
        <w:rPr>
          <w:lang w:val="it-IT"/>
        </w:rPr>
      </w:pPr>
      <w:r w:rsidRPr="00891C11">
        <w:rPr>
          <w:lang w:val="it-IT"/>
        </w:rPr>
        <w:t xml:space="preserve">d = kohëzgjatja e periudhës të mbajtjes të rezervës së detyruar, e shprehur në ditë. </w:t>
      </w:r>
    </w:p>
    <w:p w:rsidR="008C563C" w:rsidRPr="00891C11" w:rsidRDefault="008C563C" w:rsidP="00B66D22">
      <w:pPr>
        <w:pStyle w:val="Paragrafi"/>
        <w:rPr>
          <w:lang w:val="it-IT"/>
        </w:rPr>
      </w:pPr>
      <w:r w:rsidRPr="00891C11">
        <w:rPr>
          <w:lang w:val="it-IT"/>
        </w:rPr>
        <w:t xml:space="preserve">4. Normat e remunerimit të rezervës së detyruar në lekë dhe në valutë përkatësisht, përcaktohen me vendim të Këshillit Mbikëqyrës të Bankës së Shqipërisë dhe njoftohen të paktën 30 (tridhjetë) ditë pune përpara fillimit të periudhës së mbajtjes. </w:t>
      </w:r>
    </w:p>
    <w:p w:rsidR="000D4845" w:rsidRPr="00891C11" w:rsidRDefault="000D4845" w:rsidP="008C563C">
      <w:pPr>
        <w:pStyle w:val="KreuNr"/>
        <w:rPr>
          <w:lang w:val="it-IT"/>
        </w:rPr>
      </w:pPr>
    </w:p>
    <w:p w:rsidR="008C563C" w:rsidRPr="00891C11" w:rsidRDefault="008C563C" w:rsidP="008C563C">
      <w:pPr>
        <w:pStyle w:val="KreuNr"/>
        <w:rPr>
          <w:lang w:val="it-IT"/>
        </w:rPr>
      </w:pPr>
      <w:r w:rsidRPr="00891C11">
        <w:rPr>
          <w:lang w:val="it-IT"/>
        </w:rPr>
        <w:t>KREU IV</w:t>
      </w:r>
    </w:p>
    <w:p w:rsidR="008C563C" w:rsidRPr="00891C11" w:rsidRDefault="008C563C" w:rsidP="008C563C">
      <w:pPr>
        <w:pStyle w:val="KreuTitull"/>
        <w:rPr>
          <w:lang w:val="it-IT"/>
        </w:rPr>
      </w:pPr>
      <w:r w:rsidRPr="00891C11">
        <w:rPr>
          <w:lang w:val="it-IT"/>
        </w:rPr>
        <w:t>Masat për mospërmbushjen e detyrimeve për rezervën e detyruar</w:t>
      </w:r>
    </w:p>
    <w:p w:rsidR="008C563C" w:rsidRPr="00891C11" w:rsidRDefault="008C563C" w:rsidP="008C563C">
      <w:pPr>
        <w:pStyle w:val="Paragrafi"/>
        <w:ind w:firstLine="0"/>
        <w:rPr>
          <w:sz w:val="18"/>
          <w:lang w:val="it-IT"/>
        </w:rPr>
      </w:pPr>
    </w:p>
    <w:p w:rsidR="008C563C" w:rsidRPr="00891C11" w:rsidRDefault="008C563C" w:rsidP="008C563C">
      <w:pPr>
        <w:pStyle w:val="NeniNr"/>
        <w:rPr>
          <w:lang w:val="it-IT"/>
        </w:rPr>
      </w:pPr>
      <w:r w:rsidRPr="00891C11">
        <w:rPr>
          <w:lang w:val="it-IT"/>
        </w:rPr>
        <w:t>Neni 13</w:t>
      </w:r>
    </w:p>
    <w:p w:rsidR="008C563C" w:rsidRPr="00891C11" w:rsidRDefault="008C563C" w:rsidP="008C563C">
      <w:pPr>
        <w:pStyle w:val="NeniTitull"/>
        <w:rPr>
          <w:lang w:val="it-IT"/>
        </w:rPr>
      </w:pPr>
      <w:r w:rsidRPr="00891C11">
        <w:rPr>
          <w:lang w:val="it-IT"/>
        </w:rPr>
        <w:t xml:space="preserve">Masat për mosplotësim të rezervës së detyruar </w:t>
      </w:r>
    </w:p>
    <w:p w:rsidR="008C563C" w:rsidRPr="00891C11" w:rsidRDefault="008C563C" w:rsidP="008C563C">
      <w:pPr>
        <w:pStyle w:val="Paragrafi"/>
        <w:rPr>
          <w:lang w:val="it-IT"/>
        </w:rPr>
      </w:pPr>
    </w:p>
    <w:p w:rsidR="008C563C" w:rsidRPr="00891C11" w:rsidRDefault="00566392" w:rsidP="008C563C">
      <w:pPr>
        <w:pStyle w:val="Paragrafi"/>
        <w:rPr>
          <w:lang w:val="it-IT"/>
        </w:rPr>
      </w:pPr>
      <w:r w:rsidRPr="00891C11">
        <w:rPr>
          <w:lang w:val="it-IT"/>
        </w:rPr>
        <w:t xml:space="preserve">1. </w:t>
      </w:r>
      <w:r w:rsidR="008C563C" w:rsidRPr="00891C11">
        <w:rPr>
          <w:lang w:val="it-IT"/>
        </w:rPr>
        <w:t>Nëse në fund të periudhës së mbajtjes, gjendja mesatare e fondeve në llogarinë rezervë në lekë dhe e cash-it në kujdestari, është më e vogël se niveli i rezervës së detyruar në lekë, atëherë Banka e Shqipërisë aplikon interes gjobë me normë të përcaktuar në nenin 16, pika 1 për shumën e mosplotësimit të rezervës së detyruar për periudhën përkatëse të mbajtjes së rezervës së detyruar sipas formulës së mëposhtme:</w:t>
      </w:r>
    </w:p>
    <w:p w:rsidR="008C563C" w:rsidRPr="00891C11" w:rsidRDefault="008C563C" w:rsidP="008C563C">
      <w:pPr>
        <w:pStyle w:val="Paragrafi"/>
        <w:rPr>
          <w:lang w:val="it-IT"/>
        </w:rPr>
      </w:pPr>
    </w:p>
    <w:p w:rsidR="008C563C" w:rsidRPr="008F4146" w:rsidRDefault="00665867" w:rsidP="008C563C">
      <w:pPr>
        <w:pStyle w:val="BodyText"/>
        <w:jc w:val="center"/>
        <w:rPr>
          <w:sz w:val="22"/>
          <w:szCs w:val="22"/>
        </w:rPr>
      </w:pPr>
      <w:r w:rsidRPr="008F4146">
        <w:rPr>
          <w:noProof/>
          <w:sz w:val="22"/>
          <w:szCs w:val="22"/>
          <w:lang w:val="en-GB" w:eastAsia="en-GB"/>
        </w:rPr>
        <mc:AlternateContent>
          <mc:Choice Requires="wps">
            <w:drawing>
              <wp:anchor distT="0" distB="0" distL="114300" distR="114300" simplePos="0" relativeHeight="251654144" behindDoc="0" locked="0" layoutInCell="1" allowOverlap="1">
                <wp:simplePos x="0" y="0"/>
                <wp:positionH relativeFrom="column">
                  <wp:posOffset>4100195</wp:posOffset>
                </wp:positionH>
                <wp:positionV relativeFrom="paragraph">
                  <wp:posOffset>74930</wp:posOffset>
                </wp:positionV>
                <wp:extent cx="0" cy="685800"/>
                <wp:effectExtent l="13970" t="8255" r="5080" b="10795"/>
                <wp:wrapNone/>
                <wp:docPr id="2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34748"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2.85pt,5.9pt" to="322.8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n1EgIAACgEAAAOAAAAZHJzL2Uyb0RvYy54bWysU8GO2jAQvVfqP1i+QxIaaIgIq4pAL7SL&#10;tNsPMLZDrDq2ZRsCqvrvHTuA2PZSVc3BGdszb97MGy+ezp1EJ26d0KrC2TjFiCuqmVCHCn973YwK&#10;jJwnihGpFa/whTv8tHz/btGbkk90qyXjFgGIcmVvKtx6b8okcbTlHXFjbbiCy0bbjnjY2kPCLOkB&#10;vZPJJE1nSa8tM1ZT7hyc1sMlXkb8puHUPzeN4x7JCgM3H1cb131Yk+WClAdLTCvolQb5BxYdEQqS&#10;3qFq4gk6WvEHVCeo1U43fkx1l+imEZTHGqCaLP2tmpeWGB5rgeY4c2+T+3+w9OtpZ5FgFZ7kGCnS&#10;gUZboTgqQmt640rwWKmdDcXRs3oxW02/O6T0qiXqwCPF14uBsCxEJG9CwsYZSLDvv2gGPuTodezT&#10;ubFdgIQOoHOU43KXg589osMhhdNZMS3SqFRCylucsc5/5rpDwaiwBMoRl5y2zgcepLy5hDRKb4SU&#10;UWypUF/h+XQyjQFOS8HCZXBz9rBfSYtOJIxL/GJRcPPoZvVRsQjWcsLWV9sTIQcbkksV8KASoHO1&#10;hnn4MU/n62Jd5KN8MluP8rSuR582q3w022Qfp/WHerWqs5+BWpaXrWCMq8DuNptZ/nfaX1/JMFX3&#10;6by3IXmLHvsFZG//SDpKGdQb5mCv2WVnbxLDOEbn69MJ8/64B/vxgS9/AQAA//8DAFBLAwQUAAYA&#10;CAAAACEA/N5MaN0AAAAKAQAADwAAAGRycy9kb3ducmV2LnhtbEyPQU/CQBCF7yb+h82YeCGwBRWx&#10;dkuM2hsXEeN16I5tY3e2dBeo/nqHeNDjvPflzXvZcnCtOlAfGs8GppMEFHHpbcOVgc1rMV6AChHZ&#10;YuuZDHxRgGV+fpZhav2RX+iwjpWSEA4pGqhj7FKtQ1mTwzDxHbF4H753GOXsK217PEq4a/UsSeba&#10;YcPyocaOHmsqP9d7ZyAUb7QrvkflKHm/qjzNdk+rZzTm8mJ4uAcVaYh/MJzqS3XIpdPW79kG1RqY&#10;X9/cCirGVCYI8CtsT8LdAnSe6f8T8h8AAAD//wMAUEsBAi0AFAAGAAgAAAAhALaDOJL+AAAA4QEA&#10;ABMAAAAAAAAAAAAAAAAAAAAAAFtDb250ZW50X1R5cGVzXS54bWxQSwECLQAUAAYACAAAACEAOP0h&#10;/9YAAACUAQAACwAAAAAAAAAAAAAAAAAvAQAAX3JlbHMvLnJlbHNQSwECLQAUAAYACAAAACEABzmZ&#10;9RICAAAoBAAADgAAAAAAAAAAAAAAAAAuAgAAZHJzL2Uyb0RvYy54bWxQSwECLQAUAAYACAAAACEA&#10;/N5MaN0AAAAKAQAADwAAAAAAAAAAAAAAAABsBAAAZHJzL2Rvd25yZXYueG1sUEsFBgAAAAAEAAQA&#10;8wAAAHYFAAAAAA==&#10;"/>
            </w:pict>
          </mc:Fallback>
        </mc:AlternateContent>
      </w:r>
      <w:r w:rsidRPr="008F4146">
        <w:rPr>
          <w:noProof/>
          <w:sz w:val="22"/>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1995170</wp:posOffset>
                </wp:positionH>
                <wp:positionV relativeFrom="paragraph">
                  <wp:posOffset>74930</wp:posOffset>
                </wp:positionV>
                <wp:extent cx="0" cy="685800"/>
                <wp:effectExtent l="13970" t="8255" r="5080" b="10795"/>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CEF9A" id="Line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1pt,5.9pt" to="157.1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3dIEgIAACg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jyhJEi&#10;HWi0FYqjRWhNb1wBHpXa2VAcPasXs9X0u0NKVy1RBx4pvl4MhGUhInkTEjbOQIJ9/1kz8CFHr2Of&#10;zo3tAiR0AJ2jHJe7HPzsER0OKZzO5tN5GpVKSHGLM9b5T1x3KBgllkA54pLT1vnAgxQ3l5BG6Y2Q&#10;MootFepLvJhOpjHAaSlYuAxuzh72lbToRMK4xC8WBTePblYfFYtgLSdsfbU9EXKwIblUAQ8qATpX&#10;a5iHH4t0sZ6v5/kon8zWozyt69HHTZWPZpvsw7R+qquqzn4GalletIIxrgK722xm+d9pf30lw1Td&#10;p/PehuQteuwXkL39I+koZVBvmIO9ZpedvUkM4xidr08nzPvjHuzHB776BQAA//8DAFBLAwQUAAYA&#10;CAAAACEAPE28F9wAAAAKAQAADwAAAGRycy9kb3ducmV2LnhtbEyPwU7DMBBE70j8g7VIXCrqJEWo&#10;hDgVAnLjQgFx3cZLEhGv09htA1/PVj3AcWeeZmeK1eR6tacxdJ4NpPMEFHHtbceNgbfX6moJKkRk&#10;i71nMvBNAVbl+VmBufUHfqH9OjZKQjjkaKCNcci1DnVLDsPcD8TiffrRYZRzbLQd8SDhrtdZktxo&#10;hx3LhxYHemip/lrvnIFQvdO2+pnVs+Rj0XjKto/PT2jM5cV0fwcq0hT/YDjWl+pQSqeN37ENqjew&#10;SK8zQcVIZYIAJ2FzFG6XoMtC/59Q/gIAAP//AwBQSwECLQAUAAYACAAAACEAtoM4kv4AAADhAQAA&#10;EwAAAAAAAAAAAAAAAAAAAAAAW0NvbnRlbnRfVHlwZXNdLnhtbFBLAQItABQABgAIAAAAIQA4/SH/&#10;1gAAAJQBAAALAAAAAAAAAAAAAAAAAC8BAABfcmVscy8ucmVsc1BLAQItABQABgAIAAAAIQAcL3dI&#10;EgIAACgEAAAOAAAAAAAAAAAAAAAAAC4CAABkcnMvZTJvRG9jLnhtbFBLAQItABQABgAIAAAAIQA8&#10;TbwX3AAAAAoBAAAPAAAAAAAAAAAAAAAAAGwEAABkcnMvZG93bnJldi54bWxQSwUGAAAAAAQABADz&#10;AAAAdQUAAAAA&#10;"/>
            </w:pict>
          </mc:Fallback>
        </mc:AlternateContent>
      </w:r>
      <w:r w:rsidR="008C563C" w:rsidRPr="008F4146">
        <w:rPr>
          <w:position w:val="-24"/>
          <w:sz w:val="22"/>
          <w:szCs w:val="22"/>
        </w:rPr>
        <w:object w:dxaOrig="3860" w:dyaOrig="1100">
          <v:shape id="_x0000_i1039" type="#_x0000_t75" style="width:192.75pt;height:54.75pt" o:ole="">
            <v:imagedata r:id="rId11" o:title=""/>
          </v:shape>
          <o:OLEObject Type="Embed" ProgID="Equation.3" ShapeID="_x0000_i1039" DrawAspect="Content" ObjectID="_1611756552" r:id="rId12"/>
        </w:object>
      </w:r>
    </w:p>
    <w:p w:rsidR="008C563C" w:rsidRPr="00891C11" w:rsidRDefault="008C563C" w:rsidP="008C563C">
      <w:pPr>
        <w:pStyle w:val="Paragrafi"/>
        <w:rPr>
          <w:lang w:val="it-IT"/>
        </w:rPr>
      </w:pPr>
      <w:r w:rsidRPr="00891C11">
        <w:rPr>
          <w:lang w:val="it-IT"/>
        </w:rPr>
        <w:t>Ku:</w:t>
      </w:r>
    </w:p>
    <w:p w:rsidR="008C563C" w:rsidRPr="00891C11" w:rsidRDefault="008C563C" w:rsidP="008C563C">
      <w:pPr>
        <w:pStyle w:val="Paragrafi"/>
        <w:rPr>
          <w:lang w:val="it-IT"/>
        </w:rPr>
      </w:pPr>
      <w:r w:rsidRPr="00891C11">
        <w:rPr>
          <w:lang w:val="it-IT"/>
        </w:rPr>
        <w:t>Igj  = interesi gjobë i aplikuar;</w:t>
      </w:r>
    </w:p>
    <w:p w:rsidR="008C563C" w:rsidRPr="00891C11" w:rsidRDefault="008C563C" w:rsidP="008C563C">
      <w:pPr>
        <w:pStyle w:val="Paragrafi"/>
        <w:rPr>
          <w:lang w:val="it-IT"/>
        </w:rPr>
      </w:pPr>
      <w:r w:rsidRPr="00891C11">
        <w:rPr>
          <w:lang w:val="it-IT"/>
        </w:rPr>
        <w:t>GJL = gjendja ditore e llogarisë rezervë gjatë periudhës së mbajtjes së rezervës së detyruar;</w:t>
      </w:r>
    </w:p>
    <w:p w:rsidR="008C563C" w:rsidRPr="00891C11" w:rsidRDefault="008C563C" w:rsidP="008C563C">
      <w:pPr>
        <w:pStyle w:val="Paragrafi"/>
        <w:rPr>
          <w:lang w:val="it-IT"/>
        </w:rPr>
      </w:pPr>
      <w:r w:rsidRPr="00891C11">
        <w:rPr>
          <w:lang w:val="it-IT"/>
        </w:rPr>
        <w:t xml:space="preserve">RDc = është vlera e rezervës së detyruar në </w:t>
      </w:r>
      <w:r w:rsidR="00191136" w:rsidRPr="00891C11">
        <w:rPr>
          <w:lang w:val="it-IT"/>
        </w:rPr>
        <w:t>l</w:t>
      </w:r>
      <w:r w:rsidRPr="00891C11">
        <w:rPr>
          <w:lang w:val="it-IT"/>
        </w:rPr>
        <w:t>ek</w:t>
      </w:r>
      <w:r w:rsidR="00191136" w:rsidRPr="00891C11">
        <w:rPr>
          <w:lang w:val="it-IT"/>
        </w:rPr>
        <w:t>ë</w:t>
      </w:r>
      <w:r w:rsidRPr="00891C11">
        <w:rPr>
          <w:lang w:val="it-IT"/>
        </w:rPr>
        <w:t xml:space="preserve"> e mbajtur në formën cash në kujdestari; </w:t>
      </w:r>
    </w:p>
    <w:p w:rsidR="008C563C" w:rsidRPr="00891C11" w:rsidRDefault="008C563C" w:rsidP="008C563C">
      <w:pPr>
        <w:pStyle w:val="Paragrafi"/>
        <w:rPr>
          <w:lang w:val="it-IT"/>
        </w:rPr>
      </w:pPr>
      <w:r w:rsidRPr="00891C11">
        <w:rPr>
          <w:lang w:val="it-IT"/>
        </w:rPr>
        <w:t>RD = niveli i rezervës së detyruar për periudhën e mbajtjes të rezervës së detyruar;</w:t>
      </w:r>
    </w:p>
    <w:p w:rsidR="008C563C" w:rsidRPr="00891C11" w:rsidRDefault="008C563C" w:rsidP="008C563C">
      <w:pPr>
        <w:pStyle w:val="Paragrafi"/>
        <w:rPr>
          <w:lang w:val="it-IT"/>
        </w:rPr>
      </w:pPr>
      <w:r w:rsidRPr="00891C11">
        <w:rPr>
          <w:lang w:val="it-IT"/>
        </w:rPr>
        <w:t xml:space="preserve">d =  </w:t>
      </w:r>
      <w:bookmarkStart w:id="5" w:name="OLE_LINK5"/>
      <w:bookmarkStart w:id="6" w:name="OLE_LINK6"/>
      <w:r w:rsidRPr="00891C11">
        <w:rPr>
          <w:lang w:val="it-IT"/>
        </w:rPr>
        <w:t>kohëzgjatja e periudhës së mbajtjes të rezervës së detyruar e shprehur në ditë</w:t>
      </w:r>
      <w:bookmarkEnd w:id="5"/>
      <w:bookmarkEnd w:id="6"/>
      <w:r w:rsidRPr="00891C11">
        <w:rPr>
          <w:lang w:val="it-IT"/>
        </w:rPr>
        <w:t>;</w:t>
      </w:r>
    </w:p>
    <w:p w:rsidR="008C563C" w:rsidRPr="00891C11" w:rsidRDefault="008C563C" w:rsidP="008C563C">
      <w:pPr>
        <w:pStyle w:val="Paragrafi"/>
        <w:rPr>
          <w:lang w:val="it-IT"/>
        </w:rPr>
      </w:pPr>
      <w:r w:rsidRPr="00891C11">
        <w:rPr>
          <w:lang w:val="it-IT"/>
        </w:rPr>
        <w:t>NIgj  = norma e interesit gjobë.</w:t>
      </w:r>
    </w:p>
    <w:p w:rsidR="008C563C" w:rsidRPr="00891C11" w:rsidRDefault="008C563C" w:rsidP="008C563C">
      <w:pPr>
        <w:pStyle w:val="Paragrafi"/>
        <w:rPr>
          <w:lang w:val="it-IT"/>
        </w:rPr>
      </w:pPr>
      <w:r w:rsidRPr="00891C11">
        <w:rPr>
          <w:lang w:val="it-IT"/>
        </w:rPr>
        <w:t>2. Nëse në ditën e parë të periudhës së mbajtjes së rezervës së detyruar në euro dhe/ose në dollarë amerikanë, gjendja e llogarisë rezervë të bankës sipas monedhave përkatëse është më e vogël se niveli i rezervës së detyruar, atëherë Banka e Shqipërisë aplikon interes gjobë me normë të përcaktuar në nenin 16, pika 2 për shumën e mosplotësimit të rezervës së detyruar në euro dhe/ose në dollarë amerikanë për periudhën e mosplotësimit të saj sipas formulës së mëposhtme:</w:t>
      </w:r>
    </w:p>
    <w:p w:rsidR="008C563C" w:rsidRPr="00891C11" w:rsidRDefault="00665867" w:rsidP="008C563C">
      <w:pPr>
        <w:pStyle w:val="BodyText"/>
        <w:rPr>
          <w:sz w:val="22"/>
          <w:szCs w:val="22"/>
          <w:lang w:val="it-IT"/>
        </w:rPr>
      </w:pPr>
      <w:r w:rsidRPr="008F4146">
        <w:rPr>
          <w:noProof/>
          <w:sz w:val="22"/>
          <w:szCs w:val="22"/>
          <w:lang w:val="en-GB" w:eastAsia="en-GB"/>
        </w:rPr>
        <mc:AlternateContent>
          <mc:Choice Requires="wps">
            <w:drawing>
              <wp:anchor distT="0" distB="0" distL="114300" distR="114300" simplePos="0" relativeHeight="251652096" behindDoc="0" locked="0" layoutInCell="1" allowOverlap="1">
                <wp:simplePos x="0" y="0"/>
                <wp:positionH relativeFrom="column">
                  <wp:posOffset>2376170</wp:posOffset>
                </wp:positionH>
                <wp:positionV relativeFrom="paragraph">
                  <wp:posOffset>20955</wp:posOffset>
                </wp:positionV>
                <wp:extent cx="0" cy="685800"/>
                <wp:effectExtent l="13970" t="11430" r="5080" b="762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35416"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1.65pt" to="187.1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OOEgIAACg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znGCnS&#10;gUZboTiahdb0xhXgUamdDcXRs3oxW02/O6R01RJ14JHi68VAWBYikjchYeMMJNj3XzQDH3L0Ovbp&#10;3NguQEIH0DnKcbnLwc8e0eGQwulsPp2nUamEFLc4Y53/zHWHglFiCZQjLjltnQ88SHFzCWmU3ggp&#10;o9hSob7Ei2k+jQFOS8HCZXBz9rCvpEUnEsYlfrEouHl0s/qoWARrOWHrq+2JkIMNyaUKeFAJ0Lla&#10;wzz8WKSL9Xw9n4wm+Ww9mqR1Pfq0qSaj2Sb7OK0/1FVVZz8DtWxStIIxrgK722xmk7/T/vpKhqm6&#10;T+e9Dclb9NgvIHv7R9JRyqDeMAd7zS47e5MYxjE6X59OmPfHPdiPD3z1CwAA//8DAFBLAwQUAAYA&#10;CAAAACEASTGq8NwAAAAJAQAADwAAAGRycy9kb3ducmV2LnhtbEyPzU7DMBCE70i8g7VIXCrq/CBA&#10;IU6FgNy4UEBct/GSRMTrNHbbwNOzqAe47Wg+zc6Uq9kNak9T6D0bSJcJKOLG255bA68v9cUNqBCR&#10;LQ6eycAXBVhVpyclFtYf+Jn269gqCeFQoIEuxrHQOjQdOQxLPxKL9+Enh1Hk1Go74UHC3aCzJLnS&#10;DnuWDx2OdN9R87neOQOhfqNt/b1oFsl73nrKtg9Pj2jM+dl8dwsq0hz/YPitL9Whkk4bv2Mb1GAg&#10;v77MBJUjByX+UW8ETNMcdFXq/wuqHwAAAP//AwBQSwECLQAUAAYACAAAACEAtoM4kv4AAADhAQAA&#10;EwAAAAAAAAAAAAAAAAAAAAAAW0NvbnRlbnRfVHlwZXNdLnhtbFBLAQItABQABgAIAAAAIQA4/SH/&#10;1gAAAJQBAAALAAAAAAAAAAAAAAAAAC8BAABfcmVscy8ucmVsc1BLAQItABQABgAIAAAAIQBZuYOO&#10;EgIAACgEAAAOAAAAAAAAAAAAAAAAAC4CAABkcnMvZTJvRG9jLnhtbFBLAQItABQABgAIAAAAIQBJ&#10;Marw3AAAAAkBAAAPAAAAAAAAAAAAAAAAAGwEAABkcnMvZG93bnJldi54bWxQSwUGAAAAAAQABADz&#10;AAAAdQUAAAAA&#10;"/>
            </w:pict>
          </mc:Fallback>
        </mc:AlternateContent>
      </w:r>
      <w:r w:rsidRPr="008F4146">
        <w:rPr>
          <w:noProof/>
          <w:sz w:val="22"/>
          <w:szCs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3757295</wp:posOffset>
                </wp:positionH>
                <wp:positionV relativeFrom="paragraph">
                  <wp:posOffset>20955</wp:posOffset>
                </wp:positionV>
                <wp:extent cx="0" cy="685800"/>
                <wp:effectExtent l="13970" t="11430" r="5080" b="7620"/>
                <wp:wrapNone/>
                <wp:docPr id="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1887D" id="Line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85pt,1.65pt" to="295.8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WG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aRI&#10;BxptheLoKbSmN64Aj0rtbCiOntWL2Wr63SGlq5aoA48UXy8GwrIQkbwJCRtnIMG+/6wZ+JCj17FP&#10;58Z2ARI6gM5RjstdDn72iA6HFE5n8+k8jUolpLjFGev8J647FIwSS6Accclp63zgQYqbS0ij9EZI&#10;GcWWCvUlXkwn0xjgtBQsXAY3Zw/7Slp0ImFc4heLgptHN6uPikWwlhO2vtqeCDnYkFyqgAeVAJ2r&#10;NczDj0W6WM/X83yUT2brUZ7W9ejjpspHs032NK0/1FVVZz8DtSwvWsEYV4HdbTaz/O+0v76SYaru&#10;03lvQ/IWPfYLyN7+kXSUMqg3zMFes8vO3iSGcYzO16cT5v1xD/bjA1/9AgAA//8DAFBLAwQUAAYA&#10;CAAAACEAeU0dqdwAAAAJAQAADwAAAGRycy9kb3ducmV2LnhtbEyPy07DMBBF90j8gzVIbKrWSSNe&#10;IU6FgOzYUKjYTuMhiYjHaey2ga9nEAtYXt2jO2eK1eR6daAxdJ4NpIsEFHHtbceNgdeXan4NKkRk&#10;i71nMvBJAVbl6UmBufVHfqbDOjZKRjjkaKCNcci1DnVLDsPCD8TSvfvRYZQ4NtqOeJRx1+tlklxq&#10;hx3LhRYHum+p/ljvnYFQbWhXfc3qWfKWNZ6Wu4enRzTm/Gy6uwUVaYp/MPzoizqU4rT1e7ZB9QYu&#10;btIrQQ1kGSjpf/NWwDTNQJeF/v9B+Q0AAP//AwBQSwECLQAUAAYACAAAACEAtoM4kv4AAADhAQAA&#10;EwAAAAAAAAAAAAAAAAAAAAAAW0NvbnRlbnRfVHlwZXNdLnhtbFBLAQItABQABgAIAAAAIQA4/SH/&#10;1gAAAJQBAAALAAAAAAAAAAAAAAAAAC8BAABfcmVscy8ucmVsc1BLAQItABQABgAIAAAAIQBvMiWG&#10;EgIAACgEAAAOAAAAAAAAAAAAAAAAAC4CAABkcnMvZTJvRG9jLnhtbFBLAQItABQABgAIAAAAIQB5&#10;TR2p3AAAAAkBAAAPAAAAAAAAAAAAAAAAAGwEAABkcnMvZG93bnJldi54bWxQSwUGAAAAAAQABADz&#10;AAAAdQUAAAAA&#10;"/>
            </w:pict>
          </mc:Fallback>
        </mc:AlternateContent>
      </w:r>
    </w:p>
    <w:p w:rsidR="008C563C" w:rsidRPr="008F4146" w:rsidRDefault="008C563C" w:rsidP="008C563C">
      <w:pPr>
        <w:pStyle w:val="BodyText"/>
        <w:jc w:val="center"/>
        <w:rPr>
          <w:sz w:val="22"/>
          <w:szCs w:val="22"/>
        </w:rPr>
      </w:pPr>
      <w:r w:rsidRPr="008F4146">
        <w:rPr>
          <w:position w:val="-24"/>
          <w:sz w:val="22"/>
          <w:szCs w:val="22"/>
        </w:rPr>
        <w:object w:dxaOrig="2720" w:dyaOrig="620">
          <v:shape id="_x0000_i1040" type="#_x0000_t75" style="width:135.75pt;height:30.75pt" o:ole="">
            <v:imagedata r:id="rId13" o:title=""/>
          </v:shape>
          <o:OLEObject Type="Embed" ProgID="Equation.3" ShapeID="_x0000_i1040" DrawAspect="Content" ObjectID="_1611756553" r:id="rId14"/>
        </w:object>
      </w:r>
    </w:p>
    <w:p w:rsidR="008C563C" w:rsidRPr="00891C11" w:rsidRDefault="008C563C" w:rsidP="008C563C">
      <w:pPr>
        <w:pStyle w:val="Paragrafi"/>
        <w:rPr>
          <w:lang w:val="it-IT"/>
        </w:rPr>
      </w:pPr>
      <w:r w:rsidRPr="00891C11">
        <w:rPr>
          <w:lang w:val="it-IT"/>
        </w:rPr>
        <w:t>Ku:</w:t>
      </w:r>
    </w:p>
    <w:p w:rsidR="008C563C" w:rsidRPr="00891C11" w:rsidRDefault="008C563C" w:rsidP="008C563C">
      <w:pPr>
        <w:pStyle w:val="Paragrafi"/>
        <w:rPr>
          <w:lang w:val="it-IT"/>
        </w:rPr>
      </w:pPr>
      <w:r w:rsidRPr="00891C11">
        <w:rPr>
          <w:lang w:val="it-IT"/>
        </w:rPr>
        <w:t>Igj  = interesi gjobë i aplikuar;</w:t>
      </w:r>
    </w:p>
    <w:p w:rsidR="008C563C" w:rsidRPr="00891C11" w:rsidRDefault="008C563C" w:rsidP="008C563C">
      <w:pPr>
        <w:pStyle w:val="Paragrafi"/>
        <w:rPr>
          <w:lang w:val="it-IT"/>
        </w:rPr>
      </w:pPr>
      <w:r w:rsidRPr="00891C11">
        <w:rPr>
          <w:lang w:val="it-IT"/>
        </w:rPr>
        <w:t>GJL = gjendje e llogarisë rezervë të bankës në euro dhe/ose në dollarë amerikanë në ditën e parë të periudhës së mbajtjes së rezervës së detyruar;</w:t>
      </w:r>
    </w:p>
    <w:p w:rsidR="008C563C" w:rsidRPr="00891C11" w:rsidRDefault="008C563C" w:rsidP="008C563C">
      <w:pPr>
        <w:pStyle w:val="Paragrafi"/>
        <w:rPr>
          <w:lang w:val="it-IT"/>
        </w:rPr>
      </w:pPr>
      <w:r w:rsidRPr="00891C11">
        <w:rPr>
          <w:lang w:val="it-IT"/>
        </w:rPr>
        <w:t>RD = niveli i rezervës së detyruar për periudhën e mbajtjes të rezervës së detyruar;</w:t>
      </w:r>
    </w:p>
    <w:p w:rsidR="008C563C" w:rsidRPr="00891C11" w:rsidRDefault="008C563C" w:rsidP="008C563C">
      <w:pPr>
        <w:pStyle w:val="Paragrafi"/>
        <w:rPr>
          <w:lang w:val="it-IT"/>
        </w:rPr>
      </w:pPr>
      <w:r w:rsidRPr="00891C11">
        <w:rPr>
          <w:lang w:val="it-IT"/>
        </w:rPr>
        <w:t>NIgj  = norma e interesit gjobë;</w:t>
      </w:r>
    </w:p>
    <w:p w:rsidR="008C563C" w:rsidRPr="00891C11" w:rsidRDefault="008C563C" w:rsidP="008C563C">
      <w:pPr>
        <w:pStyle w:val="Paragrafi"/>
        <w:rPr>
          <w:lang w:val="it-IT"/>
        </w:rPr>
      </w:pPr>
      <w:r w:rsidRPr="00891C11">
        <w:rPr>
          <w:lang w:val="it-IT"/>
        </w:rPr>
        <w:t>d =  kohëzgjatja e periudhës së mosplotësimit të rezervës së detyruar, e shprehur në ditë.</w:t>
      </w:r>
    </w:p>
    <w:p w:rsidR="008C563C" w:rsidRPr="00891C11" w:rsidRDefault="008C563C" w:rsidP="008C563C">
      <w:pPr>
        <w:pStyle w:val="Paragrafi"/>
        <w:ind w:firstLine="0"/>
        <w:rPr>
          <w:sz w:val="20"/>
          <w:lang w:val="it-IT"/>
        </w:rPr>
      </w:pPr>
    </w:p>
    <w:p w:rsidR="008C563C" w:rsidRPr="00891C11" w:rsidRDefault="008C563C" w:rsidP="008C563C">
      <w:pPr>
        <w:pStyle w:val="NeniNr"/>
        <w:rPr>
          <w:lang w:val="it-IT"/>
        </w:rPr>
      </w:pPr>
      <w:r w:rsidRPr="00891C11">
        <w:rPr>
          <w:lang w:val="it-IT"/>
        </w:rPr>
        <w:t>Neni 14</w:t>
      </w:r>
    </w:p>
    <w:p w:rsidR="008C563C" w:rsidRPr="00891C11" w:rsidRDefault="008C563C" w:rsidP="008C563C">
      <w:pPr>
        <w:pStyle w:val="NeniTitull"/>
        <w:rPr>
          <w:lang w:val="it-IT"/>
        </w:rPr>
      </w:pPr>
      <w:r w:rsidRPr="00891C11">
        <w:rPr>
          <w:lang w:val="it-IT"/>
        </w:rPr>
        <w:t>Masat për mosraportim brenda afatit</w:t>
      </w:r>
    </w:p>
    <w:p w:rsidR="008C563C" w:rsidRPr="00891C11" w:rsidRDefault="008C563C" w:rsidP="008C563C">
      <w:pPr>
        <w:pStyle w:val="Paragrafi"/>
        <w:rPr>
          <w:sz w:val="20"/>
          <w:lang w:val="it-IT"/>
        </w:rPr>
      </w:pPr>
    </w:p>
    <w:p w:rsidR="008C563C" w:rsidRPr="00891C11" w:rsidRDefault="008C563C" w:rsidP="008C563C">
      <w:pPr>
        <w:pStyle w:val="Paragrafi"/>
        <w:rPr>
          <w:lang w:val="it-IT"/>
        </w:rPr>
      </w:pPr>
      <w:r w:rsidRPr="00891C11">
        <w:rPr>
          <w:lang w:val="it-IT"/>
        </w:rPr>
        <w:t>1. Në rast se banka nuk përmbush detyrimin për raportimin e rezervës së detyruar brenda afatit të përcaktuar në nenin 9 pika 3 e kësaj rregulloreje, atëherë niveli i rezervës së detyruar përcaktohet në masën 10 (dhjetë) për qind më i lartë se niveli i rezervës së detyruar të bankës në raportimin e fundit të saj, por jo më i lartë se 700 milionë lekë (ose ekuivalentja e kësaj shume në euro dhe në dollarë).</w:t>
      </w:r>
    </w:p>
    <w:p w:rsidR="008C563C" w:rsidRPr="00891C11" w:rsidRDefault="008C563C" w:rsidP="008C563C">
      <w:pPr>
        <w:pStyle w:val="Paragrafi"/>
        <w:rPr>
          <w:lang w:val="it-IT"/>
        </w:rPr>
      </w:pPr>
      <w:r w:rsidRPr="00891C11">
        <w:rPr>
          <w:lang w:val="it-IT"/>
        </w:rPr>
        <w:t xml:space="preserve">2. Në rast se niveli faktik, por i paraportuar i rezervës së detyruar, i verifikuar nga Banka e Shqipërisë sipas nenit 15, pika 1 rezulton më i lartë se niveli i përcaktuar sipas pikës 1 të këtij neni, atëherë veprohet në përputhje me nenin 15, pika 2, shkronja (a) të kësaj rregulloreje. </w:t>
      </w:r>
    </w:p>
    <w:p w:rsidR="008C563C" w:rsidRPr="00891C11" w:rsidRDefault="008C563C" w:rsidP="008C563C">
      <w:pPr>
        <w:pStyle w:val="NeniNr"/>
        <w:rPr>
          <w:lang w:val="it-IT"/>
        </w:rPr>
      </w:pPr>
    </w:p>
    <w:p w:rsidR="008C563C" w:rsidRPr="00891C11" w:rsidRDefault="008C563C" w:rsidP="008C563C">
      <w:pPr>
        <w:pStyle w:val="NeniNr"/>
        <w:rPr>
          <w:lang w:val="it-IT"/>
        </w:rPr>
      </w:pPr>
      <w:r w:rsidRPr="00891C11">
        <w:rPr>
          <w:lang w:val="it-IT"/>
        </w:rPr>
        <w:t>Neni 15</w:t>
      </w:r>
    </w:p>
    <w:p w:rsidR="008C563C" w:rsidRPr="00891C11" w:rsidRDefault="008C563C" w:rsidP="008C563C">
      <w:pPr>
        <w:pStyle w:val="NeniTitull"/>
        <w:rPr>
          <w:lang w:val="it-IT"/>
        </w:rPr>
      </w:pPr>
      <w:r w:rsidRPr="00891C11">
        <w:rPr>
          <w:lang w:val="it-IT"/>
        </w:rPr>
        <w:t>Masat për raportim të gabuar</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Banka e Shqipërisë verifikon saktësinë e raportimit të rezervës së detyruar në përputhje me të dhënat e raportuara në SRU dhe/ose nëpërmjet inspektimeve në vend të bankës. </w:t>
      </w:r>
    </w:p>
    <w:p w:rsidR="008C563C" w:rsidRPr="00891C11" w:rsidRDefault="008C563C" w:rsidP="008C563C">
      <w:pPr>
        <w:pStyle w:val="Paragrafi"/>
        <w:rPr>
          <w:lang w:val="it-IT"/>
        </w:rPr>
      </w:pPr>
      <w:r w:rsidRPr="00891C11">
        <w:rPr>
          <w:lang w:val="it-IT"/>
        </w:rPr>
        <w:t xml:space="preserve">2. Në rast se, pas periudhës së mbajtjes së rezervës, verifikohet </w:t>
      </w:r>
      <w:bookmarkStart w:id="7" w:name="OLE_LINK1"/>
      <w:bookmarkStart w:id="8" w:name="OLE_LINK2"/>
      <w:r w:rsidRPr="00891C11">
        <w:rPr>
          <w:lang w:val="it-IT"/>
        </w:rPr>
        <w:t xml:space="preserve">mospërputhja </w:t>
      </w:r>
      <w:bookmarkStart w:id="9" w:name="OLE_LINK7"/>
      <w:bookmarkStart w:id="10" w:name="OLE_LINK8"/>
      <w:r w:rsidRPr="00891C11">
        <w:rPr>
          <w:lang w:val="it-IT"/>
        </w:rPr>
        <w:t xml:space="preserve">në vlerë monetare më shumë se </w:t>
      </w:r>
      <w:bookmarkEnd w:id="9"/>
      <w:bookmarkEnd w:id="10"/>
      <w:r w:rsidRPr="00891C11">
        <w:rPr>
          <w:lang w:val="it-IT"/>
        </w:rPr>
        <w:t xml:space="preserve">1,000 (një mijë) lekë (ose ekuivalentja e shumës në euro dhe në dollarë) e të dhënave të raportuara për rezervën e detyruar me të dhënat e raportuara në SRU dhe/ose me të dhënat e marra nga inspektimet </w:t>
      </w:r>
      <w:bookmarkEnd w:id="7"/>
      <w:bookmarkEnd w:id="8"/>
      <w:r w:rsidRPr="00891C11">
        <w:rPr>
          <w:lang w:val="it-IT"/>
        </w:rPr>
        <w:t>në vend të bankës atëherë:</w:t>
      </w:r>
    </w:p>
    <w:p w:rsidR="008C563C" w:rsidRPr="00891C11" w:rsidRDefault="00947056" w:rsidP="008C563C">
      <w:pPr>
        <w:pStyle w:val="Paragrafi"/>
        <w:rPr>
          <w:lang w:val="it-IT"/>
        </w:rPr>
      </w:pPr>
      <w:r w:rsidRPr="00891C11">
        <w:rPr>
          <w:lang w:val="it-IT"/>
        </w:rPr>
        <w:t>a)</w:t>
      </w:r>
      <w:r w:rsidR="008C563C" w:rsidRPr="00891C11">
        <w:rPr>
          <w:lang w:val="it-IT"/>
        </w:rPr>
        <w:t xml:space="preserve"> </w:t>
      </w:r>
      <w:r w:rsidRPr="00891C11">
        <w:rPr>
          <w:lang w:val="it-IT"/>
        </w:rPr>
        <w:t xml:space="preserve">Për </w:t>
      </w:r>
      <w:r w:rsidR="008C563C" w:rsidRPr="00891C11">
        <w:rPr>
          <w:lang w:val="it-IT"/>
        </w:rPr>
        <w:t>raportimin e rezervës së detyruar në nivel më të ulët, aplikohet interes gjobë sipas normës së përcaktuar në nenin 16, për diferencën midis nivelit të saktë të rezervës së detyruar dhe asaj të raportuar e shtrirë për periudhën e mbajtjes respektive sipas formulës së mëposhtme:</w:t>
      </w:r>
    </w:p>
    <w:p w:rsidR="008C563C" w:rsidRPr="00891C11" w:rsidRDefault="008C563C" w:rsidP="008C563C">
      <w:pPr>
        <w:pStyle w:val="Paragrafi"/>
        <w:rPr>
          <w:lang w:val="it-IT"/>
        </w:rPr>
      </w:pPr>
    </w:p>
    <w:p w:rsidR="008C563C" w:rsidRPr="008F4146" w:rsidRDefault="008C563C" w:rsidP="008C563C">
      <w:pPr>
        <w:pStyle w:val="BodyText"/>
        <w:jc w:val="center"/>
        <w:rPr>
          <w:sz w:val="22"/>
          <w:szCs w:val="22"/>
        </w:rPr>
      </w:pPr>
      <w:r w:rsidRPr="008F4146">
        <w:rPr>
          <w:position w:val="-24"/>
          <w:sz w:val="22"/>
          <w:szCs w:val="22"/>
        </w:rPr>
        <w:object w:dxaOrig="2820" w:dyaOrig="620">
          <v:shape id="_x0000_i1041" type="#_x0000_t75" style="width:141pt;height:30.75pt" o:ole="">
            <v:imagedata r:id="rId15" o:title=""/>
          </v:shape>
          <o:OLEObject Type="Embed" ProgID="Equation.3" ShapeID="_x0000_i1041" DrawAspect="Content" ObjectID="_1611756554" r:id="rId16"/>
        </w:object>
      </w:r>
    </w:p>
    <w:p w:rsidR="008C563C" w:rsidRPr="00891C11" w:rsidRDefault="008C563C" w:rsidP="008C563C">
      <w:pPr>
        <w:pStyle w:val="Paragrafi"/>
        <w:rPr>
          <w:lang w:val="it-IT"/>
        </w:rPr>
      </w:pPr>
      <w:r w:rsidRPr="00891C11">
        <w:rPr>
          <w:lang w:val="it-IT"/>
        </w:rPr>
        <w:t>Ku:</w:t>
      </w:r>
    </w:p>
    <w:p w:rsidR="008C563C" w:rsidRPr="00891C11" w:rsidRDefault="008C563C" w:rsidP="008C563C">
      <w:pPr>
        <w:pStyle w:val="Paragrafi"/>
        <w:rPr>
          <w:lang w:val="it-IT"/>
        </w:rPr>
      </w:pPr>
      <w:r w:rsidRPr="00891C11">
        <w:rPr>
          <w:lang w:val="it-IT"/>
        </w:rPr>
        <w:t>Igj  = interesi gjobë i aplikuar;</w:t>
      </w:r>
    </w:p>
    <w:p w:rsidR="008C563C" w:rsidRPr="00891C11" w:rsidRDefault="008C563C" w:rsidP="008C563C">
      <w:pPr>
        <w:pStyle w:val="Paragrafi"/>
        <w:rPr>
          <w:lang w:val="it-IT"/>
        </w:rPr>
      </w:pPr>
      <w:r w:rsidRPr="00891C11">
        <w:rPr>
          <w:lang w:val="it-IT"/>
        </w:rPr>
        <w:t>RDs = niveli i saktë, i verifikuar i rezervës së detyruar (në lekë, euro, dollarë amerikanë);</w:t>
      </w:r>
    </w:p>
    <w:p w:rsidR="008C563C" w:rsidRPr="00891C11" w:rsidRDefault="008C563C" w:rsidP="008C563C">
      <w:pPr>
        <w:pStyle w:val="Paragrafi"/>
        <w:rPr>
          <w:lang w:val="it-IT"/>
        </w:rPr>
      </w:pPr>
      <w:r w:rsidRPr="00891C11">
        <w:rPr>
          <w:lang w:val="it-IT"/>
        </w:rPr>
        <w:t>RDg = niveli i raportuar gabim i rezervës së detyruar (në lekë, euro, dollarë amerikanë);</w:t>
      </w:r>
    </w:p>
    <w:p w:rsidR="008C563C" w:rsidRPr="00891C11" w:rsidRDefault="008C563C" w:rsidP="008C563C">
      <w:pPr>
        <w:pStyle w:val="Paragrafi"/>
        <w:rPr>
          <w:lang w:val="it-IT"/>
        </w:rPr>
      </w:pPr>
      <w:r w:rsidRPr="00891C11">
        <w:rPr>
          <w:lang w:val="it-IT"/>
        </w:rPr>
        <w:t>NIgj  = norma e interesit gjobë;</w:t>
      </w:r>
    </w:p>
    <w:p w:rsidR="008C563C" w:rsidRPr="00891C11" w:rsidRDefault="008C563C" w:rsidP="008C563C">
      <w:pPr>
        <w:pStyle w:val="Paragrafi"/>
        <w:rPr>
          <w:lang w:val="it-IT"/>
        </w:rPr>
      </w:pPr>
      <w:r w:rsidRPr="00891C11">
        <w:rPr>
          <w:lang w:val="it-IT"/>
        </w:rPr>
        <w:t>d =  kohëzgjatja e periudhës të mbajtjes të rezervës së detyruar, e shprehur në ditë;</w:t>
      </w:r>
    </w:p>
    <w:p w:rsidR="008C563C" w:rsidRPr="00891C11" w:rsidRDefault="008C563C" w:rsidP="008C563C">
      <w:pPr>
        <w:pStyle w:val="Paragrafi"/>
        <w:rPr>
          <w:lang w:val="it-IT"/>
        </w:rPr>
      </w:pPr>
      <w:r w:rsidRPr="00891C11">
        <w:rPr>
          <w:lang w:val="it-IT"/>
        </w:rPr>
        <w:t>vk = viti kalendarik; 365 ditë për rezervën e detyruar në lekë dhe 360 ditë për rezervën e detyruar në valutë.</w:t>
      </w:r>
    </w:p>
    <w:p w:rsidR="008C563C" w:rsidRPr="00891C11" w:rsidRDefault="008C563C" w:rsidP="008C563C">
      <w:pPr>
        <w:pStyle w:val="Paragrafi"/>
        <w:rPr>
          <w:lang w:val="it-IT"/>
        </w:rPr>
      </w:pPr>
      <w:r w:rsidRPr="00891C11">
        <w:rPr>
          <w:lang w:val="it-IT"/>
        </w:rPr>
        <w:t xml:space="preserve">b) </w:t>
      </w:r>
      <w:r w:rsidR="00947056" w:rsidRPr="00891C11">
        <w:rPr>
          <w:lang w:val="it-IT"/>
        </w:rPr>
        <w:t xml:space="preserve">Për </w:t>
      </w:r>
      <w:r w:rsidRPr="00891C11">
        <w:rPr>
          <w:lang w:val="it-IT"/>
        </w:rPr>
        <w:t>raportimin e rezervës së detyruar në nivel më të lartë, banka është e detyruar t’i kthejë Bankës së Shqipërisë interesin e përfituar nga  remunerimi i shtesës të rezervës së raportuar.</w:t>
      </w:r>
    </w:p>
    <w:p w:rsidR="008C563C" w:rsidRPr="00891C11" w:rsidRDefault="00947056" w:rsidP="008C563C">
      <w:pPr>
        <w:pStyle w:val="Paragrafi"/>
        <w:rPr>
          <w:lang w:val="it-IT"/>
        </w:rPr>
      </w:pPr>
      <w:r w:rsidRPr="00891C11">
        <w:rPr>
          <w:lang w:val="it-IT"/>
        </w:rPr>
        <w:t>3. Në rast se</w:t>
      </w:r>
      <w:r w:rsidR="008C563C" w:rsidRPr="00891C11">
        <w:rPr>
          <w:lang w:val="it-IT"/>
        </w:rPr>
        <w:t xml:space="preserve"> mospërputhja e të dhënave të raportuara për rezervën e detyruar me të dhënat e raportuara në SRU dhe/ose me të dhënat e marra nga inspektimet, verifikohet nga Banka e Shqipërisë përpara fillimit të periudhës së mbajtjes të rezervës së detyruar, atëherë me njoftimin nga Banka e Shqipërisë, banka është e detyruar të sjellë raportimin e saktë përpara fillimit të periudhës së mbajtjes. Në rast se banka nuk paraqet raportimin e saktë përpara fillimit të periudhës së mbajtjes, atëherë veprohet sipas pikës 2 të këtij neni. </w:t>
      </w:r>
    </w:p>
    <w:p w:rsidR="008C563C" w:rsidRPr="00891C11" w:rsidRDefault="008C563C" w:rsidP="008C563C">
      <w:pPr>
        <w:pStyle w:val="Paragrafi"/>
        <w:rPr>
          <w:lang w:val="it-IT"/>
        </w:rPr>
      </w:pPr>
      <w:r w:rsidRPr="00891C11">
        <w:rPr>
          <w:lang w:val="it-IT"/>
        </w:rPr>
        <w:t>4. Në rast se banka njofton Bankën e Shqipërisë për gabime në raportimin e rezervës së detyruar dhe paraqet raportimin e saktë përpara fillimit të periudhës së mbajtjes të rezervës së detyruar përkatëse, Banka e Shqipërisë nuk merr masa kundrejt bankës në rast se banka nuk ka raportuar për gabime më shumë se 1 (një) herë brenda vitit kalendarik. Në rast se gabimet raportohen pas fillimit të periudhës së mbajtjes, veprohet sipas pikës 2 të këtij neni.</w:t>
      </w:r>
    </w:p>
    <w:p w:rsidR="008C563C" w:rsidRPr="00891C11" w:rsidRDefault="008C563C" w:rsidP="008C563C">
      <w:pPr>
        <w:pStyle w:val="Paragrafi"/>
        <w:ind w:firstLine="0"/>
        <w:rPr>
          <w:lang w:val="it-IT"/>
        </w:rPr>
      </w:pPr>
    </w:p>
    <w:p w:rsidR="008C563C" w:rsidRPr="00891C11" w:rsidRDefault="008C563C" w:rsidP="008C563C">
      <w:pPr>
        <w:pStyle w:val="NeniNr"/>
        <w:rPr>
          <w:lang w:val="it-IT"/>
        </w:rPr>
      </w:pPr>
      <w:r w:rsidRPr="00891C11">
        <w:rPr>
          <w:lang w:val="it-IT"/>
        </w:rPr>
        <w:t>Neni 16</w:t>
      </w:r>
    </w:p>
    <w:p w:rsidR="008C563C" w:rsidRPr="00891C11" w:rsidRDefault="008C563C" w:rsidP="008C563C">
      <w:pPr>
        <w:pStyle w:val="NeniTitull"/>
        <w:rPr>
          <w:lang w:val="it-IT"/>
        </w:rPr>
      </w:pPr>
      <w:r w:rsidRPr="00891C11">
        <w:rPr>
          <w:lang w:val="it-IT"/>
        </w:rPr>
        <w:t>Interesi gjobë</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1. Interesi gjobë i aplikuar nga Banka e Shqipërisë për rastet e mosplotësimit të rezervës së detyruar në lekë, të parashikuara në nenin 13, pika 1 dhe në nenin 15, pika 2, shkronja “a” të kësaj rregulloreje është i barabartë me 600 (gjashtëqind) pikë bazë më i lartë se norma bazë e interesit të Bankës së Shqipërisë në ditën e fundit të periudhës bazë, por jo më i lartë se dyfishi i normës bazë. </w:t>
      </w:r>
    </w:p>
    <w:p w:rsidR="008C563C" w:rsidRPr="00891C11" w:rsidRDefault="008C563C" w:rsidP="008C563C">
      <w:pPr>
        <w:pStyle w:val="Paragrafi"/>
        <w:rPr>
          <w:lang w:val="it-IT"/>
        </w:rPr>
      </w:pPr>
      <w:r w:rsidRPr="00891C11">
        <w:rPr>
          <w:lang w:val="it-IT"/>
        </w:rPr>
        <w:t>2. Interesi gjobë i aplikuar nga Banka e Shqipërisë për rastet e mosplotësimit të rezervës së detyruar në valutë të parashikuara në nenin 13, pika 2 dhe në nenin 15, pika 1 të kësaj rregulloreje është i barabartë me:</w:t>
      </w:r>
    </w:p>
    <w:p w:rsidR="008C563C" w:rsidRPr="00891C11" w:rsidRDefault="008C563C" w:rsidP="008C563C">
      <w:pPr>
        <w:pStyle w:val="Paragrafi"/>
        <w:rPr>
          <w:lang w:val="it-IT"/>
        </w:rPr>
      </w:pPr>
      <w:r w:rsidRPr="00891C11">
        <w:rPr>
          <w:lang w:val="it-IT"/>
        </w:rPr>
        <w:t>a) për rezervën e detyruar në euro, 200 (dyqind) pikë më i lartë se norma bazë e interesit të Bankës Qendrore Evropiane, në ditën e fundit të periudhës bazë</w:t>
      </w:r>
      <w:r w:rsidR="003444AE" w:rsidRPr="00891C11">
        <w:rPr>
          <w:lang w:val="it-IT"/>
        </w:rPr>
        <w:t>,</w:t>
      </w:r>
      <w:r w:rsidRPr="00891C11">
        <w:rPr>
          <w:lang w:val="it-IT"/>
        </w:rPr>
        <w:t xml:space="preserve"> por jo më i lartë se dyfishi i normës bazë të interesit të Bankës së Shqipërisë;</w:t>
      </w:r>
    </w:p>
    <w:p w:rsidR="008C563C" w:rsidRPr="00891C11" w:rsidRDefault="008C563C" w:rsidP="008C563C">
      <w:pPr>
        <w:pStyle w:val="Paragrafi"/>
        <w:rPr>
          <w:lang w:val="it-IT"/>
        </w:rPr>
      </w:pPr>
      <w:r w:rsidRPr="00891C11">
        <w:rPr>
          <w:lang w:val="it-IT"/>
        </w:rPr>
        <w:t>b) për rezervën e detyruar në dollarë, 200 (dyqind) pikë më i lartë se norma bazë e interesit të Bankës Federale të SHBA në ditën e fundit të periudhës bazë por jo më i lartë se dyfishi i normës bazë të interesit të Bankës së Shqipërisë.</w:t>
      </w:r>
    </w:p>
    <w:p w:rsidR="008C563C" w:rsidRPr="00891C11" w:rsidRDefault="008C563C" w:rsidP="008C563C">
      <w:pPr>
        <w:pStyle w:val="Paragrafi"/>
        <w:ind w:firstLine="0"/>
        <w:rPr>
          <w:lang w:val="it-IT"/>
        </w:rPr>
      </w:pPr>
    </w:p>
    <w:p w:rsidR="008C563C" w:rsidRPr="00891C11" w:rsidRDefault="008C563C" w:rsidP="008C563C">
      <w:pPr>
        <w:pStyle w:val="NeniNr"/>
        <w:rPr>
          <w:lang w:val="it-IT"/>
        </w:rPr>
      </w:pPr>
      <w:r w:rsidRPr="00891C11">
        <w:rPr>
          <w:lang w:val="it-IT"/>
        </w:rPr>
        <w:t>Neni 17</w:t>
      </w:r>
    </w:p>
    <w:p w:rsidR="008C563C" w:rsidRPr="00891C11" w:rsidRDefault="008C563C" w:rsidP="008C563C">
      <w:pPr>
        <w:pStyle w:val="NeniTitull"/>
        <w:rPr>
          <w:lang w:val="it-IT"/>
        </w:rPr>
      </w:pPr>
      <w:r w:rsidRPr="00891C11">
        <w:rPr>
          <w:lang w:val="it-IT"/>
        </w:rPr>
        <w:t>Njoftimi për aplikimin e interesit gjobë</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Banka e Shqipërisë njofton menjëherë bankën ndaj të cilës aplikohet interesi gjobë për gjobat e vendosura në përputhje me dispozitat e kësaj rregulloreje. Njoftimi përmban të dhëna dhe argumente mbi të cilat mbështetet aplikimi i gjobës. </w:t>
      </w:r>
    </w:p>
    <w:p w:rsidR="000D4845" w:rsidRPr="00891C11" w:rsidRDefault="000D4845" w:rsidP="008C563C">
      <w:pPr>
        <w:pStyle w:val="NeniNr"/>
        <w:rPr>
          <w:lang w:val="it-IT"/>
        </w:rPr>
      </w:pPr>
    </w:p>
    <w:p w:rsidR="008C563C" w:rsidRPr="00891C11" w:rsidRDefault="008C563C" w:rsidP="008C563C">
      <w:pPr>
        <w:pStyle w:val="NeniNr"/>
        <w:rPr>
          <w:lang w:val="it-IT"/>
        </w:rPr>
      </w:pPr>
      <w:r w:rsidRPr="00891C11">
        <w:rPr>
          <w:lang w:val="it-IT"/>
        </w:rPr>
        <w:t>Neni 18</w:t>
      </w:r>
    </w:p>
    <w:p w:rsidR="008C563C" w:rsidRPr="00891C11" w:rsidRDefault="00A94278" w:rsidP="008C563C">
      <w:pPr>
        <w:pStyle w:val="NeniTitull"/>
        <w:rPr>
          <w:lang w:val="it-IT"/>
        </w:rPr>
      </w:pPr>
      <w:r w:rsidRPr="00891C11">
        <w:rPr>
          <w:lang w:val="it-IT"/>
        </w:rPr>
        <w:t>Veprimet në kundër</w:t>
      </w:r>
      <w:r w:rsidR="008C563C" w:rsidRPr="00891C11">
        <w:rPr>
          <w:lang w:val="it-IT"/>
        </w:rPr>
        <w:t>vajtje dhe/ose shkeljet e dispozitave ligjore dhe nënligjore</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Mosparaqitja e raportit për rezervën e detyruar në afatin dhe formatin e përcaktuar në nenin 9, pikat 1 deri në 4, mospërputhja e verifikuar e të dhënave sipas nenit 15, pikat 1 deri në 3 dhe përsëritja e njoftimit për gabime më shumë se numri i përcaktuar në nenin 15, pika</w:t>
      </w:r>
      <w:r w:rsidR="00A94278" w:rsidRPr="00891C11">
        <w:rPr>
          <w:lang w:val="it-IT"/>
        </w:rPr>
        <w:t xml:space="preserve"> 4 konsiderohen veprim në kundër</w:t>
      </w:r>
      <w:r w:rsidRPr="00891C11">
        <w:rPr>
          <w:lang w:val="it-IT"/>
        </w:rPr>
        <w:t xml:space="preserve">vajtje dhe/ose shkelje e dispozitave ligjore dhe nënligjore sipas nenit 76, pika 1 shkronja “d” të ligjit “Për bankat në Republikën e Shqipërisë”. </w:t>
      </w:r>
    </w:p>
    <w:p w:rsidR="008C563C" w:rsidRPr="00891C11" w:rsidRDefault="008C563C" w:rsidP="008C563C">
      <w:pPr>
        <w:pStyle w:val="NeniNr"/>
        <w:rPr>
          <w:lang w:val="it-IT"/>
        </w:rPr>
      </w:pPr>
    </w:p>
    <w:p w:rsidR="008C563C" w:rsidRPr="00891C11" w:rsidRDefault="008C563C" w:rsidP="008C563C">
      <w:pPr>
        <w:pStyle w:val="NeniNr"/>
        <w:rPr>
          <w:lang w:val="it-IT"/>
        </w:rPr>
      </w:pPr>
      <w:r w:rsidRPr="00891C11">
        <w:rPr>
          <w:lang w:val="it-IT"/>
        </w:rPr>
        <w:t>Neni 19</w:t>
      </w:r>
    </w:p>
    <w:p w:rsidR="008C563C" w:rsidRPr="00891C11" w:rsidRDefault="008C563C" w:rsidP="008C563C">
      <w:pPr>
        <w:pStyle w:val="NeniTitull"/>
        <w:rPr>
          <w:lang w:val="it-IT"/>
        </w:rPr>
      </w:pPr>
      <w:r w:rsidRPr="00891C11">
        <w:rPr>
          <w:lang w:val="it-IT"/>
        </w:rPr>
        <w:t>E drejta e ankimimit</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Banka e c</w:t>
      </w:r>
      <w:r w:rsidR="00A94278" w:rsidRPr="00891C11">
        <w:rPr>
          <w:lang w:val="it-IT"/>
        </w:rPr>
        <w:t>e</w:t>
      </w:r>
      <w:r w:rsidRPr="00891C11">
        <w:rPr>
          <w:lang w:val="it-IT"/>
        </w:rPr>
        <w:t xml:space="preserve">nuar nga çdo akt administrativ i Bankës së Shqipërisë sipas nenit 18 të kësaj rregulloreje, ka të drejtën e ankimimit në përputhje me kushtet dhe procedurat e parashikuara në nenin 93 të ligjit nr. 9662, datë 18.12.2006 “Për bankat në Republikën e Shqipërisë”, </w:t>
      </w:r>
      <w:r w:rsidR="007E0452" w:rsidRPr="00891C11">
        <w:rPr>
          <w:lang w:val="it-IT"/>
        </w:rPr>
        <w:t>të</w:t>
      </w:r>
      <w:r w:rsidRPr="00891C11">
        <w:rPr>
          <w:lang w:val="it-IT"/>
        </w:rPr>
        <w:t xml:space="preserve"> ndryshuar.</w:t>
      </w:r>
    </w:p>
    <w:p w:rsidR="008C563C" w:rsidRPr="00891C11" w:rsidRDefault="008C563C" w:rsidP="008C563C">
      <w:pPr>
        <w:pStyle w:val="Paragrafi"/>
        <w:rPr>
          <w:lang w:val="it-IT"/>
        </w:rPr>
      </w:pPr>
    </w:p>
    <w:p w:rsidR="008C563C" w:rsidRPr="00891C11" w:rsidRDefault="008C563C" w:rsidP="008C563C">
      <w:pPr>
        <w:pStyle w:val="NeniNr"/>
        <w:rPr>
          <w:lang w:val="it-IT"/>
        </w:rPr>
      </w:pPr>
      <w:r w:rsidRPr="00891C11">
        <w:rPr>
          <w:lang w:val="it-IT"/>
        </w:rPr>
        <w:t>Neni 20</w:t>
      </w:r>
    </w:p>
    <w:p w:rsidR="008C563C" w:rsidRPr="00891C11" w:rsidRDefault="008C563C" w:rsidP="008C563C">
      <w:pPr>
        <w:pStyle w:val="NeniTitull"/>
        <w:rPr>
          <w:lang w:val="it-IT"/>
        </w:rPr>
      </w:pPr>
      <w:r w:rsidRPr="00891C11">
        <w:rPr>
          <w:lang w:val="it-IT"/>
        </w:rPr>
        <w:t>Dispozitë e fundit</w:t>
      </w:r>
    </w:p>
    <w:p w:rsidR="008C563C" w:rsidRPr="00891C11" w:rsidRDefault="008C563C" w:rsidP="008C563C">
      <w:pPr>
        <w:pStyle w:val="Paragrafi"/>
        <w:rPr>
          <w:lang w:val="it-IT"/>
        </w:rPr>
      </w:pPr>
    </w:p>
    <w:p w:rsidR="008C563C" w:rsidRPr="00891C11" w:rsidRDefault="008C563C" w:rsidP="008C563C">
      <w:pPr>
        <w:pStyle w:val="Paragrafi"/>
        <w:rPr>
          <w:lang w:val="it-IT"/>
        </w:rPr>
        <w:sectPr w:rsidR="008C563C" w:rsidRPr="00891C11" w:rsidSect="00BE29F5">
          <w:headerReference w:type="even" r:id="rId17"/>
          <w:headerReference w:type="default" r:id="rId18"/>
          <w:footerReference w:type="even" r:id="rId19"/>
          <w:footerReference w:type="default" r:id="rId20"/>
          <w:footnotePr>
            <w:numRestart w:val="eachPage"/>
          </w:footnotePr>
          <w:type w:val="continuous"/>
          <w:pgSz w:w="11907" w:h="16840" w:code="9"/>
          <w:pgMar w:top="1418" w:right="1418" w:bottom="1418" w:left="1418" w:header="1588" w:footer="1134" w:gutter="0"/>
          <w:pgNumType w:start="3227"/>
          <w:cols w:space="720"/>
          <w:docGrid w:linePitch="360"/>
        </w:sectPr>
      </w:pPr>
      <w:r w:rsidRPr="00891C11">
        <w:rPr>
          <w:lang w:val="it-IT"/>
        </w:rPr>
        <w:t>Anekset 1 dhe 2 bashkëlidhur kësaj rregulloreje janë pjesë përbërëse e saj.</w:t>
      </w:r>
    </w:p>
    <w:tbl>
      <w:tblPr>
        <w:tblW w:w="14112" w:type="dxa"/>
        <w:tblInd w:w="108" w:type="dxa"/>
        <w:tblLook w:val="04A0" w:firstRow="1" w:lastRow="0" w:firstColumn="1" w:lastColumn="0" w:noHBand="0" w:noVBand="1"/>
      </w:tblPr>
      <w:tblGrid>
        <w:gridCol w:w="635"/>
        <w:gridCol w:w="2938"/>
        <w:gridCol w:w="933"/>
        <w:gridCol w:w="750"/>
        <w:gridCol w:w="604"/>
        <w:gridCol w:w="852"/>
        <w:gridCol w:w="729"/>
        <w:gridCol w:w="650"/>
        <w:gridCol w:w="709"/>
        <w:gridCol w:w="604"/>
        <w:gridCol w:w="630"/>
        <w:gridCol w:w="670"/>
        <w:gridCol w:w="610"/>
        <w:gridCol w:w="769"/>
        <w:gridCol w:w="610"/>
        <w:gridCol w:w="650"/>
        <w:gridCol w:w="769"/>
      </w:tblGrid>
      <w:tr w:rsidR="008C563C" w:rsidRPr="00891C11">
        <w:trPr>
          <w:trHeight w:val="150"/>
        </w:trPr>
        <w:tc>
          <w:tcPr>
            <w:tcW w:w="635" w:type="dxa"/>
            <w:tcBorders>
              <w:top w:val="nil"/>
              <w:left w:val="nil"/>
              <w:bottom w:val="nil"/>
              <w:right w:val="nil"/>
            </w:tcBorders>
            <w:shd w:val="clear" w:color="auto" w:fill="auto"/>
            <w:noWrap/>
            <w:vAlign w:val="bottom"/>
          </w:tcPr>
          <w:p w:rsidR="008C563C" w:rsidRPr="00891C11" w:rsidRDefault="00665867" w:rsidP="00226FF1">
            <w:pPr>
              <w:rPr>
                <w:rFonts w:ascii="Arial" w:eastAsia="Times New Roman" w:hAnsi="Arial" w:cs="Arial"/>
                <w:sz w:val="20"/>
                <w:szCs w:val="20"/>
                <w:lang w:val="it-IT"/>
              </w:rPr>
            </w:pPr>
            <w:r>
              <w:rPr>
                <w:rFonts w:ascii="Arial" w:eastAsia="Times New Roman" w:hAnsi="Arial" w:cs="Arial"/>
                <w:noProof/>
                <w:sz w:val="20"/>
                <w:szCs w:val="20"/>
                <w:lang w:val="en-GB" w:eastAsia="en-GB"/>
              </w:rPr>
              <w:drawing>
                <wp:anchor distT="0" distB="0" distL="114300" distR="114300" simplePos="0" relativeHeight="251662336" behindDoc="0" locked="0" layoutInCell="1" allowOverlap="1">
                  <wp:simplePos x="0" y="0"/>
                  <wp:positionH relativeFrom="column">
                    <wp:posOffset>9525</wp:posOffset>
                  </wp:positionH>
                  <wp:positionV relativeFrom="paragraph">
                    <wp:posOffset>85725</wp:posOffset>
                  </wp:positionV>
                  <wp:extent cx="1847850" cy="28575"/>
                  <wp:effectExtent l="0" t="0" r="0" b="9525"/>
                  <wp:wrapNone/>
                  <wp:docPr id="20" name="L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7850" cy="28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19"/>
            </w:tblGrid>
            <w:tr w:rsidR="008C563C" w:rsidRPr="00891C11">
              <w:trPr>
                <w:trHeight w:val="150"/>
                <w:tblCellSpacing w:w="0" w:type="dxa"/>
              </w:trPr>
              <w:tc>
                <w:tcPr>
                  <w:tcW w:w="420" w:type="dxa"/>
                  <w:tcBorders>
                    <w:top w:val="nil"/>
                    <w:left w:val="nil"/>
                    <w:bottom w:val="nil"/>
                    <w:right w:val="nil"/>
                  </w:tcBorders>
                  <w:shd w:val="clear" w:color="auto" w:fill="auto"/>
                  <w:noWrap/>
                  <w:vAlign w:val="center"/>
                </w:tcPr>
                <w:p w:rsidR="008C563C" w:rsidRPr="00891C11" w:rsidRDefault="008C563C" w:rsidP="00226FF1">
                  <w:pPr>
                    <w:rPr>
                      <w:rFonts w:ascii="CG Times" w:eastAsia="Times New Roman" w:hAnsi="CG Times" w:cs="Arial"/>
                      <w:sz w:val="10"/>
                      <w:szCs w:val="10"/>
                      <w:lang w:val="it-IT"/>
                    </w:rPr>
                  </w:pPr>
                </w:p>
              </w:tc>
            </w:tr>
          </w:tbl>
          <w:p w:rsidR="008C563C" w:rsidRPr="00891C11" w:rsidRDefault="008C563C" w:rsidP="00226FF1">
            <w:pPr>
              <w:rPr>
                <w:rFonts w:ascii="Arial" w:eastAsia="Times New Roman" w:hAnsi="Arial" w:cs="Arial"/>
                <w:sz w:val="20"/>
                <w:szCs w:val="20"/>
                <w:lang w:val="it-IT"/>
              </w:rPr>
            </w:pPr>
          </w:p>
        </w:tc>
        <w:tc>
          <w:tcPr>
            <w:tcW w:w="2938" w:type="dxa"/>
            <w:tcBorders>
              <w:top w:val="nil"/>
              <w:left w:val="nil"/>
              <w:bottom w:val="nil"/>
              <w:right w:val="nil"/>
            </w:tcBorders>
            <w:shd w:val="clear" w:color="auto" w:fill="auto"/>
            <w:noWrap/>
            <w:vAlign w:val="center"/>
          </w:tcPr>
          <w:p w:rsidR="008C563C" w:rsidRPr="00891C11" w:rsidRDefault="008C563C" w:rsidP="00226FF1">
            <w:pPr>
              <w:jc w:val="center"/>
              <w:rPr>
                <w:rFonts w:ascii="CG Times" w:eastAsia="Times New Roman" w:hAnsi="CG Times" w:cs="Arial"/>
                <w:sz w:val="10"/>
                <w:szCs w:val="10"/>
                <w:lang w:val="it-IT"/>
              </w:rPr>
            </w:pPr>
          </w:p>
        </w:tc>
        <w:tc>
          <w:tcPr>
            <w:tcW w:w="933" w:type="dxa"/>
            <w:tcBorders>
              <w:top w:val="nil"/>
              <w:left w:val="nil"/>
              <w:bottom w:val="nil"/>
              <w:right w:val="nil"/>
            </w:tcBorders>
            <w:shd w:val="clear" w:color="auto" w:fill="auto"/>
            <w:noWrap/>
            <w:vAlign w:val="center"/>
          </w:tcPr>
          <w:p w:rsidR="008C563C" w:rsidRPr="00891C11" w:rsidRDefault="008C563C" w:rsidP="00226FF1">
            <w:pPr>
              <w:rPr>
                <w:rFonts w:ascii="CG Times" w:eastAsia="Times New Roman" w:hAnsi="CG Times" w:cs="Arial"/>
                <w:sz w:val="10"/>
                <w:szCs w:val="10"/>
                <w:lang w:val="it-IT"/>
              </w:rPr>
            </w:pPr>
          </w:p>
        </w:tc>
        <w:tc>
          <w:tcPr>
            <w:tcW w:w="750" w:type="dxa"/>
            <w:tcBorders>
              <w:top w:val="nil"/>
              <w:left w:val="nil"/>
              <w:bottom w:val="nil"/>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p>
        </w:tc>
        <w:tc>
          <w:tcPr>
            <w:tcW w:w="8856" w:type="dxa"/>
            <w:gridSpan w:val="13"/>
            <w:vMerge w:val="restart"/>
            <w:tcBorders>
              <w:top w:val="nil"/>
              <w:left w:val="nil"/>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xml:space="preserve">                                        ANEKSI 1</w:t>
            </w:r>
          </w:p>
          <w:p w:rsidR="008C563C" w:rsidRPr="00891C11" w:rsidRDefault="008C563C" w:rsidP="00226FF1">
            <w:pPr>
              <w:rPr>
                <w:rFonts w:ascii="CG Times" w:eastAsia="Times New Roman" w:hAnsi="CG Times" w:cs="Arial"/>
                <w:sz w:val="10"/>
                <w:szCs w:val="10"/>
                <w:lang w:val="it-IT"/>
              </w:rPr>
            </w:pPr>
          </w:p>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b/>
                <w:bCs/>
                <w:sz w:val="10"/>
                <w:szCs w:val="10"/>
                <w:lang w:val="it-IT"/>
              </w:rPr>
              <w:t>Pasqyra e llogaritjes së rezervës së detyruar në LEKË, USD dhe EURO</w:t>
            </w:r>
          </w:p>
        </w:tc>
      </w:tr>
      <w:tr w:rsidR="008C563C" w:rsidRPr="00905C36">
        <w:trPr>
          <w:trHeight w:val="102"/>
        </w:trPr>
        <w:tc>
          <w:tcPr>
            <w:tcW w:w="3573" w:type="dxa"/>
            <w:gridSpan w:val="2"/>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b/>
                <w:bCs/>
                <w:sz w:val="10"/>
                <w:szCs w:val="10"/>
              </w:rPr>
            </w:pPr>
            <w:r w:rsidRPr="00905C36">
              <w:rPr>
                <w:rFonts w:ascii="CG Times" w:eastAsia="Times New Roman" w:hAnsi="CG Times" w:cs="Arial"/>
                <w:b/>
                <w:bCs/>
                <w:sz w:val="10"/>
                <w:szCs w:val="10"/>
              </w:rPr>
              <w:t>(emri i bankës)</w:t>
            </w:r>
          </w:p>
        </w:tc>
        <w:tc>
          <w:tcPr>
            <w:tcW w:w="933" w:type="dxa"/>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856" w:type="dxa"/>
            <w:gridSpan w:val="13"/>
            <w:vMerge/>
            <w:tcBorders>
              <w:left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905C36">
        <w:trPr>
          <w:trHeight w:val="143"/>
        </w:trPr>
        <w:tc>
          <w:tcPr>
            <w:tcW w:w="635" w:type="dxa"/>
            <w:tcBorders>
              <w:top w:val="nil"/>
              <w:left w:val="nil"/>
              <w:bottom w:val="nil"/>
              <w:right w:val="nil"/>
            </w:tcBorders>
            <w:shd w:val="clear" w:color="auto" w:fill="auto"/>
            <w:noWrap/>
            <w:vAlign w:val="bottom"/>
          </w:tcPr>
          <w:p w:rsidR="008C563C" w:rsidRPr="00905C36" w:rsidRDefault="00665867" w:rsidP="00226FF1">
            <w:pPr>
              <w:rPr>
                <w:rFonts w:ascii="Arial" w:eastAsia="Times New Roman" w:hAnsi="Arial" w:cs="Arial"/>
                <w:sz w:val="20"/>
                <w:szCs w:val="20"/>
              </w:rPr>
            </w:pPr>
            <w:r>
              <w:rPr>
                <w:rFonts w:ascii="Arial" w:eastAsia="Times New Roman" w:hAnsi="Arial" w:cs="Arial"/>
                <w:noProof/>
                <w:sz w:val="20"/>
                <w:szCs w:val="20"/>
                <w:lang w:val="en-GB" w:eastAsia="en-GB"/>
              </w:rPr>
              <w:drawing>
                <wp:anchor distT="0" distB="0" distL="114300" distR="114300" simplePos="0" relativeHeight="251663360" behindDoc="0" locked="0" layoutInCell="1" allowOverlap="1">
                  <wp:simplePos x="0" y="0"/>
                  <wp:positionH relativeFrom="column">
                    <wp:posOffset>19050</wp:posOffset>
                  </wp:positionH>
                  <wp:positionV relativeFrom="paragraph">
                    <wp:posOffset>28575</wp:posOffset>
                  </wp:positionV>
                  <wp:extent cx="1838325" cy="28575"/>
                  <wp:effectExtent l="0" t="0" r="9525" b="9525"/>
                  <wp:wrapNone/>
                  <wp:docPr id="19" name="L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8325" cy="28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419"/>
            </w:tblGrid>
            <w:tr w:rsidR="008C563C" w:rsidRPr="00905C36">
              <w:trPr>
                <w:trHeight w:val="60"/>
                <w:tblCellSpacing w:w="0" w:type="dxa"/>
              </w:trPr>
              <w:tc>
                <w:tcPr>
                  <w:tcW w:w="420" w:type="dxa"/>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sz w:val="10"/>
                      <w:szCs w:val="10"/>
                    </w:rPr>
                  </w:pPr>
                </w:p>
              </w:tc>
            </w:tr>
          </w:tbl>
          <w:p w:rsidR="008C563C" w:rsidRPr="00905C36" w:rsidRDefault="008C563C" w:rsidP="00226FF1">
            <w:pPr>
              <w:rPr>
                <w:rFonts w:ascii="Arial" w:eastAsia="Times New Roman" w:hAnsi="Arial" w:cs="Arial"/>
                <w:sz w:val="20"/>
                <w:szCs w:val="20"/>
              </w:rPr>
            </w:pPr>
          </w:p>
        </w:tc>
        <w:tc>
          <w:tcPr>
            <w:tcW w:w="2938" w:type="dxa"/>
            <w:tcBorders>
              <w:top w:val="nil"/>
              <w:left w:val="nil"/>
              <w:bottom w:val="nil"/>
              <w:right w:val="nil"/>
            </w:tcBorders>
            <w:shd w:val="clear" w:color="auto" w:fill="auto"/>
            <w:noWrap/>
            <w:vAlign w:val="center"/>
          </w:tcPr>
          <w:p w:rsidR="008C563C" w:rsidRPr="00905C36" w:rsidRDefault="008C563C" w:rsidP="00226FF1">
            <w:pPr>
              <w:jc w:val="center"/>
              <w:rPr>
                <w:rFonts w:ascii="CG Times" w:eastAsia="Times New Roman" w:hAnsi="CG Times" w:cs="Arial"/>
                <w:sz w:val="10"/>
                <w:szCs w:val="10"/>
              </w:rPr>
            </w:pPr>
          </w:p>
        </w:tc>
        <w:tc>
          <w:tcPr>
            <w:tcW w:w="933" w:type="dxa"/>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856" w:type="dxa"/>
            <w:gridSpan w:val="13"/>
            <w:vMerge/>
            <w:tcBorders>
              <w:left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905C36">
        <w:trPr>
          <w:trHeight w:val="102"/>
        </w:trPr>
        <w:tc>
          <w:tcPr>
            <w:tcW w:w="3573" w:type="dxa"/>
            <w:gridSpan w:val="2"/>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b/>
                <w:bCs/>
                <w:sz w:val="10"/>
                <w:szCs w:val="10"/>
              </w:rPr>
            </w:pPr>
            <w:r w:rsidRPr="00905C36">
              <w:rPr>
                <w:rFonts w:ascii="CG Times" w:eastAsia="Times New Roman" w:hAnsi="CG Times" w:cs="Arial"/>
                <w:b/>
                <w:bCs/>
                <w:sz w:val="10"/>
                <w:szCs w:val="10"/>
              </w:rPr>
              <w:t>(emri i departamentit)</w:t>
            </w:r>
          </w:p>
        </w:tc>
        <w:tc>
          <w:tcPr>
            <w:tcW w:w="933" w:type="dxa"/>
            <w:tcBorders>
              <w:top w:val="nil"/>
              <w:left w:val="nil"/>
              <w:bottom w:val="nil"/>
              <w:right w:val="nil"/>
            </w:tcBorders>
            <w:shd w:val="clear" w:color="auto" w:fill="auto"/>
            <w:noWrap/>
            <w:vAlign w:val="center"/>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856" w:type="dxa"/>
            <w:gridSpan w:val="13"/>
            <w:vMerge/>
            <w:tcBorders>
              <w:left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905C36">
        <w:trPr>
          <w:trHeight w:val="90"/>
        </w:trPr>
        <w:tc>
          <w:tcPr>
            <w:tcW w:w="635"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2938"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933"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856" w:type="dxa"/>
            <w:gridSpan w:val="13"/>
            <w:vMerge/>
            <w:tcBorders>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905C36">
        <w:trPr>
          <w:trHeight w:val="15"/>
        </w:trPr>
        <w:tc>
          <w:tcPr>
            <w:tcW w:w="635"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2938"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933"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52"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2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0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3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7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891C11">
        <w:trPr>
          <w:trHeight w:val="317"/>
        </w:trPr>
        <w:tc>
          <w:tcPr>
            <w:tcW w:w="635" w:type="dxa"/>
            <w:tcBorders>
              <w:top w:val="single" w:sz="8" w:space="0" w:color="auto"/>
              <w:left w:val="single" w:sz="8" w:space="0" w:color="auto"/>
              <w:bottom w:val="single" w:sz="4" w:space="0" w:color="auto"/>
              <w:right w:val="nil"/>
            </w:tcBorders>
            <w:shd w:val="clear" w:color="auto" w:fill="auto"/>
            <w:noWrap/>
            <w:vAlign w:val="center"/>
          </w:tcPr>
          <w:p w:rsidR="008C563C" w:rsidRPr="00905C36" w:rsidRDefault="008C563C" w:rsidP="00226FF1">
            <w:pPr>
              <w:jc w:val="center"/>
              <w:rPr>
                <w:rFonts w:ascii="CG Times" w:eastAsia="Times New Roman" w:hAnsi="CG Times" w:cs="Arial"/>
                <w:sz w:val="10"/>
                <w:szCs w:val="10"/>
              </w:rPr>
            </w:pPr>
          </w:p>
        </w:tc>
        <w:tc>
          <w:tcPr>
            <w:tcW w:w="2938" w:type="dxa"/>
            <w:tcBorders>
              <w:top w:val="single" w:sz="8" w:space="0" w:color="auto"/>
              <w:left w:val="nil"/>
              <w:bottom w:val="single" w:sz="4" w:space="0" w:color="auto"/>
              <w:right w:val="nil"/>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KATEGORITE E PASIVEVE</w:t>
            </w:r>
          </w:p>
        </w:tc>
        <w:tc>
          <w:tcPr>
            <w:tcW w:w="2287"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Pr>
                <w:rFonts w:ascii="CG Times" w:eastAsia="Times New Roman" w:hAnsi="CG Times" w:cs="Arial"/>
                <w:b/>
                <w:bCs/>
                <w:sz w:val="10"/>
                <w:szCs w:val="10"/>
              </w:rPr>
              <w:t>LEKË</w:t>
            </w:r>
          </w:p>
        </w:tc>
        <w:tc>
          <w:tcPr>
            <w:tcW w:w="852" w:type="dxa"/>
            <w:vMerge w:val="restart"/>
            <w:tcBorders>
              <w:top w:val="single" w:sz="8" w:space="0" w:color="auto"/>
              <w:left w:val="single" w:sz="8" w:space="0" w:color="auto"/>
              <w:bottom w:val="single" w:sz="4" w:space="0" w:color="000000"/>
              <w:right w:val="single" w:sz="8" w:space="0" w:color="auto"/>
            </w:tcBorders>
            <w:shd w:val="clear" w:color="auto" w:fill="auto"/>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Norma e rezervës së detyruar</w:t>
            </w:r>
          </w:p>
        </w:tc>
        <w:tc>
          <w:tcPr>
            <w:tcW w:w="729" w:type="dxa"/>
            <w:vMerge w:val="restart"/>
            <w:tcBorders>
              <w:top w:val="single" w:sz="8" w:space="0" w:color="auto"/>
              <w:left w:val="single" w:sz="8" w:space="0" w:color="auto"/>
              <w:bottom w:val="single" w:sz="4" w:space="0" w:color="000000"/>
              <w:right w:val="single" w:sz="8" w:space="0" w:color="auto"/>
            </w:tcBorders>
            <w:shd w:val="clear" w:color="000000" w:fill="FFFF99"/>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Rezerva e detyruar në LEKE</w:t>
            </w:r>
          </w:p>
        </w:tc>
        <w:tc>
          <w:tcPr>
            <w:tcW w:w="1963" w:type="dxa"/>
            <w:gridSpan w:val="3"/>
            <w:tcBorders>
              <w:top w:val="single" w:sz="8" w:space="0" w:color="auto"/>
              <w:left w:val="nil"/>
              <w:bottom w:val="single" w:sz="4" w:space="0" w:color="auto"/>
              <w:right w:val="single" w:sz="8" w:space="0" w:color="000000"/>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USD</w:t>
            </w:r>
          </w:p>
        </w:tc>
        <w:tc>
          <w:tcPr>
            <w:tcW w:w="630" w:type="dxa"/>
            <w:vMerge w:val="restart"/>
            <w:tcBorders>
              <w:top w:val="single" w:sz="8" w:space="0" w:color="auto"/>
              <w:left w:val="single" w:sz="8" w:space="0" w:color="auto"/>
              <w:bottom w:val="single" w:sz="4" w:space="0" w:color="000000"/>
              <w:right w:val="single" w:sz="8" w:space="0" w:color="auto"/>
            </w:tcBorders>
            <w:shd w:val="clear" w:color="auto" w:fill="auto"/>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Norma e rezervës së detyruar</w:t>
            </w:r>
          </w:p>
        </w:tc>
        <w:tc>
          <w:tcPr>
            <w:tcW w:w="670" w:type="dxa"/>
            <w:vMerge w:val="restart"/>
            <w:tcBorders>
              <w:top w:val="single" w:sz="8" w:space="0" w:color="auto"/>
              <w:left w:val="single" w:sz="8" w:space="0" w:color="auto"/>
              <w:bottom w:val="single" w:sz="4" w:space="0" w:color="000000"/>
              <w:right w:val="single" w:sz="8" w:space="0" w:color="auto"/>
            </w:tcBorders>
            <w:shd w:val="clear" w:color="000000" w:fill="CCFFCC"/>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Rezerva e detyruar në USD</w:t>
            </w:r>
          </w:p>
        </w:tc>
        <w:tc>
          <w:tcPr>
            <w:tcW w:w="1989" w:type="dxa"/>
            <w:gridSpan w:val="3"/>
            <w:tcBorders>
              <w:top w:val="single" w:sz="8" w:space="0" w:color="auto"/>
              <w:left w:val="nil"/>
              <w:bottom w:val="single" w:sz="4" w:space="0" w:color="auto"/>
              <w:right w:val="single" w:sz="8" w:space="0" w:color="000000"/>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EURO</w:t>
            </w:r>
          </w:p>
        </w:tc>
        <w:tc>
          <w:tcPr>
            <w:tcW w:w="650" w:type="dxa"/>
            <w:vMerge w:val="restart"/>
            <w:tcBorders>
              <w:top w:val="single" w:sz="8" w:space="0" w:color="auto"/>
              <w:left w:val="nil"/>
              <w:bottom w:val="single" w:sz="4" w:space="0" w:color="000000"/>
              <w:right w:val="single" w:sz="8" w:space="0" w:color="auto"/>
            </w:tcBorders>
            <w:shd w:val="clear" w:color="auto" w:fill="auto"/>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Norma e rezervës së detyruar</w:t>
            </w:r>
          </w:p>
        </w:tc>
        <w:tc>
          <w:tcPr>
            <w:tcW w:w="769" w:type="dxa"/>
            <w:vMerge w:val="restart"/>
            <w:tcBorders>
              <w:top w:val="single" w:sz="8" w:space="0" w:color="auto"/>
              <w:left w:val="single" w:sz="8" w:space="0" w:color="auto"/>
              <w:bottom w:val="single" w:sz="4" w:space="0" w:color="000000"/>
              <w:right w:val="single" w:sz="8" w:space="0" w:color="auto"/>
            </w:tcBorders>
            <w:shd w:val="clear" w:color="000000" w:fill="CCFFFF"/>
            <w:vAlign w:val="center"/>
          </w:tcPr>
          <w:p w:rsidR="008C563C" w:rsidRPr="00891C11" w:rsidRDefault="008C563C" w:rsidP="00226FF1">
            <w:pPr>
              <w:jc w:val="center"/>
              <w:rPr>
                <w:rFonts w:ascii="CG Times" w:eastAsia="Times New Roman" w:hAnsi="CG Times" w:cs="Arial"/>
                <w:b/>
                <w:bCs/>
                <w:sz w:val="10"/>
                <w:szCs w:val="10"/>
                <w:lang w:val="it-IT"/>
              </w:rPr>
            </w:pPr>
            <w:r w:rsidRPr="00891C11">
              <w:rPr>
                <w:rFonts w:ascii="CG Times" w:eastAsia="Times New Roman" w:hAnsi="CG Times" w:cs="Arial"/>
                <w:b/>
                <w:bCs/>
                <w:sz w:val="10"/>
                <w:szCs w:val="10"/>
                <w:lang w:val="it-IT"/>
              </w:rPr>
              <w:t>Rezerva e detyruar në EURO</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sz w:val="10"/>
                <w:szCs w:val="10"/>
              </w:rPr>
            </w:pPr>
            <w:r w:rsidRPr="00905C36">
              <w:rPr>
                <w:rFonts w:ascii="CG Times" w:eastAsia="Times New Roman" w:hAnsi="CG Times" w:cs="Arial"/>
                <w:b/>
                <w:bCs/>
                <w:sz w:val="10"/>
                <w:szCs w:val="10"/>
              </w:rPr>
              <w:t>27</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sz w:val="10"/>
                <w:szCs w:val="10"/>
              </w:rPr>
            </w:pPr>
            <w:r w:rsidRPr="00905C36">
              <w:rPr>
                <w:rFonts w:ascii="CG Times" w:eastAsia="Times New Roman" w:hAnsi="CG Times" w:cs="Arial"/>
                <w:b/>
                <w:bCs/>
                <w:sz w:val="10"/>
                <w:szCs w:val="10"/>
              </w:rPr>
              <w:t>Detyrime ndaj klientëve për llogaritë rrjedhëse dhe depozitat</w:t>
            </w:r>
          </w:p>
        </w:tc>
        <w:tc>
          <w:tcPr>
            <w:tcW w:w="933" w:type="dxa"/>
            <w:tcBorders>
              <w:top w:val="nil"/>
              <w:left w:val="single" w:sz="8" w:space="0" w:color="auto"/>
              <w:bottom w:val="single" w:sz="4" w:space="0" w:color="auto"/>
              <w:right w:val="single" w:sz="4"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Rezident</w:t>
            </w:r>
          </w:p>
        </w:tc>
        <w:tc>
          <w:tcPr>
            <w:tcW w:w="750" w:type="dxa"/>
            <w:tcBorders>
              <w:top w:val="nil"/>
              <w:left w:val="single" w:sz="8" w:space="0" w:color="auto"/>
              <w:bottom w:val="single" w:sz="4" w:space="0" w:color="auto"/>
              <w:right w:val="nil"/>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Jorezident</w:t>
            </w:r>
          </w:p>
        </w:tc>
        <w:tc>
          <w:tcPr>
            <w:tcW w:w="604" w:type="dxa"/>
            <w:tcBorders>
              <w:top w:val="nil"/>
              <w:left w:val="single" w:sz="4" w:space="0" w:color="auto"/>
              <w:bottom w:val="single" w:sz="4" w:space="0" w:color="auto"/>
              <w:right w:val="single" w:sz="4"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TOTALI</w:t>
            </w:r>
          </w:p>
        </w:tc>
        <w:tc>
          <w:tcPr>
            <w:tcW w:w="852" w:type="dxa"/>
            <w:vMerge/>
            <w:tcBorders>
              <w:top w:val="single" w:sz="8" w:space="0" w:color="auto"/>
              <w:left w:val="single" w:sz="8" w:space="0" w:color="auto"/>
              <w:bottom w:val="single" w:sz="4" w:space="0" w:color="000000"/>
              <w:right w:val="single" w:sz="8" w:space="0" w:color="auto"/>
            </w:tcBorders>
            <w:vAlign w:val="center"/>
          </w:tcPr>
          <w:p w:rsidR="008C563C" w:rsidRPr="00905C36" w:rsidRDefault="008C563C" w:rsidP="00226FF1">
            <w:pPr>
              <w:jc w:val="center"/>
              <w:rPr>
                <w:rFonts w:ascii="CG Times" w:eastAsia="Times New Roman" w:hAnsi="CG Times" w:cs="Arial"/>
                <w:b/>
                <w:bCs/>
                <w:sz w:val="10"/>
                <w:szCs w:val="10"/>
              </w:rPr>
            </w:pPr>
          </w:p>
        </w:tc>
        <w:tc>
          <w:tcPr>
            <w:tcW w:w="729" w:type="dxa"/>
            <w:vMerge/>
            <w:tcBorders>
              <w:top w:val="single" w:sz="8" w:space="0" w:color="auto"/>
              <w:left w:val="single" w:sz="8" w:space="0" w:color="auto"/>
              <w:bottom w:val="single" w:sz="4" w:space="0" w:color="000000"/>
              <w:right w:val="single" w:sz="8" w:space="0" w:color="auto"/>
            </w:tcBorders>
            <w:vAlign w:val="center"/>
          </w:tcPr>
          <w:p w:rsidR="008C563C" w:rsidRPr="00905C36" w:rsidRDefault="008C563C" w:rsidP="00226FF1">
            <w:pPr>
              <w:jc w:val="center"/>
              <w:rPr>
                <w:rFonts w:ascii="CG Times" w:eastAsia="Times New Roman" w:hAnsi="CG Times" w:cs="Arial"/>
                <w:b/>
                <w:bCs/>
                <w:sz w:val="10"/>
                <w:szCs w:val="10"/>
              </w:rPr>
            </w:pPr>
          </w:p>
        </w:tc>
        <w:tc>
          <w:tcPr>
            <w:tcW w:w="650" w:type="dxa"/>
            <w:tcBorders>
              <w:top w:val="nil"/>
              <w:left w:val="nil"/>
              <w:bottom w:val="single" w:sz="4" w:space="0" w:color="auto"/>
              <w:right w:val="single" w:sz="4"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Rezident</w:t>
            </w:r>
          </w:p>
        </w:tc>
        <w:tc>
          <w:tcPr>
            <w:tcW w:w="709" w:type="dxa"/>
            <w:tcBorders>
              <w:top w:val="nil"/>
              <w:left w:val="single" w:sz="8" w:space="0" w:color="auto"/>
              <w:bottom w:val="single" w:sz="4" w:space="0" w:color="auto"/>
              <w:right w:val="nil"/>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Jorezident</w:t>
            </w:r>
          </w:p>
        </w:tc>
        <w:tc>
          <w:tcPr>
            <w:tcW w:w="604" w:type="dxa"/>
            <w:tcBorders>
              <w:top w:val="nil"/>
              <w:left w:val="single" w:sz="4" w:space="0" w:color="auto"/>
              <w:bottom w:val="single" w:sz="4" w:space="0" w:color="auto"/>
              <w:right w:val="single" w:sz="4"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TOTALI</w:t>
            </w:r>
          </w:p>
        </w:tc>
        <w:tc>
          <w:tcPr>
            <w:tcW w:w="630" w:type="dxa"/>
            <w:vMerge/>
            <w:tcBorders>
              <w:top w:val="single" w:sz="8" w:space="0" w:color="auto"/>
              <w:left w:val="single" w:sz="8" w:space="0" w:color="auto"/>
              <w:bottom w:val="single" w:sz="4" w:space="0" w:color="000000"/>
              <w:right w:val="single" w:sz="8" w:space="0" w:color="auto"/>
            </w:tcBorders>
            <w:vAlign w:val="center"/>
          </w:tcPr>
          <w:p w:rsidR="008C563C" w:rsidRPr="00905C36" w:rsidRDefault="008C563C" w:rsidP="00226FF1">
            <w:pPr>
              <w:jc w:val="center"/>
              <w:rPr>
                <w:rFonts w:ascii="CG Times" w:eastAsia="Times New Roman" w:hAnsi="CG Times" w:cs="Arial"/>
                <w:b/>
                <w:bCs/>
                <w:sz w:val="10"/>
                <w:szCs w:val="10"/>
              </w:rPr>
            </w:pPr>
          </w:p>
        </w:tc>
        <w:tc>
          <w:tcPr>
            <w:tcW w:w="670" w:type="dxa"/>
            <w:vMerge/>
            <w:tcBorders>
              <w:top w:val="single" w:sz="8" w:space="0" w:color="auto"/>
              <w:left w:val="single" w:sz="8" w:space="0" w:color="auto"/>
              <w:bottom w:val="single" w:sz="4" w:space="0" w:color="000000"/>
              <w:right w:val="single" w:sz="8" w:space="0" w:color="auto"/>
            </w:tcBorders>
            <w:vAlign w:val="center"/>
          </w:tcPr>
          <w:p w:rsidR="008C563C" w:rsidRPr="00905C36" w:rsidRDefault="008C563C" w:rsidP="00226FF1">
            <w:pPr>
              <w:jc w:val="center"/>
              <w:rPr>
                <w:rFonts w:ascii="CG Times" w:eastAsia="Times New Roman" w:hAnsi="CG Times" w:cs="Arial"/>
                <w:b/>
                <w:bCs/>
                <w:sz w:val="10"/>
                <w:szCs w:val="10"/>
              </w:rPr>
            </w:pPr>
          </w:p>
        </w:tc>
        <w:tc>
          <w:tcPr>
            <w:tcW w:w="610" w:type="dxa"/>
            <w:tcBorders>
              <w:top w:val="nil"/>
              <w:left w:val="nil"/>
              <w:bottom w:val="single" w:sz="4" w:space="0" w:color="auto"/>
              <w:right w:val="single" w:sz="4"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Rezident</w:t>
            </w:r>
          </w:p>
        </w:tc>
        <w:tc>
          <w:tcPr>
            <w:tcW w:w="769" w:type="dxa"/>
            <w:tcBorders>
              <w:top w:val="nil"/>
              <w:left w:val="single" w:sz="8" w:space="0" w:color="auto"/>
              <w:bottom w:val="single" w:sz="4" w:space="0" w:color="auto"/>
              <w:right w:val="nil"/>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Jorezident</w:t>
            </w:r>
          </w:p>
        </w:tc>
        <w:tc>
          <w:tcPr>
            <w:tcW w:w="610" w:type="dxa"/>
            <w:tcBorders>
              <w:top w:val="nil"/>
              <w:left w:val="single" w:sz="4" w:space="0" w:color="auto"/>
              <w:bottom w:val="single" w:sz="4" w:space="0" w:color="auto"/>
              <w:right w:val="single" w:sz="8" w:space="0" w:color="auto"/>
            </w:tcBorders>
            <w:shd w:val="clear" w:color="auto" w:fill="auto"/>
            <w:noWrap/>
            <w:vAlign w:val="center"/>
          </w:tcPr>
          <w:p w:rsidR="008C563C" w:rsidRPr="00905C36" w:rsidRDefault="008C563C" w:rsidP="00226FF1">
            <w:pPr>
              <w:jc w:val="center"/>
              <w:rPr>
                <w:rFonts w:ascii="CG Times" w:eastAsia="Times New Roman" w:hAnsi="CG Times" w:cs="Arial"/>
                <w:b/>
                <w:bCs/>
                <w:sz w:val="10"/>
                <w:szCs w:val="10"/>
              </w:rPr>
            </w:pPr>
            <w:r w:rsidRPr="00905C36">
              <w:rPr>
                <w:rFonts w:ascii="CG Times" w:eastAsia="Times New Roman" w:hAnsi="CG Times" w:cs="Arial"/>
                <w:b/>
                <w:bCs/>
                <w:sz w:val="10"/>
                <w:szCs w:val="10"/>
              </w:rPr>
              <w:t>TOTALI</w:t>
            </w:r>
          </w:p>
        </w:tc>
        <w:tc>
          <w:tcPr>
            <w:tcW w:w="650" w:type="dxa"/>
            <w:vMerge/>
            <w:tcBorders>
              <w:top w:val="single" w:sz="8" w:space="0" w:color="auto"/>
              <w:left w:val="nil"/>
              <w:bottom w:val="single" w:sz="4" w:space="0" w:color="000000"/>
              <w:right w:val="single" w:sz="8" w:space="0" w:color="auto"/>
            </w:tcBorders>
            <w:vAlign w:val="center"/>
          </w:tcPr>
          <w:p w:rsidR="008C563C" w:rsidRPr="00905C36" w:rsidRDefault="008C563C" w:rsidP="00226FF1">
            <w:pPr>
              <w:rPr>
                <w:rFonts w:ascii="CG Times" w:eastAsia="Times New Roman" w:hAnsi="CG Times" w:cs="Arial"/>
                <w:b/>
                <w:bCs/>
                <w:sz w:val="10"/>
                <w:szCs w:val="10"/>
              </w:rPr>
            </w:pPr>
          </w:p>
        </w:tc>
        <w:tc>
          <w:tcPr>
            <w:tcW w:w="769" w:type="dxa"/>
            <w:vMerge/>
            <w:tcBorders>
              <w:top w:val="single" w:sz="8" w:space="0" w:color="auto"/>
              <w:left w:val="single" w:sz="8" w:space="0" w:color="auto"/>
              <w:bottom w:val="single" w:sz="4" w:space="0" w:color="000000"/>
              <w:right w:val="single" w:sz="8" w:space="0" w:color="auto"/>
            </w:tcBorders>
            <w:vAlign w:val="center"/>
          </w:tcPr>
          <w:p w:rsidR="008C563C" w:rsidRPr="00905C36" w:rsidRDefault="008C563C" w:rsidP="00226FF1">
            <w:pPr>
              <w:rPr>
                <w:rFonts w:ascii="CG Times" w:eastAsia="Times New Roman" w:hAnsi="CG Times" w:cs="Arial"/>
                <w:b/>
                <w:bCs/>
                <w:sz w:val="10"/>
                <w:szCs w:val="10"/>
              </w:rPr>
            </w:pP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271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Llogari rrjedhëse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2711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Individë</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2712</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private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2713</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publike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2714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Punonjës të bankës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2717</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Klientë të tjerë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272</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Llogari depozitash pa afat</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2721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Individë</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2722</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private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2723</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publike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2724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Punonjës të bankës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2727</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Klientë të tjerë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273</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Llogari depozitash me afat</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2731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Individë</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Depozita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2732</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private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Depozita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2733</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Njësi tregtare dhe industriale publike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Depozita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2734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Punonjës të bankës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Depozita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2737</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Klientë të tjerë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Depozita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color w:val="000080"/>
                <w:sz w:val="10"/>
                <w:szCs w:val="10"/>
              </w:rPr>
            </w:pPr>
            <w:r w:rsidRPr="00905C36">
              <w:rPr>
                <w:rFonts w:ascii="CG Times" w:eastAsia="Times New Roman" w:hAnsi="CG Times" w:cs="Arial"/>
                <w:b/>
                <w:bCs/>
                <w:color w:val="000080"/>
                <w:sz w:val="10"/>
                <w:szCs w:val="10"/>
              </w:rPr>
              <w:t>274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jc w:val="both"/>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Certifikatat e depozitave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i/>
                <w:iCs/>
                <w:sz w:val="10"/>
                <w:szCs w:val="10"/>
              </w:rPr>
            </w:pPr>
            <w:r w:rsidRPr="00905C36">
              <w:rPr>
                <w:rFonts w:ascii="CG Times" w:eastAsia="Times New Roman" w:hAnsi="CG Times" w:cs="Arial"/>
                <w:i/>
                <w:iCs/>
                <w:sz w:val="10"/>
                <w:szCs w:val="10"/>
              </w:rPr>
              <w:t>2741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i/>
                <w:iCs/>
                <w:sz w:val="10"/>
                <w:szCs w:val="10"/>
              </w:rPr>
            </w:pPr>
            <w:r w:rsidRPr="00905C36">
              <w:rPr>
                <w:rFonts w:ascii="CG Times" w:eastAsia="Times New Roman" w:hAnsi="CG Times" w:cs="Arial"/>
                <w:i/>
                <w:iCs/>
                <w:sz w:val="10"/>
                <w:szCs w:val="10"/>
              </w:rPr>
              <w:t>Certifikatat e depozitave emërore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27411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              Individë</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Certifikatat e depozitave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27412</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xml:space="preserve">              Njësi tregtare dhe industriale private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jc w:val="right"/>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Certifikatat e depozitave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27413</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xml:space="preserve">              Njësi tregtare dhe industriale publike</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jc w:val="right"/>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Certifikatat e depozitave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27414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              Punonjës të bankës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Certifikatat e depozitave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27415</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              Klientë të tjerë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i/>
                <w:iCs/>
                <w:sz w:val="10"/>
                <w:szCs w:val="10"/>
                <w:lang w:val="it-IT"/>
              </w:rPr>
            </w:pPr>
            <w:r w:rsidRPr="00891C11">
              <w:rPr>
                <w:rFonts w:ascii="CG Times" w:eastAsia="Times New Roman" w:hAnsi="CG Times" w:cs="Arial"/>
                <w:i/>
                <w:iCs/>
                <w:sz w:val="10"/>
                <w:szCs w:val="10"/>
                <w:lang w:val="it-IT"/>
              </w:rPr>
              <w:t xml:space="preserve">Certifikatat e depozitave me afat maturimi mbi 2 vjet </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891C11">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i/>
                <w:iCs/>
                <w:sz w:val="10"/>
                <w:szCs w:val="10"/>
              </w:rPr>
            </w:pPr>
            <w:r w:rsidRPr="00905C36">
              <w:rPr>
                <w:rFonts w:ascii="CG Times" w:eastAsia="Times New Roman" w:hAnsi="CG Times" w:cs="Arial"/>
                <w:i/>
                <w:iCs/>
                <w:sz w:val="10"/>
                <w:szCs w:val="10"/>
              </w:rPr>
              <w:t>2742</w:t>
            </w:r>
          </w:p>
        </w:tc>
        <w:tc>
          <w:tcPr>
            <w:tcW w:w="2938" w:type="dxa"/>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eastAsia="Times New Roman" w:hAnsi="CG Times" w:cs="Arial"/>
                <w:b/>
                <w:bCs/>
                <w:i/>
                <w:iCs/>
                <w:sz w:val="10"/>
                <w:szCs w:val="10"/>
                <w:lang w:val="it-IT"/>
              </w:rPr>
            </w:pPr>
            <w:r w:rsidRPr="00891C11">
              <w:rPr>
                <w:rFonts w:ascii="CG Times" w:eastAsia="Times New Roman" w:hAnsi="CG Times" w:cs="Arial"/>
                <w:b/>
                <w:bCs/>
                <w:i/>
                <w:iCs/>
                <w:sz w:val="10"/>
                <w:szCs w:val="10"/>
                <w:lang w:val="it-IT"/>
              </w:rPr>
              <w:t>Certifikatat e depozitave të mbajtësit</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891C11" w:rsidRDefault="008C563C" w:rsidP="00226FF1">
            <w:pPr>
              <w:rPr>
                <w:rFonts w:ascii="CG Times" w:eastAsia="Times New Roman" w:hAnsi="CG Times" w:cs="Arial"/>
                <w:sz w:val="10"/>
                <w:szCs w:val="10"/>
                <w:lang w:val="it-IT"/>
              </w:rPr>
            </w:pPr>
            <w:r w:rsidRPr="00891C11">
              <w:rPr>
                <w:rFonts w:ascii="CG Times" w:eastAsia="Times New Roman" w:hAnsi="CG Times" w:cs="Arial"/>
                <w:sz w:val="10"/>
                <w:szCs w:val="10"/>
                <w:lang w:val="it-IT"/>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sz w:val="10"/>
                <w:szCs w:val="10"/>
              </w:rPr>
            </w:pPr>
            <w:r w:rsidRPr="00905C36">
              <w:rPr>
                <w:rFonts w:ascii="CG Times" w:eastAsia="Times New Roman" w:hAnsi="CG Times" w:cs="Arial"/>
                <w:sz w:val="10"/>
                <w:szCs w:val="10"/>
              </w:rPr>
              <w:t>27421</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xml:space="preserve">               Kryegjëja</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sz w:val="10"/>
                <w:szCs w:val="10"/>
              </w:rPr>
            </w:pPr>
            <w:r w:rsidRPr="00905C36">
              <w:rPr>
                <w:rFonts w:ascii="CG Times" w:eastAsia="Times New Roman" w:hAnsi="CG Times" w:cs="Arial"/>
                <w:b/>
                <w:bCs/>
                <w:sz w:val="10"/>
                <w:szCs w:val="10"/>
              </w:rPr>
              <w:t>34</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sz w:val="10"/>
                <w:szCs w:val="10"/>
              </w:rPr>
            </w:pPr>
            <w:r w:rsidRPr="00905C36">
              <w:rPr>
                <w:rFonts w:ascii="CG Times" w:eastAsia="Times New Roman" w:hAnsi="CG Times" w:cs="Arial"/>
                <w:b/>
                <w:bCs/>
                <w:sz w:val="10"/>
                <w:szCs w:val="10"/>
              </w:rPr>
              <w:t>Letra me vlerë të blera dhe të shitura sipas marrëveshjes së riblerjes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jc w:val="right"/>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342</w:t>
            </w:r>
          </w:p>
        </w:tc>
        <w:tc>
          <w:tcPr>
            <w:tcW w:w="2938" w:type="dxa"/>
            <w:tcBorders>
              <w:top w:val="nil"/>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b/>
                <w:bCs/>
                <w:i/>
                <w:iCs/>
                <w:color w:val="000080"/>
                <w:sz w:val="10"/>
                <w:szCs w:val="10"/>
              </w:rPr>
            </w:pPr>
            <w:r w:rsidRPr="00905C36">
              <w:rPr>
                <w:rFonts w:ascii="CG Times" w:eastAsia="Times New Roman" w:hAnsi="CG Times" w:cs="Arial"/>
                <w:b/>
                <w:bCs/>
                <w:i/>
                <w:iCs/>
                <w:color w:val="000080"/>
                <w:sz w:val="10"/>
                <w:szCs w:val="10"/>
              </w:rPr>
              <w:t>Letra me vlerë të shitura sipas marrëveshjes së riblerjes</w:t>
            </w:r>
          </w:p>
        </w:tc>
        <w:tc>
          <w:tcPr>
            <w:tcW w:w="933" w:type="dxa"/>
            <w:tcBorders>
              <w:top w:val="nil"/>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29" w:type="dxa"/>
            <w:tcBorders>
              <w:top w:val="nil"/>
              <w:left w:val="nil"/>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670" w:type="dxa"/>
            <w:tcBorders>
              <w:top w:val="nil"/>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0%</w:t>
            </w:r>
          </w:p>
        </w:tc>
        <w:tc>
          <w:tcPr>
            <w:tcW w:w="769" w:type="dxa"/>
            <w:tcBorders>
              <w:top w:val="nil"/>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933" w:type="dxa"/>
            <w:tcBorders>
              <w:top w:val="nil"/>
              <w:left w:val="single" w:sz="8" w:space="0" w:color="auto"/>
              <w:bottom w:val="nil"/>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nil"/>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nil"/>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4" w:space="0" w:color="auto"/>
              <w:right w:val="single" w:sz="8" w:space="0" w:color="auto"/>
            </w:tcBorders>
            <w:shd w:val="clear" w:color="auto" w:fill="auto"/>
            <w:noWrap/>
            <w:vAlign w:val="bottom"/>
          </w:tcPr>
          <w:p w:rsidR="008C563C" w:rsidRPr="00905C36" w:rsidRDefault="008C563C" w:rsidP="00226FF1">
            <w:pPr>
              <w:jc w:val="cente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nil"/>
              <w:bottom w:val="nil"/>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nil"/>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nil"/>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nil"/>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70" w:type="dxa"/>
            <w:tcBorders>
              <w:top w:val="nil"/>
              <w:left w:val="single" w:sz="8" w:space="0" w:color="auto"/>
              <w:bottom w:val="nil"/>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8" w:space="0" w:color="auto"/>
              <w:right w:val="single" w:sz="8"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single" w:sz="8" w:space="0" w:color="auto"/>
              <w:bottom w:val="nil"/>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single" w:sz="8" w:space="0" w:color="auto"/>
              <w:left w:val="single" w:sz="8" w:space="0" w:color="auto"/>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single" w:sz="8" w:space="0" w:color="auto"/>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933" w:type="dxa"/>
            <w:tcBorders>
              <w:top w:val="single" w:sz="8" w:space="0" w:color="auto"/>
              <w:left w:val="single" w:sz="8" w:space="0" w:color="auto"/>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single" w:sz="8" w:space="0" w:color="auto"/>
              <w:left w:val="nil"/>
              <w:bottom w:val="single" w:sz="4"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single" w:sz="8" w:space="0" w:color="auto"/>
              <w:left w:val="single" w:sz="8" w:space="0" w:color="auto"/>
              <w:bottom w:val="single" w:sz="4"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single" w:sz="8" w:space="0" w:color="auto"/>
              <w:left w:val="nil"/>
              <w:bottom w:val="single" w:sz="4"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single" w:sz="8" w:space="0" w:color="auto"/>
              <w:left w:val="nil"/>
              <w:bottom w:val="single" w:sz="4"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single" w:sz="8" w:space="0" w:color="auto"/>
              <w:left w:val="nil"/>
              <w:bottom w:val="single" w:sz="4"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102"/>
        </w:trPr>
        <w:tc>
          <w:tcPr>
            <w:tcW w:w="635" w:type="dxa"/>
            <w:tcBorders>
              <w:top w:val="nil"/>
              <w:left w:val="single" w:sz="8" w:space="0" w:color="auto"/>
              <w:bottom w:val="single" w:sz="8"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2938" w:type="dxa"/>
            <w:tcBorders>
              <w:top w:val="nil"/>
              <w:left w:val="nil"/>
              <w:bottom w:val="single" w:sz="8"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TOTALI</w:t>
            </w:r>
          </w:p>
        </w:tc>
        <w:tc>
          <w:tcPr>
            <w:tcW w:w="933" w:type="dxa"/>
            <w:tcBorders>
              <w:top w:val="nil"/>
              <w:left w:val="single" w:sz="8" w:space="0" w:color="auto"/>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5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852" w:type="dxa"/>
            <w:tcBorders>
              <w:top w:val="nil"/>
              <w:left w:val="nil"/>
              <w:bottom w:val="single" w:sz="8" w:space="0" w:color="auto"/>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29" w:type="dxa"/>
            <w:tcBorders>
              <w:top w:val="nil"/>
              <w:left w:val="single" w:sz="8" w:space="0" w:color="auto"/>
              <w:bottom w:val="single" w:sz="8" w:space="0" w:color="auto"/>
              <w:right w:val="single" w:sz="8" w:space="0" w:color="auto"/>
            </w:tcBorders>
            <w:shd w:val="clear" w:color="000000" w:fill="FFFF99"/>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09"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04"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3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70" w:type="dxa"/>
            <w:tcBorders>
              <w:top w:val="nil"/>
              <w:left w:val="nil"/>
              <w:bottom w:val="single" w:sz="8" w:space="0" w:color="auto"/>
              <w:right w:val="single" w:sz="8" w:space="0" w:color="auto"/>
            </w:tcBorders>
            <w:shd w:val="clear" w:color="000000" w:fill="CCFFCC"/>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1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650" w:type="dxa"/>
            <w:tcBorders>
              <w:top w:val="nil"/>
              <w:left w:val="nil"/>
              <w:bottom w:val="single" w:sz="8" w:space="0" w:color="auto"/>
              <w:right w:val="single" w:sz="4" w:space="0" w:color="auto"/>
            </w:tcBorders>
            <w:shd w:val="clear" w:color="auto" w:fill="auto"/>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c>
          <w:tcPr>
            <w:tcW w:w="769" w:type="dxa"/>
            <w:tcBorders>
              <w:top w:val="nil"/>
              <w:left w:val="nil"/>
              <w:bottom w:val="single" w:sz="8" w:space="0" w:color="auto"/>
              <w:right w:val="single" w:sz="8" w:space="0" w:color="auto"/>
            </w:tcBorders>
            <w:shd w:val="clear" w:color="000000" w:fill="CCFFFF"/>
            <w:noWrap/>
            <w:vAlign w:val="bottom"/>
          </w:tcPr>
          <w:p w:rsidR="008C563C" w:rsidRPr="00905C36" w:rsidRDefault="008C563C" w:rsidP="00226FF1">
            <w:pPr>
              <w:rPr>
                <w:rFonts w:ascii="CG Times" w:eastAsia="Times New Roman" w:hAnsi="CG Times" w:cs="Arial"/>
                <w:sz w:val="10"/>
                <w:szCs w:val="10"/>
              </w:rPr>
            </w:pPr>
            <w:r w:rsidRPr="00905C36">
              <w:rPr>
                <w:rFonts w:ascii="CG Times" w:eastAsia="Times New Roman" w:hAnsi="CG Times" w:cs="Arial"/>
                <w:sz w:val="10"/>
                <w:szCs w:val="10"/>
              </w:rPr>
              <w:t> </w:t>
            </w:r>
          </w:p>
        </w:tc>
      </w:tr>
      <w:tr w:rsidR="008C563C" w:rsidRPr="00905C36">
        <w:trPr>
          <w:trHeight w:val="60"/>
        </w:trPr>
        <w:tc>
          <w:tcPr>
            <w:tcW w:w="635"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2938"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933"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52"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2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0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3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7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r w:rsidR="008C563C" w:rsidRPr="00905C36">
        <w:trPr>
          <w:trHeight w:val="30"/>
        </w:trPr>
        <w:tc>
          <w:tcPr>
            <w:tcW w:w="635"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2938"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933"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852"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2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0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04"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3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7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1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650"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c>
          <w:tcPr>
            <w:tcW w:w="769" w:type="dxa"/>
            <w:tcBorders>
              <w:top w:val="nil"/>
              <w:left w:val="nil"/>
              <w:bottom w:val="nil"/>
              <w:right w:val="nil"/>
            </w:tcBorders>
            <w:shd w:val="clear" w:color="auto" w:fill="auto"/>
            <w:noWrap/>
            <w:vAlign w:val="bottom"/>
          </w:tcPr>
          <w:p w:rsidR="008C563C" w:rsidRPr="00905C36" w:rsidRDefault="008C563C" w:rsidP="00226FF1">
            <w:pPr>
              <w:rPr>
                <w:rFonts w:ascii="CG Times" w:eastAsia="Times New Roman" w:hAnsi="CG Times" w:cs="Arial"/>
                <w:sz w:val="10"/>
                <w:szCs w:val="10"/>
              </w:rPr>
            </w:pPr>
          </w:p>
        </w:tc>
      </w:tr>
    </w:tbl>
    <w:p w:rsidR="008C563C" w:rsidRPr="00991CF9" w:rsidRDefault="008C563C" w:rsidP="008C563C">
      <w:pPr>
        <w:pStyle w:val="Paragrafi"/>
        <w:ind w:firstLine="0"/>
        <w:rPr>
          <w:sz w:val="12"/>
        </w:rPr>
      </w:pPr>
      <w:r w:rsidRPr="00991CF9">
        <w:rPr>
          <w:sz w:val="12"/>
        </w:rPr>
        <w:t xml:space="preserve">                                                                                               ______________                                                                                         _________________________                                                                                </w:t>
      </w:r>
      <w:r>
        <w:rPr>
          <w:sz w:val="12"/>
        </w:rPr>
        <w:t xml:space="preserve">                     </w:t>
      </w:r>
      <w:r w:rsidRPr="00991CF9">
        <w:rPr>
          <w:sz w:val="12"/>
        </w:rPr>
        <w:t>________________________</w:t>
      </w:r>
      <w:r>
        <w:rPr>
          <w:sz w:val="12"/>
        </w:rPr>
        <w:t>__</w:t>
      </w:r>
    </w:p>
    <w:p w:rsidR="008C563C" w:rsidRPr="00891C11" w:rsidRDefault="008C563C" w:rsidP="008C563C">
      <w:pPr>
        <w:pStyle w:val="Paragrafi"/>
        <w:ind w:firstLine="0"/>
        <w:rPr>
          <w:sz w:val="12"/>
          <w:lang w:val="it-IT"/>
        </w:rPr>
        <w:sectPr w:rsidR="008C563C" w:rsidRPr="00891C11" w:rsidSect="00BE29F5">
          <w:footnotePr>
            <w:numRestart w:val="eachPage"/>
          </w:footnotePr>
          <w:type w:val="continuous"/>
          <w:pgSz w:w="16840" w:h="11907" w:orient="landscape" w:code="9"/>
          <w:pgMar w:top="1418" w:right="1418" w:bottom="1418" w:left="1418" w:header="1588" w:footer="1134" w:gutter="0"/>
          <w:pgNumType w:start="3243"/>
          <w:cols w:space="720"/>
          <w:docGrid w:linePitch="360"/>
        </w:sectPr>
      </w:pPr>
      <w:r w:rsidRPr="00891C11">
        <w:rPr>
          <w:sz w:val="12"/>
          <w:lang w:val="it-IT"/>
        </w:rPr>
        <w:t xml:space="preserve">                                                                                                     (date) (punoi:Emri/firma) Emri/firmaepersonittëautorizuar/vula        </w:t>
      </w:r>
      <w:r w:rsidRPr="00891C11">
        <w:rPr>
          <w:sz w:val="2"/>
          <w:lang w:val="it-IT"/>
        </w:rPr>
        <w:t xml:space="preserve">  </w:t>
      </w:r>
      <w:r w:rsidRPr="00891C11">
        <w:rPr>
          <w:sz w:val="12"/>
          <w:lang w:val="it-IT"/>
        </w:rPr>
        <w:t xml:space="preserve">                   </w:t>
      </w:r>
    </w:p>
    <w:p w:rsidR="008C563C" w:rsidRPr="00891C11" w:rsidRDefault="008C563C" w:rsidP="008C563C">
      <w:pPr>
        <w:pStyle w:val="Paragrafi"/>
        <w:ind w:firstLine="0"/>
        <w:rPr>
          <w:lang w:val="it-IT"/>
        </w:rPr>
      </w:pPr>
    </w:p>
    <w:p w:rsidR="008C563C" w:rsidRPr="00891C11" w:rsidRDefault="008C563C" w:rsidP="008C563C">
      <w:pPr>
        <w:pStyle w:val="Paragrafi"/>
        <w:ind w:firstLine="0"/>
        <w:rPr>
          <w:lang w:val="it-IT"/>
        </w:rPr>
      </w:pPr>
    </w:p>
    <w:tbl>
      <w:tblPr>
        <w:tblW w:w="9356" w:type="dxa"/>
        <w:tblInd w:w="108" w:type="dxa"/>
        <w:tblLook w:val="04A0" w:firstRow="1" w:lastRow="0" w:firstColumn="1" w:lastColumn="0" w:noHBand="0" w:noVBand="1"/>
      </w:tblPr>
      <w:tblGrid>
        <w:gridCol w:w="816"/>
        <w:gridCol w:w="107"/>
        <w:gridCol w:w="3897"/>
        <w:gridCol w:w="743"/>
        <w:gridCol w:w="841"/>
        <w:gridCol w:w="806"/>
        <w:gridCol w:w="662"/>
        <w:gridCol w:w="252"/>
        <w:gridCol w:w="98"/>
        <w:gridCol w:w="138"/>
        <w:gridCol w:w="162"/>
        <w:gridCol w:w="74"/>
        <w:gridCol w:w="760"/>
      </w:tblGrid>
      <w:tr w:rsidR="008C563C" w:rsidRPr="00891C11">
        <w:trPr>
          <w:trHeight w:val="139"/>
        </w:trPr>
        <w:tc>
          <w:tcPr>
            <w:tcW w:w="923" w:type="dxa"/>
            <w:gridSpan w:val="2"/>
            <w:tcBorders>
              <w:top w:val="nil"/>
              <w:left w:val="nil"/>
              <w:bottom w:val="nil"/>
              <w:right w:val="nil"/>
            </w:tcBorders>
            <w:shd w:val="clear" w:color="auto" w:fill="auto"/>
            <w:noWrap/>
            <w:vAlign w:val="bottom"/>
          </w:tcPr>
          <w:p w:rsidR="008C563C" w:rsidRPr="00891C11" w:rsidRDefault="00665867" w:rsidP="00226FF1">
            <w:pPr>
              <w:rPr>
                <w:rFonts w:ascii="Arial" w:hAnsi="Arial" w:cs="Arial"/>
                <w:sz w:val="20"/>
                <w:szCs w:val="20"/>
                <w:lang w:val="it-IT"/>
              </w:rPr>
            </w:pPr>
            <w:r>
              <w:rPr>
                <w:rFonts w:ascii="Arial" w:hAnsi="Arial" w:cs="Arial"/>
                <w:noProof/>
                <w:sz w:val="20"/>
                <w:szCs w:val="20"/>
                <w:lang w:val="en-GB" w:eastAsia="en-GB"/>
              </w:rPr>
              <w:drawing>
                <wp:anchor distT="0" distB="0" distL="114300" distR="114300" simplePos="0" relativeHeight="251657216" behindDoc="0" locked="0" layoutInCell="1" allowOverlap="1">
                  <wp:simplePos x="0" y="0"/>
                  <wp:positionH relativeFrom="column">
                    <wp:posOffset>9525</wp:posOffset>
                  </wp:positionH>
                  <wp:positionV relativeFrom="paragraph">
                    <wp:posOffset>76200</wp:posOffset>
                  </wp:positionV>
                  <wp:extent cx="2200275" cy="28575"/>
                  <wp:effectExtent l="0" t="0" r="9525" b="9525"/>
                  <wp:wrapNone/>
                  <wp:docPr id="18" name="L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00275" cy="28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00"/>
            </w:tblGrid>
            <w:tr w:rsidR="008C563C" w:rsidRPr="00891C11">
              <w:trPr>
                <w:trHeight w:val="139"/>
                <w:tblCellSpacing w:w="0" w:type="dxa"/>
              </w:trPr>
              <w:tc>
                <w:tcPr>
                  <w:tcW w:w="600" w:type="dxa"/>
                  <w:tcBorders>
                    <w:top w:val="nil"/>
                    <w:left w:val="nil"/>
                    <w:bottom w:val="nil"/>
                    <w:right w:val="nil"/>
                  </w:tcBorders>
                  <w:shd w:val="clear" w:color="auto" w:fill="auto"/>
                  <w:noWrap/>
                  <w:vAlign w:val="center"/>
                </w:tcPr>
                <w:p w:rsidR="008C563C" w:rsidRPr="00891C11" w:rsidRDefault="008C563C" w:rsidP="00226FF1">
                  <w:pPr>
                    <w:rPr>
                      <w:rFonts w:ascii="CG Times" w:hAnsi="CG Times" w:cs="Arial"/>
                      <w:sz w:val="14"/>
                      <w:szCs w:val="14"/>
                      <w:lang w:val="it-IT"/>
                    </w:rPr>
                  </w:pPr>
                </w:p>
              </w:tc>
            </w:tr>
          </w:tbl>
          <w:p w:rsidR="008C563C" w:rsidRPr="00891C11" w:rsidRDefault="008C563C" w:rsidP="00226FF1">
            <w:pPr>
              <w:rPr>
                <w:rFonts w:ascii="Arial" w:hAnsi="Arial" w:cs="Arial"/>
                <w:sz w:val="20"/>
                <w:szCs w:val="20"/>
                <w:lang w:val="it-IT"/>
              </w:rPr>
            </w:pPr>
          </w:p>
        </w:tc>
        <w:tc>
          <w:tcPr>
            <w:tcW w:w="5481" w:type="dxa"/>
            <w:gridSpan w:val="3"/>
            <w:tcBorders>
              <w:top w:val="nil"/>
              <w:left w:val="nil"/>
              <w:bottom w:val="nil"/>
              <w:right w:val="nil"/>
            </w:tcBorders>
            <w:shd w:val="clear" w:color="auto" w:fill="auto"/>
            <w:noWrap/>
            <w:vAlign w:val="center"/>
          </w:tcPr>
          <w:p w:rsidR="008C563C" w:rsidRPr="00891C11" w:rsidRDefault="008C563C" w:rsidP="00226FF1">
            <w:pPr>
              <w:rPr>
                <w:rFonts w:ascii="CG Times" w:hAnsi="CG Times" w:cs="Arial"/>
                <w:sz w:val="14"/>
                <w:szCs w:val="14"/>
                <w:lang w:val="it-IT"/>
              </w:rPr>
            </w:pPr>
          </w:p>
        </w:tc>
        <w:tc>
          <w:tcPr>
            <w:tcW w:w="1720" w:type="dxa"/>
            <w:gridSpan w:val="3"/>
            <w:tcBorders>
              <w:top w:val="nil"/>
              <w:left w:val="nil"/>
              <w:bottom w:val="nil"/>
              <w:right w:val="nil"/>
            </w:tcBorders>
            <w:shd w:val="clear" w:color="auto" w:fill="auto"/>
            <w:noWrap/>
            <w:vAlign w:val="center"/>
          </w:tcPr>
          <w:p w:rsidR="008C563C" w:rsidRPr="00891C11" w:rsidRDefault="008C563C" w:rsidP="00226FF1">
            <w:pPr>
              <w:rPr>
                <w:rFonts w:ascii="CG Times" w:hAnsi="CG Times" w:cs="Arial"/>
                <w:b/>
                <w:bCs/>
                <w:sz w:val="14"/>
                <w:szCs w:val="14"/>
                <w:lang w:val="it-IT"/>
              </w:rPr>
            </w:pPr>
          </w:p>
        </w:tc>
        <w:tc>
          <w:tcPr>
            <w:tcW w:w="236" w:type="dxa"/>
            <w:gridSpan w:val="2"/>
            <w:tcBorders>
              <w:top w:val="nil"/>
              <w:left w:val="nil"/>
              <w:bottom w:val="nil"/>
              <w:right w:val="nil"/>
            </w:tcBorders>
            <w:shd w:val="clear" w:color="auto" w:fill="auto"/>
            <w:noWrap/>
            <w:vAlign w:val="bottom"/>
          </w:tcPr>
          <w:p w:rsidR="008C563C" w:rsidRPr="00891C11" w:rsidRDefault="008C563C" w:rsidP="00226FF1">
            <w:pPr>
              <w:rPr>
                <w:rFonts w:ascii="CG Times" w:hAnsi="CG Times" w:cs="Arial"/>
                <w:sz w:val="14"/>
                <w:szCs w:val="14"/>
                <w:lang w:val="it-IT"/>
              </w:rPr>
            </w:pPr>
          </w:p>
        </w:tc>
        <w:tc>
          <w:tcPr>
            <w:tcW w:w="236" w:type="dxa"/>
            <w:gridSpan w:val="2"/>
            <w:tcBorders>
              <w:top w:val="nil"/>
              <w:left w:val="nil"/>
              <w:bottom w:val="nil"/>
              <w:right w:val="nil"/>
            </w:tcBorders>
            <w:shd w:val="clear" w:color="auto" w:fill="auto"/>
            <w:noWrap/>
            <w:vAlign w:val="bottom"/>
          </w:tcPr>
          <w:p w:rsidR="008C563C" w:rsidRPr="00891C11" w:rsidRDefault="008C563C" w:rsidP="00226FF1">
            <w:pPr>
              <w:rPr>
                <w:rFonts w:ascii="CG Times" w:hAnsi="CG Times" w:cs="Arial"/>
                <w:sz w:val="14"/>
                <w:szCs w:val="14"/>
                <w:lang w:val="it-IT"/>
              </w:rPr>
            </w:pPr>
          </w:p>
        </w:tc>
        <w:tc>
          <w:tcPr>
            <w:tcW w:w="760" w:type="dxa"/>
            <w:tcBorders>
              <w:top w:val="nil"/>
              <w:left w:val="nil"/>
              <w:bottom w:val="nil"/>
              <w:right w:val="nil"/>
            </w:tcBorders>
            <w:shd w:val="clear" w:color="auto" w:fill="auto"/>
            <w:noWrap/>
            <w:vAlign w:val="bottom"/>
          </w:tcPr>
          <w:p w:rsidR="008C563C" w:rsidRPr="00891C11" w:rsidRDefault="008C563C" w:rsidP="00226FF1">
            <w:pPr>
              <w:rPr>
                <w:rFonts w:ascii="CG Times" w:hAnsi="CG Times" w:cs="Arial"/>
                <w:sz w:val="14"/>
                <w:szCs w:val="14"/>
                <w:lang w:val="it-IT"/>
              </w:rPr>
            </w:pPr>
          </w:p>
        </w:tc>
      </w:tr>
      <w:tr w:rsidR="008C563C">
        <w:trPr>
          <w:trHeight w:val="139"/>
        </w:trPr>
        <w:tc>
          <w:tcPr>
            <w:tcW w:w="6404" w:type="dxa"/>
            <w:gridSpan w:val="5"/>
            <w:tcBorders>
              <w:top w:val="nil"/>
              <w:left w:val="nil"/>
              <w:bottom w:val="nil"/>
              <w:right w:val="nil"/>
            </w:tcBorders>
            <w:shd w:val="clear" w:color="auto" w:fill="auto"/>
            <w:noWrap/>
            <w:vAlign w:val="center"/>
          </w:tcPr>
          <w:p w:rsidR="008C563C" w:rsidRDefault="008C563C" w:rsidP="00226FF1">
            <w:pPr>
              <w:rPr>
                <w:rFonts w:ascii="CG Times" w:hAnsi="CG Times" w:cs="Arial"/>
                <w:b/>
                <w:bCs/>
                <w:sz w:val="14"/>
                <w:szCs w:val="14"/>
              </w:rPr>
            </w:pPr>
            <w:r>
              <w:rPr>
                <w:rFonts w:ascii="CG Times" w:hAnsi="CG Times" w:cs="Arial"/>
                <w:b/>
                <w:bCs/>
                <w:sz w:val="14"/>
                <w:szCs w:val="14"/>
              </w:rPr>
              <w:t>(emri i bankës)</w:t>
            </w:r>
          </w:p>
        </w:tc>
        <w:tc>
          <w:tcPr>
            <w:tcW w:w="806"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923" w:type="dxa"/>
            <w:gridSpan w:val="2"/>
            <w:tcBorders>
              <w:top w:val="nil"/>
              <w:left w:val="nil"/>
              <w:bottom w:val="nil"/>
              <w:right w:val="nil"/>
            </w:tcBorders>
            <w:shd w:val="clear" w:color="auto" w:fill="auto"/>
            <w:noWrap/>
            <w:vAlign w:val="bottom"/>
          </w:tcPr>
          <w:p w:rsidR="008C563C" w:rsidRDefault="00665867" w:rsidP="00226FF1">
            <w:pPr>
              <w:rPr>
                <w:rFonts w:ascii="Arial" w:hAnsi="Arial" w:cs="Arial"/>
                <w:sz w:val="20"/>
                <w:szCs w:val="20"/>
              </w:rPr>
            </w:pPr>
            <w:r>
              <w:rPr>
                <w:rFonts w:ascii="Arial" w:hAnsi="Arial" w:cs="Arial"/>
                <w:noProof/>
                <w:sz w:val="20"/>
                <w:szCs w:val="20"/>
                <w:lang w:val="en-GB" w:eastAsia="en-GB"/>
              </w:rPr>
              <w:drawing>
                <wp:anchor distT="0" distB="0" distL="114300" distR="114300" simplePos="0" relativeHeight="251658240" behindDoc="0" locked="0" layoutInCell="1" allowOverlap="1">
                  <wp:simplePos x="0" y="0"/>
                  <wp:positionH relativeFrom="column">
                    <wp:posOffset>19050</wp:posOffset>
                  </wp:positionH>
                  <wp:positionV relativeFrom="paragraph">
                    <wp:posOffset>76200</wp:posOffset>
                  </wp:positionV>
                  <wp:extent cx="2457450" cy="28575"/>
                  <wp:effectExtent l="0" t="0" r="0" b="9525"/>
                  <wp:wrapNone/>
                  <wp:docPr id="17" name="L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7450" cy="28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00"/>
            </w:tblGrid>
            <w:tr w:rsidR="008C563C">
              <w:trPr>
                <w:trHeight w:val="139"/>
                <w:tblCellSpacing w:w="0" w:type="dxa"/>
              </w:trPr>
              <w:tc>
                <w:tcPr>
                  <w:tcW w:w="600"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r>
          </w:tbl>
          <w:p w:rsidR="008C563C" w:rsidRDefault="008C563C" w:rsidP="00226FF1">
            <w:pPr>
              <w:rPr>
                <w:rFonts w:ascii="Arial" w:hAnsi="Arial" w:cs="Arial"/>
                <w:sz w:val="20"/>
                <w:szCs w:val="20"/>
              </w:rPr>
            </w:pPr>
          </w:p>
        </w:tc>
        <w:tc>
          <w:tcPr>
            <w:tcW w:w="5481" w:type="dxa"/>
            <w:gridSpan w:val="3"/>
            <w:tcBorders>
              <w:top w:val="nil"/>
              <w:left w:val="nil"/>
              <w:bottom w:val="nil"/>
              <w:right w:val="nil"/>
            </w:tcBorders>
            <w:shd w:val="clear" w:color="auto" w:fill="auto"/>
            <w:noWrap/>
            <w:vAlign w:val="center"/>
          </w:tcPr>
          <w:p w:rsidR="008C563C" w:rsidRDefault="008C563C" w:rsidP="00226FF1">
            <w:pPr>
              <w:jc w:val="center"/>
              <w:rPr>
                <w:rFonts w:ascii="CG Times" w:hAnsi="CG Times" w:cs="Arial"/>
                <w:sz w:val="14"/>
                <w:szCs w:val="14"/>
              </w:rPr>
            </w:pPr>
          </w:p>
        </w:tc>
        <w:tc>
          <w:tcPr>
            <w:tcW w:w="806"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6404" w:type="dxa"/>
            <w:gridSpan w:val="5"/>
            <w:tcBorders>
              <w:top w:val="nil"/>
              <w:left w:val="nil"/>
              <w:bottom w:val="nil"/>
              <w:right w:val="nil"/>
            </w:tcBorders>
            <w:shd w:val="clear" w:color="auto" w:fill="auto"/>
            <w:noWrap/>
            <w:vAlign w:val="center"/>
          </w:tcPr>
          <w:p w:rsidR="008C563C" w:rsidRDefault="008C563C" w:rsidP="00226FF1">
            <w:pPr>
              <w:rPr>
                <w:rFonts w:ascii="CG Times" w:hAnsi="CG Times" w:cs="Arial"/>
                <w:b/>
                <w:bCs/>
                <w:sz w:val="14"/>
                <w:szCs w:val="14"/>
              </w:rPr>
            </w:pPr>
            <w:r>
              <w:rPr>
                <w:rFonts w:ascii="CG Times" w:hAnsi="CG Times" w:cs="Arial"/>
                <w:b/>
                <w:bCs/>
                <w:sz w:val="14"/>
                <w:szCs w:val="14"/>
              </w:rPr>
              <w:t>(emri i departamentit)                                                                ANEKSI 2</w:t>
            </w:r>
          </w:p>
        </w:tc>
        <w:tc>
          <w:tcPr>
            <w:tcW w:w="806"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056" w:type="dxa"/>
            <w:gridSpan w:val="6"/>
            <w:tcBorders>
              <w:top w:val="nil"/>
              <w:left w:val="nil"/>
              <w:bottom w:val="nil"/>
              <w:right w:val="nil"/>
            </w:tcBorders>
            <w:shd w:val="clear" w:color="auto" w:fill="auto"/>
            <w:noWrap/>
            <w:vAlign w:val="bottom"/>
          </w:tcPr>
          <w:p w:rsidR="008C563C" w:rsidRDefault="008C563C" w:rsidP="00226FF1">
            <w:pPr>
              <w:rPr>
                <w:rFonts w:ascii="CG Times" w:hAnsi="CG Times" w:cs="Arial"/>
                <w:b/>
                <w:bCs/>
                <w:sz w:val="14"/>
                <w:szCs w:val="14"/>
              </w:rPr>
            </w:pPr>
          </w:p>
          <w:p w:rsidR="008C563C" w:rsidRDefault="008C563C" w:rsidP="00226FF1">
            <w:pPr>
              <w:rPr>
                <w:rFonts w:ascii="CG Times" w:hAnsi="CG Times" w:cs="Arial"/>
                <w:b/>
                <w:bCs/>
                <w:sz w:val="14"/>
                <w:szCs w:val="14"/>
              </w:rPr>
            </w:pPr>
            <w:r>
              <w:rPr>
                <w:rFonts w:ascii="CG Times" w:hAnsi="CG Times" w:cs="Arial"/>
                <w:b/>
                <w:bCs/>
                <w:sz w:val="14"/>
                <w:szCs w:val="14"/>
              </w:rPr>
              <w:t xml:space="preserve">                   Pasqyra e konvertimit në EURO të bazës së rezervës së detyruar në monedha të tjera (përveç USD)</w:t>
            </w:r>
          </w:p>
        </w:tc>
        <w:tc>
          <w:tcPr>
            <w:tcW w:w="650" w:type="dxa"/>
            <w:gridSpan w:val="4"/>
            <w:tcBorders>
              <w:top w:val="nil"/>
              <w:left w:val="nil"/>
              <w:bottom w:val="nil"/>
              <w:right w:val="nil"/>
            </w:tcBorders>
            <w:shd w:val="clear" w:color="auto" w:fill="auto"/>
            <w:noWrap/>
            <w:vAlign w:val="bottom"/>
          </w:tcPr>
          <w:p w:rsidR="008C563C" w:rsidRDefault="008C563C" w:rsidP="00226FF1">
            <w:pPr>
              <w:rPr>
                <w:rFonts w:ascii="CG Times" w:hAnsi="CG Times" w:cs="Arial"/>
                <w:b/>
                <w:bCs/>
                <w:sz w:val="14"/>
                <w:szCs w:val="14"/>
              </w:rPr>
            </w:pPr>
          </w:p>
        </w:tc>
        <w:tc>
          <w:tcPr>
            <w:tcW w:w="83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b/>
                <w:bCs/>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90"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90"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75"/>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90"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91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236"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60"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rsidRPr="00891C11">
        <w:trPr>
          <w:trHeight w:val="195"/>
        </w:trPr>
        <w:tc>
          <w:tcPr>
            <w:tcW w:w="816" w:type="dxa"/>
            <w:tcBorders>
              <w:top w:val="single" w:sz="8" w:space="0" w:color="auto"/>
              <w:left w:val="single" w:sz="8" w:space="0" w:color="auto"/>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single" w:sz="8" w:space="0" w:color="auto"/>
              <w:left w:val="nil"/>
              <w:bottom w:val="single" w:sz="4" w:space="0" w:color="auto"/>
              <w:right w:val="nil"/>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KATEGORITË E PASIVEVE</w:t>
            </w:r>
          </w:p>
        </w:tc>
        <w:tc>
          <w:tcPr>
            <w:tcW w:w="239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8C563C" w:rsidRDefault="008C563C" w:rsidP="00226FF1">
            <w:pPr>
              <w:jc w:val="center"/>
              <w:rPr>
                <w:rFonts w:ascii="CG Times" w:hAnsi="CG Times" w:cs="Arial"/>
                <w:b/>
                <w:bCs/>
                <w:sz w:val="14"/>
                <w:szCs w:val="14"/>
              </w:rPr>
            </w:pPr>
            <w:r>
              <w:rPr>
                <w:rFonts w:ascii="CG Times" w:hAnsi="CG Times" w:cs="Arial"/>
                <w:b/>
                <w:bCs/>
                <w:sz w:val="14"/>
                <w:szCs w:val="14"/>
              </w:rPr>
              <w:t>Valutë 1</w:t>
            </w:r>
          </w:p>
        </w:tc>
        <w:tc>
          <w:tcPr>
            <w:tcW w:w="1012" w:type="dxa"/>
            <w:gridSpan w:val="3"/>
            <w:tcBorders>
              <w:top w:val="single" w:sz="8" w:space="0" w:color="auto"/>
              <w:left w:val="nil"/>
              <w:bottom w:val="nil"/>
              <w:right w:val="nil"/>
            </w:tcBorders>
            <w:shd w:val="clear" w:color="auto" w:fill="auto"/>
            <w:vAlign w:val="bottom"/>
          </w:tcPr>
          <w:p w:rsidR="008C563C" w:rsidRDefault="008C563C" w:rsidP="00226FF1">
            <w:pPr>
              <w:jc w:val="center"/>
              <w:rPr>
                <w:rFonts w:ascii="CG Times" w:hAnsi="CG Times" w:cs="Arial"/>
                <w:b/>
                <w:bCs/>
                <w:sz w:val="14"/>
                <w:szCs w:val="14"/>
              </w:rPr>
            </w:pPr>
            <w:r>
              <w:rPr>
                <w:rFonts w:ascii="CG Times" w:hAnsi="CG Times" w:cs="Arial"/>
                <w:b/>
                <w:bCs/>
                <w:sz w:val="14"/>
                <w:szCs w:val="14"/>
              </w:rPr>
              <w:t> </w:t>
            </w:r>
          </w:p>
        </w:tc>
        <w:tc>
          <w:tcPr>
            <w:tcW w:w="1134" w:type="dxa"/>
            <w:gridSpan w:val="4"/>
            <w:vMerge w:val="restart"/>
            <w:tcBorders>
              <w:top w:val="single" w:sz="8" w:space="0" w:color="auto"/>
              <w:left w:val="single" w:sz="8" w:space="0" w:color="auto"/>
              <w:bottom w:val="single" w:sz="4" w:space="0" w:color="000000"/>
              <w:right w:val="single" w:sz="8" w:space="0" w:color="auto"/>
            </w:tcBorders>
            <w:shd w:val="clear" w:color="000000" w:fill="FFFF99"/>
            <w:vAlign w:val="bottom"/>
          </w:tcPr>
          <w:p w:rsidR="008C563C" w:rsidRPr="00891C11" w:rsidRDefault="008C563C" w:rsidP="00226FF1">
            <w:pPr>
              <w:jc w:val="center"/>
              <w:rPr>
                <w:rFonts w:ascii="CG Times" w:hAnsi="CG Times" w:cs="Arial"/>
                <w:b/>
                <w:bCs/>
                <w:sz w:val="14"/>
                <w:szCs w:val="14"/>
                <w:lang w:val="it-IT"/>
              </w:rPr>
            </w:pPr>
            <w:r w:rsidRPr="00891C11">
              <w:rPr>
                <w:rFonts w:ascii="CG Times" w:hAnsi="CG Times" w:cs="Arial"/>
                <w:b/>
                <w:bCs/>
                <w:sz w:val="14"/>
                <w:szCs w:val="14"/>
                <w:lang w:val="it-IT"/>
              </w:rPr>
              <w:t>Baza e rezervës në Valutën 1 e konvertuar në EURO</w:t>
            </w:r>
          </w:p>
        </w:tc>
      </w:tr>
      <w:tr w:rsidR="008C563C" w:rsidRPr="00891C11">
        <w:trPr>
          <w:trHeight w:val="585"/>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sz w:val="14"/>
                <w:szCs w:val="14"/>
              </w:rPr>
            </w:pPr>
            <w:r>
              <w:rPr>
                <w:rFonts w:ascii="CG Times" w:hAnsi="CG Times" w:cs="Arial"/>
                <w:b/>
                <w:bCs/>
                <w:sz w:val="14"/>
                <w:szCs w:val="14"/>
              </w:rPr>
              <w:t>27</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Detyrime ndaj klientëve për llogaritë rrjedhëse dhe depozitat</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Rezident</w:t>
            </w:r>
          </w:p>
        </w:tc>
        <w:tc>
          <w:tcPr>
            <w:tcW w:w="841" w:type="dxa"/>
            <w:tcBorders>
              <w:top w:val="nil"/>
              <w:left w:val="single" w:sz="8" w:space="0" w:color="auto"/>
              <w:bottom w:val="single" w:sz="4" w:space="0" w:color="auto"/>
              <w:right w:val="nil"/>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Jorezident</w:t>
            </w:r>
          </w:p>
        </w:tc>
        <w:tc>
          <w:tcPr>
            <w:tcW w:w="806" w:type="dxa"/>
            <w:tcBorders>
              <w:top w:val="nil"/>
              <w:left w:val="single" w:sz="4"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TOTALI</w:t>
            </w:r>
          </w:p>
        </w:tc>
        <w:tc>
          <w:tcPr>
            <w:tcW w:w="1012" w:type="dxa"/>
            <w:gridSpan w:val="3"/>
            <w:tcBorders>
              <w:top w:val="nil"/>
              <w:left w:val="single" w:sz="8" w:space="0" w:color="auto"/>
              <w:bottom w:val="single" w:sz="4" w:space="0" w:color="auto"/>
              <w:right w:val="nil"/>
            </w:tcBorders>
            <w:shd w:val="clear" w:color="auto" w:fill="auto"/>
            <w:vAlign w:val="bottom"/>
          </w:tcPr>
          <w:p w:rsidR="008C563C" w:rsidRPr="00891C11" w:rsidRDefault="008C563C" w:rsidP="00226FF1">
            <w:pPr>
              <w:jc w:val="center"/>
              <w:rPr>
                <w:rFonts w:ascii="CG Times" w:hAnsi="CG Times" w:cs="Arial"/>
                <w:b/>
                <w:bCs/>
                <w:sz w:val="14"/>
                <w:szCs w:val="14"/>
                <w:lang w:val="it-IT"/>
              </w:rPr>
            </w:pPr>
            <w:r w:rsidRPr="00891C11">
              <w:rPr>
                <w:rFonts w:ascii="CG Times" w:hAnsi="CG Times" w:cs="Arial"/>
                <w:b/>
                <w:bCs/>
                <w:sz w:val="14"/>
                <w:szCs w:val="14"/>
                <w:lang w:val="it-IT"/>
              </w:rPr>
              <w:t xml:space="preserve">Kursi i këmbimit Valutë 1/Eur </w:t>
            </w:r>
          </w:p>
        </w:tc>
        <w:tc>
          <w:tcPr>
            <w:tcW w:w="1134" w:type="dxa"/>
            <w:gridSpan w:val="4"/>
            <w:vMerge/>
            <w:tcBorders>
              <w:top w:val="single" w:sz="8" w:space="0" w:color="auto"/>
              <w:left w:val="single" w:sz="8" w:space="0" w:color="auto"/>
              <w:bottom w:val="single" w:sz="4" w:space="0" w:color="000000"/>
              <w:right w:val="single" w:sz="8" w:space="0" w:color="auto"/>
            </w:tcBorders>
            <w:vAlign w:val="center"/>
          </w:tcPr>
          <w:p w:rsidR="008C563C" w:rsidRPr="00891C11" w:rsidRDefault="008C563C" w:rsidP="00226FF1">
            <w:pPr>
              <w:rPr>
                <w:rFonts w:ascii="CG Times" w:hAnsi="CG Times" w:cs="Arial"/>
                <w:b/>
                <w:bCs/>
                <w:sz w:val="14"/>
                <w:szCs w:val="14"/>
                <w:lang w:val="it-IT"/>
              </w:rPr>
            </w:pP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i/>
                <w:iCs/>
                <w:color w:val="000080"/>
                <w:sz w:val="14"/>
                <w:szCs w:val="14"/>
              </w:rPr>
            </w:pPr>
            <w:r>
              <w:rPr>
                <w:rFonts w:ascii="CG Times" w:hAnsi="CG Times" w:cs="Arial"/>
                <w:b/>
                <w:bCs/>
                <w:i/>
                <w:iCs/>
                <w:color w:val="000080"/>
                <w:sz w:val="14"/>
                <w:szCs w:val="14"/>
              </w:rPr>
              <w:t>271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i/>
                <w:iCs/>
                <w:color w:val="000080"/>
                <w:sz w:val="14"/>
                <w:szCs w:val="14"/>
              </w:rPr>
            </w:pPr>
            <w:r>
              <w:rPr>
                <w:rFonts w:ascii="CG Times" w:hAnsi="CG Times" w:cs="Arial"/>
                <w:b/>
                <w:bCs/>
                <w:i/>
                <w:iCs/>
                <w:color w:val="000080"/>
                <w:sz w:val="14"/>
                <w:szCs w:val="14"/>
              </w:rPr>
              <w:t>Llogari rrjedhëse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2711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Individë</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2712</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private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2713</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publike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2714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Punonjës të bankës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2717</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Klientë të tjerë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i/>
                <w:iCs/>
                <w:color w:val="000080"/>
                <w:sz w:val="14"/>
                <w:szCs w:val="14"/>
              </w:rPr>
            </w:pPr>
            <w:r>
              <w:rPr>
                <w:rFonts w:ascii="CG Times" w:hAnsi="CG Times" w:cs="Arial"/>
                <w:b/>
                <w:bCs/>
                <w:i/>
                <w:iCs/>
                <w:color w:val="000080"/>
                <w:sz w:val="14"/>
                <w:szCs w:val="14"/>
              </w:rPr>
              <w:t>272</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i/>
                <w:iCs/>
                <w:color w:val="000080"/>
                <w:sz w:val="14"/>
                <w:szCs w:val="14"/>
              </w:rPr>
            </w:pPr>
            <w:r>
              <w:rPr>
                <w:rFonts w:ascii="CG Times" w:hAnsi="CG Times" w:cs="Arial"/>
                <w:b/>
                <w:bCs/>
                <w:i/>
                <w:iCs/>
                <w:color w:val="000080"/>
                <w:sz w:val="14"/>
                <w:szCs w:val="14"/>
              </w:rPr>
              <w:t>Llogari depozitash pa afat</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2721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Individë</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2722</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private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2723</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publike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2724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Punonjës të bankës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2727</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Klientë të tjerë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i/>
                <w:iCs/>
                <w:color w:val="000080"/>
                <w:sz w:val="14"/>
                <w:szCs w:val="14"/>
              </w:rPr>
            </w:pPr>
            <w:r>
              <w:rPr>
                <w:rFonts w:ascii="CG Times" w:hAnsi="CG Times" w:cs="Arial"/>
                <w:b/>
                <w:bCs/>
                <w:i/>
                <w:iCs/>
                <w:color w:val="000080"/>
                <w:sz w:val="14"/>
                <w:szCs w:val="14"/>
              </w:rPr>
              <w:t>273</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i/>
                <w:iCs/>
                <w:color w:val="000080"/>
                <w:sz w:val="14"/>
                <w:szCs w:val="14"/>
              </w:rPr>
            </w:pPr>
            <w:r>
              <w:rPr>
                <w:rFonts w:ascii="CG Times" w:hAnsi="CG Times" w:cs="Arial"/>
                <w:b/>
                <w:bCs/>
                <w:i/>
                <w:iCs/>
                <w:color w:val="000080"/>
                <w:sz w:val="14"/>
                <w:szCs w:val="14"/>
              </w:rPr>
              <w:t>Llogari depozitash me afat</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2731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Individë</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Depozita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2732</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private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Depozita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2733</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Njësi tregtare dhe industriale publike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Depozita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2734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Punonjës të bankës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Depozita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2737</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Klientë të tjerë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Depozita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color w:val="000080"/>
                <w:sz w:val="14"/>
                <w:szCs w:val="14"/>
              </w:rPr>
            </w:pPr>
            <w:r>
              <w:rPr>
                <w:rFonts w:ascii="CG Times" w:hAnsi="CG Times" w:cs="Arial"/>
                <w:b/>
                <w:bCs/>
                <w:color w:val="000080"/>
                <w:sz w:val="14"/>
                <w:szCs w:val="14"/>
              </w:rPr>
              <w:t>274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jc w:val="both"/>
              <w:rPr>
                <w:rFonts w:ascii="CG Times" w:hAnsi="CG Times" w:cs="Arial"/>
                <w:b/>
                <w:bCs/>
                <w:i/>
                <w:iCs/>
                <w:color w:val="000080"/>
                <w:sz w:val="14"/>
                <w:szCs w:val="14"/>
              </w:rPr>
            </w:pPr>
            <w:r>
              <w:rPr>
                <w:rFonts w:ascii="CG Times" w:hAnsi="CG Times" w:cs="Arial"/>
                <w:b/>
                <w:bCs/>
                <w:i/>
                <w:iCs/>
                <w:color w:val="000080"/>
                <w:sz w:val="14"/>
                <w:szCs w:val="14"/>
              </w:rPr>
              <w:t>Certifikatat e depozitave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i/>
                <w:iCs/>
                <w:sz w:val="14"/>
                <w:szCs w:val="14"/>
              </w:rPr>
            </w:pPr>
            <w:r>
              <w:rPr>
                <w:rFonts w:ascii="CG Times" w:hAnsi="CG Times" w:cs="Arial"/>
                <w:i/>
                <w:iCs/>
                <w:sz w:val="14"/>
                <w:szCs w:val="14"/>
              </w:rPr>
              <w:t>2741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i/>
                <w:iCs/>
                <w:sz w:val="14"/>
                <w:szCs w:val="14"/>
              </w:rPr>
            </w:pPr>
            <w:r>
              <w:rPr>
                <w:rFonts w:ascii="CG Times" w:hAnsi="CG Times" w:cs="Arial"/>
                <w:i/>
                <w:iCs/>
                <w:sz w:val="14"/>
                <w:szCs w:val="14"/>
              </w:rPr>
              <w:t>Certifikatat e depozitave emërore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27411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              Individë</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Certifikatat e depozitave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27412</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xml:space="preserve">              Njësi tregtare dhe industriale private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jc w:val="right"/>
              <w:rPr>
                <w:rFonts w:ascii="CG Times" w:hAnsi="CG Times" w:cs="Arial"/>
                <w:sz w:val="14"/>
                <w:szCs w:val="14"/>
                <w:lang w:val="it-IT"/>
              </w:rPr>
            </w:pPr>
            <w:r w:rsidRPr="00891C11">
              <w:rPr>
                <w:rFonts w:ascii="CG Times" w:hAnsi="CG Times" w:cs="Arial"/>
                <w:sz w:val="14"/>
                <w:szCs w:val="14"/>
                <w:lang w:val="it-IT"/>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Certifikatat e depozitave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27413</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xml:space="preserve">              Njësi tregtare dhe industriale publike</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jc w:val="right"/>
              <w:rPr>
                <w:rFonts w:ascii="CG Times" w:hAnsi="CG Times" w:cs="Arial"/>
                <w:sz w:val="14"/>
                <w:szCs w:val="14"/>
                <w:lang w:val="it-IT"/>
              </w:rPr>
            </w:pPr>
            <w:r w:rsidRPr="00891C11">
              <w:rPr>
                <w:rFonts w:ascii="CG Times" w:hAnsi="CG Times" w:cs="Arial"/>
                <w:sz w:val="14"/>
                <w:szCs w:val="14"/>
                <w:lang w:val="it-IT"/>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Certifikatat e depozitave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27414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              Punonjës të bankës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Certifikatat e depozitave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27415</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              Klientë të tjerë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i/>
                <w:iCs/>
                <w:sz w:val="14"/>
                <w:szCs w:val="14"/>
                <w:lang w:val="it-IT"/>
              </w:rPr>
            </w:pPr>
            <w:r w:rsidRPr="00891C11">
              <w:rPr>
                <w:rFonts w:ascii="CG Times" w:hAnsi="CG Times" w:cs="Arial"/>
                <w:i/>
                <w:iCs/>
                <w:sz w:val="14"/>
                <w:szCs w:val="14"/>
                <w:lang w:val="it-IT"/>
              </w:rPr>
              <w:t xml:space="preserve">Certifikatat e depozitave me afat maturimi mbi 2 vjet </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rsidRPr="00891C11">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i/>
                <w:iCs/>
                <w:sz w:val="14"/>
                <w:szCs w:val="14"/>
              </w:rPr>
            </w:pPr>
            <w:r>
              <w:rPr>
                <w:rFonts w:ascii="CG Times" w:hAnsi="CG Times" w:cs="Arial"/>
                <w:i/>
                <w:iCs/>
                <w:sz w:val="14"/>
                <w:szCs w:val="14"/>
              </w:rPr>
              <w:t>2742</w:t>
            </w:r>
          </w:p>
        </w:tc>
        <w:tc>
          <w:tcPr>
            <w:tcW w:w="4004" w:type="dxa"/>
            <w:gridSpan w:val="2"/>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b/>
                <w:bCs/>
                <w:i/>
                <w:iCs/>
                <w:sz w:val="14"/>
                <w:szCs w:val="14"/>
                <w:lang w:val="it-IT"/>
              </w:rPr>
            </w:pPr>
            <w:r w:rsidRPr="00891C11">
              <w:rPr>
                <w:rFonts w:ascii="CG Times" w:hAnsi="CG Times" w:cs="Arial"/>
                <w:b/>
                <w:bCs/>
                <w:i/>
                <w:iCs/>
                <w:sz w:val="14"/>
                <w:szCs w:val="14"/>
                <w:lang w:val="it-IT"/>
              </w:rPr>
              <w:t>Certifikatat e depozitave të mbajtësit</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41" w:type="dxa"/>
            <w:tcBorders>
              <w:top w:val="nil"/>
              <w:left w:val="nil"/>
              <w:bottom w:val="single" w:sz="4" w:space="0" w:color="auto"/>
              <w:right w:val="single" w:sz="4"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806" w:type="dxa"/>
            <w:tcBorders>
              <w:top w:val="nil"/>
              <w:left w:val="nil"/>
              <w:bottom w:val="single" w:sz="4" w:space="0" w:color="auto"/>
              <w:right w:val="single" w:sz="8" w:space="0" w:color="auto"/>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012" w:type="dxa"/>
            <w:gridSpan w:val="3"/>
            <w:tcBorders>
              <w:top w:val="nil"/>
              <w:left w:val="nil"/>
              <w:bottom w:val="single" w:sz="4" w:space="0" w:color="auto"/>
              <w:right w:val="nil"/>
            </w:tcBorders>
            <w:shd w:val="clear" w:color="auto" w:fill="auto"/>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Pr="00891C11" w:rsidRDefault="008C563C" w:rsidP="00226FF1">
            <w:pPr>
              <w:rPr>
                <w:rFonts w:ascii="CG Times" w:hAnsi="CG Times" w:cs="Arial"/>
                <w:sz w:val="14"/>
                <w:szCs w:val="14"/>
                <w:lang w:val="it-IT"/>
              </w:rPr>
            </w:pPr>
            <w:r w:rsidRPr="00891C11">
              <w:rPr>
                <w:rFonts w:ascii="CG Times" w:hAnsi="CG Times" w:cs="Arial"/>
                <w:sz w:val="14"/>
                <w:szCs w:val="14"/>
                <w:lang w:val="it-IT"/>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sz w:val="14"/>
                <w:szCs w:val="14"/>
              </w:rPr>
            </w:pPr>
            <w:r>
              <w:rPr>
                <w:rFonts w:ascii="CG Times" w:hAnsi="CG Times" w:cs="Arial"/>
                <w:sz w:val="14"/>
                <w:szCs w:val="14"/>
              </w:rPr>
              <w:t>27421</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xml:space="preserve">               Kryegjëja</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sz w:val="14"/>
                <w:szCs w:val="14"/>
              </w:rPr>
            </w:pPr>
            <w:r>
              <w:rPr>
                <w:rFonts w:ascii="CG Times" w:hAnsi="CG Times" w:cs="Arial"/>
                <w:b/>
                <w:bCs/>
                <w:sz w:val="14"/>
                <w:szCs w:val="14"/>
              </w:rPr>
              <w:t>34</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sz w:val="14"/>
                <w:szCs w:val="14"/>
              </w:rPr>
            </w:pPr>
            <w:r>
              <w:rPr>
                <w:rFonts w:ascii="CG Times" w:hAnsi="CG Times" w:cs="Arial"/>
                <w:b/>
                <w:bCs/>
                <w:sz w:val="14"/>
                <w:szCs w:val="14"/>
              </w:rPr>
              <w:t>Letra me vlerë të blera dhe të shitura sipas marrëveshjes së riblerjes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jc w:val="right"/>
              <w:rPr>
                <w:rFonts w:ascii="CG Times" w:hAnsi="CG Times" w:cs="Arial"/>
                <w:b/>
                <w:bCs/>
                <w:i/>
                <w:iCs/>
                <w:color w:val="000080"/>
                <w:sz w:val="14"/>
                <w:szCs w:val="14"/>
              </w:rPr>
            </w:pPr>
            <w:r>
              <w:rPr>
                <w:rFonts w:ascii="CG Times" w:hAnsi="CG Times" w:cs="Arial"/>
                <w:b/>
                <w:bCs/>
                <w:i/>
                <w:iCs/>
                <w:color w:val="000080"/>
                <w:sz w:val="14"/>
                <w:szCs w:val="14"/>
              </w:rPr>
              <w:t>342</w:t>
            </w:r>
          </w:p>
        </w:tc>
        <w:tc>
          <w:tcPr>
            <w:tcW w:w="4004" w:type="dxa"/>
            <w:gridSpan w:val="2"/>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b/>
                <w:bCs/>
                <w:i/>
                <w:iCs/>
                <w:color w:val="000080"/>
                <w:sz w:val="14"/>
                <w:szCs w:val="14"/>
              </w:rPr>
            </w:pPr>
            <w:r>
              <w:rPr>
                <w:rFonts w:ascii="CG Times" w:hAnsi="CG Times" w:cs="Arial"/>
                <w:b/>
                <w:bCs/>
                <w:i/>
                <w:iCs/>
                <w:color w:val="000080"/>
                <w:sz w:val="14"/>
                <w:szCs w:val="14"/>
              </w:rPr>
              <w:t>Letra me vlerë të shitura sipas marrëveshjes së riblerjes</w:t>
            </w:r>
          </w:p>
        </w:tc>
        <w:tc>
          <w:tcPr>
            <w:tcW w:w="743" w:type="dxa"/>
            <w:tcBorders>
              <w:top w:val="nil"/>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4" w:space="0" w:color="auto"/>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single" w:sz="8" w:space="0" w:color="auto"/>
              <w:bottom w:val="nil"/>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43" w:type="dxa"/>
            <w:tcBorders>
              <w:top w:val="nil"/>
              <w:left w:val="single" w:sz="8" w:space="0" w:color="auto"/>
              <w:bottom w:val="nil"/>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nil"/>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nil"/>
              <w:right w:val="single" w:sz="8"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nil"/>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90"/>
        </w:trPr>
        <w:tc>
          <w:tcPr>
            <w:tcW w:w="816" w:type="dxa"/>
            <w:tcBorders>
              <w:top w:val="single" w:sz="8" w:space="0" w:color="auto"/>
              <w:left w:val="single" w:sz="8" w:space="0" w:color="auto"/>
              <w:bottom w:val="nil"/>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single" w:sz="8" w:space="0" w:color="auto"/>
              <w:left w:val="nil"/>
              <w:bottom w:val="nil"/>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743" w:type="dxa"/>
            <w:tcBorders>
              <w:top w:val="single" w:sz="8" w:space="0" w:color="auto"/>
              <w:left w:val="single" w:sz="8" w:space="0" w:color="auto"/>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single" w:sz="8" w:space="0" w:color="auto"/>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single" w:sz="8" w:space="0" w:color="auto"/>
              <w:left w:val="nil"/>
              <w:bottom w:val="single" w:sz="4"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single" w:sz="8" w:space="0" w:color="auto"/>
              <w:left w:val="single" w:sz="8" w:space="0" w:color="auto"/>
              <w:bottom w:val="single" w:sz="4"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single" w:sz="8" w:space="0" w:color="auto"/>
              <w:left w:val="single" w:sz="8" w:space="0" w:color="auto"/>
              <w:bottom w:val="single" w:sz="4"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95"/>
        </w:trPr>
        <w:tc>
          <w:tcPr>
            <w:tcW w:w="816" w:type="dxa"/>
            <w:tcBorders>
              <w:top w:val="nil"/>
              <w:left w:val="single" w:sz="8" w:space="0" w:color="auto"/>
              <w:bottom w:val="single" w:sz="8"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4004" w:type="dxa"/>
            <w:gridSpan w:val="2"/>
            <w:tcBorders>
              <w:top w:val="nil"/>
              <w:left w:val="nil"/>
              <w:bottom w:val="single" w:sz="8"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TOTALI</w:t>
            </w:r>
          </w:p>
        </w:tc>
        <w:tc>
          <w:tcPr>
            <w:tcW w:w="743" w:type="dxa"/>
            <w:tcBorders>
              <w:top w:val="nil"/>
              <w:left w:val="single" w:sz="8" w:space="0" w:color="auto"/>
              <w:bottom w:val="single" w:sz="8"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41" w:type="dxa"/>
            <w:tcBorders>
              <w:top w:val="nil"/>
              <w:left w:val="nil"/>
              <w:bottom w:val="single" w:sz="8"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806" w:type="dxa"/>
            <w:tcBorders>
              <w:top w:val="nil"/>
              <w:left w:val="nil"/>
              <w:bottom w:val="single" w:sz="8" w:space="0" w:color="auto"/>
              <w:right w:val="single" w:sz="4" w:space="0" w:color="auto"/>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012" w:type="dxa"/>
            <w:gridSpan w:val="3"/>
            <w:tcBorders>
              <w:top w:val="nil"/>
              <w:left w:val="single" w:sz="8" w:space="0" w:color="auto"/>
              <w:bottom w:val="single" w:sz="8" w:space="0" w:color="auto"/>
              <w:right w:val="nil"/>
            </w:tcBorders>
            <w:shd w:val="clear" w:color="auto" w:fill="auto"/>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c>
          <w:tcPr>
            <w:tcW w:w="1134" w:type="dxa"/>
            <w:gridSpan w:val="4"/>
            <w:tcBorders>
              <w:top w:val="nil"/>
              <w:left w:val="single" w:sz="8" w:space="0" w:color="auto"/>
              <w:bottom w:val="single" w:sz="8" w:space="0" w:color="auto"/>
              <w:right w:val="single" w:sz="8" w:space="0" w:color="auto"/>
            </w:tcBorders>
            <w:shd w:val="clear" w:color="000000" w:fill="FFFF99"/>
            <w:noWrap/>
            <w:vAlign w:val="bottom"/>
          </w:tcPr>
          <w:p w:rsidR="008C563C" w:rsidRDefault="008C563C" w:rsidP="00226FF1">
            <w:pPr>
              <w:rPr>
                <w:rFonts w:ascii="CG Times" w:hAnsi="CG Times" w:cs="Arial"/>
                <w:sz w:val="14"/>
                <w:szCs w:val="14"/>
              </w:rPr>
            </w:pPr>
            <w:r>
              <w:rPr>
                <w:rFonts w:ascii="CG Times" w:hAnsi="CG Times" w:cs="Arial"/>
                <w:sz w:val="14"/>
                <w:szCs w:val="14"/>
              </w:rPr>
              <w:t> </w:t>
            </w: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43"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41"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0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012"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134" w:type="dxa"/>
            <w:gridSpan w:val="4"/>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43"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41"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0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012"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134" w:type="dxa"/>
            <w:gridSpan w:val="4"/>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4004" w:type="dxa"/>
            <w:gridSpan w:val="2"/>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743"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41"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0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012"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134" w:type="dxa"/>
            <w:gridSpan w:val="4"/>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trPr>
          <w:trHeight w:val="139"/>
        </w:trPr>
        <w:tc>
          <w:tcPr>
            <w:tcW w:w="816" w:type="dxa"/>
            <w:tcBorders>
              <w:top w:val="nil"/>
              <w:left w:val="nil"/>
              <w:bottom w:val="nil"/>
              <w:right w:val="nil"/>
            </w:tcBorders>
            <w:shd w:val="clear" w:color="auto" w:fill="auto"/>
            <w:noWrap/>
            <w:vAlign w:val="bottom"/>
          </w:tcPr>
          <w:p w:rsidR="008C563C" w:rsidRDefault="00665867" w:rsidP="00226FF1">
            <w:pPr>
              <w:rPr>
                <w:rFonts w:ascii="Arial" w:hAnsi="Arial" w:cs="Arial"/>
                <w:sz w:val="20"/>
                <w:szCs w:val="20"/>
              </w:rPr>
            </w:pPr>
            <w:r>
              <w:rPr>
                <w:rFonts w:ascii="Arial" w:hAnsi="Arial" w:cs="Arial"/>
                <w:noProof/>
                <w:sz w:val="20"/>
                <w:szCs w:val="20"/>
                <w:lang w:val="en-GB" w:eastAsia="en-GB"/>
              </w:rPr>
              <w:drawing>
                <wp:anchor distT="0" distB="0" distL="114300" distR="114300" simplePos="0" relativeHeight="251659264" behindDoc="0" locked="0" layoutInCell="1" allowOverlap="1">
                  <wp:simplePos x="0" y="0"/>
                  <wp:positionH relativeFrom="column">
                    <wp:posOffset>85725</wp:posOffset>
                  </wp:positionH>
                  <wp:positionV relativeFrom="paragraph">
                    <wp:posOffset>76200</wp:posOffset>
                  </wp:positionV>
                  <wp:extent cx="1476375" cy="28575"/>
                  <wp:effectExtent l="0" t="0" r="9525" b="9525"/>
                  <wp:wrapNone/>
                  <wp:docPr id="16" name="L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375" cy="28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GB" w:eastAsia="en-GB"/>
              </w:rPr>
              <w:drawing>
                <wp:anchor distT="0" distB="0" distL="114300" distR="114300" simplePos="0" relativeHeight="251660288" behindDoc="0" locked="0" layoutInCell="1" allowOverlap="1">
                  <wp:simplePos x="0" y="0"/>
                  <wp:positionH relativeFrom="column">
                    <wp:posOffset>1857375</wp:posOffset>
                  </wp:positionH>
                  <wp:positionV relativeFrom="paragraph">
                    <wp:posOffset>76200</wp:posOffset>
                  </wp:positionV>
                  <wp:extent cx="1905000" cy="28575"/>
                  <wp:effectExtent l="0" t="0" r="0" b="9525"/>
                  <wp:wrapNone/>
                  <wp:docPr id="15" name="L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28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GB" w:eastAsia="en-GB"/>
              </w:rPr>
              <w:drawing>
                <wp:anchor distT="0" distB="0" distL="114300" distR="114300" simplePos="0" relativeHeight="251656192" behindDoc="0" locked="0" layoutInCell="1" allowOverlap="1">
                  <wp:simplePos x="0" y="0"/>
                  <wp:positionH relativeFrom="column">
                    <wp:posOffset>5248275</wp:posOffset>
                  </wp:positionH>
                  <wp:positionV relativeFrom="paragraph">
                    <wp:posOffset>85725</wp:posOffset>
                  </wp:positionV>
                  <wp:extent cx="28575" cy="28575"/>
                  <wp:effectExtent l="0" t="0" r="0" b="0"/>
                  <wp:wrapNone/>
                  <wp:docPr id="14" name="L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val="en-GB" w:eastAsia="en-GB"/>
              </w:rPr>
              <w:drawing>
                <wp:anchor distT="0" distB="0" distL="114300" distR="114300" simplePos="0" relativeHeight="251661312" behindDoc="0" locked="0" layoutInCell="1" allowOverlap="1">
                  <wp:simplePos x="0" y="0"/>
                  <wp:positionH relativeFrom="column">
                    <wp:posOffset>3810000</wp:posOffset>
                  </wp:positionH>
                  <wp:positionV relativeFrom="paragraph">
                    <wp:posOffset>85725</wp:posOffset>
                  </wp:positionV>
                  <wp:extent cx="2190750" cy="28575"/>
                  <wp:effectExtent l="0" t="0" r="0" b="9525"/>
                  <wp:wrapNone/>
                  <wp:docPr id="13" name="L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285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00"/>
            </w:tblGrid>
            <w:tr w:rsidR="008C563C">
              <w:trPr>
                <w:trHeight w:val="139"/>
                <w:tblCellSpacing w:w="0" w:type="dxa"/>
              </w:trPr>
              <w:tc>
                <w:tcPr>
                  <w:tcW w:w="600"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r>
          </w:tbl>
          <w:p w:rsidR="008C563C" w:rsidRDefault="008C563C" w:rsidP="00226FF1">
            <w:pPr>
              <w:rPr>
                <w:rFonts w:ascii="Arial" w:hAnsi="Arial" w:cs="Arial"/>
                <w:sz w:val="20"/>
                <w:szCs w:val="20"/>
              </w:rPr>
            </w:pPr>
          </w:p>
        </w:tc>
        <w:tc>
          <w:tcPr>
            <w:tcW w:w="4004" w:type="dxa"/>
            <w:gridSpan w:val="2"/>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c>
          <w:tcPr>
            <w:tcW w:w="743" w:type="dxa"/>
            <w:tcBorders>
              <w:top w:val="nil"/>
              <w:left w:val="nil"/>
              <w:bottom w:val="nil"/>
              <w:right w:val="nil"/>
            </w:tcBorders>
            <w:shd w:val="clear" w:color="auto" w:fill="auto"/>
            <w:noWrap/>
            <w:vAlign w:val="center"/>
          </w:tcPr>
          <w:p w:rsidR="008C563C" w:rsidRDefault="008C563C" w:rsidP="00226FF1">
            <w:pPr>
              <w:rPr>
                <w:rFonts w:ascii="CG Times" w:hAnsi="CG Times" w:cs="Arial"/>
                <w:sz w:val="14"/>
                <w:szCs w:val="14"/>
              </w:rPr>
            </w:pPr>
          </w:p>
        </w:tc>
        <w:tc>
          <w:tcPr>
            <w:tcW w:w="841"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806" w:type="dxa"/>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012" w:type="dxa"/>
            <w:gridSpan w:val="3"/>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c>
          <w:tcPr>
            <w:tcW w:w="1134" w:type="dxa"/>
            <w:gridSpan w:val="4"/>
            <w:tcBorders>
              <w:top w:val="nil"/>
              <w:left w:val="nil"/>
              <w:bottom w:val="nil"/>
              <w:right w:val="nil"/>
            </w:tcBorders>
            <w:shd w:val="clear" w:color="auto" w:fill="auto"/>
            <w:noWrap/>
            <w:vAlign w:val="bottom"/>
          </w:tcPr>
          <w:p w:rsidR="008C563C" w:rsidRDefault="008C563C" w:rsidP="00226FF1">
            <w:pPr>
              <w:rPr>
                <w:rFonts w:ascii="CG Times" w:hAnsi="CG Times" w:cs="Arial"/>
                <w:sz w:val="14"/>
                <w:szCs w:val="14"/>
              </w:rPr>
            </w:pPr>
          </w:p>
        </w:tc>
      </w:tr>
      <w:tr w:rsidR="008C563C" w:rsidRPr="00891C11">
        <w:trPr>
          <w:trHeight w:val="139"/>
        </w:trPr>
        <w:tc>
          <w:tcPr>
            <w:tcW w:w="9356" w:type="dxa"/>
            <w:gridSpan w:val="13"/>
            <w:tcBorders>
              <w:top w:val="nil"/>
              <w:left w:val="nil"/>
              <w:bottom w:val="nil"/>
              <w:right w:val="nil"/>
            </w:tcBorders>
            <w:shd w:val="clear" w:color="auto" w:fill="auto"/>
            <w:noWrap/>
            <w:vAlign w:val="center"/>
          </w:tcPr>
          <w:p w:rsidR="008C563C" w:rsidRPr="00891C11" w:rsidRDefault="008C563C" w:rsidP="007E0452">
            <w:pPr>
              <w:rPr>
                <w:rFonts w:ascii="CG Times" w:hAnsi="CG Times" w:cs="Arial"/>
                <w:b/>
                <w:bCs/>
                <w:sz w:val="14"/>
                <w:szCs w:val="14"/>
                <w:lang w:val="it-IT"/>
              </w:rPr>
            </w:pPr>
            <w:r w:rsidRPr="00891C11">
              <w:rPr>
                <w:rFonts w:ascii="CG Times" w:hAnsi="CG Times" w:cs="Arial"/>
                <w:b/>
                <w:bCs/>
                <w:sz w:val="14"/>
                <w:szCs w:val="14"/>
                <w:lang w:val="it-IT"/>
              </w:rPr>
              <w:t xml:space="preserve">        (Datë)                                                                 (Punoi: </w:t>
            </w:r>
            <w:r w:rsidR="007E0452" w:rsidRPr="00891C11">
              <w:rPr>
                <w:rFonts w:ascii="CG Times" w:hAnsi="CG Times" w:cs="Arial"/>
                <w:b/>
                <w:bCs/>
                <w:sz w:val="14"/>
                <w:szCs w:val="14"/>
                <w:lang w:val="it-IT"/>
              </w:rPr>
              <w:t>e</w:t>
            </w:r>
            <w:r w:rsidRPr="00891C11">
              <w:rPr>
                <w:rFonts w:ascii="CG Times" w:hAnsi="CG Times" w:cs="Arial"/>
                <w:b/>
                <w:bCs/>
                <w:sz w:val="14"/>
                <w:szCs w:val="14"/>
                <w:lang w:val="it-IT"/>
              </w:rPr>
              <w:t>mri/</w:t>
            </w:r>
            <w:r w:rsidR="007E0452" w:rsidRPr="00891C11">
              <w:rPr>
                <w:rFonts w:ascii="CG Times" w:hAnsi="CG Times" w:cs="Arial"/>
                <w:b/>
                <w:bCs/>
                <w:sz w:val="14"/>
                <w:szCs w:val="14"/>
                <w:lang w:val="it-IT"/>
              </w:rPr>
              <w:t>f</w:t>
            </w:r>
            <w:r w:rsidRPr="00891C11">
              <w:rPr>
                <w:rFonts w:ascii="CG Times" w:hAnsi="CG Times" w:cs="Arial"/>
                <w:b/>
                <w:bCs/>
                <w:sz w:val="14"/>
                <w:szCs w:val="14"/>
                <w:lang w:val="it-IT"/>
              </w:rPr>
              <w:t>irma)                                             (Emri/</w:t>
            </w:r>
            <w:r w:rsidR="007E0452" w:rsidRPr="00891C11">
              <w:rPr>
                <w:rFonts w:ascii="CG Times" w:hAnsi="CG Times" w:cs="Arial"/>
                <w:b/>
                <w:bCs/>
                <w:sz w:val="14"/>
                <w:szCs w:val="14"/>
                <w:lang w:val="it-IT"/>
              </w:rPr>
              <w:t>f</w:t>
            </w:r>
            <w:r w:rsidRPr="00891C11">
              <w:rPr>
                <w:rFonts w:ascii="CG Times" w:hAnsi="CG Times" w:cs="Arial"/>
                <w:b/>
                <w:bCs/>
                <w:sz w:val="14"/>
                <w:szCs w:val="14"/>
                <w:lang w:val="it-IT"/>
              </w:rPr>
              <w:t>irma e personit të autorizuar/</w:t>
            </w:r>
            <w:r w:rsidR="007E0452" w:rsidRPr="00891C11">
              <w:rPr>
                <w:rFonts w:ascii="CG Times" w:hAnsi="CG Times" w:cs="Arial"/>
                <w:b/>
                <w:bCs/>
                <w:sz w:val="14"/>
                <w:szCs w:val="14"/>
                <w:lang w:val="it-IT"/>
              </w:rPr>
              <w:t>v</w:t>
            </w:r>
            <w:r w:rsidRPr="00891C11">
              <w:rPr>
                <w:rFonts w:ascii="CG Times" w:hAnsi="CG Times" w:cs="Arial"/>
                <w:b/>
                <w:bCs/>
                <w:sz w:val="14"/>
                <w:szCs w:val="14"/>
                <w:lang w:val="it-IT"/>
              </w:rPr>
              <w:t>ula)</w:t>
            </w:r>
          </w:p>
        </w:tc>
      </w:tr>
    </w:tbl>
    <w:p w:rsidR="008C563C" w:rsidRPr="00891C11" w:rsidRDefault="008C563C" w:rsidP="008C563C">
      <w:pPr>
        <w:pStyle w:val="Paragrafi"/>
        <w:ind w:firstLine="0"/>
        <w:rPr>
          <w:lang w:val="it-IT"/>
        </w:rPr>
      </w:pPr>
    </w:p>
    <w:p w:rsidR="008C563C" w:rsidRPr="00891C11" w:rsidRDefault="008C563C" w:rsidP="008C563C">
      <w:pPr>
        <w:pStyle w:val="Paragrafi"/>
        <w:ind w:firstLine="0"/>
        <w:rPr>
          <w:lang w:val="it-IT"/>
        </w:rPr>
      </w:pPr>
    </w:p>
    <w:p w:rsidR="008C563C" w:rsidRPr="00891C11" w:rsidRDefault="008C563C" w:rsidP="008C563C">
      <w:pPr>
        <w:pStyle w:val="Akti"/>
        <w:rPr>
          <w:lang w:val="it-IT"/>
        </w:rPr>
      </w:pPr>
      <w:r w:rsidRPr="00891C11">
        <w:rPr>
          <w:lang w:val="it-IT"/>
        </w:rPr>
        <w:t>VENDIM</w:t>
      </w:r>
    </w:p>
    <w:p w:rsidR="008C563C" w:rsidRPr="00891C11" w:rsidRDefault="00B8592B" w:rsidP="008C563C">
      <w:pPr>
        <w:pStyle w:val="NumriData"/>
        <w:rPr>
          <w:lang w:val="it-IT"/>
        </w:rPr>
      </w:pPr>
      <w:r w:rsidRPr="00891C11">
        <w:rPr>
          <w:lang w:val="it-IT"/>
        </w:rPr>
        <w:t>Nr. 37, datë 29.5.</w:t>
      </w:r>
      <w:r w:rsidR="008C563C" w:rsidRPr="00891C11">
        <w:rPr>
          <w:lang w:val="it-IT"/>
        </w:rPr>
        <w:t>2012</w:t>
      </w:r>
    </w:p>
    <w:p w:rsidR="008C563C" w:rsidRPr="00891C11" w:rsidRDefault="008C563C" w:rsidP="008C563C">
      <w:pPr>
        <w:pStyle w:val="Titulli"/>
        <w:rPr>
          <w:lang w:val="it-IT"/>
        </w:rPr>
      </w:pPr>
    </w:p>
    <w:p w:rsidR="008C563C" w:rsidRPr="00891C11" w:rsidRDefault="008C563C" w:rsidP="008C563C">
      <w:pPr>
        <w:pStyle w:val="Titulli"/>
        <w:rPr>
          <w:lang w:val="it-IT"/>
        </w:rPr>
      </w:pPr>
      <w:r w:rsidRPr="00891C11">
        <w:rPr>
          <w:lang w:val="it-IT"/>
        </w:rPr>
        <w:t>Për dhënien e miratimit paraprak për kryerjen e veprimtarive</w:t>
      </w:r>
      <w:r w:rsidR="00FC625F" w:rsidRPr="00891C11">
        <w:rPr>
          <w:lang w:val="it-IT"/>
        </w:rPr>
        <w:t xml:space="preserve"> shtesë nga Banka Raiffeisen sha</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 xml:space="preserve">Në </w:t>
      </w:r>
      <w:r w:rsidR="006E795A" w:rsidRPr="00891C11">
        <w:rPr>
          <w:lang w:val="it-IT"/>
        </w:rPr>
        <w:t>bazë dhe për zbatim të nenit 12</w:t>
      </w:r>
      <w:r w:rsidRPr="00891C11">
        <w:rPr>
          <w:lang w:val="it-IT"/>
        </w:rPr>
        <w:t xml:space="preserve"> shkronja “a” dhe të nenit 43, shkronja “e” të ligjit nr.8269, datë 23.1</w:t>
      </w:r>
      <w:r w:rsidR="006E795A" w:rsidRPr="00891C11">
        <w:rPr>
          <w:lang w:val="it-IT"/>
        </w:rPr>
        <w:t>2.1997 “Për Bankën e Shqipërisë”</w:t>
      </w:r>
      <w:r w:rsidRPr="00891C11">
        <w:rPr>
          <w:lang w:val="it-IT"/>
        </w:rPr>
        <w:t>, të ndryshuar; të nenit 23, pikat 1 dhe 3, të nenit 24, pika 1, shkronja “ç”, të nenit 54, pikat 2 dhe 4, të ligjit nr. 9662, datë 18.12.2006 “Për bankat në Republikën e Shqipërisë”, me propozim të Departamentit të Mbikëqyrjes, Këshilli Mbikëqyrës i Bankës së Shqipërisë</w:t>
      </w:r>
    </w:p>
    <w:p w:rsidR="008C563C" w:rsidRPr="00891C11" w:rsidRDefault="008C563C" w:rsidP="008C563C">
      <w:pPr>
        <w:pStyle w:val="Paragrafi"/>
        <w:rPr>
          <w:lang w:val="it-IT"/>
        </w:rPr>
      </w:pPr>
    </w:p>
    <w:p w:rsidR="008C563C" w:rsidRPr="00891C11" w:rsidRDefault="008C563C" w:rsidP="008C563C">
      <w:pPr>
        <w:pStyle w:val="VENDOSI"/>
        <w:rPr>
          <w:lang w:val="it-IT"/>
        </w:rPr>
      </w:pPr>
      <w:r w:rsidRPr="00891C11">
        <w:rPr>
          <w:lang w:val="it-IT"/>
        </w:rPr>
        <w:t>VENDOSI:</w:t>
      </w:r>
    </w:p>
    <w:p w:rsidR="008C563C" w:rsidRPr="00891C11" w:rsidRDefault="008C563C" w:rsidP="008C563C">
      <w:pPr>
        <w:pStyle w:val="Paragrafi"/>
        <w:rPr>
          <w:lang w:val="it-IT"/>
        </w:rPr>
      </w:pPr>
    </w:p>
    <w:p w:rsidR="008C563C" w:rsidRPr="00891C11" w:rsidRDefault="008C563C" w:rsidP="008C563C">
      <w:pPr>
        <w:pStyle w:val="Paragrafi"/>
        <w:rPr>
          <w:lang w:val="it-IT"/>
        </w:rPr>
      </w:pPr>
      <w:r w:rsidRPr="00891C11">
        <w:rPr>
          <w:lang w:val="it-IT"/>
        </w:rPr>
        <w:t>1. Të japë miratimin paraprak për kryerjen nga Banka Raiffeisen sh.a., të veprimtarive financiare shtesë, si më poshtë:</w:t>
      </w:r>
    </w:p>
    <w:p w:rsidR="008C563C" w:rsidRPr="00891C11" w:rsidRDefault="008C563C" w:rsidP="008C563C">
      <w:pPr>
        <w:pStyle w:val="Paragrafi"/>
        <w:rPr>
          <w:lang w:val="it-IT"/>
        </w:rPr>
      </w:pPr>
      <w:r w:rsidRPr="00891C11">
        <w:rPr>
          <w:lang w:val="it-IT"/>
        </w:rPr>
        <w:t>a) Faktoring-un dhe financimin e transaksioneve tregtare.</w:t>
      </w:r>
    </w:p>
    <w:p w:rsidR="008C563C" w:rsidRPr="00891C11" w:rsidRDefault="008C563C" w:rsidP="008C563C">
      <w:pPr>
        <w:pStyle w:val="Paragrafi"/>
        <w:rPr>
          <w:lang w:val="it-IT"/>
        </w:rPr>
      </w:pPr>
      <w:r w:rsidRPr="00891C11">
        <w:rPr>
          <w:lang w:val="it-IT"/>
        </w:rPr>
        <w:t>2. Autorizohet Guvernatori i Bankës së Shqipërisë, për të bërë ndryshimet përkatëse në aneksin e licencës të Bankës Raiffeisen sh.a., pas kryerjes së ndryshimit sipas pikës 1 të këtij vendimi.</w:t>
      </w:r>
    </w:p>
    <w:p w:rsidR="008C563C" w:rsidRPr="00891C11" w:rsidRDefault="008C563C" w:rsidP="008C563C">
      <w:pPr>
        <w:pStyle w:val="Paragrafi"/>
        <w:rPr>
          <w:lang w:val="it-IT"/>
        </w:rPr>
      </w:pPr>
      <w:r w:rsidRPr="00891C11">
        <w:rPr>
          <w:lang w:val="it-IT"/>
        </w:rPr>
        <w:t>3. Ngarkohet Departamenti i Mbikëqyrjes për zbatimin e këtij vendimi.</w:t>
      </w:r>
    </w:p>
    <w:p w:rsidR="008C563C" w:rsidRPr="00891C11" w:rsidRDefault="008C563C" w:rsidP="008C563C">
      <w:pPr>
        <w:pStyle w:val="Paragrafi"/>
        <w:rPr>
          <w:lang w:val="it-IT"/>
        </w:rPr>
      </w:pPr>
      <w:r w:rsidRPr="00891C11">
        <w:rPr>
          <w:lang w:val="it-IT"/>
        </w:rPr>
        <w:t>4. Ngarkohet Departamenti i Marrëdhënieve me Jashtë, Integrimit Evropian dhe Komunikimit për publikimin e këtij vendimi në Buletinin Zyrtar të Bankës së Shqipërisë dhe në Fletoren Zyrtare të Republikës së Shqipërisë.</w:t>
      </w:r>
    </w:p>
    <w:p w:rsidR="008C563C" w:rsidRPr="00891C11" w:rsidRDefault="008C563C" w:rsidP="008C563C">
      <w:pPr>
        <w:pStyle w:val="Paragrafi"/>
        <w:rPr>
          <w:lang w:val="it-IT"/>
        </w:rPr>
      </w:pPr>
      <w:r w:rsidRPr="00891C11">
        <w:rPr>
          <w:lang w:val="it-IT"/>
        </w:rPr>
        <w:t>Ky vendim hyn në fuqi menjëherë.</w:t>
      </w:r>
      <w:r w:rsidRPr="00891C11">
        <w:rPr>
          <w:lang w:val="it-IT"/>
        </w:rPr>
        <w:tab/>
      </w:r>
      <w:r w:rsidRPr="00891C11">
        <w:rPr>
          <w:lang w:val="it-IT"/>
        </w:rPr>
        <w:tab/>
      </w:r>
    </w:p>
    <w:p w:rsidR="008C563C" w:rsidRPr="00891C11" w:rsidRDefault="008C563C" w:rsidP="008C563C">
      <w:pPr>
        <w:pStyle w:val="Paragrafi"/>
        <w:ind w:firstLine="0"/>
        <w:rPr>
          <w:lang w:val="it-IT"/>
        </w:rPr>
      </w:pPr>
    </w:p>
    <w:p w:rsidR="008C563C" w:rsidRPr="00B66D22" w:rsidRDefault="008C563C" w:rsidP="008C563C">
      <w:pPr>
        <w:pStyle w:val="Autoriteti"/>
      </w:pPr>
      <w:r w:rsidRPr="00891C11">
        <w:rPr>
          <w:lang w:val="it-IT"/>
        </w:rPr>
        <w:t xml:space="preserve">                                                    </w:t>
      </w:r>
      <w:r w:rsidRPr="00891C11">
        <w:rPr>
          <w:lang w:val="it-IT"/>
        </w:rPr>
        <w:tab/>
      </w:r>
      <w:r w:rsidRPr="00891C11">
        <w:rPr>
          <w:lang w:val="it-IT"/>
        </w:rPr>
        <w:tab/>
      </w:r>
      <w:r w:rsidRPr="00B66D22">
        <w:t>KRYETARI</w:t>
      </w:r>
    </w:p>
    <w:p w:rsidR="008C563C" w:rsidRPr="00B66D22" w:rsidRDefault="008C563C" w:rsidP="008C563C">
      <w:pPr>
        <w:pStyle w:val="AutoritetiEmer"/>
      </w:pPr>
      <w:r w:rsidRPr="00B66D22">
        <w:t xml:space="preserve">                                         </w:t>
      </w:r>
      <w:r w:rsidRPr="00B66D22">
        <w:tab/>
        <w:t xml:space="preserve">         </w:t>
      </w:r>
      <w:r w:rsidRPr="00B66D22">
        <w:tab/>
      </w:r>
      <w:r w:rsidRPr="00B66D22">
        <w:tab/>
        <w:t>Ardian Fullani</w:t>
      </w:r>
    </w:p>
    <w:p w:rsidR="008C563C" w:rsidRPr="00B66D22" w:rsidRDefault="008C563C" w:rsidP="008C563C">
      <w:pPr>
        <w:rPr>
          <w:sz w:val="22"/>
          <w:szCs w:val="22"/>
        </w:rPr>
      </w:pPr>
    </w:p>
    <w:p w:rsidR="00E71A7C" w:rsidRPr="00EA7C6E" w:rsidRDefault="00E71A7C" w:rsidP="00274C44">
      <w:pPr>
        <w:pStyle w:val="AutoritetiEmer"/>
        <w:jc w:val="left"/>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B6AD5" w:rsidRDefault="00EB6AD5"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sectPr w:rsidR="00631438" w:rsidSect="00A24A1A">
          <w:headerReference w:type="even" r:id="rId29"/>
          <w:headerReference w:type="default" r:id="rId30"/>
          <w:footerReference w:type="even" r:id="rId31"/>
          <w:footerReference w:type="default" r:id="rId32"/>
          <w:footnotePr>
            <w:numRestart w:val="eachPage"/>
          </w:footnotePr>
          <w:type w:val="continuous"/>
          <w:pgSz w:w="11907" w:h="16840" w:code="9"/>
          <w:pgMar w:top="1418" w:right="1418" w:bottom="1418" w:left="1418" w:header="1588" w:footer="1134" w:gutter="0"/>
          <w:cols w:space="720"/>
          <w:docGrid w:linePitch="360"/>
        </w:sectPr>
      </w:pPr>
    </w:p>
    <w:p w:rsidR="00631438" w:rsidRDefault="00631438" w:rsidP="00655A5B">
      <w:pPr>
        <w:pStyle w:val="Paragrafi"/>
        <w:ind w:firstLine="0"/>
        <w:jc w:val="left"/>
        <w:rPr>
          <w:lang w:val="sq-AL"/>
        </w:rPr>
        <w:sectPr w:rsidR="00631438"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sz w:val="18"/>
          <w:szCs w:val="18"/>
        </w:rPr>
      </w:pPr>
    </w:p>
    <w:p w:rsidR="00EB6AD5" w:rsidRDefault="00EB6AD5" w:rsidP="0055437D">
      <w:pPr>
        <w:autoSpaceDE w:val="0"/>
        <w:autoSpaceDN w:val="0"/>
        <w:adjustRightInd w:val="0"/>
        <w:jc w:val="both"/>
        <w:rPr>
          <w:rFonts w:ascii="CG Times" w:hAnsi="CG Times" w:cs="Arial"/>
          <w:b/>
          <w:bCs/>
          <w:sz w:val="18"/>
          <w:szCs w:val="18"/>
        </w:rPr>
        <w:sectPr w:rsidR="00EB6AD5" w:rsidSect="00631438">
          <w:footnotePr>
            <w:numRestart w:val="eachPage"/>
          </w:footnotePr>
          <w:type w:val="continuous"/>
          <w:pgSz w:w="11907" w:h="16840" w:code="9"/>
          <w:pgMar w:top="1418" w:right="1418" w:bottom="1418" w:left="1418" w:header="1588" w:footer="1134" w:gutter="0"/>
          <w:cols w:space="720"/>
          <w:docGrid w:linePitch="360"/>
        </w:sect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E71A7C" w:rsidRPr="00E16D03" w:rsidRDefault="00E16D03" w:rsidP="00E16D03">
      <w:pPr>
        <w:pStyle w:val="Paragrafi"/>
        <w:jc w:val="center"/>
        <w:rPr>
          <w:rFonts w:cs="Times New Roman"/>
          <w:b/>
          <w:lang w:val="sq-AL"/>
        </w:rPr>
      </w:pPr>
      <w:r w:rsidRPr="00E16D03">
        <w:rPr>
          <w:rFonts w:cs="Times New Roman"/>
          <w:b/>
          <w:lang w:val="sq-AL"/>
        </w:rPr>
        <w:t>Ndreqje gabimi</w:t>
      </w:r>
    </w:p>
    <w:p w:rsidR="00E16D03" w:rsidRPr="00E16D03" w:rsidRDefault="00E16D03" w:rsidP="00E71A7C">
      <w:pPr>
        <w:pStyle w:val="Paragrafi"/>
        <w:rPr>
          <w:rFonts w:cs="Times New Roman"/>
          <w:b/>
          <w:lang w:val="sq-AL"/>
        </w:rPr>
      </w:pPr>
    </w:p>
    <w:p w:rsidR="005C74A9" w:rsidRDefault="00E16D03" w:rsidP="0075480C">
      <w:pPr>
        <w:pStyle w:val="Paragrafi"/>
        <w:rPr>
          <w:rFonts w:cs="Times New Roman"/>
          <w:lang w:val="sq-AL"/>
        </w:rPr>
      </w:pPr>
      <w:r>
        <w:rPr>
          <w:rFonts w:cs="Times New Roman"/>
          <w:lang w:val="sq-AL"/>
        </w:rPr>
        <w:t>N</w:t>
      </w:r>
      <w:r w:rsidRPr="00E16D03">
        <w:rPr>
          <w:rFonts w:cs="Times New Roman"/>
          <w:lang w:val="sq-AL"/>
        </w:rPr>
        <w:t>ë</w:t>
      </w:r>
      <w:r>
        <w:rPr>
          <w:rFonts w:cs="Times New Roman"/>
          <w:lang w:val="sq-AL"/>
        </w:rPr>
        <w:t xml:space="preserve"> Fletoren Zyrtare nr. 40/4 prill 2009, n</w:t>
      </w:r>
      <w:r w:rsidRPr="00E16D03">
        <w:rPr>
          <w:rFonts w:cs="Times New Roman"/>
          <w:lang w:val="sq-AL"/>
        </w:rPr>
        <w:t>ë</w:t>
      </w:r>
      <w:r>
        <w:rPr>
          <w:rFonts w:cs="Times New Roman"/>
          <w:lang w:val="sq-AL"/>
        </w:rPr>
        <w:t xml:space="preserve"> vendimin nr. 204, dat</w:t>
      </w:r>
      <w:r w:rsidRPr="00E16D03">
        <w:rPr>
          <w:rFonts w:cs="Times New Roman"/>
          <w:lang w:val="sq-AL"/>
        </w:rPr>
        <w:t>ë</w:t>
      </w:r>
      <w:r w:rsidR="0075480C">
        <w:rPr>
          <w:rFonts w:cs="Times New Roman"/>
          <w:lang w:val="sq-AL"/>
        </w:rPr>
        <w:t xml:space="preserve"> 19.2.2009</w:t>
      </w:r>
      <w:r>
        <w:rPr>
          <w:rFonts w:cs="Times New Roman"/>
          <w:lang w:val="sq-AL"/>
        </w:rPr>
        <w:t xml:space="preserve"> </w:t>
      </w:r>
      <w:r w:rsidR="0075480C">
        <w:rPr>
          <w:rFonts w:cs="Times New Roman"/>
          <w:lang w:val="sq-AL"/>
        </w:rPr>
        <w:t>“P</w:t>
      </w:r>
      <w:r w:rsidR="0075480C" w:rsidRPr="0075480C">
        <w:rPr>
          <w:rFonts w:cs="Times New Roman"/>
          <w:lang w:val="sq-AL"/>
        </w:rPr>
        <w:t>ë</w:t>
      </w:r>
      <w:r w:rsidR="0075480C">
        <w:rPr>
          <w:rFonts w:cs="Times New Roman"/>
          <w:lang w:val="sq-AL"/>
        </w:rPr>
        <w:t>r shpron</w:t>
      </w:r>
      <w:r w:rsidR="0075480C" w:rsidRPr="0075480C">
        <w:rPr>
          <w:rFonts w:cs="Times New Roman"/>
          <w:lang w:val="sq-AL"/>
        </w:rPr>
        <w:t>ë</w:t>
      </w:r>
      <w:r w:rsidR="0075480C">
        <w:rPr>
          <w:rFonts w:cs="Times New Roman"/>
          <w:lang w:val="sq-AL"/>
        </w:rPr>
        <w:t>simin e prona</w:t>
      </w:r>
      <w:r w:rsidR="00FA3E3F">
        <w:rPr>
          <w:rFonts w:cs="Times New Roman"/>
          <w:lang w:val="sq-AL"/>
        </w:rPr>
        <w:t>r</w:t>
      </w:r>
      <w:r w:rsidR="00FA3E3F" w:rsidRPr="00FA3E3F">
        <w:rPr>
          <w:rFonts w:cs="Times New Roman"/>
          <w:lang w:val="sq-AL"/>
        </w:rPr>
        <w:t>ë</w:t>
      </w:r>
      <w:r w:rsidR="0075480C">
        <w:rPr>
          <w:rFonts w:cs="Times New Roman"/>
          <w:lang w:val="sq-AL"/>
        </w:rPr>
        <w:t>ve, p</w:t>
      </w:r>
      <w:r w:rsidR="0075480C" w:rsidRPr="0075480C">
        <w:rPr>
          <w:rFonts w:cs="Times New Roman"/>
          <w:lang w:val="sq-AL"/>
        </w:rPr>
        <w:t>ë</w:t>
      </w:r>
      <w:r w:rsidR="0075480C">
        <w:rPr>
          <w:rFonts w:cs="Times New Roman"/>
          <w:lang w:val="sq-AL"/>
        </w:rPr>
        <w:t>r sip</w:t>
      </w:r>
      <w:r w:rsidR="0075480C" w:rsidRPr="0075480C">
        <w:rPr>
          <w:rFonts w:cs="Times New Roman"/>
          <w:lang w:val="sq-AL"/>
        </w:rPr>
        <w:t>ë</w:t>
      </w:r>
      <w:r w:rsidR="0075480C">
        <w:rPr>
          <w:rFonts w:cs="Times New Roman"/>
          <w:lang w:val="sq-AL"/>
        </w:rPr>
        <w:t>rfaqet takuese, t</w:t>
      </w:r>
      <w:r w:rsidR="0075480C" w:rsidRPr="0075480C">
        <w:rPr>
          <w:rFonts w:cs="Times New Roman"/>
          <w:lang w:val="sq-AL"/>
        </w:rPr>
        <w:t>ë</w:t>
      </w:r>
      <w:r w:rsidR="0075480C">
        <w:rPr>
          <w:rFonts w:cs="Times New Roman"/>
          <w:lang w:val="sq-AL"/>
        </w:rPr>
        <w:t xml:space="preserve"> pasurive t</w:t>
      </w:r>
      <w:r w:rsidR="0075480C" w:rsidRPr="0075480C">
        <w:rPr>
          <w:rFonts w:cs="Times New Roman"/>
          <w:lang w:val="sq-AL"/>
        </w:rPr>
        <w:t>ë</w:t>
      </w:r>
      <w:r w:rsidR="0075480C">
        <w:rPr>
          <w:rFonts w:cs="Times New Roman"/>
          <w:lang w:val="sq-AL"/>
        </w:rPr>
        <w:t xml:space="preserve"> paluajtshme, pron</w:t>
      </w:r>
      <w:r w:rsidR="0075480C" w:rsidRPr="0075480C">
        <w:rPr>
          <w:rFonts w:cs="Times New Roman"/>
          <w:lang w:val="sq-AL"/>
        </w:rPr>
        <w:t>ë</w:t>
      </w:r>
      <w:r w:rsidR="0075480C">
        <w:rPr>
          <w:rFonts w:cs="Times New Roman"/>
          <w:lang w:val="sq-AL"/>
        </w:rPr>
        <w:t xml:space="preserve"> private, q</w:t>
      </w:r>
      <w:r w:rsidR="0075480C" w:rsidRPr="0075480C">
        <w:rPr>
          <w:rFonts w:cs="Times New Roman"/>
          <w:lang w:val="sq-AL"/>
        </w:rPr>
        <w:t>ë</w:t>
      </w:r>
      <w:r w:rsidR="0075480C">
        <w:rPr>
          <w:rFonts w:cs="Times New Roman"/>
          <w:lang w:val="sq-AL"/>
        </w:rPr>
        <w:t xml:space="preserve"> preken nga nd</w:t>
      </w:r>
      <w:r w:rsidR="0075480C" w:rsidRPr="0075480C">
        <w:rPr>
          <w:rFonts w:cs="Times New Roman"/>
          <w:lang w:val="sq-AL"/>
        </w:rPr>
        <w:t>ë</w:t>
      </w:r>
      <w:r w:rsidR="0075480C">
        <w:rPr>
          <w:rFonts w:cs="Times New Roman"/>
          <w:lang w:val="sq-AL"/>
        </w:rPr>
        <w:t>rtimet informale”</w:t>
      </w:r>
      <w:r w:rsidR="00A45480">
        <w:rPr>
          <w:rFonts w:cs="Times New Roman"/>
          <w:lang w:val="sq-AL"/>
        </w:rPr>
        <w:t xml:space="preserve">, </w:t>
      </w:r>
      <w:r>
        <w:rPr>
          <w:rFonts w:cs="Times New Roman"/>
          <w:lang w:val="sq-AL"/>
        </w:rPr>
        <w:t>n</w:t>
      </w:r>
      <w:r w:rsidRPr="00E16D03">
        <w:rPr>
          <w:rFonts w:cs="Times New Roman"/>
          <w:lang w:val="sq-AL"/>
        </w:rPr>
        <w:t>ë</w:t>
      </w:r>
      <w:r>
        <w:rPr>
          <w:rFonts w:cs="Times New Roman"/>
          <w:lang w:val="sq-AL"/>
        </w:rPr>
        <w:t xml:space="preserve"> faqen 2106, </w:t>
      </w:r>
      <w:r w:rsidR="0075480C">
        <w:rPr>
          <w:rFonts w:cs="Times New Roman"/>
          <w:lang w:val="sq-AL"/>
        </w:rPr>
        <w:t>r</w:t>
      </w:r>
      <w:r>
        <w:rPr>
          <w:rFonts w:cs="Times New Roman"/>
          <w:lang w:val="sq-AL"/>
        </w:rPr>
        <w:t xml:space="preserve">reshti me nr. 117 </w:t>
      </w:r>
    </w:p>
    <w:p w:rsidR="0075480C" w:rsidRDefault="0075480C" w:rsidP="00E71A7C">
      <w:pPr>
        <w:pStyle w:val="Paragrafi"/>
        <w:rPr>
          <w:rFonts w:cs="Times New Roman"/>
          <w:lang w:val="sq-AL"/>
        </w:rPr>
      </w:pPr>
    </w:p>
    <w:p w:rsidR="00E16D03" w:rsidRPr="0075480C" w:rsidRDefault="0075480C" w:rsidP="00E71A7C">
      <w:pPr>
        <w:pStyle w:val="Paragrafi"/>
        <w:rPr>
          <w:rFonts w:cs="Times New Roman"/>
          <w:b/>
          <w:lang w:val="sq-AL"/>
        </w:rPr>
      </w:pPr>
      <w:r w:rsidRPr="0075480C">
        <w:rPr>
          <w:rFonts w:cs="Times New Roman"/>
          <w:b/>
          <w:lang w:val="sq-AL"/>
        </w:rPr>
        <w:t>Ishte</w:t>
      </w:r>
      <w:r w:rsidR="00F01A50" w:rsidRPr="0075480C">
        <w:rPr>
          <w:rFonts w:cs="Times New Roman"/>
          <w:b/>
          <w:lang w:val="sq-AL"/>
        </w:rPr>
        <w:t>:</w:t>
      </w:r>
    </w:p>
    <w:p w:rsidR="00756DBD" w:rsidRDefault="00756DBD" w:rsidP="00E71A7C">
      <w:pPr>
        <w:pStyle w:val="Paragrafi"/>
        <w:rPr>
          <w:rFonts w:cs="Times New Roman"/>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91"/>
        <w:gridCol w:w="1265"/>
        <w:gridCol w:w="1308"/>
        <w:gridCol w:w="1308"/>
        <w:gridCol w:w="1309"/>
        <w:gridCol w:w="1531"/>
      </w:tblGrid>
      <w:tr w:rsidR="00EC69C6" w:rsidRPr="003B7F6A">
        <w:tc>
          <w:tcPr>
            <w:tcW w:w="363" w:type="pct"/>
          </w:tcPr>
          <w:p w:rsidR="00EC69C6" w:rsidRPr="003B7F6A" w:rsidRDefault="00EC69C6" w:rsidP="003B7F6A">
            <w:pPr>
              <w:pStyle w:val="Paragrafi"/>
              <w:ind w:firstLine="0"/>
              <w:rPr>
                <w:rFonts w:cs="Times New Roman"/>
                <w:lang w:val="sq-AL"/>
              </w:rPr>
            </w:pPr>
            <w:r w:rsidRPr="003B7F6A">
              <w:rPr>
                <w:rFonts w:cs="Times New Roman"/>
                <w:lang w:val="sq-AL"/>
              </w:rPr>
              <w:t>117</w:t>
            </w:r>
          </w:p>
        </w:tc>
        <w:tc>
          <w:tcPr>
            <w:tcW w:w="1018" w:type="pct"/>
          </w:tcPr>
          <w:p w:rsidR="00EC69C6" w:rsidRPr="003B7F6A" w:rsidRDefault="00EC69C6" w:rsidP="003B7F6A">
            <w:pPr>
              <w:pStyle w:val="Paragrafi"/>
              <w:ind w:firstLine="0"/>
              <w:rPr>
                <w:rFonts w:cs="Times New Roman"/>
                <w:lang w:val="sq-AL"/>
              </w:rPr>
            </w:pPr>
            <w:r w:rsidRPr="003B7F6A">
              <w:rPr>
                <w:rFonts w:cs="Times New Roman"/>
                <w:lang w:val="sq-AL"/>
              </w:rPr>
              <w:t>Haki Peqini</w:t>
            </w:r>
          </w:p>
        </w:tc>
        <w:tc>
          <w:tcPr>
            <w:tcW w:w="681" w:type="pct"/>
          </w:tcPr>
          <w:p w:rsidR="00EC69C6" w:rsidRPr="003B7F6A" w:rsidRDefault="00EC69C6" w:rsidP="003B7F6A">
            <w:pPr>
              <w:pStyle w:val="Paragrafi"/>
              <w:ind w:firstLine="0"/>
              <w:rPr>
                <w:rFonts w:cs="Times New Roman"/>
                <w:lang w:val="sq-AL"/>
              </w:rPr>
            </w:pPr>
            <w:r w:rsidRPr="003B7F6A">
              <w:rPr>
                <w:rFonts w:cs="Times New Roman"/>
                <w:lang w:val="sq-AL"/>
              </w:rPr>
              <w:t>8340</w:t>
            </w:r>
          </w:p>
        </w:tc>
        <w:tc>
          <w:tcPr>
            <w:tcW w:w="704" w:type="pct"/>
          </w:tcPr>
          <w:p w:rsidR="00EC69C6" w:rsidRPr="003B7F6A" w:rsidRDefault="00EC69C6" w:rsidP="003B7F6A">
            <w:pPr>
              <w:pStyle w:val="Paragrafi"/>
              <w:ind w:firstLine="0"/>
              <w:rPr>
                <w:rFonts w:cs="Times New Roman"/>
                <w:lang w:val="sq-AL"/>
              </w:rPr>
            </w:pPr>
            <w:r w:rsidRPr="003B7F6A">
              <w:rPr>
                <w:rFonts w:cs="Times New Roman"/>
                <w:lang w:val="sq-AL"/>
              </w:rPr>
              <w:t>9/282</w:t>
            </w:r>
          </w:p>
        </w:tc>
        <w:tc>
          <w:tcPr>
            <w:tcW w:w="704" w:type="pct"/>
          </w:tcPr>
          <w:p w:rsidR="00EC69C6" w:rsidRPr="003B7F6A" w:rsidRDefault="00EC69C6" w:rsidP="003B7F6A">
            <w:pPr>
              <w:pStyle w:val="Paragrafi"/>
              <w:ind w:firstLine="0"/>
              <w:rPr>
                <w:rFonts w:cs="Times New Roman"/>
                <w:lang w:val="sq-AL"/>
              </w:rPr>
            </w:pPr>
            <w:r w:rsidRPr="003B7F6A">
              <w:rPr>
                <w:rFonts w:cs="Times New Roman"/>
                <w:lang w:val="sq-AL"/>
              </w:rPr>
              <w:t>2,275.60</w:t>
            </w:r>
          </w:p>
        </w:tc>
        <w:tc>
          <w:tcPr>
            <w:tcW w:w="705" w:type="pct"/>
          </w:tcPr>
          <w:p w:rsidR="00EC69C6" w:rsidRPr="003B7F6A" w:rsidRDefault="00EC69C6" w:rsidP="003B7F6A">
            <w:pPr>
              <w:pStyle w:val="Paragrafi"/>
              <w:ind w:firstLine="0"/>
              <w:rPr>
                <w:rFonts w:cs="Times New Roman"/>
                <w:lang w:val="sq-AL"/>
              </w:rPr>
            </w:pPr>
            <w:r w:rsidRPr="003B7F6A">
              <w:rPr>
                <w:rFonts w:cs="Times New Roman"/>
                <w:lang w:val="sq-AL"/>
              </w:rPr>
              <w:t>26094.00</w:t>
            </w:r>
          </w:p>
        </w:tc>
        <w:tc>
          <w:tcPr>
            <w:tcW w:w="824" w:type="pct"/>
          </w:tcPr>
          <w:p w:rsidR="00EC69C6" w:rsidRPr="0075480C" w:rsidRDefault="00EC69C6" w:rsidP="003B7F6A">
            <w:pPr>
              <w:pStyle w:val="Paragrafi"/>
              <w:ind w:firstLine="0"/>
              <w:rPr>
                <w:rFonts w:cs="Times New Roman"/>
                <w:b/>
                <w:lang w:val="sq-AL"/>
              </w:rPr>
            </w:pPr>
            <w:r w:rsidRPr="0075480C">
              <w:rPr>
                <w:rFonts w:cs="Times New Roman"/>
                <w:b/>
                <w:lang w:val="sq-AL"/>
              </w:rPr>
              <w:t>53,379,506.40</w:t>
            </w:r>
          </w:p>
        </w:tc>
      </w:tr>
    </w:tbl>
    <w:p w:rsidR="00756DBD" w:rsidRDefault="00756DBD" w:rsidP="00E71A7C">
      <w:pPr>
        <w:pStyle w:val="Paragrafi"/>
        <w:rPr>
          <w:rFonts w:cs="Times New Roman"/>
          <w:lang w:val="sq-AL"/>
        </w:rPr>
      </w:pPr>
    </w:p>
    <w:p w:rsidR="00F01A50" w:rsidRPr="005C74A9" w:rsidRDefault="005C74A9" w:rsidP="00E71A7C">
      <w:pPr>
        <w:pStyle w:val="Paragrafi"/>
        <w:rPr>
          <w:rFonts w:cs="Times New Roman"/>
          <w:b/>
          <w:lang w:val="sq-AL"/>
        </w:rPr>
      </w:pPr>
      <w:r w:rsidRPr="005C74A9">
        <w:rPr>
          <w:rFonts w:cs="Times New Roman"/>
          <w:b/>
          <w:lang w:val="sq-AL"/>
        </w:rPr>
        <w:t>Bëhet</w:t>
      </w:r>
      <w:r w:rsidR="00EC69C6" w:rsidRPr="005C74A9">
        <w:rPr>
          <w:rFonts w:cs="Times New Roman"/>
          <w:b/>
          <w:lang w:val="sq-AL"/>
        </w:rPr>
        <w:t>:</w:t>
      </w:r>
    </w:p>
    <w:p w:rsidR="00756DBD" w:rsidRDefault="00756DBD" w:rsidP="00E71A7C">
      <w:pPr>
        <w:pStyle w:val="Paragrafi"/>
        <w:rPr>
          <w:rFonts w:cs="Times New Roman"/>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91"/>
        <w:gridCol w:w="1265"/>
        <w:gridCol w:w="1308"/>
        <w:gridCol w:w="1308"/>
        <w:gridCol w:w="1309"/>
        <w:gridCol w:w="1531"/>
      </w:tblGrid>
      <w:tr w:rsidR="00EC69C6" w:rsidRPr="003B7F6A">
        <w:tc>
          <w:tcPr>
            <w:tcW w:w="363" w:type="pct"/>
          </w:tcPr>
          <w:p w:rsidR="00EC69C6" w:rsidRPr="003B7F6A" w:rsidRDefault="00EC69C6" w:rsidP="003B7F6A">
            <w:pPr>
              <w:pStyle w:val="Paragrafi"/>
              <w:ind w:firstLine="0"/>
              <w:rPr>
                <w:rFonts w:cs="Times New Roman"/>
                <w:lang w:val="sq-AL"/>
              </w:rPr>
            </w:pPr>
            <w:r w:rsidRPr="003B7F6A">
              <w:rPr>
                <w:rFonts w:cs="Times New Roman"/>
                <w:lang w:val="sq-AL"/>
              </w:rPr>
              <w:t>117</w:t>
            </w:r>
          </w:p>
        </w:tc>
        <w:tc>
          <w:tcPr>
            <w:tcW w:w="1018" w:type="pct"/>
          </w:tcPr>
          <w:p w:rsidR="00EC69C6" w:rsidRPr="003B7F6A" w:rsidRDefault="00EC69C6" w:rsidP="003B7F6A">
            <w:pPr>
              <w:pStyle w:val="Paragrafi"/>
              <w:ind w:firstLine="0"/>
              <w:rPr>
                <w:rFonts w:cs="Times New Roman"/>
                <w:lang w:val="sq-AL"/>
              </w:rPr>
            </w:pPr>
            <w:r w:rsidRPr="003B7F6A">
              <w:rPr>
                <w:rFonts w:cs="Times New Roman"/>
                <w:lang w:val="sq-AL"/>
              </w:rPr>
              <w:t>Haki Peqini</w:t>
            </w:r>
          </w:p>
        </w:tc>
        <w:tc>
          <w:tcPr>
            <w:tcW w:w="681" w:type="pct"/>
          </w:tcPr>
          <w:p w:rsidR="00EC69C6" w:rsidRPr="003B7F6A" w:rsidRDefault="00EC69C6" w:rsidP="003B7F6A">
            <w:pPr>
              <w:pStyle w:val="Paragrafi"/>
              <w:ind w:firstLine="0"/>
              <w:rPr>
                <w:rFonts w:cs="Times New Roman"/>
                <w:lang w:val="sq-AL"/>
              </w:rPr>
            </w:pPr>
            <w:r w:rsidRPr="003B7F6A">
              <w:rPr>
                <w:rFonts w:cs="Times New Roman"/>
                <w:lang w:val="sq-AL"/>
              </w:rPr>
              <w:t>8340</w:t>
            </w:r>
          </w:p>
        </w:tc>
        <w:tc>
          <w:tcPr>
            <w:tcW w:w="704" w:type="pct"/>
          </w:tcPr>
          <w:p w:rsidR="00EC69C6" w:rsidRPr="003B7F6A" w:rsidRDefault="00EC69C6" w:rsidP="003B7F6A">
            <w:pPr>
              <w:pStyle w:val="Paragrafi"/>
              <w:ind w:firstLine="0"/>
              <w:rPr>
                <w:rFonts w:cs="Times New Roman"/>
                <w:lang w:val="sq-AL"/>
              </w:rPr>
            </w:pPr>
            <w:r w:rsidRPr="003B7F6A">
              <w:rPr>
                <w:rFonts w:cs="Times New Roman"/>
                <w:lang w:val="sq-AL"/>
              </w:rPr>
              <w:t>9/282</w:t>
            </w:r>
          </w:p>
        </w:tc>
        <w:tc>
          <w:tcPr>
            <w:tcW w:w="704" w:type="pct"/>
          </w:tcPr>
          <w:p w:rsidR="00EC69C6" w:rsidRPr="003B7F6A" w:rsidRDefault="00EC69C6" w:rsidP="003B7F6A">
            <w:pPr>
              <w:pStyle w:val="Paragrafi"/>
              <w:ind w:firstLine="0"/>
              <w:rPr>
                <w:rFonts w:cs="Times New Roman"/>
                <w:lang w:val="sq-AL"/>
              </w:rPr>
            </w:pPr>
            <w:r w:rsidRPr="003B7F6A">
              <w:rPr>
                <w:rFonts w:cs="Times New Roman"/>
                <w:lang w:val="sq-AL"/>
              </w:rPr>
              <w:t>2,275.60</w:t>
            </w:r>
          </w:p>
        </w:tc>
        <w:tc>
          <w:tcPr>
            <w:tcW w:w="705" w:type="pct"/>
          </w:tcPr>
          <w:p w:rsidR="00EC69C6" w:rsidRPr="003B7F6A" w:rsidRDefault="00EC69C6" w:rsidP="003B7F6A">
            <w:pPr>
              <w:pStyle w:val="Paragrafi"/>
              <w:ind w:firstLine="0"/>
              <w:rPr>
                <w:rFonts w:cs="Times New Roman"/>
                <w:lang w:val="sq-AL"/>
              </w:rPr>
            </w:pPr>
            <w:r w:rsidRPr="003B7F6A">
              <w:rPr>
                <w:rFonts w:cs="Times New Roman"/>
                <w:lang w:val="sq-AL"/>
              </w:rPr>
              <w:t>26094.00</w:t>
            </w:r>
          </w:p>
        </w:tc>
        <w:tc>
          <w:tcPr>
            <w:tcW w:w="824" w:type="pct"/>
          </w:tcPr>
          <w:p w:rsidR="00EC69C6" w:rsidRPr="0075480C" w:rsidRDefault="00EC69C6" w:rsidP="003B7F6A">
            <w:pPr>
              <w:pStyle w:val="Paragrafi"/>
              <w:ind w:firstLine="0"/>
              <w:rPr>
                <w:rFonts w:cs="Times New Roman"/>
                <w:b/>
                <w:lang w:val="sq-AL"/>
              </w:rPr>
            </w:pPr>
            <w:r w:rsidRPr="0075480C">
              <w:rPr>
                <w:rFonts w:cs="Times New Roman"/>
                <w:b/>
                <w:lang w:val="sq-AL"/>
              </w:rPr>
              <w:t>59,379,506.40</w:t>
            </w:r>
          </w:p>
        </w:tc>
      </w:tr>
    </w:tbl>
    <w:p w:rsidR="00EC69C6" w:rsidRDefault="00EC69C6" w:rsidP="00E71A7C">
      <w:pPr>
        <w:pStyle w:val="Paragrafi"/>
        <w:rPr>
          <w:rFonts w:cs="Times New Roman"/>
          <w:lang w:val="sq-AL"/>
        </w:rPr>
      </w:pPr>
    </w:p>
    <w:p w:rsidR="00E16D03" w:rsidRPr="00E718F3" w:rsidRDefault="00E16D03"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E71A7C" w:rsidP="00E71A7C">
      <w:pPr>
        <w:pStyle w:val="Paragrafi"/>
        <w:jc w:val="center"/>
        <w:rPr>
          <w:rFonts w:cs="Times New Roman"/>
          <w:lang w:val="sq-AL"/>
        </w:rPr>
        <w:sectPr w:rsidR="00E71A7C" w:rsidRPr="00E718F3"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Pr="008550B6" w:rsidRDefault="000A5077" w:rsidP="000A5077">
      <w:pPr>
        <w:pStyle w:val="Paragrafi"/>
        <w:rPr>
          <w:sz w:val="16"/>
        </w:rPr>
      </w:pPr>
    </w:p>
    <w:p w:rsidR="000A5077" w:rsidRPr="008550B6" w:rsidRDefault="000A5077" w:rsidP="000A5077">
      <w:pPr>
        <w:pStyle w:val="Paragrafi"/>
        <w:rPr>
          <w:sz w:val="16"/>
        </w:rPr>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0A5077" w:rsidRDefault="000A5077" w:rsidP="000A5077">
      <w:pPr>
        <w:pStyle w:val="Akti"/>
      </w:pPr>
    </w:p>
    <w:p w:rsidR="000A5077" w:rsidRPr="00FF396F"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ind w:firstLine="0"/>
      </w:pPr>
    </w:p>
    <w:p w:rsidR="000A5077" w:rsidRDefault="000A5077" w:rsidP="000A5077">
      <w:pPr>
        <w:pStyle w:val="Paragrafi"/>
      </w:pPr>
    </w:p>
    <w:p w:rsidR="000A5077" w:rsidRDefault="000A5077" w:rsidP="000A5077">
      <w:pPr>
        <w:pStyle w:val="Paragrafi"/>
      </w:pPr>
    </w:p>
    <w:p w:rsidR="00BB1686" w:rsidRDefault="00BB1686" w:rsidP="000A5077">
      <w:pPr>
        <w:pStyle w:val="Paragrafi"/>
      </w:pPr>
    </w:p>
    <w:p w:rsidR="00BB1686" w:rsidRPr="00465332"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BB1686" w:rsidRDefault="00BB1686" w:rsidP="000A5077">
      <w:pPr>
        <w:pStyle w:val="Paragrafi"/>
      </w:pPr>
    </w:p>
    <w:p w:rsidR="00BB1686"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185F6D" w:rsidRDefault="00185F6D" w:rsidP="000A5077">
      <w:pPr>
        <w:pStyle w:val="Paragrafi"/>
      </w:pPr>
    </w:p>
    <w:p w:rsidR="00185F6D" w:rsidRPr="00465332" w:rsidRDefault="00185F6D" w:rsidP="000A5077">
      <w:pPr>
        <w:pStyle w:val="Paragrafi"/>
      </w:pPr>
    </w:p>
    <w:p w:rsidR="000A5077" w:rsidRPr="00465332" w:rsidRDefault="000A5077" w:rsidP="000A5077">
      <w:pPr>
        <w:pStyle w:val="Paragrafi"/>
      </w:pPr>
    </w:p>
    <w:p w:rsidR="000A5077" w:rsidRPr="00465332" w:rsidRDefault="000A5077" w:rsidP="00185F6D">
      <w:pPr>
        <w:pStyle w:val="Paragrafi"/>
        <w:ind w:firstLine="0"/>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Pr="008565B2" w:rsidRDefault="008565B2" w:rsidP="008565B2">
      <w:pPr>
        <w:rPr>
          <w:lang w:val="en-GB"/>
        </w:rPr>
      </w:pPr>
    </w:p>
    <w:p w:rsidR="000224E4" w:rsidRDefault="000224E4" w:rsidP="00DA42C7">
      <w:pPr>
        <w:pStyle w:val="NeniNr"/>
        <w:keepNext w:val="0"/>
      </w:pPr>
    </w:p>
    <w:p w:rsidR="008565B2" w:rsidRPr="008565B2" w:rsidRDefault="008565B2" w:rsidP="008565B2">
      <w:pPr>
        <w:rPr>
          <w:lang w:val="en-GB"/>
        </w:rPr>
      </w:pPr>
    </w:p>
    <w:p w:rsidR="009E5DC4" w:rsidRPr="00ED74BE" w:rsidRDefault="009E5DC4" w:rsidP="005C7BE8">
      <w:pPr>
        <w:pStyle w:val="Akti"/>
        <w:keepNext w:val="0"/>
        <w:rPr>
          <w:sz w:val="16"/>
        </w:rPr>
      </w:pPr>
    </w:p>
    <w:p w:rsidR="005C7BE8" w:rsidRPr="00ED74BE" w:rsidRDefault="005C7BE8" w:rsidP="005C7BE8">
      <w:pPr>
        <w:pStyle w:val="Akti"/>
        <w:keepNext w:val="0"/>
        <w:rPr>
          <w:sz w:val="16"/>
        </w:rPr>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C74F4F" w:rsidRPr="00A353D7" w:rsidRDefault="00C74F4F" w:rsidP="009A0EED">
      <w:pPr>
        <w:pStyle w:val="Akti"/>
        <w:keepNext w:val="0"/>
        <w:jc w:val="left"/>
        <w:rPr>
          <w:sz w:val="18"/>
        </w:rPr>
      </w:pPr>
    </w:p>
    <w:p w:rsidR="006F3CDD" w:rsidRDefault="006F3CDD" w:rsidP="0051226F">
      <w:pPr>
        <w:pStyle w:val="AutoritetiEmer"/>
      </w:pPr>
    </w:p>
    <w:p w:rsidR="00ED74BE" w:rsidRDefault="00ED74BE" w:rsidP="00C74F4F">
      <w:pPr>
        <w:pStyle w:val="Paragrafi"/>
        <w:jc w:val="right"/>
      </w:pPr>
    </w:p>
    <w:p w:rsidR="00ED74BE" w:rsidRDefault="00ED74BE" w:rsidP="00C74F4F">
      <w:pPr>
        <w:pStyle w:val="Paragrafi"/>
        <w:jc w:val="right"/>
      </w:pPr>
    </w:p>
    <w:p w:rsidR="00C74F4F" w:rsidRDefault="00C74F4F" w:rsidP="00C74F4F">
      <w:pPr>
        <w:pStyle w:val="Paragrafi"/>
        <w:ind w:firstLine="0"/>
      </w:pPr>
    </w:p>
    <w:p w:rsidR="009A0EED" w:rsidRDefault="009A0EED" w:rsidP="00C74F4F">
      <w:pPr>
        <w:pStyle w:val="Paragrafi"/>
        <w:ind w:firstLine="0"/>
      </w:pPr>
    </w:p>
    <w:p w:rsidR="006367EE" w:rsidRDefault="006367EE" w:rsidP="006367EE">
      <w:pPr>
        <w:pStyle w:val="Paragrafi"/>
      </w:pPr>
    </w:p>
    <w:p w:rsidR="006367EE" w:rsidRDefault="006367EE" w:rsidP="006367EE">
      <w:pPr>
        <w:pStyle w:val="Paragrafi"/>
      </w:pPr>
    </w:p>
    <w:p w:rsidR="002E48CD" w:rsidRPr="00E718F3" w:rsidRDefault="002E48CD" w:rsidP="004B12C9">
      <w:pPr>
        <w:pStyle w:val="Paragrafi"/>
        <w:ind w:firstLine="0"/>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631438">
          <w:headerReference w:type="even" r:id="rId33"/>
          <w:headerReference w:type="default" r:id="rId34"/>
          <w:footerReference w:type="even" r:id="rId35"/>
          <w:footerReference w:type="default" r:id="rId36"/>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ind w:firstLine="0"/>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02230C" w:rsidRDefault="0002230C" w:rsidP="00292DC6">
      <w:pPr>
        <w:pStyle w:val="Paragrafi"/>
      </w:pPr>
    </w:p>
    <w:p w:rsidR="00292DC6" w:rsidRPr="00465332" w:rsidRDefault="00292DC6" w:rsidP="00292DC6">
      <w:pPr>
        <w:pStyle w:val="Paragrafi"/>
      </w:pPr>
    </w:p>
    <w:p w:rsidR="00292DC6" w:rsidRPr="00465332"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02230C" w:rsidRDefault="0002230C"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Pr="0026532F" w:rsidRDefault="00292DC6" w:rsidP="00292DC6">
      <w:pPr>
        <w:pStyle w:val="AutoritetiEmer"/>
        <w:rPr>
          <w:szCs w:val="15"/>
        </w:rPr>
      </w:pPr>
    </w:p>
    <w:p w:rsidR="00292DC6" w:rsidRDefault="00292DC6" w:rsidP="00292DC6">
      <w:pPr>
        <w:pStyle w:val="Paragrafi"/>
      </w:pPr>
    </w:p>
    <w:p w:rsidR="00292DC6" w:rsidRDefault="00292DC6" w:rsidP="00292DC6">
      <w:pPr>
        <w:pStyle w:val="Paragrafi"/>
        <w:ind w:firstLine="0"/>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DC5944" w:rsidRDefault="00292DC6" w:rsidP="00292DC6">
      <w:pPr>
        <w:pStyle w:val="Paragrafi"/>
        <w:ind w:firstLine="0"/>
      </w:pPr>
    </w:p>
    <w:p w:rsidR="00292DC6" w:rsidRPr="00DC5944" w:rsidRDefault="00292DC6" w:rsidP="00292DC6">
      <w:pPr>
        <w:pStyle w:val="Paragrafi"/>
        <w:ind w:firstLine="0"/>
      </w:pPr>
    </w:p>
    <w:p w:rsidR="00292DC6" w:rsidRPr="00DC5944" w:rsidRDefault="00292DC6" w:rsidP="00292DC6">
      <w:pPr>
        <w:pStyle w:val="Paragrafi"/>
        <w:ind w:firstLine="0"/>
        <w:sectPr w:rsidR="00292DC6" w:rsidRPr="00DC5944" w:rsidSect="00631438">
          <w:headerReference w:type="even" r:id="rId37"/>
          <w:headerReference w:type="default" r:id="rId38"/>
          <w:footerReference w:type="even" r:id="rId39"/>
          <w:footerReference w:type="default" r:id="rId40"/>
          <w:type w:val="continuous"/>
          <w:pgSz w:w="11907" w:h="16840" w:code="9"/>
          <w:pgMar w:top="1418" w:right="1418" w:bottom="1418" w:left="1418" w:header="1588" w:footer="1134" w:gutter="0"/>
          <w:pgNumType w:start="9"/>
          <w:cols w:space="720"/>
          <w:docGrid w:linePitch="360"/>
        </w:sectPr>
      </w:pPr>
    </w:p>
    <w:p w:rsidR="00292DC6" w:rsidRPr="00DC5944" w:rsidRDefault="00292DC6" w:rsidP="00292DC6">
      <w:pPr>
        <w:pStyle w:val="Paragrafi"/>
        <w:ind w:firstLine="0"/>
        <w:sectPr w:rsidR="00292DC6" w:rsidRPr="00DC5944" w:rsidSect="00631438">
          <w:type w:val="continuous"/>
          <w:pgSz w:w="11907" w:h="16840" w:code="9"/>
          <w:pgMar w:top="1418" w:right="1418" w:bottom="1418" w:left="1418" w:header="1588" w:footer="1134" w:gutter="0"/>
          <w:cols w:space="720"/>
          <w:docGrid w:linePitch="360"/>
        </w:sect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Akti"/>
        <w:keepNext w:val="0"/>
        <w:jc w:val="left"/>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jc w:val="left"/>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sectPr w:rsidR="00A00D8E" w:rsidRPr="00FB1779" w:rsidSect="00631438">
          <w:headerReference w:type="even" r:id="rId41"/>
          <w:headerReference w:type="default" r:id="rId42"/>
          <w:footerReference w:type="even" r:id="rId43"/>
          <w:footerReference w:type="default" r:id="rId44"/>
          <w:type w:val="continuous"/>
          <w:pgSz w:w="11907" w:h="16840" w:code="9"/>
          <w:pgMar w:top="1418" w:right="1418" w:bottom="1418" w:left="1418" w:header="1588" w:footer="1134" w:gutter="0"/>
          <w:cols w:space="720"/>
          <w:docGrid w:linePitch="360"/>
        </w:sectPr>
      </w:pPr>
    </w:p>
    <w:p w:rsidR="00A00D8E" w:rsidRPr="003E1FFA" w:rsidRDefault="00A00D8E" w:rsidP="00A00D8E"/>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631438">
          <w:headerReference w:type="even" r:id="rId45"/>
          <w:headerReference w:type="default" r:id="rId46"/>
          <w:footerReference w:type="even" r:id="rId47"/>
          <w:footerReference w:type="default" r:id="rId48"/>
          <w:type w:val="continuous"/>
          <w:pgSz w:w="11907" w:h="16840" w:code="9"/>
          <w:pgMar w:top="1418" w:right="1418" w:bottom="1418" w:left="1418" w:header="1588" w:footer="1134" w:gutter="0"/>
          <w:pgNumType w:start="1"/>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631438">
          <w:type w:val="continuous"/>
          <w:pgSz w:w="11907" w:h="16840" w:code="9"/>
          <w:pgMar w:top="1418" w:right="1418" w:bottom="1418" w:left="1418" w:header="1588" w:footer="1134" w:gutter="0"/>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sectPr w:rsidR="00E766C1" w:rsidSect="00631438">
          <w:type w:val="continuous"/>
          <w:pgSz w:w="11907" w:h="16840" w:code="9"/>
          <w:pgMar w:top="1418" w:right="1418" w:bottom="1418" w:left="1418" w:header="1588" w:footer="1134" w:gutter="0"/>
          <w:cols w:space="720"/>
          <w:docGrid w:linePitch="360"/>
        </w:sectPr>
      </w:pPr>
    </w:p>
    <w:p w:rsidR="00C172B4" w:rsidRDefault="00C172B4" w:rsidP="00FA48F7"/>
    <w:p w:rsidR="00C172B4" w:rsidRDefault="00C172B4" w:rsidP="00FA48F7">
      <w:pPr>
        <w:jc w:val="right"/>
      </w:pPr>
    </w:p>
    <w:p w:rsidR="00C172B4" w:rsidRDefault="00C172B4" w:rsidP="00FA48F7"/>
    <w:p w:rsidR="00C172B4" w:rsidRDefault="00C172B4" w:rsidP="00FA48F7"/>
    <w:p w:rsidR="00C172B4" w:rsidRDefault="00C172B4"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C172B4" w:rsidRDefault="00C172B4" w:rsidP="00FA48F7"/>
    <w:p w:rsidR="00C172B4" w:rsidRDefault="00C172B4" w:rsidP="00FA48F7"/>
    <w:p w:rsidR="00C172B4" w:rsidRDefault="00C172B4" w:rsidP="00FA48F7"/>
    <w:sectPr w:rsidR="00C172B4" w:rsidSect="00631438">
      <w:headerReference w:type="even" r:id="rId49"/>
      <w:headerReference w:type="default" r:id="rId50"/>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E09" w:rsidRDefault="00ED5E09" w:rsidP="0039754A">
      <w:pPr>
        <w:pStyle w:val="Paragrafi"/>
        <w:rPr>
          <w:rFonts w:cs="Times New Roman"/>
        </w:rPr>
      </w:pPr>
      <w:r>
        <w:rPr>
          <w:rFonts w:cs="Times New Roman"/>
        </w:rPr>
        <w:separator/>
      </w:r>
    </w:p>
  </w:endnote>
  <w:endnote w:type="continuationSeparator" w:id="0">
    <w:p w:rsidR="00ED5E09" w:rsidRDefault="00ED5E0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65867">
      <w:rPr>
        <w:rStyle w:val="PageNumber"/>
        <w:rFonts w:ascii="CG Times" w:hAnsi="CG Times"/>
        <w:noProof/>
        <w:sz w:val="22"/>
        <w:szCs w:val="22"/>
      </w:rPr>
      <w:t>3230</w:t>
    </w:r>
    <w:r w:rsidRPr="006B4BF5">
      <w:rPr>
        <w:rStyle w:val="PageNumber"/>
        <w:rFonts w:ascii="CG Times" w:hAnsi="CG Times"/>
        <w:sz w:val="22"/>
        <w:szCs w:val="22"/>
      </w:rPr>
      <w:fldChar w:fldCharType="end"/>
    </w:r>
  </w:p>
  <w:p w:rsidR="00891C11" w:rsidRDefault="00891C11"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pPr>
      <w:pStyle w:val="Footer"/>
      <w:jc w:val="right"/>
    </w:pPr>
    <w:r>
      <w:fldChar w:fldCharType="begin"/>
    </w:r>
    <w:r>
      <w:instrText xml:space="preserve"> PAGE   \* MERGEFORMAT </w:instrText>
    </w:r>
    <w:r>
      <w:fldChar w:fldCharType="separate"/>
    </w:r>
    <w:r w:rsidR="00C771B8">
      <w:rPr>
        <w:noProof/>
      </w:rPr>
      <w:t>11</w:t>
    </w:r>
    <w:r>
      <w:fldChar w:fldCharType="end"/>
    </w:r>
  </w:p>
  <w:p w:rsidR="00891C11" w:rsidRDefault="00891C11" w:rsidP="0039754A">
    <w:pPr>
      <w:pStyle w:val="Footer"/>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pPr>
      <w:pStyle w:val="Footer"/>
    </w:pPr>
    <w:r>
      <w:fldChar w:fldCharType="begin"/>
    </w:r>
    <w:r>
      <w:instrText xml:space="preserve"> PAGE   \* MERGEFORMAT </w:instrText>
    </w:r>
    <w:r>
      <w:fldChar w:fldCharType="separate"/>
    </w:r>
    <w:r w:rsidR="00C771B8">
      <w:rPr>
        <w:noProof/>
      </w:rPr>
      <w:t>2</w:t>
    </w:r>
    <w:r>
      <w:fldChar w:fldCharType="end"/>
    </w:r>
  </w:p>
  <w:p w:rsidR="00891C11" w:rsidRDefault="00891C11" w:rsidP="0039754A">
    <w:pPr>
      <w:pStyle w:val="Footer"/>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pPr>
      <w:pStyle w:val="Footer"/>
      <w:jc w:val="right"/>
    </w:pPr>
    <w:r>
      <w:fldChar w:fldCharType="begin"/>
    </w:r>
    <w:r>
      <w:instrText xml:space="preserve"> PAGE   \* MERGEFORMAT </w:instrText>
    </w:r>
    <w:r>
      <w:fldChar w:fldCharType="separate"/>
    </w:r>
    <w:r w:rsidR="00C771B8">
      <w:rPr>
        <w:noProof/>
      </w:rPr>
      <w:t>7</w:t>
    </w:r>
    <w:r>
      <w:fldChar w:fldCharType="end"/>
    </w:r>
  </w:p>
  <w:p w:rsidR="00891C11" w:rsidRDefault="00891C11"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665867">
      <w:rPr>
        <w:rStyle w:val="PageNumber"/>
        <w:rFonts w:ascii="CG Times" w:hAnsi="CG Times"/>
        <w:noProof/>
        <w:sz w:val="22"/>
        <w:szCs w:val="22"/>
      </w:rPr>
      <w:t>3231</w:t>
    </w:r>
    <w:r w:rsidRPr="006B4BF5">
      <w:rPr>
        <w:rStyle w:val="PageNumber"/>
        <w:rFonts w:ascii="CG Times" w:hAnsi="CG Times"/>
        <w:sz w:val="22"/>
        <w:szCs w:val="22"/>
      </w:rPr>
      <w:fldChar w:fldCharType="end"/>
    </w:r>
  </w:p>
  <w:p w:rsidR="00891C11" w:rsidRDefault="00891C11"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DB48BF">
      <w:rPr>
        <w:rStyle w:val="PageNumber"/>
        <w:rFonts w:ascii="CG Times" w:hAnsi="CG Times"/>
        <w:noProof/>
        <w:sz w:val="22"/>
        <w:szCs w:val="22"/>
      </w:rPr>
      <w:t>3246</w:t>
    </w:r>
    <w:r w:rsidRPr="006B4BF5">
      <w:rPr>
        <w:rStyle w:val="PageNumber"/>
        <w:rFonts w:ascii="CG Times" w:hAnsi="CG Times"/>
        <w:sz w:val="22"/>
        <w:szCs w:val="22"/>
      </w:rPr>
      <w:fldChar w:fldCharType="end"/>
    </w:r>
  </w:p>
  <w:p w:rsidR="00891C11" w:rsidRDefault="00891C11" w:rsidP="00A24A1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DB48BF">
      <w:rPr>
        <w:rStyle w:val="PageNumber"/>
        <w:rFonts w:ascii="CG Times" w:hAnsi="CG Times"/>
        <w:noProof/>
        <w:sz w:val="22"/>
        <w:szCs w:val="22"/>
      </w:rPr>
      <w:t>3245</w:t>
    </w:r>
    <w:r w:rsidRPr="006B4BF5">
      <w:rPr>
        <w:rStyle w:val="PageNumber"/>
        <w:rFonts w:ascii="CG Times" w:hAnsi="CG Times"/>
        <w:sz w:val="22"/>
        <w:szCs w:val="22"/>
      </w:rPr>
      <w:fldChar w:fldCharType="end"/>
    </w:r>
  </w:p>
  <w:p w:rsidR="00891C11" w:rsidRDefault="00891C11" w:rsidP="00A24A1A">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20</w:t>
    </w:r>
    <w:r w:rsidRPr="006B4BF5">
      <w:rPr>
        <w:rStyle w:val="PageNumber"/>
        <w:rFonts w:ascii="CG Times" w:hAnsi="CG Times"/>
        <w:sz w:val="22"/>
        <w:szCs w:val="22"/>
      </w:rPr>
      <w:fldChar w:fldCharType="end"/>
    </w:r>
  </w:p>
  <w:p w:rsidR="00891C11" w:rsidRDefault="00891C11" w:rsidP="00426418">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Pr="006B4BF5" w:rsidRDefault="00891C11"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DB48BF">
      <w:rPr>
        <w:rStyle w:val="PageNumber"/>
        <w:rFonts w:ascii="CG Times" w:hAnsi="CG Times"/>
        <w:noProof/>
        <w:sz w:val="22"/>
        <w:szCs w:val="22"/>
      </w:rPr>
      <w:t>3247</w:t>
    </w:r>
    <w:r w:rsidRPr="006B4BF5">
      <w:rPr>
        <w:rStyle w:val="PageNumber"/>
        <w:rFonts w:ascii="CG Times" w:hAnsi="CG Times"/>
        <w:sz w:val="22"/>
        <w:szCs w:val="22"/>
      </w:rPr>
      <w:fldChar w:fldCharType="end"/>
    </w:r>
  </w:p>
  <w:p w:rsidR="00891C11" w:rsidRDefault="00891C11" w:rsidP="00426418">
    <w:pPr>
      <w:pStyle w:val="Footer"/>
      <w:ind w:right="360" w:firstLine="360"/>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pPr>
      <w:pStyle w:val="Footer"/>
    </w:pPr>
    <w:r>
      <w:fldChar w:fldCharType="begin"/>
    </w:r>
    <w:r>
      <w:instrText xml:space="preserve"> PAGE   \* MERGEFORMAT </w:instrText>
    </w:r>
    <w:r>
      <w:fldChar w:fldCharType="separate"/>
    </w:r>
    <w:r w:rsidR="00C771B8">
      <w:rPr>
        <w:noProof/>
      </w:rPr>
      <w:t>10</w:t>
    </w:r>
    <w:r>
      <w:fldChar w:fldCharType="end"/>
    </w:r>
  </w:p>
  <w:p w:rsidR="00891C11" w:rsidRDefault="00891C11" w:rsidP="00426418">
    <w:pP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48BF">
      <w:rPr>
        <w:rStyle w:val="PageNumber"/>
        <w:noProof/>
      </w:rPr>
      <w:t>9</w:t>
    </w:r>
    <w:r>
      <w:rPr>
        <w:rStyle w:val="PageNumber"/>
      </w:rPr>
      <w:fldChar w:fldCharType="end"/>
    </w:r>
  </w:p>
  <w:p w:rsidR="00891C11" w:rsidRDefault="00891C11" w:rsidP="00426418">
    <w:pPr>
      <w:ind w:right="360" w:firstLine="360"/>
      <w:jc w:val="right"/>
    </w:pPr>
  </w:p>
  <w:p w:rsidR="00891C11" w:rsidRDefault="00891C11" w:rsidP="00426418">
    <w:pP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pPr>
      <w:pStyle w:val="Footer"/>
    </w:pPr>
    <w:r>
      <w:fldChar w:fldCharType="begin"/>
    </w:r>
    <w:r>
      <w:instrText xml:space="preserve"> PAGE   \* MERGEFORMAT </w:instrText>
    </w:r>
    <w:r>
      <w:fldChar w:fldCharType="separate"/>
    </w:r>
    <w:r>
      <w:rPr>
        <w:noProof/>
      </w:rPr>
      <w:t>12</w:t>
    </w:r>
    <w:r>
      <w:fldChar w:fldCharType="end"/>
    </w:r>
  </w:p>
  <w:p w:rsidR="00891C11" w:rsidRDefault="00891C11"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E09" w:rsidRDefault="00ED5E09" w:rsidP="0039754A">
      <w:pPr>
        <w:pStyle w:val="Paragrafi"/>
        <w:rPr>
          <w:rFonts w:cs="Times New Roman"/>
        </w:rPr>
      </w:pPr>
      <w:r>
        <w:rPr>
          <w:rFonts w:cs="Times New Roman"/>
        </w:rPr>
        <w:separator/>
      </w:r>
    </w:p>
  </w:footnote>
  <w:footnote w:type="continuationSeparator" w:id="0">
    <w:p w:rsidR="00ED5E09" w:rsidRDefault="00ED5E0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24A1A">
    <w:pPr>
      <w:pStyle w:val="Header"/>
    </w:pPr>
    <w:r w:rsidRPr="00985D27">
      <w:rPr>
        <w:noProof/>
        <w:lang w:val="en-GB" w:eastAsia="en-GB"/>
      </w:rPr>
      <w:drawing>
        <wp:inline distT="0" distB="0" distL="0" distR="0">
          <wp:extent cx="1647825" cy="457200"/>
          <wp:effectExtent l="0" t="0" r="9525" b="0"/>
          <wp:docPr id="1"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51704B" w:rsidRDefault="00891C11"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10"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213FDE" w:rsidRDefault="00891C11"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FA48F7">
    <w:pPr>
      <w:pStyle w:val="Header"/>
    </w:pPr>
    <w:r>
      <w:rPr>
        <w:noProof/>
        <w:lang w:val="en-GB" w:eastAsia="en-GB"/>
      </w:rPr>
      <w:drawing>
        <wp:inline distT="0" distB="0" distL="0" distR="0">
          <wp:extent cx="1647825" cy="457200"/>
          <wp:effectExtent l="0" t="0" r="9525" b="0"/>
          <wp:docPr id="11" name="Picture 1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C27745" w:rsidRDefault="00891C11" w:rsidP="00AF6F98">
    <w:pPr>
      <w:pStyle w:val="Header"/>
      <w:pBdr>
        <w:top w:val="single" w:sz="2" w:space="1" w:color="auto"/>
      </w:pBdr>
      <w:tabs>
        <w:tab w:val="clear" w:pos="9360"/>
      </w:tabs>
      <w:ind w:right="-1369"/>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2" name="Picture 1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213FDE" w:rsidRDefault="00891C11" w:rsidP="00AF6F98">
    <w:pPr>
      <w:pStyle w:val="Header"/>
      <w:pBdr>
        <w:top w:val="single" w:sz="2" w:space="1" w:color="auto"/>
      </w:pBdr>
      <w:tabs>
        <w:tab w:val="clear" w:pos="4680"/>
        <w:tab w:val="clear" w:pos="9360"/>
      </w:tabs>
      <w:ind w:left="-1418"/>
      <w:jc w:val="right"/>
      <w:rPr>
        <w:sz w:val="20"/>
        <w:szCs w:val="2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rsidP="0039754A">
    <w:pPr>
      <w:pStyle w:val="Header"/>
      <w:tabs>
        <w:tab w:val="clear" w:pos="9360"/>
      </w:tabs>
      <w:ind w:left="-1418" w:right="-1418"/>
      <w:jc w:val="righ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891C11"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24A1A">
    <w:pPr>
      <w:pStyle w:val="Header"/>
      <w:tabs>
        <w:tab w:val="clear" w:pos="4680"/>
        <w:tab w:val="clear" w:pos="9360"/>
      </w:tabs>
      <w:ind w:right="1134"/>
      <w:jc w:val="right"/>
    </w:pPr>
    <w:r w:rsidRPr="00985D27">
      <w:rPr>
        <w:noProof/>
        <w:lang w:val="en-GB" w:eastAsia="en-GB"/>
      </w:rPr>
      <w:drawing>
        <wp:inline distT="0" distB="0" distL="0" distR="0">
          <wp:extent cx="1352550" cy="371475"/>
          <wp:effectExtent l="0" t="0" r="0" b="9525"/>
          <wp:docPr id="2"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213FDE" w:rsidRDefault="00891C11"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24A1A">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51704B" w:rsidRDefault="00891C11" w:rsidP="00A24A1A">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213FDE" w:rsidRDefault="00891C11" w:rsidP="00A24A1A">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51704B" w:rsidRDefault="00891C11" w:rsidP="00426418">
    <w:pPr>
      <w:pStyle w:val="Header"/>
      <w:pBdr>
        <w:top w:val="single" w:sz="2" w:space="1" w:color="auto"/>
      </w:pBdr>
      <w:tabs>
        <w:tab w:val="clear" w:pos="9360"/>
      </w:tabs>
      <w:ind w:right="-1369"/>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213FDE" w:rsidRDefault="00891C11" w:rsidP="00426418">
    <w:pPr>
      <w:pStyle w:val="Header"/>
      <w:pBdr>
        <w:top w:val="single" w:sz="2" w:space="1" w:color="auto"/>
      </w:pBdr>
      <w:tabs>
        <w:tab w:val="clear" w:pos="4680"/>
        <w:tab w:val="clear" w:pos="9360"/>
      </w:tabs>
      <w:ind w:left="-1418"/>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426418">
    <w:pPr>
      <w:pStyle w:val="Header"/>
    </w:pPr>
    <w:r>
      <w:rPr>
        <w:noProof/>
        <w:lang w:val="en-GB" w:eastAsia="en-GB"/>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4043AC" w:rsidRDefault="00891C11" w:rsidP="0042641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91C11" w:rsidRPr="004043AC" w:rsidRDefault="00891C11" w:rsidP="0042641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11" w:rsidRDefault="00665867" w:rsidP="00FA48F7">
    <w:pPr>
      <w:pStyle w:val="Header"/>
    </w:pPr>
    <w:r w:rsidRPr="00114579">
      <w:rPr>
        <w:noProof/>
        <w:lang w:val="en-GB" w:eastAsia="en-GB"/>
      </w:rPr>
      <w:drawing>
        <wp:inline distT="0" distB="0" distL="0" distR="0">
          <wp:extent cx="1647825" cy="457200"/>
          <wp:effectExtent l="0" t="0" r="9525" b="0"/>
          <wp:docPr id="9"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91C11" w:rsidRPr="00C27745" w:rsidRDefault="00891C11"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650FCF"/>
    <w:multiLevelType w:val="hybridMultilevel"/>
    <w:tmpl w:val="5A90C56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399D72FC"/>
    <w:multiLevelType w:val="hybridMultilevel"/>
    <w:tmpl w:val="E1F07944"/>
    <w:lvl w:ilvl="0" w:tplc="1E02ACE8">
      <w:start w:val="2"/>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6">
    <w:nsid w:val="6CE31E78"/>
    <w:multiLevelType w:val="hybridMultilevel"/>
    <w:tmpl w:val="90023010"/>
    <w:lvl w:ilvl="0" w:tplc="F6248006">
      <w:start w:val="1"/>
      <w:numFmt w:val="lowerLetter"/>
      <w:lvlText w:val="%1)"/>
      <w:lvlJc w:val="left"/>
      <w:pPr>
        <w:tabs>
          <w:tab w:val="num" w:pos="720"/>
        </w:tabs>
        <w:ind w:left="720" w:hanging="360"/>
      </w:pPr>
    </w:lvl>
    <w:lvl w:ilvl="1" w:tplc="01FC87AE">
      <w:start w:val="1"/>
      <w:numFmt w:val="lowerRoman"/>
      <w:lvlText w:val="%2."/>
      <w:lvlJc w:val="left"/>
      <w:pPr>
        <w:tabs>
          <w:tab w:val="num" w:pos="1515"/>
        </w:tabs>
        <w:ind w:left="1515" w:hanging="435"/>
      </w:pPr>
    </w:lvl>
    <w:lvl w:ilvl="2" w:tplc="1AE8AF50">
      <w:start w:val="1"/>
      <w:numFmt w:val="bullet"/>
      <w:lvlText w:val="-"/>
      <w:lvlJc w:val="left"/>
      <w:pPr>
        <w:tabs>
          <w:tab w:val="num" w:pos="2340"/>
        </w:tabs>
        <w:ind w:left="2340"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145"/>
    <w:rsid w:val="00030679"/>
    <w:rsid w:val="00033C05"/>
    <w:rsid w:val="000379E7"/>
    <w:rsid w:val="00042ACA"/>
    <w:rsid w:val="00044D50"/>
    <w:rsid w:val="00046C26"/>
    <w:rsid w:val="00051311"/>
    <w:rsid w:val="00055EE7"/>
    <w:rsid w:val="00063B91"/>
    <w:rsid w:val="00064E7D"/>
    <w:rsid w:val="00065B68"/>
    <w:rsid w:val="00067DE7"/>
    <w:rsid w:val="00070EF3"/>
    <w:rsid w:val="00072D16"/>
    <w:rsid w:val="000816C9"/>
    <w:rsid w:val="00094D5E"/>
    <w:rsid w:val="000A5077"/>
    <w:rsid w:val="000C66DC"/>
    <w:rsid w:val="000D0204"/>
    <w:rsid w:val="000D0E53"/>
    <w:rsid w:val="000D4845"/>
    <w:rsid w:val="000D4AB8"/>
    <w:rsid w:val="000E1471"/>
    <w:rsid w:val="00116E63"/>
    <w:rsid w:val="001302D1"/>
    <w:rsid w:val="001312E1"/>
    <w:rsid w:val="00136AA0"/>
    <w:rsid w:val="00146B5B"/>
    <w:rsid w:val="001523EB"/>
    <w:rsid w:val="0016029E"/>
    <w:rsid w:val="00172219"/>
    <w:rsid w:val="00185F6D"/>
    <w:rsid w:val="00191136"/>
    <w:rsid w:val="001971B1"/>
    <w:rsid w:val="00197A4C"/>
    <w:rsid w:val="001A0A97"/>
    <w:rsid w:val="001A1A2D"/>
    <w:rsid w:val="001A2DB2"/>
    <w:rsid w:val="001A3EBF"/>
    <w:rsid w:val="001A72DE"/>
    <w:rsid w:val="001B0539"/>
    <w:rsid w:val="001B5AF2"/>
    <w:rsid w:val="001D0B15"/>
    <w:rsid w:val="001D5148"/>
    <w:rsid w:val="00206699"/>
    <w:rsid w:val="002131E0"/>
    <w:rsid w:val="00213FDE"/>
    <w:rsid w:val="00223180"/>
    <w:rsid w:val="0022484C"/>
    <w:rsid w:val="00226FF1"/>
    <w:rsid w:val="00227078"/>
    <w:rsid w:val="00233762"/>
    <w:rsid w:val="00233A49"/>
    <w:rsid w:val="002362DC"/>
    <w:rsid w:val="00242AF6"/>
    <w:rsid w:val="00244D0C"/>
    <w:rsid w:val="00251027"/>
    <w:rsid w:val="002528D8"/>
    <w:rsid w:val="00254B98"/>
    <w:rsid w:val="00256EBA"/>
    <w:rsid w:val="00261FDF"/>
    <w:rsid w:val="00262016"/>
    <w:rsid w:val="0026254C"/>
    <w:rsid w:val="00262C33"/>
    <w:rsid w:val="00265652"/>
    <w:rsid w:val="002669F1"/>
    <w:rsid w:val="0027248E"/>
    <w:rsid w:val="00274C44"/>
    <w:rsid w:val="002754FF"/>
    <w:rsid w:val="00275B1E"/>
    <w:rsid w:val="00291C4A"/>
    <w:rsid w:val="00292DC6"/>
    <w:rsid w:val="00296CAC"/>
    <w:rsid w:val="002B53E6"/>
    <w:rsid w:val="002D67FB"/>
    <w:rsid w:val="002E37E9"/>
    <w:rsid w:val="002E436A"/>
    <w:rsid w:val="002E48CD"/>
    <w:rsid w:val="002E71E2"/>
    <w:rsid w:val="00301C83"/>
    <w:rsid w:val="00324C0E"/>
    <w:rsid w:val="00331214"/>
    <w:rsid w:val="00332300"/>
    <w:rsid w:val="00332E2A"/>
    <w:rsid w:val="003412EC"/>
    <w:rsid w:val="003444AE"/>
    <w:rsid w:val="003469D9"/>
    <w:rsid w:val="00356685"/>
    <w:rsid w:val="003576A9"/>
    <w:rsid w:val="003638EA"/>
    <w:rsid w:val="003653AF"/>
    <w:rsid w:val="00365978"/>
    <w:rsid w:val="003722D5"/>
    <w:rsid w:val="00374DE9"/>
    <w:rsid w:val="0037651A"/>
    <w:rsid w:val="0039558C"/>
    <w:rsid w:val="00396BF5"/>
    <w:rsid w:val="0039754A"/>
    <w:rsid w:val="003A1307"/>
    <w:rsid w:val="003A1EDC"/>
    <w:rsid w:val="003A686E"/>
    <w:rsid w:val="003B7F6A"/>
    <w:rsid w:val="003C02A0"/>
    <w:rsid w:val="003C724B"/>
    <w:rsid w:val="003D501D"/>
    <w:rsid w:val="004015FA"/>
    <w:rsid w:val="00412B27"/>
    <w:rsid w:val="0042032D"/>
    <w:rsid w:val="004234DD"/>
    <w:rsid w:val="00424FE3"/>
    <w:rsid w:val="00426418"/>
    <w:rsid w:val="0043048F"/>
    <w:rsid w:val="00436486"/>
    <w:rsid w:val="00441E0F"/>
    <w:rsid w:val="00445738"/>
    <w:rsid w:val="004654A9"/>
    <w:rsid w:val="004A3669"/>
    <w:rsid w:val="004B12C9"/>
    <w:rsid w:val="004B2AEF"/>
    <w:rsid w:val="004D15F7"/>
    <w:rsid w:val="004D4B0D"/>
    <w:rsid w:val="00501B17"/>
    <w:rsid w:val="00501C46"/>
    <w:rsid w:val="00505F53"/>
    <w:rsid w:val="00507BAC"/>
    <w:rsid w:val="0051226F"/>
    <w:rsid w:val="00512E4D"/>
    <w:rsid w:val="00517912"/>
    <w:rsid w:val="00522502"/>
    <w:rsid w:val="00522C41"/>
    <w:rsid w:val="00534B7F"/>
    <w:rsid w:val="00545593"/>
    <w:rsid w:val="00546CFF"/>
    <w:rsid w:val="005474C4"/>
    <w:rsid w:val="00547A0B"/>
    <w:rsid w:val="00554109"/>
    <w:rsid w:val="0055437D"/>
    <w:rsid w:val="0056146A"/>
    <w:rsid w:val="00566392"/>
    <w:rsid w:val="0057021A"/>
    <w:rsid w:val="00580AF4"/>
    <w:rsid w:val="00582455"/>
    <w:rsid w:val="00590D13"/>
    <w:rsid w:val="005B7BAB"/>
    <w:rsid w:val="005C74A9"/>
    <w:rsid w:val="005C7BE8"/>
    <w:rsid w:val="005D2783"/>
    <w:rsid w:val="005E473E"/>
    <w:rsid w:val="005F2163"/>
    <w:rsid w:val="00604127"/>
    <w:rsid w:val="00611227"/>
    <w:rsid w:val="00613502"/>
    <w:rsid w:val="00613568"/>
    <w:rsid w:val="006148DC"/>
    <w:rsid w:val="00622F48"/>
    <w:rsid w:val="00624C5F"/>
    <w:rsid w:val="00631438"/>
    <w:rsid w:val="00634FBE"/>
    <w:rsid w:val="006367EE"/>
    <w:rsid w:val="00646458"/>
    <w:rsid w:val="006522A9"/>
    <w:rsid w:val="006533AD"/>
    <w:rsid w:val="00655A5B"/>
    <w:rsid w:val="00657F7F"/>
    <w:rsid w:val="00661FE7"/>
    <w:rsid w:val="006651EF"/>
    <w:rsid w:val="00665867"/>
    <w:rsid w:val="006718CD"/>
    <w:rsid w:val="0067465B"/>
    <w:rsid w:val="006768A9"/>
    <w:rsid w:val="00681A8D"/>
    <w:rsid w:val="006A1CB1"/>
    <w:rsid w:val="006A6A50"/>
    <w:rsid w:val="006C0035"/>
    <w:rsid w:val="006C2B62"/>
    <w:rsid w:val="006C7A4F"/>
    <w:rsid w:val="006E795A"/>
    <w:rsid w:val="006F1150"/>
    <w:rsid w:val="006F2A9E"/>
    <w:rsid w:val="006F3CDD"/>
    <w:rsid w:val="006F5FC6"/>
    <w:rsid w:val="006F7DFD"/>
    <w:rsid w:val="00710D91"/>
    <w:rsid w:val="00713EEA"/>
    <w:rsid w:val="00731D3B"/>
    <w:rsid w:val="00736724"/>
    <w:rsid w:val="00736B59"/>
    <w:rsid w:val="00741E21"/>
    <w:rsid w:val="00747AA6"/>
    <w:rsid w:val="0075480C"/>
    <w:rsid w:val="00756DBD"/>
    <w:rsid w:val="00757D7E"/>
    <w:rsid w:val="00760119"/>
    <w:rsid w:val="00760BD9"/>
    <w:rsid w:val="007716C9"/>
    <w:rsid w:val="00771FD2"/>
    <w:rsid w:val="007773B5"/>
    <w:rsid w:val="00777400"/>
    <w:rsid w:val="00792406"/>
    <w:rsid w:val="007A5507"/>
    <w:rsid w:val="007A6F67"/>
    <w:rsid w:val="007C318D"/>
    <w:rsid w:val="007C67AF"/>
    <w:rsid w:val="007D1A38"/>
    <w:rsid w:val="007E0452"/>
    <w:rsid w:val="007E11DD"/>
    <w:rsid w:val="007E6DEA"/>
    <w:rsid w:val="007E75C6"/>
    <w:rsid w:val="0080051E"/>
    <w:rsid w:val="008032A2"/>
    <w:rsid w:val="00814696"/>
    <w:rsid w:val="00820CF2"/>
    <w:rsid w:val="008358F1"/>
    <w:rsid w:val="00835A3C"/>
    <w:rsid w:val="008441FA"/>
    <w:rsid w:val="00850E4D"/>
    <w:rsid w:val="00854695"/>
    <w:rsid w:val="00854A9C"/>
    <w:rsid w:val="008565B2"/>
    <w:rsid w:val="00873E1B"/>
    <w:rsid w:val="0088207C"/>
    <w:rsid w:val="00890586"/>
    <w:rsid w:val="00891C11"/>
    <w:rsid w:val="00895648"/>
    <w:rsid w:val="00896968"/>
    <w:rsid w:val="008A030D"/>
    <w:rsid w:val="008A750D"/>
    <w:rsid w:val="008B5EB5"/>
    <w:rsid w:val="008B5EFD"/>
    <w:rsid w:val="008C563C"/>
    <w:rsid w:val="008D2525"/>
    <w:rsid w:val="008F4146"/>
    <w:rsid w:val="008F6F72"/>
    <w:rsid w:val="00901E53"/>
    <w:rsid w:val="00905884"/>
    <w:rsid w:val="0091523D"/>
    <w:rsid w:val="009216D3"/>
    <w:rsid w:val="009254FC"/>
    <w:rsid w:val="00927E21"/>
    <w:rsid w:val="00937403"/>
    <w:rsid w:val="009435AF"/>
    <w:rsid w:val="0094372D"/>
    <w:rsid w:val="00947056"/>
    <w:rsid w:val="00956B47"/>
    <w:rsid w:val="0096564A"/>
    <w:rsid w:val="00965A8B"/>
    <w:rsid w:val="009706DB"/>
    <w:rsid w:val="00970FA5"/>
    <w:rsid w:val="00972E8B"/>
    <w:rsid w:val="00977CFB"/>
    <w:rsid w:val="00986AE9"/>
    <w:rsid w:val="00995B17"/>
    <w:rsid w:val="00997913"/>
    <w:rsid w:val="009A0EED"/>
    <w:rsid w:val="009C49C1"/>
    <w:rsid w:val="009D5F59"/>
    <w:rsid w:val="009D7872"/>
    <w:rsid w:val="009D7E73"/>
    <w:rsid w:val="009E5DC4"/>
    <w:rsid w:val="009F3F56"/>
    <w:rsid w:val="009F6714"/>
    <w:rsid w:val="00A00D8E"/>
    <w:rsid w:val="00A04FED"/>
    <w:rsid w:val="00A0512E"/>
    <w:rsid w:val="00A11A8E"/>
    <w:rsid w:val="00A123CE"/>
    <w:rsid w:val="00A13125"/>
    <w:rsid w:val="00A166E2"/>
    <w:rsid w:val="00A24A1A"/>
    <w:rsid w:val="00A353D7"/>
    <w:rsid w:val="00A43AF4"/>
    <w:rsid w:val="00A45480"/>
    <w:rsid w:val="00A50697"/>
    <w:rsid w:val="00A60411"/>
    <w:rsid w:val="00A6511F"/>
    <w:rsid w:val="00A80628"/>
    <w:rsid w:val="00A813D6"/>
    <w:rsid w:val="00A817C8"/>
    <w:rsid w:val="00A818C9"/>
    <w:rsid w:val="00A94278"/>
    <w:rsid w:val="00AA4ABF"/>
    <w:rsid w:val="00AA6199"/>
    <w:rsid w:val="00AA7143"/>
    <w:rsid w:val="00AB7BE8"/>
    <w:rsid w:val="00AC38B1"/>
    <w:rsid w:val="00AC560D"/>
    <w:rsid w:val="00AC7523"/>
    <w:rsid w:val="00AC7FEC"/>
    <w:rsid w:val="00AE2DAB"/>
    <w:rsid w:val="00AE4141"/>
    <w:rsid w:val="00AF6F98"/>
    <w:rsid w:val="00B00BB2"/>
    <w:rsid w:val="00B12DC1"/>
    <w:rsid w:val="00B21851"/>
    <w:rsid w:val="00B26548"/>
    <w:rsid w:val="00B31C71"/>
    <w:rsid w:val="00B35633"/>
    <w:rsid w:val="00B472BB"/>
    <w:rsid w:val="00B504C7"/>
    <w:rsid w:val="00B518DD"/>
    <w:rsid w:val="00B52271"/>
    <w:rsid w:val="00B54967"/>
    <w:rsid w:val="00B63E7C"/>
    <w:rsid w:val="00B64C98"/>
    <w:rsid w:val="00B66D22"/>
    <w:rsid w:val="00B763CD"/>
    <w:rsid w:val="00B77888"/>
    <w:rsid w:val="00B8592B"/>
    <w:rsid w:val="00B9034A"/>
    <w:rsid w:val="00B97564"/>
    <w:rsid w:val="00BA59B7"/>
    <w:rsid w:val="00BA65AD"/>
    <w:rsid w:val="00BB1686"/>
    <w:rsid w:val="00BD4320"/>
    <w:rsid w:val="00BE1B84"/>
    <w:rsid w:val="00BE29F5"/>
    <w:rsid w:val="00BF1595"/>
    <w:rsid w:val="00BF15EB"/>
    <w:rsid w:val="00BF4291"/>
    <w:rsid w:val="00BF4325"/>
    <w:rsid w:val="00BF5913"/>
    <w:rsid w:val="00BF5FAA"/>
    <w:rsid w:val="00C02842"/>
    <w:rsid w:val="00C172B4"/>
    <w:rsid w:val="00C21C68"/>
    <w:rsid w:val="00C22207"/>
    <w:rsid w:val="00C24FE4"/>
    <w:rsid w:val="00C27745"/>
    <w:rsid w:val="00C3179C"/>
    <w:rsid w:val="00C37AF9"/>
    <w:rsid w:val="00C662F8"/>
    <w:rsid w:val="00C715DC"/>
    <w:rsid w:val="00C742E1"/>
    <w:rsid w:val="00C74F4F"/>
    <w:rsid w:val="00C771B8"/>
    <w:rsid w:val="00C90489"/>
    <w:rsid w:val="00C917DE"/>
    <w:rsid w:val="00C9770A"/>
    <w:rsid w:val="00CA060C"/>
    <w:rsid w:val="00CA0710"/>
    <w:rsid w:val="00CA7AF4"/>
    <w:rsid w:val="00CD3226"/>
    <w:rsid w:val="00CE796E"/>
    <w:rsid w:val="00CF5733"/>
    <w:rsid w:val="00CF5833"/>
    <w:rsid w:val="00CF7394"/>
    <w:rsid w:val="00D22155"/>
    <w:rsid w:val="00D35EC8"/>
    <w:rsid w:val="00D37C97"/>
    <w:rsid w:val="00D43607"/>
    <w:rsid w:val="00D821B5"/>
    <w:rsid w:val="00D847DF"/>
    <w:rsid w:val="00D861F2"/>
    <w:rsid w:val="00D9017A"/>
    <w:rsid w:val="00DA42C7"/>
    <w:rsid w:val="00DB48BF"/>
    <w:rsid w:val="00DC5099"/>
    <w:rsid w:val="00DD79D3"/>
    <w:rsid w:val="00DE018C"/>
    <w:rsid w:val="00DE61F5"/>
    <w:rsid w:val="00DF0FF9"/>
    <w:rsid w:val="00DF5803"/>
    <w:rsid w:val="00E01E6C"/>
    <w:rsid w:val="00E10C39"/>
    <w:rsid w:val="00E16D03"/>
    <w:rsid w:val="00E237E3"/>
    <w:rsid w:val="00E24719"/>
    <w:rsid w:val="00E40632"/>
    <w:rsid w:val="00E468A6"/>
    <w:rsid w:val="00E604A3"/>
    <w:rsid w:val="00E630DE"/>
    <w:rsid w:val="00E64B7B"/>
    <w:rsid w:val="00E71A7C"/>
    <w:rsid w:val="00E766C1"/>
    <w:rsid w:val="00E97851"/>
    <w:rsid w:val="00EA6CF7"/>
    <w:rsid w:val="00EA7C6E"/>
    <w:rsid w:val="00EB067B"/>
    <w:rsid w:val="00EB41EB"/>
    <w:rsid w:val="00EB6AD5"/>
    <w:rsid w:val="00EC69C6"/>
    <w:rsid w:val="00ED5E09"/>
    <w:rsid w:val="00ED74BE"/>
    <w:rsid w:val="00EE1A4B"/>
    <w:rsid w:val="00EE4418"/>
    <w:rsid w:val="00EE5266"/>
    <w:rsid w:val="00EF2032"/>
    <w:rsid w:val="00F01A50"/>
    <w:rsid w:val="00F10B3A"/>
    <w:rsid w:val="00F12C32"/>
    <w:rsid w:val="00F143C9"/>
    <w:rsid w:val="00F2653E"/>
    <w:rsid w:val="00F34DCB"/>
    <w:rsid w:val="00F409B4"/>
    <w:rsid w:val="00F41E09"/>
    <w:rsid w:val="00F53348"/>
    <w:rsid w:val="00F60423"/>
    <w:rsid w:val="00F63FE5"/>
    <w:rsid w:val="00F83069"/>
    <w:rsid w:val="00F83531"/>
    <w:rsid w:val="00F9030C"/>
    <w:rsid w:val="00F97A4A"/>
    <w:rsid w:val="00FA0CCC"/>
    <w:rsid w:val="00FA2F8F"/>
    <w:rsid w:val="00FA3E3F"/>
    <w:rsid w:val="00FA48F7"/>
    <w:rsid w:val="00FA5900"/>
    <w:rsid w:val="00FA77A4"/>
    <w:rsid w:val="00FC091B"/>
    <w:rsid w:val="00FC625F"/>
    <w:rsid w:val="00FE142A"/>
    <w:rsid w:val="00FE6D35"/>
    <w:rsid w:val="00FF0FA6"/>
    <w:rsid w:val="00FF3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2DA91EB2-3730-43EC-9864-5C7DE551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iPriority="0"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rsid w:val="0055437D"/>
    <w:rPr>
      <w:lang w:val="sq-AL"/>
    </w:rPr>
  </w:style>
  <w:style w:type="paragraph" w:styleId="CommentText">
    <w:name w:val="annotation text"/>
    <w:basedOn w:val="Normal"/>
    <w:link w:val="CommentTextChar"/>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rsid w:val="0055437D"/>
    <w:rPr>
      <w:b/>
      <w:bCs/>
      <w:lang w:val="sq-AL"/>
    </w:rPr>
  </w:style>
  <w:style w:type="paragraph" w:styleId="CommentSubject">
    <w:name w:val="annotation subject"/>
    <w:basedOn w:val="CommentText"/>
    <w:next w:val="CommentText"/>
    <w:link w:val="CommentSubjectChar"/>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uiPriority w:val="99"/>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 w:type="paragraph" w:styleId="TOC1">
    <w:name w:val="toc 1"/>
    <w:basedOn w:val="Normal"/>
    <w:next w:val="Normal"/>
    <w:autoRedefine/>
    <w:rsid w:val="008C563C"/>
    <w:pPr>
      <w:jc w:val="both"/>
    </w:pPr>
    <w:rPr>
      <w:rFonts w:ascii="Arial" w:hAnsi="Arial" w:cs="Arial"/>
      <w:b/>
      <w:bCs/>
      <w:lang w:val="it-IT"/>
    </w:rPr>
  </w:style>
  <w:style w:type="paragraph" w:styleId="Index1">
    <w:name w:val="index 1"/>
    <w:basedOn w:val="Normal"/>
    <w:next w:val="Normal"/>
    <w:autoRedefine/>
    <w:rsid w:val="008C563C"/>
    <w:pPr>
      <w:ind w:left="240" w:hanging="240"/>
    </w:pPr>
    <w:rPr>
      <w:rFonts w:ascii="Arial" w:eastAsia="Times New Roman" w:hAnsi="Arial"/>
      <w:szCs w:val="20"/>
      <w:lang w:val="sq-AL"/>
    </w:rPr>
  </w:style>
  <w:style w:type="paragraph" w:styleId="IndexHeading">
    <w:name w:val="index heading"/>
    <w:basedOn w:val="Normal"/>
    <w:next w:val="Index1"/>
    <w:rsid w:val="008C563C"/>
    <w:pPr>
      <w:spacing w:before="120" w:after="120"/>
      <w:jc w:val="both"/>
    </w:pPr>
    <w:rPr>
      <w:rFonts w:ascii="Arial" w:eastAsia="Times New Roman" w:hAnsi="Arial"/>
      <w:b/>
      <w:szCs w:val="20"/>
      <w:lang w:val="sq-AL"/>
    </w:rPr>
  </w:style>
  <w:style w:type="paragraph" w:customStyle="1" w:styleId="xl128">
    <w:name w:val="xl128"/>
    <w:basedOn w:val="Normal"/>
    <w:rsid w:val="008C563C"/>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29">
    <w:name w:val="xl129"/>
    <w:basedOn w:val="Normal"/>
    <w:rsid w:val="008C563C"/>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30">
    <w:name w:val="xl130"/>
    <w:basedOn w:val="Normal"/>
    <w:rsid w:val="008C563C"/>
    <w:pPr>
      <w:pBdr>
        <w:top w:val="single" w:sz="8" w:space="0" w:color="auto"/>
        <w:left w:val="single" w:sz="4" w:space="0" w:color="auto"/>
        <w:bottom w:val="single" w:sz="4" w:space="0" w:color="auto"/>
      </w:pBdr>
      <w:spacing w:before="100" w:beforeAutospacing="1" w:after="100" w:afterAutospacing="1"/>
    </w:pPr>
    <w:rPr>
      <w:rFonts w:ascii="CG Times" w:eastAsia="Times New Roman" w:hAnsi="CG Times"/>
      <w:sz w:val="12"/>
      <w:szCs w:val="12"/>
    </w:rPr>
  </w:style>
  <w:style w:type="paragraph" w:customStyle="1" w:styleId="xl131">
    <w:name w:val="xl131"/>
    <w:basedOn w:val="Normal"/>
    <w:rsid w:val="008C563C"/>
    <w:pPr>
      <w:pBdr>
        <w:top w:val="single" w:sz="8" w:space="0" w:color="auto"/>
        <w:left w:val="single" w:sz="8" w:space="0" w:color="auto"/>
        <w:bottom w:val="single" w:sz="4" w:space="0" w:color="auto"/>
        <w:right w:val="single" w:sz="8" w:space="0" w:color="auto"/>
      </w:pBdr>
      <w:shd w:val="clear" w:color="000000" w:fill="FFFF99"/>
      <w:spacing w:before="100" w:beforeAutospacing="1" w:after="100" w:afterAutospacing="1"/>
    </w:pPr>
    <w:rPr>
      <w:rFonts w:ascii="CG Times" w:eastAsia="Times New Roman" w:hAnsi="CG Times"/>
      <w:sz w:val="12"/>
      <w:szCs w:val="12"/>
    </w:rPr>
  </w:style>
  <w:style w:type="paragraph" w:customStyle="1" w:styleId="xl132">
    <w:name w:val="xl132"/>
    <w:basedOn w:val="Normal"/>
    <w:rsid w:val="008C563C"/>
    <w:pPr>
      <w:pBdr>
        <w:top w:val="single" w:sz="8" w:space="0" w:color="auto"/>
        <w:left w:val="single" w:sz="4" w:space="0" w:color="auto"/>
        <w:bottom w:val="single" w:sz="4" w:space="0" w:color="auto"/>
        <w:right w:val="single" w:sz="8" w:space="0" w:color="auto"/>
      </w:pBdr>
      <w:shd w:val="clear" w:color="000000" w:fill="CCFFCC"/>
      <w:spacing w:before="100" w:beforeAutospacing="1" w:after="100" w:afterAutospacing="1"/>
    </w:pPr>
    <w:rPr>
      <w:rFonts w:ascii="CG Times" w:eastAsia="Times New Roman" w:hAnsi="CG Times"/>
      <w:sz w:val="12"/>
      <w:szCs w:val="12"/>
    </w:rPr>
  </w:style>
  <w:style w:type="paragraph" w:customStyle="1" w:styleId="xl133">
    <w:name w:val="xl133"/>
    <w:basedOn w:val="Normal"/>
    <w:rsid w:val="008C563C"/>
    <w:pPr>
      <w:pBdr>
        <w:top w:val="single" w:sz="8" w:space="0" w:color="auto"/>
        <w:bottom w:val="single" w:sz="4"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34">
    <w:name w:val="xl134"/>
    <w:basedOn w:val="Normal"/>
    <w:rsid w:val="008C563C"/>
    <w:pPr>
      <w:pBdr>
        <w:top w:val="single" w:sz="8" w:space="0" w:color="auto"/>
        <w:left w:val="single" w:sz="4" w:space="0" w:color="auto"/>
        <w:bottom w:val="single" w:sz="4" w:space="0" w:color="auto"/>
        <w:right w:val="single" w:sz="8" w:space="0" w:color="auto"/>
      </w:pBdr>
      <w:shd w:val="clear" w:color="000000" w:fill="CCFFFF"/>
      <w:spacing w:before="100" w:beforeAutospacing="1" w:after="100" w:afterAutospacing="1"/>
    </w:pPr>
    <w:rPr>
      <w:rFonts w:ascii="CG Times" w:eastAsia="Times New Roman" w:hAnsi="CG Times"/>
      <w:sz w:val="12"/>
      <w:szCs w:val="12"/>
    </w:rPr>
  </w:style>
  <w:style w:type="paragraph" w:customStyle="1" w:styleId="xl135">
    <w:name w:val="xl135"/>
    <w:basedOn w:val="Normal"/>
    <w:rsid w:val="008C563C"/>
    <w:pPr>
      <w:pBdr>
        <w:left w:val="single" w:sz="8" w:space="0" w:color="auto"/>
        <w:bottom w:val="single" w:sz="8" w:space="0" w:color="auto"/>
      </w:pBdr>
      <w:spacing w:before="100" w:beforeAutospacing="1" w:after="100" w:afterAutospacing="1"/>
    </w:pPr>
    <w:rPr>
      <w:rFonts w:ascii="CG Times" w:eastAsia="Times New Roman" w:hAnsi="CG Times"/>
      <w:sz w:val="12"/>
      <w:szCs w:val="12"/>
    </w:rPr>
  </w:style>
  <w:style w:type="paragraph" w:customStyle="1" w:styleId="xl136">
    <w:name w:val="xl136"/>
    <w:basedOn w:val="Normal"/>
    <w:rsid w:val="008C563C"/>
    <w:pPr>
      <w:pBdr>
        <w:bottom w:val="single" w:sz="8" w:space="0" w:color="auto"/>
      </w:pBdr>
      <w:spacing w:before="100" w:beforeAutospacing="1" w:after="100" w:afterAutospacing="1"/>
    </w:pPr>
    <w:rPr>
      <w:rFonts w:ascii="CG Times" w:eastAsia="Times New Roman" w:hAnsi="CG Times"/>
      <w:sz w:val="12"/>
      <w:szCs w:val="12"/>
    </w:rPr>
  </w:style>
  <w:style w:type="paragraph" w:customStyle="1" w:styleId="xl137">
    <w:name w:val="xl137"/>
    <w:basedOn w:val="Normal"/>
    <w:rsid w:val="008C563C"/>
    <w:pPr>
      <w:pBdr>
        <w:top w:val="single" w:sz="4" w:space="0" w:color="auto"/>
        <w:left w:val="single" w:sz="4" w:space="0" w:color="auto"/>
        <w:bottom w:val="single" w:sz="8" w:space="0" w:color="auto"/>
      </w:pBdr>
      <w:spacing w:before="100" w:beforeAutospacing="1" w:after="100" w:afterAutospacing="1"/>
    </w:pPr>
    <w:rPr>
      <w:rFonts w:ascii="CG Times" w:eastAsia="Times New Roman" w:hAnsi="CG Times"/>
      <w:sz w:val="12"/>
      <w:szCs w:val="12"/>
    </w:rPr>
  </w:style>
  <w:style w:type="paragraph" w:customStyle="1" w:styleId="xl138">
    <w:name w:val="xl138"/>
    <w:basedOn w:val="Normal"/>
    <w:rsid w:val="008C563C"/>
    <w:pPr>
      <w:pBdr>
        <w:top w:val="single" w:sz="4" w:space="0" w:color="auto"/>
        <w:left w:val="single" w:sz="8" w:space="0" w:color="auto"/>
        <w:bottom w:val="single" w:sz="8" w:space="0" w:color="auto"/>
        <w:right w:val="single" w:sz="8" w:space="0" w:color="auto"/>
      </w:pBdr>
      <w:shd w:val="clear" w:color="000000" w:fill="FFFF99"/>
      <w:spacing w:before="100" w:beforeAutospacing="1" w:after="100" w:afterAutospacing="1"/>
    </w:pPr>
    <w:rPr>
      <w:rFonts w:ascii="CG Times" w:eastAsia="Times New Roman" w:hAnsi="CG Times"/>
      <w:sz w:val="12"/>
      <w:szCs w:val="12"/>
    </w:rPr>
  </w:style>
  <w:style w:type="paragraph" w:customStyle="1" w:styleId="xl139">
    <w:name w:val="xl139"/>
    <w:basedOn w:val="Normal"/>
    <w:rsid w:val="008C563C"/>
    <w:pPr>
      <w:pBdr>
        <w:top w:val="single" w:sz="4" w:space="0" w:color="auto"/>
        <w:left w:val="single" w:sz="4" w:space="0" w:color="auto"/>
        <w:bottom w:val="single" w:sz="8" w:space="0" w:color="auto"/>
        <w:right w:val="single" w:sz="8" w:space="0" w:color="auto"/>
      </w:pBdr>
      <w:shd w:val="clear" w:color="000000" w:fill="CCFFCC"/>
      <w:spacing w:before="100" w:beforeAutospacing="1" w:after="100" w:afterAutospacing="1"/>
    </w:pPr>
    <w:rPr>
      <w:rFonts w:ascii="CG Times" w:eastAsia="Times New Roman" w:hAnsi="CG Times"/>
      <w:sz w:val="12"/>
      <w:szCs w:val="12"/>
    </w:rPr>
  </w:style>
  <w:style w:type="paragraph" w:customStyle="1" w:styleId="xl140">
    <w:name w:val="xl140"/>
    <w:basedOn w:val="Normal"/>
    <w:rsid w:val="008C563C"/>
    <w:pPr>
      <w:pBdr>
        <w:top w:val="single" w:sz="4" w:space="0" w:color="auto"/>
        <w:bottom w:val="single" w:sz="8" w:space="0" w:color="auto"/>
        <w:right w:val="single" w:sz="4" w:space="0" w:color="auto"/>
      </w:pBdr>
      <w:spacing w:before="100" w:beforeAutospacing="1" w:after="100" w:afterAutospacing="1"/>
    </w:pPr>
    <w:rPr>
      <w:rFonts w:ascii="CG Times" w:eastAsia="Times New Roman" w:hAnsi="CG Times"/>
      <w:sz w:val="12"/>
      <w:szCs w:val="12"/>
    </w:rPr>
  </w:style>
  <w:style w:type="paragraph" w:customStyle="1" w:styleId="xl141">
    <w:name w:val="xl141"/>
    <w:basedOn w:val="Normal"/>
    <w:rsid w:val="008C563C"/>
    <w:pPr>
      <w:pBdr>
        <w:top w:val="single" w:sz="4" w:space="0" w:color="auto"/>
        <w:left w:val="single" w:sz="4" w:space="0" w:color="auto"/>
        <w:bottom w:val="single" w:sz="8" w:space="0" w:color="auto"/>
        <w:right w:val="single" w:sz="8" w:space="0" w:color="auto"/>
      </w:pBdr>
      <w:shd w:val="clear" w:color="000000" w:fill="CCFFFF"/>
      <w:spacing w:before="100" w:beforeAutospacing="1" w:after="100" w:afterAutospacing="1"/>
    </w:pPr>
    <w:rPr>
      <w:rFonts w:ascii="CG Times" w:eastAsia="Times New Roman" w:hAnsi="CG Times"/>
      <w:sz w:val="12"/>
      <w:szCs w:val="12"/>
    </w:rPr>
  </w:style>
  <w:style w:type="paragraph" w:customStyle="1" w:styleId="xl142">
    <w:name w:val="xl142"/>
    <w:basedOn w:val="Normal"/>
    <w:rsid w:val="008C563C"/>
    <w:pPr>
      <w:spacing w:before="100" w:beforeAutospacing="1" w:after="100" w:afterAutospacing="1"/>
      <w:textAlignment w:val="center"/>
    </w:pPr>
    <w:rPr>
      <w:rFonts w:ascii="CG Times" w:eastAsia="Times New Roman" w:hAnsi="CG Times"/>
      <w:sz w:val="12"/>
      <w:szCs w:val="12"/>
    </w:rPr>
  </w:style>
  <w:style w:type="paragraph" w:customStyle="1" w:styleId="xl143">
    <w:name w:val="xl143"/>
    <w:basedOn w:val="Normal"/>
    <w:rsid w:val="008C563C"/>
    <w:pPr>
      <w:spacing w:before="100" w:beforeAutospacing="1" w:after="100" w:afterAutospacing="1"/>
      <w:textAlignment w:val="center"/>
    </w:pPr>
    <w:rPr>
      <w:rFonts w:ascii="CG Times" w:eastAsia="Times New Roman" w:hAnsi="CG Times"/>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eader" Target="header2.xml"/><Relationship Id="rId26" Type="http://schemas.openxmlformats.org/officeDocument/2006/relationships/image" Target="media/image13.png"/><Relationship Id="rId39" Type="http://schemas.openxmlformats.org/officeDocument/2006/relationships/footer" Target="footer7.xml"/><Relationship Id="rId21" Type="http://schemas.openxmlformats.org/officeDocument/2006/relationships/image" Target="media/image8.png"/><Relationship Id="rId34" Type="http://schemas.openxmlformats.org/officeDocument/2006/relationships/header" Target="header6.xml"/><Relationship Id="rId42" Type="http://schemas.openxmlformats.org/officeDocument/2006/relationships/header" Target="header10.xml"/><Relationship Id="rId47" Type="http://schemas.openxmlformats.org/officeDocument/2006/relationships/footer" Target="footer11.xml"/><Relationship Id="rId50" Type="http://schemas.openxmlformats.org/officeDocument/2006/relationships/header" Target="header1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header" Target="header3.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6.xml"/><Relationship Id="rId49" Type="http://schemas.openxmlformats.org/officeDocument/2006/relationships/header" Target="header13.xml"/><Relationship Id="rId10" Type="http://schemas.openxmlformats.org/officeDocument/2006/relationships/oleObject" Target="embeddings/oleObject2.bin"/><Relationship Id="rId19" Type="http://schemas.openxmlformats.org/officeDocument/2006/relationships/footer" Target="footer1.xml"/><Relationship Id="rId31" Type="http://schemas.openxmlformats.org/officeDocument/2006/relationships/footer" Target="footer3.xml"/><Relationship Id="rId44" Type="http://schemas.openxmlformats.org/officeDocument/2006/relationships/footer" Target="footer10.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eader" Target="header4.xml"/><Relationship Id="rId35" Type="http://schemas.openxmlformats.org/officeDocument/2006/relationships/footer" Target="footer5.xml"/><Relationship Id="rId43" Type="http://schemas.openxmlformats.org/officeDocument/2006/relationships/footer" Target="footer9.xml"/><Relationship Id="rId48" Type="http://schemas.openxmlformats.org/officeDocument/2006/relationships/footer" Target="footer12.xml"/><Relationship Id="rId8" Type="http://schemas.openxmlformats.org/officeDocument/2006/relationships/oleObject" Target="embeddings/oleObject1.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header" Target="header5.xml"/><Relationship Id="rId38" Type="http://schemas.openxmlformats.org/officeDocument/2006/relationships/header" Target="header8.xml"/><Relationship Id="rId46" Type="http://schemas.openxmlformats.org/officeDocument/2006/relationships/header" Target="header12.xml"/><Relationship Id="rId20" Type="http://schemas.openxmlformats.org/officeDocument/2006/relationships/footer" Target="footer2.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1" Type="http://schemas.openxmlformats.org/officeDocument/2006/relationships/image" Target="media/image6.jpeg"/></Relationships>
</file>

<file path=word/_rels/header1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7308</Words>
  <Characters>41659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2012-06-19T10:23:00Z</cp:lastPrinted>
  <dcterms:created xsi:type="dcterms:W3CDTF">2019-02-15T16:23:00Z</dcterms:created>
  <dcterms:modified xsi:type="dcterms:W3CDTF">2019-02-15T16:23:00Z</dcterms:modified>
</cp:coreProperties>
</file>