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B5A" w:rsidRPr="00B27DA8" w:rsidRDefault="00E52B5A" w:rsidP="00E2456F">
      <w:pPr>
        <w:pStyle w:val="TitulliTitull"/>
        <w:rPr>
          <w:rStyle w:val="paraChar"/>
          <w:rFonts w:ascii="CG Times" w:hAnsi="CG Times"/>
          <w:sz w:val="22"/>
          <w:szCs w:val="22"/>
        </w:rPr>
      </w:pPr>
      <w:bookmarkStart w:id="0" w:name="_GoBack"/>
      <w:bookmarkEnd w:id="0"/>
      <w:r w:rsidRPr="00B27DA8">
        <w:rPr>
          <w:rStyle w:val="paraChar"/>
          <w:rFonts w:ascii="CG Times" w:hAnsi="CG Times"/>
          <w:sz w:val="22"/>
          <w:szCs w:val="22"/>
        </w:rPr>
        <w:t>GJYKATA EUROPIANE E TË DREJTAVE TË NJERIUT</w:t>
      </w:r>
    </w:p>
    <w:p w:rsidR="00E52B5A" w:rsidRPr="00B27DA8" w:rsidRDefault="00E52B5A" w:rsidP="00E2456F">
      <w:pPr>
        <w:pStyle w:val="TitulliTitull"/>
        <w:rPr>
          <w:rStyle w:val="paraChar"/>
          <w:rFonts w:ascii="CG Times" w:hAnsi="CG Times"/>
          <w:sz w:val="22"/>
          <w:szCs w:val="22"/>
        </w:rPr>
      </w:pPr>
      <w:r w:rsidRPr="00B27DA8">
        <w:rPr>
          <w:rStyle w:val="paraChar"/>
          <w:rFonts w:ascii="CG Times" w:hAnsi="CG Times"/>
          <w:sz w:val="22"/>
          <w:szCs w:val="22"/>
        </w:rPr>
        <w:t>SEKSIONI I KATËRT</w:t>
      </w:r>
    </w:p>
    <w:p w:rsidR="00E2456F" w:rsidRPr="00B27DA8" w:rsidRDefault="00E2456F" w:rsidP="00E2456F">
      <w:pPr>
        <w:pStyle w:val="TitulliTitull"/>
        <w:rPr>
          <w:rStyle w:val="paraChar"/>
          <w:rFonts w:ascii="CG Times" w:hAnsi="CG Times"/>
          <w:sz w:val="22"/>
          <w:szCs w:val="22"/>
        </w:rPr>
      </w:pPr>
    </w:p>
    <w:p w:rsidR="00E52B5A" w:rsidRPr="00B27DA8" w:rsidRDefault="00E52B5A" w:rsidP="00E2456F">
      <w:pPr>
        <w:pStyle w:val="Titulli"/>
        <w:rPr>
          <w:rStyle w:val="paraChar"/>
          <w:rFonts w:ascii="CG Times" w:hAnsi="CG Times"/>
          <w:sz w:val="22"/>
          <w:szCs w:val="22"/>
        </w:rPr>
      </w:pPr>
      <w:r w:rsidRPr="00B27DA8">
        <w:rPr>
          <w:rStyle w:val="paraChar"/>
          <w:rFonts w:ascii="CG Times" w:hAnsi="CG Times"/>
          <w:sz w:val="22"/>
          <w:szCs w:val="22"/>
        </w:rPr>
        <w:t>VENDIM</w:t>
      </w:r>
    </w:p>
    <w:p w:rsidR="00E52B5A" w:rsidRPr="00B27DA8" w:rsidRDefault="00E52B5A" w:rsidP="00E2456F">
      <w:pPr>
        <w:pStyle w:val="TitulliTitull"/>
        <w:rPr>
          <w:rStyle w:val="paraChar"/>
          <w:rFonts w:ascii="CG Times" w:hAnsi="CG Times"/>
          <w:sz w:val="22"/>
          <w:szCs w:val="22"/>
        </w:rPr>
      </w:pPr>
      <w:r w:rsidRPr="00B27DA8">
        <w:rPr>
          <w:rStyle w:val="paraChar"/>
          <w:rFonts w:ascii="CG Times" w:hAnsi="CG Times"/>
          <w:sz w:val="22"/>
          <w:szCs w:val="22"/>
        </w:rPr>
        <w:t>Ankimi  Nr. 16114/10</w:t>
      </w:r>
    </w:p>
    <w:p w:rsidR="00E52B5A" w:rsidRPr="00555581" w:rsidRDefault="00E52B5A" w:rsidP="00E2456F">
      <w:pPr>
        <w:pStyle w:val="Titulli"/>
        <w:rPr>
          <w:rStyle w:val="paraChar"/>
          <w:rFonts w:ascii="CG Times" w:hAnsi="CG Times"/>
          <w:b w:val="0"/>
          <w:sz w:val="22"/>
          <w:szCs w:val="22"/>
        </w:rPr>
      </w:pPr>
      <w:r w:rsidRPr="00555581">
        <w:rPr>
          <w:rStyle w:val="paraChar"/>
          <w:rFonts w:ascii="CG Times" w:hAnsi="CG Times"/>
          <w:b w:val="0"/>
          <w:sz w:val="22"/>
          <w:szCs w:val="22"/>
        </w:rPr>
        <w:t>Petrit Sulejmani</w:t>
      </w:r>
    </w:p>
    <w:p w:rsidR="00E52B5A" w:rsidRPr="00555581" w:rsidRDefault="00E52B5A" w:rsidP="00E2456F">
      <w:pPr>
        <w:pStyle w:val="Titulli"/>
        <w:rPr>
          <w:rStyle w:val="paraChar"/>
          <w:rFonts w:ascii="CG Times" w:hAnsi="CG Times"/>
          <w:b w:val="0"/>
          <w:sz w:val="22"/>
          <w:szCs w:val="22"/>
        </w:rPr>
      </w:pPr>
      <w:r w:rsidRPr="00555581">
        <w:rPr>
          <w:rStyle w:val="paraChar"/>
          <w:rFonts w:ascii="CG Times" w:hAnsi="CG Times"/>
          <w:b w:val="0"/>
          <w:sz w:val="22"/>
          <w:szCs w:val="22"/>
        </w:rPr>
        <w:t>kundër Shqipërisë</w:t>
      </w:r>
    </w:p>
    <w:p w:rsidR="00E52B5A" w:rsidRPr="00B27DA8" w:rsidRDefault="00E52B5A" w:rsidP="00E52B5A">
      <w:pPr>
        <w:pStyle w:val="Paragrafi"/>
        <w:rPr>
          <w:rStyle w:val="paraChar"/>
          <w:rFonts w:ascii="CG Times" w:hAnsi="CG Times"/>
          <w:sz w:val="22"/>
          <w:szCs w:val="22"/>
        </w:rPr>
      </w:pP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Gjykata Europiane e të Drejtave të Njeriut (</w:t>
      </w:r>
      <w:r w:rsidR="00555581" w:rsidRPr="00B27DA8">
        <w:rPr>
          <w:rStyle w:val="paraChar"/>
          <w:rFonts w:ascii="CG Times" w:hAnsi="CG Times"/>
          <w:sz w:val="22"/>
          <w:szCs w:val="22"/>
        </w:rPr>
        <w:t>seksioni i katërt</w:t>
      </w:r>
      <w:r w:rsidRPr="00B27DA8">
        <w:rPr>
          <w:rStyle w:val="paraChar"/>
          <w:rFonts w:ascii="CG Times" w:hAnsi="CG Times"/>
          <w:sz w:val="22"/>
          <w:szCs w:val="22"/>
        </w:rPr>
        <w:t>), duke gjykuar më 19 qershor 2012</w:t>
      </w:r>
      <w:r w:rsidR="00555581">
        <w:rPr>
          <w:rStyle w:val="paraChar"/>
          <w:rFonts w:ascii="CG Times" w:hAnsi="CG Times"/>
          <w:sz w:val="22"/>
          <w:szCs w:val="22"/>
        </w:rPr>
        <w:t>, si d</w:t>
      </w:r>
      <w:r w:rsidRPr="00B27DA8">
        <w:rPr>
          <w:rStyle w:val="paraChar"/>
          <w:rFonts w:ascii="CG Times" w:hAnsi="CG Times"/>
          <w:sz w:val="22"/>
          <w:szCs w:val="22"/>
        </w:rPr>
        <w:t>homë e përbërë nga:</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Lech Garlicki, President</w:t>
      </w:r>
    </w:p>
    <w:p w:rsidR="00E52B5A" w:rsidRPr="00B27DA8" w:rsidRDefault="00555581" w:rsidP="00E52B5A">
      <w:pPr>
        <w:pStyle w:val="Paragrafi"/>
        <w:rPr>
          <w:rStyle w:val="paraChar"/>
          <w:rFonts w:ascii="CG Times" w:hAnsi="CG Times"/>
          <w:sz w:val="22"/>
          <w:szCs w:val="22"/>
        </w:rPr>
      </w:pPr>
      <w:r>
        <w:rPr>
          <w:rStyle w:val="paraChar"/>
          <w:rFonts w:ascii="CG Times" w:hAnsi="CG Times"/>
          <w:sz w:val="22"/>
          <w:szCs w:val="22"/>
        </w:rPr>
        <w:t>David Thór Björgvinsson</w:t>
      </w:r>
    </w:p>
    <w:p w:rsidR="00E52B5A" w:rsidRPr="00B27DA8" w:rsidRDefault="00555581" w:rsidP="00E52B5A">
      <w:pPr>
        <w:pStyle w:val="Paragrafi"/>
        <w:rPr>
          <w:rStyle w:val="paraChar"/>
          <w:rFonts w:ascii="CG Times" w:hAnsi="CG Times"/>
          <w:sz w:val="22"/>
          <w:szCs w:val="22"/>
        </w:rPr>
      </w:pPr>
      <w:r>
        <w:rPr>
          <w:rStyle w:val="paraChar"/>
          <w:rFonts w:ascii="CG Times" w:hAnsi="CG Times"/>
          <w:sz w:val="22"/>
          <w:szCs w:val="22"/>
        </w:rPr>
        <w:t>Päivi Hirvelä</w:t>
      </w:r>
    </w:p>
    <w:p w:rsidR="00E52B5A" w:rsidRPr="00B27DA8" w:rsidRDefault="00555581" w:rsidP="00E52B5A">
      <w:pPr>
        <w:pStyle w:val="Paragrafi"/>
        <w:rPr>
          <w:rStyle w:val="paraChar"/>
          <w:rFonts w:ascii="CG Times" w:hAnsi="CG Times"/>
          <w:sz w:val="22"/>
          <w:szCs w:val="22"/>
        </w:rPr>
      </w:pPr>
      <w:r>
        <w:rPr>
          <w:rStyle w:val="paraChar"/>
          <w:rFonts w:ascii="CG Times" w:hAnsi="CG Times"/>
          <w:sz w:val="22"/>
          <w:szCs w:val="22"/>
        </w:rPr>
        <w:t>Ledi Bianku</w:t>
      </w:r>
    </w:p>
    <w:p w:rsidR="00E52B5A" w:rsidRPr="00B27DA8" w:rsidRDefault="00555581" w:rsidP="00E52B5A">
      <w:pPr>
        <w:pStyle w:val="Paragrafi"/>
        <w:rPr>
          <w:rStyle w:val="paraChar"/>
          <w:rFonts w:ascii="CG Times" w:hAnsi="CG Times"/>
          <w:sz w:val="22"/>
          <w:szCs w:val="22"/>
        </w:rPr>
      </w:pPr>
      <w:r>
        <w:rPr>
          <w:rStyle w:val="paraChar"/>
          <w:rFonts w:ascii="CG Times" w:hAnsi="CG Times"/>
          <w:sz w:val="22"/>
          <w:szCs w:val="22"/>
        </w:rPr>
        <w:t>Zdravka Kalaydjieva</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 xml:space="preserve">Nebojša </w:t>
      </w:r>
      <w:r w:rsidR="00555581">
        <w:rPr>
          <w:rStyle w:val="paraChar"/>
          <w:rFonts w:ascii="CG Times" w:hAnsi="CG Times"/>
          <w:sz w:val="22"/>
          <w:szCs w:val="22"/>
        </w:rPr>
        <w:t>Vučinić</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Vincent A. De Gaetano, gjykatës,</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 xml:space="preserve">dhe Lawrence Early, </w:t>
      </w:r>
      <w:r w:rsidR="00555581" w:rsidRPr="00B27DA8">
        <w:rPr>
          <w:rStyle w:val="paraChar"/>
          <w:rFonts w:ascii="CG Times" w:hAnsi="CG Times"/>
          <w:sz w:val="22"/>
          <w:szCs w:val="22"/>
        </w:rPr>
        <w:t>regjistrues i seksionit</w:t>
      </w:r>
      <w:r w:rsidRPr="00B27DA8">
        <w:rPr>
          <w:rStyle w:val="paraChar"/>
          <w:rFonts w:ascii="CG Times" w:hAnsi="CG Times"/>
          <w:sz w:val="22"/>
          <w:szCs w:val="22"/>
        </w:rPr>
        <w:t>,</w:t>
      </w:r>
    </w:p>
    <w:p w:rsidR="00E52B5A" w:rsidRPr="00B27DA8" w:rsidRDefault="00555581" w:rsidP="00E52B5A">
      <w:pPr>
        <w:pStyle w:val="Paragrafi"/>
        <w:rPr>
          <w:rStyle w:val="paraChar"/>
          <w:rFonts w:ascii="CG Times" w:hAnsi="CG Times"/>
          <w:sz w:val="22"/>
          <w:szCs w:val="22"/>
        </w:rPr>
      </w:pPr>
      <w:r w:rsidRPr="00B27DA8">
        <w:rPr>
          <w:rStyle w:val="paraChar"/>
          <w:rFonts w:ascii="CG Times" w:hAnsi="CG Times"/>
          <w:sz w:val="22"/>
          <w:szCs w:val="22"/>
        </w:rPr>
        <w:t xml:space="preserve">duke </w:t>
      </w:r>
      <w:r w:rsidR="00E52B5A" w:rsidRPr="00B27DA8">
        <w:rPr>
          <w:rStyle w:val="paraChar"/>
          <w:rFonts w:ascii="CG Times" w:hAnsi="CG Times"/>
          <w:sz w:val="22"/>
          <w:szCs w:val="22"/>
        </w:rPr>
        <w:t>marrë në konsideratë ankimin e mësipërm të depozituar më 16 janar 2010,</w:t>
      </w:r>
    </w:p>
    <w:p w:rsidR="00E52B5A" w:rsidRPr="00B27DA8" w:rsidRDefault="00555581" w:rsidP="00E52B5A">
      <w:pPr>
        <w:pStyle w:val="Paragrafi"/>
        <w:rPr>
          <w:rStyle w:val="paraChar"/>
          <w:rFonts w:ascii="CG Times" w:hAnsi="CG Times"/>
          <w:sz w:val="22"/>
          <w:szCs w:val="22"/>
        </w:rPr>
      </w:pPr>
      <w:r w:rsidRPr="00B27DA8">
        <w:rPr>
          <w:rStyle w:val="paraChar"/>
          <w:rFonts w:ascii="CG Times" w:hAnsi="CG Times"/>
          <w:sz w:val="22"/>
          <w:szCs w:val="22"/>
        </w:rPr>
        <w:t xml:space="preserve">duke </w:t>
      </w:r>
      <w:r w:rsidR="00E52B5A" w:rsidRPr="00B27DA8">
        <w:rPr>
          <w:rStyle w:val="paraChar"/>
          <w:rFonts w:ascii="CG Times" w:hAnsi="CG Times"/>
          <w:sz w:val="22"/>
          <w:szCs w:val="22"/>
        </w:rPr>
        <w:t>marrë parasysh vërejtjet e paraqitura nga Qeveria e paditur dhe vërejtjet në përgjigje të paraqitura nga ankuesi,</w:t>
      </w:r>
    </w:p>
    <w:p w:rsidR="00E52B5A" w:rsidRPr="00B27DA8" w:rsidRDefault="00555581" w:rsidP="00E52B5A">
      <w:pPr>
        <w:pStyle w:val="Paragrafi"/>
        <w:rPr>
          <w:rStyle w:val="paraChar"/>
          <w:rFonts w:ascii="CG Times" w:hAnsi="CG Times"/>
          <w:sz w:val="22"/>
          <w:szCs w:val="22"/>
        </w:rPr>
      </w:pPr>
      <w:r w:rsidRPr="00B27DA8">
        <w:rPr>
          <w:rStyle w:val="paraChar"/>
          <w:rFonts w:ascii="CG Times" w:hAnsi="CG Times"/>
          <w:sz w:val="22"/>
          <w:szCs w:val="22"/>
        </w:rPr>
        <w:t xml:space="preserve">pas </w:t>
      </w:r>
      <w:r w:rsidR="00E52B5A" w:rsidRPr="00B27DA8">
        <w:rPr>
          <w:rStyle w:val="paraChar"/>
          <w:rFonts w:ascii="CG Times" w:hAnsi="CG Times"/>
          <w:sz w:val="22"/>
          <w:szCs w:val="22"/>
        </w:rPr>
        <w:t>shqyrtimit të çështjes, vendos si më poshtë:</w:t>
      </w:r>
    </w:p>
    <w:p w:rsidR="00E52B5A" w:rsidRPr="00B27DA8" w:rsidRDefault="00E52B5A" w:rsidP="00E52B5A">
      <w:pPr>
        <w:pStyle w:val="Paragrafi"/>
        <w:rPr>
          <w:rStyle w:val="paraChar"/>
          <w:rFonts w:ascii="CG Times" w:hAnsi="CG Times"/>
          <w:sz w:val="22"/>
          <w:szCs w:val="22"/>
        </w:rPr>
      </w:pP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FAKTET</w:t>
      </w:r>
    </w:p>
    <w:p w:rsidR="00E52B5A" w:rsidRPr="00B27DA8" w:rsidRDefault="00E2456F" w:rsidP="00E52B5A">
      <w:pPr>
        <w:pStyle w:val="Paragrafi"/>
        <w:rPr>
          <w:rStyle w:val="paraChar"/>
          <w:rFonts w:ascii="CG Times" w:hAnsi="CG Times"/>
          <w:sz w:val="22"/>
          <w:szCs w:val="22"/>
        </w:rPr>
      </w:pPr>
      <w:r w:rsidRPr="00B27DA8">
        <w:rPr>
          <w:rStyle w:val="paraChar"/>
          <w:rFonts w:ascii="CG Times" w:hAnsi="CG Times"/>
          <w:sz w:val="22"/>
          <w:szCs w:val="22"/>
        </w:rPr>
        <w:t xml:space="preserve">1. </w:t>
      </w:r>
      <w:r w:rsidR="00E52B5A" w:rsidRPr="00B27DA8">
        <w:rPr>
          <w:rStyle w:val="paraChar"/>
          <w:rFonts w:ascii="CG Times" w:hAnsi="CG Times"/>
          <w:sz w:val="22"/>
          <w:szCs w:val="22"/>
        </w:rPr>
        <w:t xml:space="preserve">Ankuesi, </w:t>
      </w:r>
      <w:r w:rsidR="00CD1556" w:rsidRPr="00B27DA8">
        <w:rPr>
          <w:rStyle w:val="paraChar"/>
          <w:rFonts w:ascii="CG Times" w:hAnsi="CG Times"/>
          <w:sz w:val="22"/>
          <w:szCs w:val="22"/>
        </w:rPr>
        <w:t>z</w:t>
      </w:r>
      <w:r w:rsidR="00E52B5A" w:rsidRPr="00B27DA8">
        <w:rPr>
          <w:rStyle w:val="paraChar"/>
          <w:rFonts w:ascii="CG Times" w:hAnsi="CG Times"/>
          <w:sz w:val="22"/>
          <w:szCs w:val="22"/>
        </w:rPr>
        <w:t>. Petrit Sulejmani, është një shtetas shqiptar, i cili ka lindur dhe aktualisht vuan një dënim me burgim në Lushnjë, Shqipëri. Ai u përfaqësua para Gjykatës nga Z. I. Thiée, avokat që ushtron profesionin e tij në Bon, Gjermani.</w:t>
      </w:r>
    </w:p>
    <w:p w:rsidR="00E52B5A" w:rsidRPr="00B27DA8" w:rsidRDefault="00E2456F" w:rsidP="00E52B5A">
      <w:pPr>
        <w:pStyle w:val="Paragrafi"/>
        <w:rPr>
          <w:rStyle w:val="paraChar"/>
          <w:rFonts w:ascii="CG Times" w:hAnsi="CG Times"/>
          <w:sz w:val="22"/>
          <w:szCs w:val="22"/>
        </w:rPr>
      </w:pPr>
      <w:r w:rsidRPr="00B27DA8">
        <w:rPr>
          <w:rStyle w:val="paraChar"/>
          <w:rFonts w:ascii="CG Times" w:hAnsi="CG Times"/>
          <w:sz w:val="22"/>
          <w:szCs w:val="22"/>
        </w:rPr>
        <w:t xml:space="preserve">2. </w:t>
      </w:r>
      <w:r w:rsidR="00CD1556">
        <w:rPr>
          <w:rStyle w:val="paraChar"/>
          <w:rFonts w:ascii="CG Times" w:hAnsi="CG Times"/>
          <w:sz w:val="22"/>
          <w:szCs w:val="22"/>
        </w:rPr>
        <w:t>Qeveria Shqiptare (Qeveria</w:t>
      </w:r>
      <w:r w:rsidR="00E52B5A" w:rsidRPr="00B27DA8">
        <w:rPr>
          <w:rStyle w:val="paraChar"/>
          <w:rFonts w:ascii="CG Times" w:hAnsi="CG Times"/>
          <w:sz w:val="22"/>
          <w:szCs w:val="22"/>
        </w:rPr>
        <w:t xml:space="preserve">) u përfaqësua nga </w:t>
      </w:r>
      <w:r w:rsidR="00CD1556" w:rsidRPr="00B27DA8">
        <w:rPr>
          <w:rStyle w:val="paraChar"/>
          <w:rFonts w:ascii="CG Times" w:hAnsi="CG Times"/>
          <w:sz w:val="22"/>
          <w:szCs w:val="22"/>
        </w:rPr>
        <w:t xml:space="preserve">përfaqësuesja ligjore </w:t>
      </w:r>
      <w:r w:rsidR="00E52B5A" w:rsidRPr="00B27DA8">
        <w:rPr>
          <w:rStyle w:val="paraChar"/>
          <w:rFonts w:ascii="CG Times" w:hAnsi="CG Times"/>
          <w:sz w:val="22"/>
          <w:szCs w:val="22"/>
        </w:rPr>
        <w:t>(</w:t>
      </w:r>
      <w:r w:rsidR="00CD1556" w:rsidRPr="00B27DA8">
        <w:rPr>
          <w:rStyle w:val="paraChar"/>
          <w:rFonts w:ascii="CG Times" w:hAnsi="CG Times"/>
          <w:sz w:val="22"/>
          <w:szCs w:val="22"/>
        </w:rPr>
        <w:t>agjentja</w:t>
      </w:r>
      <w:r w:rsidR="00E52B5A" w:rsidRPr="00B27DA8">
        <w:rPr>
          <w:rStyle w:val="paraChar"/>
          <w:rFonts w:ascii="CG Times" w:hAnsi="CG Times"/>
          <w:sz w:val="22"/>
          <w:szCs w:val="22"/>
        </w:rPr>
        <w:t xml:space="preserve">) e tyre e asaj kohe, </w:t>
      </w:r>
      <w:r w:rsidR="00CD1556" w:rsidRPr="00B27DA8">
        <w:rPr>
          <w:rStyle w:val="paraChar"/>
          <w:rFonts w:ascii="CG Times" w:hAnsi="CG Times"/>
          <w:sz w:val="22"/>
          <w:szCs w:val="22"/>
        </w:rPr>
        <w:t>znj</w:t>
      </w:r>
      <w:r w:rsidR="00E52B5A" w:rsidRPr="00B27DA8">
        <w:rPr>
          <w:rStyle w:val="paraChar"/>
          <w:rFonts w:ascii="CG Times" w:hAnsi="CG Times"/>
          <w:sz w:val="22"/>
          <w:szCs w:val="22"/>
        </w:rPr>
        <w:t xml:space="preserve">. E. Hajro dhe më pas nga </w:t>
      </w:r>
      <w:r w:rsidR="00CD1556" w:rsidRPr="00B27DA8">
        <w:rPr>
          <w:rStyle w:val="paraChar"/>
          <w:rFonts w:ascii="CG Times" w:hAnsi="CG Times"/>
          <w:sz w:val="22"/>
          <w:szCs w:val="22"/>
        </w:rPr>
        <w:t>znj</w:t>
      </w:r>
      <w:r w:rsidR="00E52B5A" w:rsidRPr="00B27DA8">
        <w:rPr>
          <w:rStyle w:val="paraChar"/>
          <w:rFonts w:ascii="CG Times" w:hAnsi="CG Times"/>
          <w:sz w:val="22"/>
          <w:szCs w:val="22"/>
        </w:rPr>
        <w:t>. L. Mandia nga Zyra e Avokaturës së Shtetit.</w:t>
      </w:r>
    </w:p>
    <w:p w:rsidR="00E52B5A" w:rsidRPr="00B27DA8" w:rsidRDefault="00E2456F" w:rsidP="00E52B5A">
      <w:pPr>
        <w:pStyle w:val="Paragrafi"/>
        <w:rPr>
          <w:rStyle w:val="paraChar"/>
          <w:rFonts w:ascii="CG Times" w:hAnsi="CG Times"/>
          <w:sz w:val="22"/>
          <w:szCs w:val="22"/>
        </w:rPr>
      </w:pPr>
      <w:r w:rsidRPr="00B27DA8">
        <w:rPr>
          <w:rStyle w:val="paraChar"/>
          <w:rFonts w:ascii="CG Times" w:hAnsi="CG Times"/>
          <w:sz w:val="22"/>
          <w:szCs w:val="22"/>
        </w:rPr>
        <w:t xml:space="preserve">A. </w:t>
      </w:r>
      <w:r w:rsidR="00E52B5A" w:rsidRPr="00B27DA8">
        <w:rPr>
          <w:rStyle w:val="paraChar"/>
          <w:rFonts w:ascii="CG Times" w:hAnsi="CG Times"/>
          <w:sz w:val="22"/>
          <w:szCs w:val="22"/>
        </w:rPr>
        <w:t>Rrethanat e çështjes</w:t>
      </w:r>
    </w:p>
    <w:p w:rsidR="00E52B5A" w:rsidRPr="00B27DA8" w:rsidRDefault="00E2456F" w:rsidP="00E52B5A">
      <w:pPr>
        <w:pStyle w:val="Paragrafi"/>
        <w:rPr>
          <w:rStyle w:val="paraChar"/>
          <w:rFonts w:ascii="CG Times" w:hAnsi="CG Times"/>
          <w:sz w:val="22"/>
          <w:szCs w:val="22"/>
        </w:rPr>
      </w:pPr>
      <w:r w:rsidRPr="00B27DA8">
        <w:rPr>
          <w:rStyle w:val="paraChar"/>
          <w:rFonts w:ascii="CG Times" w:hAnsi="CG Times"/>
          <w:sz w:val="22"/>
          <w:szCs w:val="22"/>
        </w:rPr>
        <w:t xml:space="preserve">3. </w:t>
      </w:r>
      <w:r w:rsidR="00E52B5A" w:rsidRPr="00B27DA8">
        <w:rPr>
          <w:rStyle w:val="paraChar"/>
          <w:rFonts w:ascii="CG Times" w:hAnsi="CG Times"/>
          <w:sz w:val="22"/>
          <w:szCs w:val="22"/>
        </w:rPr>
        <w:t>Faktet e çështjes që paraqiten nga palët mund të përmblidhen si më poshtë.</w:t>
      </w:r>
    </w:p>
    <w:p w:rsidR="00E52B5A" w:rsidRPr="00B27DA8" w:rsidRDefault="00E52B5A" w:rsidP="00E52B5A">
      <w:pPr>
        <w:pStyle w:val="Paragrafi"/>
        <w:rPr>
          <w:rStyle w:val="paraChar"/>
          <w:rFonts w:ascii="CG Times" w:hAnsi="CG Times"/>
          <w:sz w:val="22"/>
          <w:szCs w:val="22"/>
        </w:rPr>
      </w:pPr>
    </w:p>
    <w:p w:rsidR="00E52B5A" w:rsidRPr="004F3203" w:rsidRDefault="00E2456F" w:rsidP="00E52B5A">
      <w:pPr>
        <w:pStyle w:val="Paragrafi"/>
        <w:rPr>
          <w:rStyle w:val="paraChar"/>
          <w:rFonts w:ascii="CG Times" w:hAnsi="CG Times"/>
          <w:i/>
          <w:sz w:val="22"/>
          <w:szCs w:val="22"/>
        </w:rPr>
      </w:pPr>
      <w:r w:rsidRPr="004F3203">
        <w:rPr>
          <w:rStyle w:val="paraChar"/>
          <w:rFonts w:ascii="CG Times" w:hAnsi="CG Times"/>
          <w:i/>
          <w:sz w:val="22"/>
          <w:szCs w:val="22"/>
        </w:rPr>
        <w:t xml:space="preserve">1. </w:t>
      </w:r>
      <w:r w:rsidR="00E52B5A" w:rsidRPr="004F3203">
        <w:rPr>
          <w:rStyle w:val="paraChar"/>
          <w:rFonts w:ascii="CG Times" w:hAnsi="CG Times"/>
          <w:i/>
          <w:sz w:val="22"/>
          <w:szCs w:val="22"/>
        </w:rPr>
        <w:t>Dënimi në mungesë i ankuesit</w:t>
      </w:r>
    </w:p>
    <w:p w:rsidR="00E52B5A" w:rsidRPr="00B27DA8" w:rsidRDefault="00E2456F" w:rsidP="00E52B5A">
      <w:pPr>
        <w:pStyle w:val="Paragrafi"/>
        <w:rPr>
          <w:rStyle w:val="paraChar"/>
          <w:rFonts w:ascii="CG Times" w:hAnsi="CG Times"/>
          <w:sz w:val="22"/>
          <w:szCs w:val="22"/>
        </w:rPr>
      </w:pPr>
      <w:r w:rsidRPr="00B27DA8">
        <w:rPr>
          <w:rStyle w:val="paraChar"/>
          <w:rFonts w:ascii="CG Times" w:hAnsi="CG Times"/>
          <w:sz w:val="22"/>
          <w:szCs w:val="22"/>
        </w:rPr>
        <w:t xml:space="preserve">4. </w:t>
      </w:r>
      <w:r w:rsidR="00E52B5A" w:rsidRPr="00B27DA8">
        <w:rPr>
          <w:rStyle w:val="paraChar"/>
          <w:rFonts w:ascii="CG Times" w:hAnsi="CG Times"/>
          <w:sz w:val="22"/>
          <w:szCs w:val="22"/>
        </w:rPr>
        <w:t>Më 31 teto</w:t>
      </w:r>
      <w:r w:rsidR="00CD1556">
        <w:rPr>
          <w:rStyle w:val="paraChar"/>
          <w:rFonts w:ascii="CG Times" w:hAnsi="CG Times"/>
          <w:sz w:val="22"/>
          <w:szCs w:val="22"/>
        </w:rPr>
        <w:t>r 2005 Gjykata e Rrethit Fier (gjykata e rrethit</w:t>
      </w:r>
      <w:r w:rsidR="00E52B5A" w:rsidRPr="00B27DA8">
        <w:rPr>
          <w:rStyle w:val="paraChar"/>
          <w:rFonts w:ascii="CG Times" w:hAnsi="CG Times"/>
          <w:sz w:val="22"/>
          <w:szCs w:val="22"/>
        </w:rPr>
        <w:t xml:space="preserve">) dënoi ankuesin në mungesë për vepra penale të rënda në lidhje me </w:t>
      </w:r>
      <w:r w:rsidR="00C07417">
        <w:rPr>
          <w:rStyle w:val="paraChar"/>
          <w:rFonts w:ascii="CG Times" w:hAnsi="CG Times"/>
          <w:sz w:val="22"/>
          <w:szCs w:val="22"/>
        </w:rPr>
        <w:t>shfrytëzimin e prostitucionit (n</w:t>
      </w:r>
      <w:r w:rsidR="00E52B5A" w:rsidRPr="00B27DA8">
        <w:rPr>
          <w:rStyle w:val="paraChar"/>
          <w:rFonts w:ascii="CG Times" w:hAnsi="CG Times"/>
          <w:sz w:val="22"/>
          <w:szCs w:val="22"/>
        </w:rPr>
        <w:t>eni 114/a § 4 të Kodit Penal). Ai u dënua me dhjetë vjet burgim dhe gjobë. Ai u përfaqësua nga një avokat (Z.) të caktuar nga familjarët e tij.</w:t>
      </w:r>
    </w:p>
    <w:p w:rsidR="00E52B5A" w:rsidRPr="00B27DA8" w:rsidRDefault="00E2456F" w:rsidP="00E52B5A">
      <w:pPr>
        <w:pStyle w:val="Paragrafi"/>
        <w:rPr>
          <w:rStyle w:val="paraChar"/>
          <w:rFonts w:ascii="CG Times" w:hAnsi="CG Times"/>
          <w:sz w:val="22"/>
          <w:szCs w:val="22"/>
        </w:rPr>
      </w:pPr>
      <w:r w:rsidRPr="00B27DA8">
        <w:rPr>
          <w:rStyle w:val="paraChar"/>
          <w:rFonts w:ascii="CG Times" w:hAnsi="CG Times"/>
          <w:sz w:val="22"/>
          <w:szCs w:val="22"/>
        </w:rPr>
        <w:t xml:space="preserve">5. </w:t>
      </w:r>
      <w:r w:rsidR="00E52B5A" w:rsidRPr="00B27DA8">
        <w:rPr>
          <w:rStyle w:val="paraChar"/>
          <w:rFonts w:ascii="CG Times" w:hAnsi="CG Times"/>
          <w:sz w:val="22"/>
          <w:szCs w:val="22"/>
        </w:rPr>
        <w:t xml:space="preserve">Më 4 prill 2006 dhe </w:t>
      </w:r>
      <w:r w:rsidR="00CD1556">
        <w:rPr>
          <w:rStyle w:val="paraChar"/>
          <w:rFonts w:ascii="CG Times" w:hAnsi="CG Times"/>
          <w:sz w:val="22"/>
          <w:szCs w:val="22"/>
        </w:rPr>
        <w:t>19 shtator 2007, pas apelit të z</w:t>
      </w:r>
      <w:r w:rsidR="00E52B5A" w:rsidRPr="00B27DA8">
        <w:rPr>
          <w:rStyle w:val="paraChar"/>
          <w:rFonts w:ascii="CG Times" w:hAnsi="CG Times"/>
          <w:sz w:val="22"/>
          <w:szCs w:val="22"/>
        </w:rPr>
        <w:t>., dënimi i ankuesit u la në fu</w:t>
      </w:r>
      <w:r w:rsidR="00CD1556">
        <w:rPr>
          <w:rStyle w:val="paraChar"/>
          <w:rFonts w:ascii="CG Times" w:hAnsi="CG Times"/>
          <w:sz w:val="22"/>
          <w:szCs w:val="22"/>
        </w:rPr>
        <w:t>qi nga Gjykata e Apelit Vlorë (gjykata e apelit</w:t>
      </w:r>
      <w:r w:rsidR="00E52B5A" w:rsidRPr="00B27DA8">
        <w:rPr>
          <w:rStyle w:val="paraChar"/>
          <w:rFonts w:ascii="CG Times" w:hAnsi="CG Times"/>
          <w:sz w:val="22"/>
          <w:szCs w:val="22"/>
        </w:rPr>
        <w:t>) dhe më vonë nga Gjykata e Lartë.</w:t>
      </w:r>
    </w:p>
    <w:p w:rsidR="00E52B5A" w:rsidRPr="00B27DA8" w:rsidRDefault="00E2456F" w:rsidP="00E52B5A">
      <w:pPr>
        <w:pStyle w:val="Paragrafi"/>
        <w:rPr>
          <w:rStyle w:val="paraChar"/>
          <w:rFonts w:ascii="CG Times" w:hAnsi="CG Times"/>
          <w:sz w:val="22"/>
          <w:szCs w:val="22"/>
        </w:rPr>
      </w:pPr>
      <w:r w:rsidRPr="00B27DA8">
        <w:rPr>
          <w:rStyle w:val="paraChar"/>
          <w:rFonts w:ascii="CG Times" w:hAnsi="CG Times"/>
          <w:sz w:val="22"/>
          <w:szCs w:val="22"/>
        </w:rPr>
        <w:t xml:space="preserve">6. </w:t>
      </w:r>
      <w:r w:rsidR="00E52B5A" w:rsidRPr="00B27DA8">
        <w:rPr>
          <w:rStyle w:val="paraChar"/>
          <w:rFonts w:ascii="CG Times" w:hAnsi="CG Times"/>
          <w:sz w:val="22"/>
          <w:szCs w:val="22"/>
        </w:rPr>
        <w:t>Më 23 tetor 2007 ankuesi u arrestua në Këln nga policia gjermane në bazë të një urdhri arresti shqiptar. Më 21 nëntor 2007 autoritetet shqiptare kërkuan ekstradimin e tij.</w:t>
      </w:r>
    </w:p>
    <w:p w:rsidR="00E52B5A" w:rsidRPr="00B27DA8" w:rsidRDefault="00E2456F" w:rsidP="00E52B5A">
      <w:pPr>
        <w:pStyle w:val="Paragrafi"/>
        <w:rPr>
          <w:rStyle w:val="paraChar"/>
          <w:rFonts w:ascii="CG Times" w:hAnsi="CG Times"/>
          <w:sz w:val="22"/>
          <w:szCs w:val="22"/>
        </w:rPr>
      </w:pPr>
      <w:r w:rsidRPr="00B27DA8">
        <w:rPr>
          <w:rStyle w:val="paraChar"/>
          <w:rFonts w:ascii="CG Times" w:hAnsi="CG Times"/>
          <w:sz w:val="22"/>
          <w:szCs w:val="22"/>
        </w:rPr>
        <w:t xml:space="preserve">7. </w:t>
      </w:r>
      <w:r w:rsidR="00E52B5A" w:rsidRPr="00B27DA8">
        <w:rPr>
          <w:rStyle w:val="paraChar"/>
          <w:rFonts w:ascii="CG Times" w:hAnsi="CG Times"/>
          <w:sz w:val="22"/>
          <w:szCs w:val="22"/>
        </w:rPr>
        <w:t>Gjatë procedurave të ekstradimit, Gjykata e Apelit e Këlnit i kërkoi autoriteteve shqiptare të jepnin një garanci se ankuesi do të rigjykohej nëse do të zhvillohej ekstradimi.</w:t>
      </w:r>
    </w:p>
    <w:p w:rsidR="00E52B5A" w:rsidRPr="00B27DA8" w:rsidRDefault="00E2456F" w:rsidP="00E52B5A">
      <w:pPr>
        <w:pStyle w:val="Paragrafi"/>
        <w:rPr>
          <w:rStyle w:val="paraChar"/>
          <w:rFonts w:ascii="CG Times" w:hAnsi="CG Times"/>
          <w:sz w:val="22"/>
          <w:szCs w:val="22"/>
        </w:rPr>
      </w:pPr>
      <w:r w:rsidRPr="00B27DA8">
        <w:rPr>
          <w:rStyle w:val="paraChar"/>
          <w:rFonts w:ascii="CG Times" w:hAnsi="CG Times"/>
          <w:sz w:val="22"/>
          <w:szCs w:val="22"/>
        </w:rPr>
        <w:t xml:space="preserve">8. </w:t>
      </w:r>
      <w:r w:rsidR="00E52B5A" w:rsidRPr="00B27DA8">
        <w:rPr>
          <w:rStyle w:val="paraChar"/>
          <w:rFonts w:ascii="CG Times" w:hAnsi="CG Times"/>
          <w:sz w:val="22"/>
          <w:szCs w:val="22"/>
        </w:rPr>
        <w:t>Më 25 janar 2008 M</w:t>
      </w:r>
      <w:r w:rsidR="00CD1556">
        <w:rPr>
          <w:rStyle w:val="paraChar"/>
          <w:rFonts w:ascii="CG Times" w:hAnsi="CG Times"/>
          <w:sz w:val="22"/>
          <w:szCs w:val="22"/>
        </w:rPr>
        <w:t>inistri shqiptar i Drejtësisë (Ministri</w:t>
      </w:r>
      <w:r w:rsidR="00E52B5A" w:rsidRPr="00B27DA8">
        <w:rPr>
          <w:rStyle w:val="paraChar"/>
          <w:rFonts w:ascii="CG Times" w:hAnsi="CG Times"/>
          <w:sz w:val="22"/>
          <w:szCs w:val="22"/>
        </w:rPr>
        <w:t>) informoi autoritetet gjermane se ankuesi mund të depozitonte një kërkesë për rivendosje në afat. Pjesët përkatëse të shkresës së Ministrit kanë tekstin e mëposhtëm:</w:t>
      </w:r>
    </w:p>
    <w:p w:rsidR="004F3203" w:rsidRDefault="004F3203" w:rsidP="00E52B5A">
      <w:pPr>
        <w:pStyle w:val="Paragrafi"/>
        <w:rPr>
          <w:rStyle w:val="paraChar"/>
          <w:rFonts w:ascii="CG Times" w:hAnsi="CG Times"/>
          <w:sz w:val="22"/>
          <w:szCs w:val="22"/>
        </w:rPr>
      </w:pPr>
    </w:p>
    <w:p w:rsidR="004F3203" w:rsidRDefault="004F3203" w:rsidP="00E52B5A">
      <w:pPr>
        <w:pStyle w:val="Paragrafi"/>
        <w:rPr>
          <w:rStyle w:val="paraChar"/>
          <w:rFonts w:ascii="CG Times" w:hAnsi="CG Times"/>
          <w:sz w:val="22"/>
          <w:szCs w:val="22"/>
        </w:rPr>
      </w:pPr>
    </w:p>
    <w:p w:rsidR="004F3203" w:rsidRDefault="004F3203" w:rsidP="00E52B5A">
      <w:pPr>
        <w:pStyle w:val="Paragrafi"/>
        <w:rPr>
          <w:rStyle w:val="paraChar"/>
          <w:rFonts w:ascii="CG Times" w:hAnsi="CG Times"/>
          <w:sz w:val="22"/>
          <w:szCs w:val="22"/>
        </w:rPr>
      </w:pP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“Duke iu referuar kërkesës së bërë në lidhje me një të drejtë për rigjykim në emër të Petrit Sulejmani për shkak të gjykimit të tij në mu</w:t>
      </w:r>
      <w:r w:rsidR="0073209D">
        <w:rPr>
          <w:rStyle w:val="paraChar"/>
          <w:rFonts w:ascii="CG Times" w:hAnsi="CG Times"/>
          <w:sz w:val="22"/>
          <w:szCs w:val="22"/>
        </w:rPr>
        <w:t>ngesë, me anë të kësaj shkrese j</w:t>
      </w:r>
      <w:r w:rsidRPr="00B27DA8">
        <w:rPr>
          <w:rStyle w:val="paraChar"/>
          <w:rFonts w:ascii="CG Times" w:hAnsi="CG Times"/>
          <w:sz w:val="22"/>
          <w:szCs w:val="22"/>
        </w:rPr>
        <w:t xml:space="preserve">u informoj se personi në </w:t>
      </w:r>
      <w:r w:rsidRPr="00B27DA8">
        <w:rPr>
          <w:rStyle w:val="paraChar"/>
          <w:rFonts w:ascii="CG Times" w:hAnsi="CG Times"/>
          <w:sz w:val="22"/>
          <w:szCs w:val="22"/>
        </w:rPr>
        <w:lastRenderedPageBreak/>
        <w:t>fjalë mund të ushtrojë efektivisht të drejtën e tij për ri</w:t>
      </w:r>
      <w:r w:rsidR="0073209D">
        <w:rPr>
          <w:rStyle w:val="paraChar"/>
          <w:rFonts w:ascii="CG Times" w:hAnsi="CG Times"/>
          <w:sz w:val="22"/>
          <w:szCs w:val="22"/>
        </w:rPr>
        <w:t>vendosje në afat, në pajtim me n</w:t>
      </w:r>
      <w:r w:rsidRPr="00B27DA8">
        <w:rPr>
          <w:rStyle w:val="paraChar"/>
          <w:rFonts w:ascii="CG Times" w:hAnsi="CG Times"/>
          <w:sz w:val="22"/>
          <w:szCs w:val="22"/>
        </w:rPr>
        <w:t>enin 147 § 3 të Kodit të Procedurës Penale brenda dhjetë ditësh nga dorëzimi i tij në Shqipëri.”</w:t>
      </w:r>
    </w:p>
    <w:p w:rsidR="00E52B5A" w:rsidRPr="00B27DA8" w:rsidRDefault="00E2456F" w:rsidP="00E52B5A">
      <w:pPr>
        <w:pStyle w:val="Paragrafi"/>
        <w:rPr>
          <w:rStyle w:val="paraChar"/>
          <w:rFonts w:ascii="CG Times" w:hAnsi="CG Times"/>
          <w:sz w:val="22"/>
          <w:szCs w:val="22"/>
        </w:rPr>
      </w:pPr>
      <w:r w:rsidRPr="00B27DA8">
        <w:rPr>
          <w:rStyle w:val="paraChar"/>
          <w:rFonts w:ascii="CG Times" w:hAnsi="CG Times"/>
          <w:sz w:val="22"/>
          <w:szCs w:val="22"/>
        </w:rPr>
        <w:t xml:space="preserve">9. </w:t>
      </w:r>
      <w:r w:rsidR="00E52B5A" w:rsidRPr="00B27DA8">
        <w:rPr>
          <w:rStyle w:val="paraChar"/>
          <w:rFonts w:ascii="CG Times" w:hAnsi="CG Times"/>
          <w:sz w:val="22"/>
          <w:szCs w:val="22"/>
        </w:rPr>
        <w:t>Mbi bazën e kësaj garancie, ankuesi u dorëzua pranë autoriteteve shqiptare më 17 mars 2008.</w:t>
      </w:r>
    </w:p>
    <w:p w:rsidR="00E52B5A" w:rsidRPr="004F3203" w:rsidRDefault="00E52B5A" w:rsidP="00E52B5A">
      <w:pPr>
        <w:pStyle w:val="Paragrafi"/>
        <w:rPr>
          <w:rStyle w:val="paraChar"/>
          <w:rFonts w:ascii="CG Times" w:hAnsi="CG Times"/>
          <w:i/>
          <w:sz w:val="22"/>
          <w:szCs w:val="22"/>
        </w:rPr>
      </w:pPr>
    </w:p>
    <w:p w:rsidR="00E52B5A" w:rsidRPr="004F3203" w:rsidRDefault="00E2456F" w:rsidP="00E52B5A">
      <w:pPr>
        <w:pStyle w:val="Paragrafi"/>
        <w:rPr>
          <w:rStyle w:val="paraChar"/>
          <w:rFonts w:ascii="CG Times" w:hAnsi="CG Times"/>
          <w:i/>
          <w:sz w:val="22"/>
          <w:szCs w:val="22"/>
        </w:rPr>
      </w:pPr>
      <w:r w:rsidRPr="004F3203">
        <w:rPr>
          <w:rStyle w:val="paraChar"/>
          <w:rFonts w:ascii="CG Times" w:hAnsi="CG Times"/>
          <w:i/>
          <w:sz w:val="22"/>
          <w:szCs w:val="22"/>
        </w:rPr>
        <w:t xml:space="preserve">2. </w:t>
      </w:r>
      <w:r w:rsidR="00E52B5A" w:rsidRPr="004F3203">
        <w:rPr>
          <w:rStyle w:val="paraChar"/>
          <w:rFonts w:ascii="CG Times" w:hAnsi="CG Times"/>
          <w:i/>
          <w:sz w:val="22"/>
          <w:szCs w:val="22"/>
        </w:rPr>
        <w:t>Kërkesa e ankuesit për rivendosje në afat</w:t>
      </w:r>
    </w:p>
    <w:p w:rsidR="00E52B5A" w:rsidRPr="00B27DA8" w:rsidRDefault="00E2456F" w:rsidP="00E52B5A">
      <w:pPr>
        <w:pStyle w:val="Paragrafi"/>
        <w:rPr>
          <w:rStyle w:val="paraChar"/>
          <w:rFonts w:ascii="CG Times" w:hAnsi="CG Times"/>
          <w:sz w:val="22"/>
          <w:szCs w:val="22"/>
        </w:rPr>
      </w:pPr>
      <w:r w:rsidRPr="00B27DA8">
        <w:rPr>
          <w:rStyle w:val="paraChar"/>
          <w:rFonts w:ascii="CG Times" w:hAnsi="CG Times"/>
          <w:sz w:val="22"/>
          <w:szCs w:val="22"/>
        </w:rPr>
        <w:t xml:space="preserve">10. </w:t>
      </w:r>
      <w:r w:rsidR="00E52B5A" w:rsidRPr="00B27DA8">
        <w:rPr>
          <w:rStyle w:val="paraChar"/>
          <w:rFonts w:ascii="CG Times" w:hAnsi="CG Times"/>
          <w:sz w:val="22"/>
          <w:szCs w:val="22"/>
        </w:rPr>
        <w:t xml:space="preserve">Më 24 mars 2008 ankuesi paraqiti një kërkesë për rivendosje në afat kundër dënimit të tij. Më 22 prill 2008 </w:t>
      </w:r>
      <w:r w:rsidR="0073209D" w:rsidRPr="00B27DA8">
        <w:rPr>
          <w:rStyle w:val="paraChar"/>
          <w:rFonts w:ascii="CG Times" w:hAnsi="CG Times"/>
          <w:sz w:val="22"/>
          <w:szCs w:val="22"/>
        </w:rPr>
        <w:t xml:space="preserve">gjykata e rrethit </w:t>
      </w:r>
      <w:r w:rsidR="00E52B5A" w:rsidRPr="00B27DA8">
        <w:rPr>
          <w:rStyle w:val="paraChar"/>
          <w:rFonts w:ascii="CG Times" w:hAnsi="CG Times"/>
          <w:sz w:val="22"/>
          <w:szCs w:val="22"/>
        </w:rPr>
        <w:t xml:space="preserve">rrëzoi kërkesën për shkak se vendimi i dënimit të tij në mungesë kishte marrë formë të prerë dhe kishte marrë fuqinë e </w:t>
      </w:r>
      <w:r w:rsidR="00E52B5A" w:rsidRPr="0073209D">
        <w:rPr>
          <w:rStyle w:val="paraChar"/>
          <w:rFonts w:ascii="CG Times" w:hAnsi="CG Times"/>
          <w:i/>
          <w:sz w:val="22"/>
          <w:szCs w:val="22"/>
        </w:rPr>
        <w:t>res judicata</w:t>
      </w:r>
      <w:r w:rsidR="00E52B5A" w:rsidRPr="00B27DA8">
        <w:rPr>
          <w:rStyle w:val="paraChar"/>
          <w:rFonts w:ascii="CG Times" w:hAnsi="CG Times"/>
          <w:sz w:val="22"/>
          <w:szCs w:val="22"/>
        </w:rPr>
        <w:t xml:space="preserve">. Ajo konstatoi se ankuesi kishte ushtruar efektivisht të drejtën e tij për apel, meqë përfaqësuesi i tij i caktuar nga familjarët e ankuesit kishte apeluar kundër vendimit të datës 31 tetor 2005. </w:t>
      </w:r>
    </w:p>
    <w:p w:rsidR="00E52B5A" w:rsidRPr="00B27DA8" w:rsidRDefault="00E2456F" w:rsidP="00E52B5A">
      <w:pPr>
        <w:pStyle w:val="Paragrafi"/>
        <w:rPr>
          <w:rStyle w:val="paraChar"/>
          <w:rFonts w:ascii="CG Times" w:hAnsi="CG Times"/>
          <w:sz w:val="22"/>
          <w:szCs w:val="22"/>
        </w:rPr>
      </w:pPr>
      <w:r w:rsidRPr="00B27DA8">
        <w:rPr>
          <w:rStyle w:val="paraChar"/>
          <w:rFonts w:ascii="CG Times" w:hAnsi="CG Times"/>
          <w:sz w:val="22"/>
          <w:szCs w:val="22"/>
        </w:rPr>
        <w:t xml:space="preserve">11. </w:t>
      </w:r>
      <w:r w:rsidR="00E52B5A" w:rsidRPr="00B27DA8">
        <w:rPr>
          <w:rStyle w:val="paraChar"/>
          <w:rFonts w:ascii="CG Times" w:hAnsi="CG Times"/>
          <w:sz w:val="22"/>
          <w:szCs w:val="22"/>
        </w:rPr>
        <w:t xml:space="preserve">Më 11 nëntor 2008, 19 janar dhe 8 tetor 2009 apeli i ankuesit u rrëzua përkatësisht nga </w:t>
      </w:r>
      <w:r w:rsidR="0073209D" w:rsidRPr="00B27DA8">
        <w:rPr>
          <w:rStyle w:val="paraChar"/>
          <w:rFonts w:ascii="CG Times" w:hAnsi="CG Times"/>
          <w:sz w:val="22"/>
          <w:szCs w:val="22"/>
        </w:rPr>
        <w:t>gjykata e apelit</w:t>
      </w:r>
      <w:r w:rsidR="00E52B5A" w:rsidRPr="00B27DA8">
        <w:rPr>
          <w:rStyle w:val="paraChar"/>
          <w:rFonts w:ascii="CG Times" w:hAnsi="CG Times"/>
          <w:sz w:val="22"/>
          <w:szCs w:val="22"/>
        </w:rPr>
        <w:t>, nga Gjykata e Lartë dhe nga Gjykata Kushtetuese</w:t>
      </w:r>
    </w:p>
    <w:p w:rsidR="004F3203" w:rsidRDefault="004F3203" w:rsidP="00E52B5A">
      <w:pPr>
        <w:pStyle w:val="Paragrafi"/>
        <w:rPr>
          <w:rStyle w:val="paraChar"/>
          <w:rFonts w:ascii="CG Times" w:hAnsi="CG Times"/>
          <w:sz w:val="22"/>
          <w:szCs w:val="22"/>
        </w:rPr>
      </w:pPr>
    </w:p>
    <w:p w:rsidR="00E52B5A" w:rsidRPr="00B27DA8" w:rsidRDefault="00E2456F" w:rsidP="00E52B5A">
      <w:pPr>
        <w:pStyle w:val="Paragrafi"/>
        <w:rPr>
          <w:rStyle w:val="paraChar"/>
          <w:rFonts w:ascii="CG Times" w:hAnsi="CG Times"/>
          <w:sz w:val="22"/>
          <w:szCs w:val="22"/>
        </w:rPr>
      </w:pPr>
      <w:r w:rsidRPr="00B27DA8">
        <w:rPr>
          <w:rStyle w:val="paraChar"/>
          <w:rFonts w:ascii="CG Times" w:hAnsi="CG Times"/>
          <w:sz w:val="22"/>
          <w:szCs w:val="22"/>
        </w:rPr>
        <w:t xml:space="preserve">B. </w:t>
      </w:r>
      <w:r w:rsidR="00E52B5A" w:rsidRPr="00B27DA8">
        <w:rPr>
          <w:rStyle w:val="paraChar"/>
          <w:rFonts w:ascii="CG Times" w:hAnsi="CG Times"/>
          <w:sz w:val="22"/>
          <w:szCs w:val="22"/>
        </w:rPr>
        <w:t>Ligji dhe praktika e brendshme përkatëse</w:t>
      </w:r>
    </w:p>
    <w:p w:rsidR="00E52B5A" w:rsidRPr="004F3203" w:rsidRDefault="00522A74" w:rsidP="00E52B5A">
      <w:pPr>
        <w:pStyle w:val="Paragrafi"/>
        <w:rPr>
          <w:rStyle w:val="paraChar"/>
          <w:rFonts w:ascii="CG Times" w:hAnsi="CG Times"/>
          <w:i/>
          <w:sz w:val="22"/>
          <w:szCs w:val="22"/>
        </w:rPr>
      </w:pPr>
      <w:r w:rsidRPr="004F3203">
        <w:rPr>
          <w:rStyle w:val="paraChar"/>
          <w:rFonts w:ascii="CG Times" w:hAnsi="CG Times"/>
          <w:i/>
          <w:sz w:val="22"/>
          <w:szCs w:val="22"/>
        </w:rPr>
        <w:t xml:space="preserve">1. </w:t>
      </w:r>
      <w:r w:rsidR="00E52B5A" w:rsidRPr="004F3203">
        <w:rPr>
          <w:rStyle w:val="paraChar"/>
          <w:rFonts w:ascii="CG Times" w:hAnsi="CG Times"/>
          <w:i/>
          <w:sz w:val="22"/>
          <w:szCs w:val="22"/>
        </w:rPr>
        <w:t>Kodi i Procedurës Penale (KPP)</w:t>
      </w:r>
    </w:p>
    <w:p w:rsidR="004F3203" w:rsidRDefault="004F3203" w:rsidP="00E52B5A">
      <w:pPr>
        <w:pStyle w:val="Paragrafi"/>
        <w:rPr>
          <w:rStyle w:val="paraChar"/>
          <w:rFonts w:ascii="CG Times" w:hAnsi="CG Times"/>
          <w:sz w:val="22"/>
          <w:szCs w:val="22"/>
        </w:rPr>
      </w:pPr>
    </w:p>
    <w:p w:rsidR="00E52B5A" w:rsidRPr="00B27DA8" w:rsidRDefault="00522A74" w:rsidP="00E52B5A">
      <w:pPr>
        <w:pStyle w:val="Paragrafi"/>
        <w:rPr>
          <w:rStyle w:val="paraChar"/>
          <w:rFonts w:ascii="CG Times" w:hAnsi="CG Times"/>
          <w:sz w:val="22"/>
          <w:szCs w:val="22"/>
        </w:rPr>
      </w:pPr>
      <w:r w:rsidRPr="00B27DA8">
        <w:rPr>
          <w:rStyle w:val="paraChar"/>
          <w:rFonts w:ascii="CG Times" w:hAnsi="CG Times"/>
          <w:sz w:val="22"/>
          <w:szCs w:val="22"/>
        </w:rPr>
        <w:t xml:space="preserve">12. </w:t>
      </w:r>
      <w:r w:rsidR="00E52B5A" w:rsidRPr="00B27DA8">
        <w:rPr>
          <w:rStyle w:val="paraChar"/>
          <w:rFonts w:ascii="CG Times" w:hAnsi="CG Times"/>
          <w:sz w:val="22"/>
          <w:szCs w:val="22"/>
        </w:rPr>
        <w:t>Dispozitat përkatëse të KPP në lidhje me një kërkesë për rivendosje në afat janë si më poshtë:</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Neni 48- Avokati mbrojtës i caktuar nga i pandehuri</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 xml:space="preserve">“1.  </w:t>
      </w:r>
      <w:r w:rsidR="00522A74" w:rsidRPr="00B27DA8">
        <w:rPr>
          <w:rStyle w:val="paraChar"/>
          <w:rFonts w:ascii="CG Times" w:hAnsi="CG Times"/>
          <w:sz w:val="22"/>
          <w:szCs w:val="22"/>
        </w:rPr>
        <w:t xml:space="preserve"> </w:t>
      </w:r>
      <w:r w:rsidRPr="00B27DA8">
        <w:rPr>
          <w:rStyle w:val="paraChar"/>
          <w:rFonts w:ascii="CG Times" w:hAnsi="CG Times"/>
          <w:sz w:val="22"/>
          <w:szCs w:val="22"/>
        </w:rPr>
        <w:t>I pandehuri ka të drejtë të zgjedhë jo më shumë se dy mbrojtës.</w:t>
      </w:r>
    </w:p>
    <w:p w:rsidR="00E52B5A" w:rsidRPr="00B27DA8" w:rsidRDefault="00522A74" w:rsidP="00E52B5A">
      <w:pPr>
        <w:pStyle w:val="Paragrafi"/>
        <w:rPr>
          <w:rStyle w:val="paraChar"/>
          <w:rFonts w:ascii="CG Times" w:hAnsi="CG Times"/>
          <w:sz w:val="22"/>
          <w:szCs w:val="22"/>
        </w:rPr>
      </w:pPr>
      <w:r w:rsidRPr="00B27DA8">
        <w:rPr>
          <w:rStyle w:val="paraChar"/>
          <w:rFonts w:ascii="CG Times" w:hAnsi="CG Times"/>
          <w:sz w:val="22"/>
          <w:szCs w:val="22"/>
        </w:rPr>
        <w:t xml:space="preserve">2. </w:t>
      </w:r>
      <w:r w:rsidR="00E52B5A" w:rsidRPr="00B27DA8">
        <w:rPr>
          <w:rStyle w:val="paraChar"/>
          <w:rFonts w:ascii="CG Times" w:hAnsi="CG Times"/>
          <w:sz w:val="22"/>
          <w:szCs w:val="22"/>
        </w:rPr>
        <w:t>Zgjedhja bëhet me deklarim të bërë para organit procedues ose me akt të dhënë mbrojtësit ose të dërguar atij rekomande.</w:t>
      </w:r>
    </w:p>
    <w:p w:rsidR="00E52B5A" w:rsidRPr="00B27DA8" w:rsidRDefault="00522A74" w:rsidP="00E52B5A">
      <w:pPr>
        <w:pStyle w:val="Paragrafi"/>
        <w:rPr>
          <w:rStyle w:val="paraChar"/>
          <w:rFonts w:ascii="CG Times" w:hAnsi="CG Times"/>
          <w:sz w:val="22"/>
          <w:szCs w:val="22"/>
        </w:rPr>
      </w:pPr>
      <w:r w:rsidRPr="00B27DA8">
        <w:rPr>
          <w:rStyle w:val="paraChar"/>
          <w:rFonts w:ascii="CG Times" w:hAnsi="CG Times"/>
          <w:sz w:val="22"/>
          <w:szCs w:val="22"/>
        </w:rPr>
        <w:t xml:space="preserve">3. </w:t>
      </w:r>
      <w:r w:rsidR="00E52B5A" w:rsidRPr="00B27DA8">
        <w:rPr>
          <w:rStyle w:val="paraChar"/>
          <w:rFonts w:ascii="CG Times" w:hAnsi="CG Times"/>
          <w:sz w:val="22"/>
          <w:szCs w:val="22"/>
        </w:rPr>
        <w:t>Zgjedhja e mbrojtësit për personin e ndaluar, të arrestuar ose të dënuar me burgim, derisa ky person nuk e ka bërë vetë zgjedhjen, mund të bëhet nga një i afërm i tij, në format e parashikuara nga paragrafi 2.”</w:t>
      </w:r>
    </w:p>
    <w:p w:rsidR="00E52B5A" w:rsidRPr="00B27DA8" w:rsidRDefault="00E52B5A" w:rsidP="00E52B5A">
      <w:pPr>
        <w:pStyle w:val="Paragrafi"/>
        <w:rPr>
          <w:rStyle w:val="paraChar"/>
          <w:rFonts w:ascii="CG Times" w:hAnsi="CG Times"/>
          <w:sz w:val="22"/>
          <w:szCs w:val="22"/>
        </w:rPr>
      </w:pP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Neni 147-Rivendosja në afat</w:t>
      </w:r>
    </w:p>
    <w:p w:rsidR="00E52B5A" w:rsidRPr="00B27DA8" w:rsidRDefault="00522A74" w:rsidP="00E52B5A">
      <w:pPr>
        <w:pStyle w:val="Paragrafi"/>
        <w:rPr>
          <w:rStyle w:val="paraChar"/>
          <w:rFonts w:ascii="CG Times" w:hAnsi="CG Times"/>
          <w:sz w:val="22"/>
          <w:szCs w:val="22"/>
        </w:rPr>
      </w:pPr>
      <w:r w:rsidRPr="00B27DA8">
        <w:rPr>
          <w:rStyle w:val="paraChar"/>
          <w:rFonts w:ascii="CG Times" w:hAnsi="CG Times"/>
          <w:sz w:val="22"/>
          <w:szCs w:val="22"/>
        </w:rPr>
        <w:t>“1. Prokurori, i</w:t>
      </w:r>
      <w:r w:rsidR="00E52B5A" w:rsidRPr="00B27DA8">
        <w:rPr>
          <w:rStyle w:val="paraChar"/>
          <w:rFonts w:ascii="CG Times" w:hAnsi="CG Times"/>
          <w:sz w:val="22"/>
          <w:szCs w:val="22"/>
        </w:rPr>
        <w:t xml:space="preserve"> pandehuri, palët private dhe mbrojtësit rivendosen në afatin e caktuar kur provojnë se nuk kanë patur mundësi ta respektojnë afatin për shkak të rastit fator ose të forcës madhore.</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2. Në qoftë se është dhënë vendimi në mungesë</w:t>
      </w:r>
      <w:r w:rsidR="00522A74" w:rsidRPr="00B27DA8">
        <w:rPr>
          <w:rStyle w:val="paraChar"/>
          <w:rFonts w:ascii="CG Times" w:hAnsi="CG Times"/>
          <w:sz w:val="22"/>
          <w:szCs w:val="22"/>
        </w:rPr>
        <w:t>, i</w:t>
      </w:r>
      <w:r w:rsidRPr="00B27DA8">
        <w:rPr>
          <w:rStyle w:val="paraChar"/>
          <w:rFonts w:ascii="CG Times" w:hAnsi="CG Times"/>
          <w:sz w:val="22"/>
          <w:szCs w:val="22"/>
        </w:rPr>
        <w:t xml:space="preserve"> pandehuri mund të kërkojë rivendosjen në afat për të bërë ankim kur provon se nuk ka marrë dijeni për vendimin.</w:t>
      </w:r>
    </w:p>
    <w:p w:rsidR="00E52B5A" w:rsidRPr="00B27DA8" w:rsidRDefault="00522A74" w:rsidP="00E52B5A">
      <w:pPr>
        <w:pStyle w:val="Paragrafi"/>
        <w:rPr>
          <w:rStyle w:val="paraChar"/>
          <w:rFonts w:ascii="CG Times" w:hAnsi="CG Times"/>
          <w:sz w:val="22"/>
          <w:szCs w:val="22"/>
        </w:rPr>
      </w:pPr>
      <w:r w:rsidRPr="00B27DA8">
        <w:rPr>
          <w:rStyle w:val="paraChar"/>
          <w:rFonts w:ascii="CG Times" w:hAnsi="CG Times"/>
          <w:sz w:val="22"/>
          <w:szCs w:val="22"/>
        </w:rPr>
        <w:t xml:space="preserve">3. </w:t>
      </w:r>
      <w:r w:rsidR="00E52B5A" w:rsidRPr="00B27DA8">
        <w:rPr>
          <w:rStyle w:val="paraChar"/>
          <w:rFonts w:ascii="CG Times" w:hAnsi="CG Times"/>
          <w:sz w:val="22"/>
          <w:szCs w:val="22"/>
        </w:rPr>
        <w:t>Kërkesa për rivendosjen në afat paraqitet brenda dhjetë ditëve nga zhdukja e faktit që përbënte rast ose forcë madhore [në lidhje me paragrafin 1] dhe në lidhje me paragrafin 2 [brenda dhjetë ditëve] nga dita kur i pandehuri ka marrë dijeni efektivisht për vendimin. (…)</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 xml:space="preserve">5. Vendimi që lejon rivendosjen në afat për bërjen e ankimit mund të ankimohet vetëm bashkë me vendimin mbi themelin e çështjes. </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6. Kundër vendimit që refuzon kërkesën për rivendosje në afat mund të bëhet ankim në gjykatën e apelit”.</w:t>
      </w:r>
    </w:p>
    <w:p w:rsidR="00E52B5A" w:rsidRPr="00B27DA8" w:rsidRDefault="00E52B5A" w:rsidP="00E52B5A">
      <w:pPr>
        <w:pStyle w:val="Paragrafi"/>
        <w:rPr>
          <w:rStyle w:val="paraChar"/>
          <w:rFonts w:ascii="CG Times" w:hAnsi="CG Times"/>
          <w:sz w:val="22"/>
          <w:szCs w:val="22"/>
        </w:rPr>
      </w:pP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 xml:space="preserve">Neni 410- Ankimi i të pandehurit </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 xml:space="preserve">2. Kundër vendimit të dhënë në mungesë, mbrojtësi mund të bëjë ankim vetëm kur  është I pajisur me një akt përfaqësimi të lëshuar në format e parashikuara nga ligji. </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w:t>
      </w:r>
    </w:p>
    <w:p w:rsidR="00E52B5A" w:rsidRPr="00B27DA8" w:rsidRDefault="00E52B5A" w:rsidP="00E52B5A">
      <w:pPr>
        <w:pStyle w:val="Paragrafi"/>
        <w:rPr>
          <w:rStyle w:val="paraChar"/>
          <w:rFonts w:ascii="CG Times" w:hAnsi="CG Times"/>
          <w:sz w:val="22"/>
          <w:szCs w:val="22"/>
        </w:rPr>
      </w:pPr>
    </w:p>
    <w:p w:rsidR="00E52B5A" w:rsidRPr="004F3203" w:rsidRDefault="00E52B5A" w:rsidP="00E52B5A">
      <w:pPr>
        <w:pStyle w:val="Paragrafi"/>
        <w:rPr>
          <w:rStyle w:val="paraChar"/>
          <w:rFonts w:ascii="CG Times" w:hAnsi="CG Times"/>
          <w:i/>
          <w:sz w:val="22"/>
          <w:szCs w:val="22"/>
        </w:rPr>
      </w:pPr>
      <w:r w:rsidRPr="004F3203">
        <w:rPr>
          <w:rStyle w:val="paraChar"/>
          <w:rFonts w:ascii="CG Times" w:hAnsi="CG Times"/>
          <w:i/>
          <w:sz w:val="22"/>
          <w:szCs w:val="22"/>
        </w:rPr>
        <w:t>2. Praktika e gjykatave të brendshme në lidhje me procedimet në mungesë</w:t>
      </w:r>
    </w:p>
    <w:p w:rsidR="00E52B5A" w:rsidRPr="00B27DA8" w:rsidRDefault="00E52B5A" w:rsidP="00E52B5A">
      <w:pPr>
        <w:pStyle w:val="Paragrafi"/>
        <w:rPr>
          <w:rStyle w:val="paraChar"/>
          <w:rFonts w:ascii="CG Times" w:hAnsi="CG Times"/>
          <w:sz w:val="22"/>
          <w:szCs w:val="22"/>
        </w:rPr>
      </w:pP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lastRenderedPageBreak/>
        <w:t>13</w:t>
      </w:r>
      <w:r w:rsidR="0073209D">
        <w:rPr>
          <w:rStyle w:val="paraChar"/>
          <w:rFonts w:ascii="CG Times" w:hAnsi="CG Times"/>
          <w:sz w:val="22"/>
          <w:szCs w:val="22"/>
        </w:rPr>
        <w:t>. Në vendimin e tyre unifikues n</w:t>
      </w:r>
      <w:r w:rsidRPr="00B27DA8">
        <w:rPr>
          <w:rStyle w:val="paraChar"/>
          <w:rFonts w:ascii="CG Times" w:hAnsi="CG Times"/>
          <w:sz w:val="22"/>
          <w:szCs w:val="22"/>
        </w:rPr>
        <w:t xml:space="preserve">r. 2 të datës 14 tetor 2002, Kolegjet e Bashkuara të Gjykatës së  Lartë vendosën se duke marrë parasysh karakterin e saj rreptësisht personal, një kërkesë për rivendosje në afat duhet të depozitohet vetëm nga i pandehuri ose avokati i caktuar prej tij, brenda dhjetë ditësh nga data në të cilën i pandehuri është informuar efektivisht për vendimin e dhënë në mungesë të tij. Kjo e drejtë nuk mund të ushtrohej nga familjarët e të pandehurit, nëse i pandehuri nuk ishte efektivisht në dijeni të vendimit në mungesë. Kërkesa për rivendosje në afat duhet të shqyrtohet nga </w:t>
      </w:r>
      <w:r w:rsidR="00C07417" w:rsidRPr="00B27DA8">
        <w:rPr>
          <w:rStyle w:val="paraChar"/>
          <w:rFonts w:ascii="CG Times" w:hAnsi="CG Times"/>
          <w:sz w:val="22"/>
          <w:szCs w:val="22"/>
        </w:rPr>
        <w:t xml:space="preserve">gjykata e rrethit </w:t>
      </w:r>
      <w:r w:rsidRPr="00B27DA8">
        <w:rPr>
          <w:rStyle w:val="paraChar"/>
          <w:rFonts w:ascii="CG Times" w:hAnsi="CG Times"/>
          <w:sz w:val="22"/>
          <w:szCs w:val="22"/>
        </w:rPr>
        <w:t>e mbledhur me trup gjykue</w:t>
      </w:r>
      <w:r w:rsidR="0073209D">
        <w:rPr>
          <w:rStyle w:val="paraChar"/>
          <w:rFonts w:ascii="CG Times" w:hAnsi="CG Times"/>
          <w:sz w:val="22"/>
          <w:szCs w:val="22"/>
        </w:rPr>
        <w:t>s prej tre gjyqtarësh. Vendimi i</w:t>
      </w:r>
      <w:r w:rsidRPr="00B27DA8">
        <w:rPr>
          <w:rStyle w:val="paraChar"/>
          <w:rFonts w:ascii="CG Times" w:hAnsi="CG Times"/>
          <w:sz w:val="22"/>
          <w:szCs w:val="22"/>
        </w:rPr>
        <w:t xml:space="preserve"> Gjykatës së Rrethit mund të apelohej në Gjykatën e Apelit dhe më pas në Gjykatën e Lartë. </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 xml:space="preserve">14. Në përgjigje të një kërkese referuese nga Gjykata e Lartë për kushtetutshmërinë e </w:t>
      </w:r>
      <w:r w:rsidR="0073209D" w:rsidRPr="00B27DA8">
        <w:rPr>
          <w:rStyle w:val="paraChar"/>
          <w:rFonts w:ascii="CG Times" w:hAnsi="CG Times"/>
          <w:sz w:val="22"/>
          <w:szCs w:val="22"/>
        </w:rPr>
        <w:t xml:space="preserve">neneve </w:t>
      </w:r>
      <w:r w:rsidRPr="00B27DA8">
        <w:rPr>
          <w:rStyle w:val="paraChar"/>
          <w:rFonts w:ascii="CG Times" w:hAnsi="CG Times"/>
          <w:sz w:val="22"/>
          <w:szCs w:val="22"/>
        </w:rPr>
        <w:t xml:space="preserve">48 § 3 dhe 410 § 2 të KPP, me anë të vendimit </w:t>
      </w:r>
      <w:r w:rsidR="0073209D" w:rsidRPr="00B27DA8">
        <w:rPr>
          <w:rStyle w:val="paraChar"/>
          <w:rFonts w:ascii="CG Times" w:hAnsi="CG Times"/>
          <w:sz w:val="22"/>
          <w:szCs w:val="22"/>
        </w:rPr>
        <w:t>nr</w:t>
      </w:r>
      <w:r w:rsidRPr="00B27DA8">
        <w:rPr>
          <w:rStyle w:val="paraChar"/>
          <w:rFonts w:ascii="CG Times" w:hAnsi="CG Times"/>
          <w:sz w:val="22"/>
          <w:szCs w:val="22"/>
        </w:rPr>
        <w:t xml:space="preserve">. 30 të datës 17 qershor 2010, Gjykata Kushtetuese vendosi se caktimi i një avokati ose mbrojtësi nga një familjar duhet të pranohet nga gjykatat e brendshme në masën që mund të vendosej se kjo përbënte shfaqje të hapur të synimit të të pandehurit për të mos marrë pjesë në procedime. I njëjti arsyetim u përdor për një kërkesë për rivendosje në afat të bërë nga mbrojtësi i caktuar nga familja e të pandehurit. Autoritetet duhet të përcaktojnë se i pandehuri nuk kishte efektivisht dijeni për dënimin e tij në mungesë dhe nëse i pandehuri kishte efektivisht dijeni mbi caktimin e mbrojtësit nga familja e tij. </w:t>
      </w:r>
    </w:p>
    <w:p w:rsidR="004F3203" w:rsidRDefault="004F3203" w:rsidP="00E52B5A">
      <w:pPr>
        <w:pStyle w:val="Paragrafi"/>
        <w:rPr>
          <w:rStyle w:val="paraChar"/>
          <w:rFonts w:ascii="CG Times" w:hAnsi="CG Times"/>
          <w:sz w:val="22"/>
          <w:szCs w:val="22"/>
        </w:rPr>
      </w:pP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ANKIMI</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15. Ankuesi u ankua rreth gj</w:t>
      </w:r>
      <w:r w:rsidR="00C07417">
        <w:rPr>
          <w:rStyle w:val="paraChar"/>
          <w:rFonts w:ascii="CG Times" w:hAnsi="CG Times"/>
          <w:sz w:val="22"/>
          <w:szCs w:val="22"/>
        </w:rPr>
        <w:t>ykimit të tij në mungesë sipas n</w:t>
      </w:r>
      <w:r w:rsidRPr="00B27DA8">
        <w:rPr>
          <w:rStyle w:val="paraChar"/>
          <w:rFonts w:ascii="CG Times" w:hAnsi="CG Times"/>
          <w:sz w:val="22"/>
          <w:szCs w:val="22"/>
        </w:rPr>
        <w:t>enit 6 §§ 1 dhe 3 të Konventës.</w:t>
      </w:r>
    </w:p>
    <w:p w:rsidR="00522A74" w:rsidRPr="00B27DA8" w:rsidRDefault="00522A74" w:rsidP="00E52B5A">
      <w:pPr>
        <w:pStyle w:val="Paragrafi"/>
        <w:rPr>
          <w:rStyle w:val="paraChar"/>
          <w:rFonts w:ascii="CG Times" w:hAnsi="CG Times"/>
          <w:sz w:val="22"/>
          <w:szCs w:val="22"/>
        </w:rPr>
      </w:pP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LIGJI</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 xml:space="preserve">16. Ankuesi u ankua </w:t>
      </w:r>
      <w:r w:rsidR="0073209D">
        <w:rPr>
          <w:rStyle w:val="paraChar"/>
          <w:rFonts w:ascii="CG Times" w:hAnsi="CG Times"/>
          <w:sz w:val="22"/>
          <w:szCs w:val="22"/>
        </w:rPr>
        <w:t>se kishte patur një shkelje të n</w:t>
      </w:r>
      <w:r w:rsidRPr="00B27DA8">
        <w:rPr>
          <w:rStyle w:val="paraChar"/>
          <w:rFonts w:ascii="CG Times" w:hAnsi="CG Times"/>
          <w:sz w:val="22"/>
          <w:szCs w:val="22"/>
        </w:rPr>
        <w:t>enit 6§§ 1 dhe 3 të Konventës si rezultat i gjykimit të tij në mungesë. Nenet 6§§1 dhe 3 i Konventës parashikojnë si më poshtë:</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“Në përcaktimin e ... çdo akuze penale kundër tij, çdokush ka të drejtën e një gjykimi ...të drejtë ... nga [një] ... gjykatë ...”</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3. Çdo person i akuzuar për një vepër penale ka të drejtat minimale të mëposhtme:</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a) të informohet menjëherë në një gjuhë që kupton dhe në detaje, mbi natyrën dhe shkakun e akuzës kundër tij;</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b) të ketë kohën dhe lehtësitë e mjaftueshme për të përgatitur mbrojtjen e vet;</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c) të mbrohet vetë ose me ndihmën e një mbrojtësi ligjor të zgjedhur prej tij ose t’i sigurohet mbrojtja falas, k</w:t>
      </w:r>
      <w:r w:rsidR="0073209D">
        <w:rPr>
          <w:rStyle w:val="paraChar"/>
          <w:rFonts w:ascii="CG Times" w:hAnsi="CG Times"/>
          <w:sz w:val="22"/>
          <w:szCs w:val="22"/>
        </w:rPr>
        <w:t>ur nuk ka mjete të mjaftueshme;</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 xml:space="preserve">d) t’u bëjë pyetje dëshmitarëve të pranishëm dhe të kërkojë paraqitjen e dëshmitarëve, të ekspertëve dhe të personave të tjerë, të cilët mund të sqarojnë faktet”. </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e) të ketë ndihmën pa pagesë të një përkthyesi, kur nuk flet ose nuk kupton gjuhën e përdorur në gjykatë.”</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17. Qeveria deklaroi se ankuesi u vu në dijeni për procedimet penale kundër tij dhe se ai i ishte fshehur qëllimisht drejtësisë. Ata paraqitën një prokurë të noterizuar të datës 2 tetor 2004 të nënshkruar nga ankuesi në të cilën ai kishte deklaruar se ishte në dijeni të procedimit penal të lënë pezull kundër tij. Pjesët përkatëse të prokurës kanë tekstin e mëposhtëm:</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“Jam akuzuar për veprën penale të shfrytëzimit të prostitucionit nga prokuroria e Korçës në bazë të një kallëzimi policor të depozituar nga (…).</w:t>
      </w:r>
    </w:p>
    <w:p w:rsidR="00B27DA8" w:rsidRPr="00B27DA8" w:rsidRDefault="00B27DA8" w:rsidP="00E52B5A">
      <w:pPr>
        <w:pStyle w:val="Paragrafi"/>
        <w:rPr>
          <w:rStyle w:val="paraChar"/>
          <w:rFonts w:ascii="CG Times" w:hAnsi="CG Times"/>
          <w:sz w:val="22"/>
          <w:szCs w:val="22"/>
        </w:rPr>
      </w:pPr>
    </w:p>
    <w:p w:rsidR="00B27DA8" w:rsidRPr="00B27DA8" w:rsidRDefault="00B27DA8" w:rsidP="00E52B5A">
      <w:pPr>
        <w:pStyle w:val="Paragrafi"/>
        <w:rPr>
          <w:rStyle w:val="paraChar"/>
          <w:rFonts w:ascii="CG Times" w:hAnsi="CG Times"/>
          <w:sz w:val="22"/>
          <w:szCs w:val="22"/>
        </w:rPr>
      </w:pPr>
    </w:p>
    <w:p w:rsidR="00B27DA8" w:rsidRPr="00B27DA8" w:rsidRDefault="00B27DA8" w:rsidP="00E52B5A">
      <w:pPr>
        <w:pStyle w:val="Paragrafi"/>
        <w:rPr>
          <w:rStyle w:val="paraChar"/>
          <w:rFonts w:ascii="CG Times" w:hAnsi="CG Times"/>
          <w:sz w:val="22"/>
          <w:szCs w:val="22"/>
        </w:rPr>
      </w:pPr>
    </w:p>
    <w:p w:rsidR="00B27DA8" w:rsidRPr="00B27DA8" w:rsidRDefault="00B27DA8" w:rsidP="00E52B5A">
      <w:pPr>
        <w:pStyle w:val="Paragrafi"/>
        <w:rPr>
          <w:rStyle w:val="paraChar"/>
          <w:rFonts w:ascii="CG Times" w:hAnsi="CG Times"/>
          <w:sz w:val="22"/>
          <w:szCs w:val="22"/>
        </w:rPr>
      </w:pP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Me anë të kësaj prokure, caktoj B. dhe J si avokatët e mi mbrojtës. Ata kanë të drejtë të më përfaqësojnë dhe</w:t>
      </w:r>
      <w:r w:rsidR="0073209D">
        <w:rPr>
          <w:rStyle w:val="paraChar"/>
          <w:rFonts w:ascii="CG Times" w:hAnsi="CG Times"/>
          <w:sz w:val="22"/>
          <w:szCs w:val="22"/>
        </w:rPr>
        <w:t xml:space="preserve"> të më</w:t>
      </w:r>
      <w:r w:rsidRPr="00B27DA8">
        <w:rPr>
          <w:rStyle w:val="paraChar"/>
          <w:rFonts w:ascii="CG Times" w:hAnsi="CG Times"/>
          <w:sz w:val="22"/>
          <w:szCs w:val="22"/>
        </w:rPr>
        <w:t xml:space="preserve"> mbrojnë para policisë, prokurorisë, gjykatës së</w:t>
      </w:r>
      <w:r w:rsidR="0073209D">
        <w:rPr>
          <w:rStyle w:val="paraChar"/>
          <w:rFonts w:ascii="CG Times" w:hAnsi="CG Times"/>
          <w:sz w:val="22"/>
          <w:szCs w:val="22"/>
        </w:rPr>
        <w:t xml:space="preserve"> shkallës së parë, Gjykatës së a</w:t>
      </w:r>
      <w:r w:rsidRPr="00B27DA8">
        <w:rPr>
          <w:rStyle w:val="paraChar"/>
          <w:rFonts w:ascii="CG Times" w:hAnsi="CG Times"/>
          <w:sz w:val="22"/>
          <w:szCs w:val="22"/>
        </w:rPr>
        <w:t>pelit, Gjykatës së Lartë dhe përpara instancave të tjera të procedimeve (…). Ata kanë të drejtë të marrin pjesë aktivisht në të gjitha procedimet, masat hetimore dhe seancat gjyqësore të zhvilluara kundër meje.</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Qeveria u mbështet më tej në një letër që avokatët B. dhe J. i kishin dërguar prokurorisë së   Korçës në emër të ankuesit.</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18. Ankuesi nuk iu përgjigj këtij parashtrimi të Qeverisë ose ndryshe të jepte më shumë informacione në ankimin e tij.</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19. Një deklaratë e parimeve të përgjithshme në lidhje me gjykimet në mungesë mund të gjendet në vendimin e Gjykatës në çështjen Sejdovic kundër Italisë [GC], nr. 56581/00, §§ 81-95, GJEDNJ 2006-II.</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20. Gjykata vëren se nuk është diskutuar ndërmjet palëve që ankuesi nuk ka marrë njoftim zyrtar rreth zhvillimit të procedimeve të brendshme të gjykatave. Në fakt, njoftimet u nënshkruan nga anëtarët e familjes ankuese, e cila kishte caktuar edhe një avokat për ta përfaqësuar atë në mungesë përpara gjykatave të brendshme. Rrjedhimisht, Gjykata duhet të konstatojë nëse ankuesi ishte mjaftueshëm në dijeni të ndjekjes së tij penale dhe gjykimit, me qëllim përcaktimin nëse ai kishte hequr dorë nga e drejta e tij për t’u paraqitur në gjykatë.</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21. Vendimtare në këtë aspekt është nëse faktet e çështjes tregojnë qartë se ankuesi ishte mjaftueshëm i ndërgjegjshëm për mundësinë për të ushtruar këto të drejta në kontekstin e procedimeve specifike të filluara kundër tij dhe nëse ai mund të konsiderohet të ketë hequr dorë nga e drejta e tij për t’u paraqitur në gjykatë. Në mungesë të një dijenie të tillë, kjo e drejtë gjithashtu nuk mund të konsiderohet të jetë hequr dorë në mënyrë të qartë, as të ushtrohet efektivisht (shihni, ndër të tjera, Stoyanov kundër Bullgarisë, nr. 39206/07, § 32, 31 janar 2012).</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22. Në çështjen në fjalë, Qeveria paraqiti një kopje të vërtetuar të një prokure</w:t>
      </w:r>
      <w:r w:rsidR="0073209D">
        <w:rPr>
          <w:rStyle w:val="paraChar"/>
          <w:rFonts w:ascii="CG Times" w:hAnsi="CG Times"/>
          <w:sz w:val="22"/>
          <w:szCs w:val="22"/>
        </w:rPr>
        <w:t>, me anë të të cilë</w:t>
      </w:r>
      <w:r w:rsidRPr="00B27DA8">
        <w:rPr>
          <w:rStyle w:val="paraChar"/>
          <w:rFonts w:ascii="CG Times" w:hAnsi="CG Times"/>
          <w:sz w:val="22"/>
          <w:szCs w:val="22"/>
        </w:rPr>
        <w:t>s ankuesi pranoi fillimin e procedimit kundër tij dhe caktoi avokatët B. dhe J. për të përfaqësuar atë. Ankuesi nuk e kundërshtoi autenticitetin e këtij dokumenti ose në fakt, nuk iu përgjigj parashtrimit të Qeverisë në vërejtjet e tij. Fakti se avokatët B. dhe J. u zëvendësuan më vonë nga avokatët e caktuar nga familjarët e tij nuk ndryshon rezultatin e qartë se ai ishte në dijeni më 2 tetor 2004 rreth procedimeve penale kundër tij. Duke zgjedhur të largohej nga vendi, ankuesi duhet të konsiderohet të ketë hequr dorë qëllimisht dhe në mënyrë të qa</w:t>
      </w:r>
      <w:r w:rsidR="0073209D">
        <w:rPr>
          <w:rStyle w:val="paraChar"/>
          <w:rFonts w:ascii="CG Times" w:hAnsi="CG Times"/>
          <w:sz w:val="22"/>
          <w:szCs w:val="22"/>
        </w:rPr>
        <w:t>rtë nga të drejtat e tij sipas n</w:t>
      </w:r>
      <w:r w:rsidRPr="00B27DA8">
        <w:rPr>
          <w:rStyle w:val="paraChar"/>
          <w:rFonts w:ascii="CG Times" w:hAnsi="CG Times"/>
          <w:sz w:val="22"/>
          <w:szCs w:val="22"/>
        </w:rPr>
        <w:t>enit 6 të Konventës dhe mund të kishte parashikuar pasojat e sjelljes së tij (shihni Jones kundër Mbretërisë së Bashkuar (dhjet.) nr. 30900/02 të datës 9 shtator 2003).</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23. Rrjedhimisht, Gjykata nxjerr përfundimin se ky ankim duhet të rrëzohet si hap</w:t>
      </w:r>
      <w:r w:rsidR="0073209D">
        <w:rPr>
          <w:rStyle w:val="paraChar"/>
          <w:rFonts w:ascii="CG Times" w:hAnsi="CG Times"/>
          <w:sz w:val="22"/>
          <w:szCs w:val="22"/>
        </w:rPr>
        <w:t>tazi i  pabazuar, në pajtim me n</w:t>
      </w:r>
      <w:r w:rsidRPr="00B27DA8">
        <w:rPr>
          <w:rStyle w:val="paraChar"/>
          <w:rFonts w:ascii="CG Times" w:hAnsi="CG Times"/>
          <w:sz w:val="22"/>
          <w:szCs w:val="22"/>
        </w:rPr>
        <w:t xml:space="preserve">enin 35§§ 3 (a) dhe 4 të Konventës. </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Për këto arsye, Gjykata</w:t>
      </w:r>
      <w:r w:rsidR="004F3203">
        <w:rPr>
          <w:rStyle w:val="paraChar"/>
          <w:rFonts w:ascii="CG Times" w:hAnsi="CG Times"/>
          <w:sz w:val="22"/>
          <w:szCs w:val="22"/>
        </w:rPr>
        <w:t>,</w:t>
      </w:r>
      <w:r w:rsidRPr="00B27DA8">
        <w:rPr>
          <w:rStyle w:val="paraChar"/>
          <w:rFonts w:ascii="CG Times" w:hAnsi="CG Times"/>
          <w:sz w:val="22"/>
          <w:szCs w:val="22"/>
        </w:rPr>
        <w:t xml:space="preserve"> në mënyrë unanime</w:t>
      </w:r>
      <w:r w:rsidR="004F3203">
        <w:rPr>
          <w:rStyle w:val="paraChar"/>
          <w:rFonts w:ascii="CG Times" w:hAnsi="CG Times"/>
          <w:sz w:val="22"/>
          <w:szCs w:val="22"/>
        </w:rPr>
        <w:t>:</w:t>
      </w:r>
    </w:p>
    <w:p w:rsidR="00E52B5A" w:rsidRPr="00B27DA8" w:rsidRDefault="00E52B5A" w:rsidP="00E52B5A">
      <w:pPr>
        <w:pStyle w:val="Paragrafi"/>
        <w:rPr>
          <w:rStyle w:val="paraChar"/>
          <w:rFonts w:ascii="CG Times" w:hAnsi="CG Times"/>
          <w:sz w:val="22"/>
          <w:szCs w:val="22"/>
        </w:rPr>
      </w:pPr>
      <w:r w:rsidRPr="00B27DA8">
        <w:rPr>
          <w:rStyle w:val="paraChar"/>
          <w:rFonts w:ascii="CG Times" w:hAnsi="CG Times"/>
          <w:sz w:val="22"/>
          <w:szCs w:val="22"/>
        </w:rPr>
        <w:t>Shpall ankimin të papranueshëm</w:t>
      </w:r>
    </w:p>
    <w:p w:rsidR="00E52B5A" w:rsidRPr="00B27DA8" w:rsidRDefault="00E52B5A" w:rsidP="00E52B5A">
      <w:pPr>
        <w:pStyle w:val="Paragrafi"/>
        <w:rPr>
          <w:rStyle w:val="paraChar"/>
          <w:rFonts w:ascii="CG Times" w:hAnsi="CG Times"/>
          <w:sz w:val="22"/>
          <w:szCs w:val="22"/>
        </w:rPr>
      </w:pPr>
    </w:p>
    <w:p w:rsidR="00E52B5A" w:rsidRPr="00B27DA8" w:rsidRDefault="00E52B5A" w:rsidP="00E52B5A">
      <w:pPr>
        <w:pStyle w:val="Paragrafi"/>
        <w:rPr>
          <w:rStyle w:val="paraChar"/>
          <w:rFonts w:ascii="CG Times" w:hAnsi="CG Times"/>
          <w:b/>
          <w:sz w:val="22"/>
          <w:szCs w:val="22"/>
        </w:rPr>
      </w:pPr>
      <w:r w:rsidRPr="00B27DA8">
        <w:rPr>
          <w:rStyle w:val="paraChar"/>
          <w:rFonts w:ascii="CG Times" w:hAnsi="CG Times"/>
          <w:b/>
          <w:sz w:val="22"/>
          <w:szCs w:val="22"/>
        </w:rPr>
        <w:t>Lech Garlicki</w:t>
      </w:r>
      <w:r w:rsidR="0073209D">
        <w:rPr>
          <w:rStyle w:val="paraChar"/>
          <w:rFonts w:ascii="CG Times" w:hAnsi="CG Times"/>
          <w:b/>
          <w:sz w:val="22"/>
          <w:szCs w:val="22"/>
        </w:rPr>
        <w:t xml:space="preserve"> </w:t>
      </w:r>
      <w:r w:rsidR="0073209D">
        <w:rPr>
          <w:rStyle w:val="paraChar"/>
          <w:rFonts w:ascii="CG Times" w:hAnsi="CG Times"/>
          <w:b/>
          <w:sz w:val="22"/>
          <w:szCs w:val="22"/>
        </w:rPr>
        <w:tab/>
      </w:r>
      <w:r w:rsidR="0073209D">
        <w:rPr>
          <w:rStyle w:val="paraChar"/>
          <w:rFonts w:ascii="CG Times" w:hAnsi="CG Times"/>
          <w:b/>
          <w:sz w:val="22"/>
          <w:szCs w:val="22"/>
        </w:rPr>
        <w:tab/>
      </w:r>
      <w:r w:rsidR="0073209D">
        <w:rPr>
          <w:rStyle w:val="paraChar"/>
          <w:rFonts w:ascii="CG Times" w:hAnsi="CG Times"/>
          <w:b/>
          <w:sz w:val="22"/>
          <w:szCs w:val="22"/>
        </w:rPr>
        <w:tab/>
      </w:r>
      <w:r w:rsidR="0073209D">
        <w:rPr>
          <w:rStyle w:val="paraChar"/>
          <w:rFonts w:ascii="CG Times" w:hAnsi="CG Times"/>
          <w:b/>
          <w:sz w:val="22"/>
          <w:szCs w:val="22"/>
        </w:rPr>
        <w:tab/>
      </w:r>
      <w:r w:rsidR="0073209D">
        <w:rPr>
          <w:rStyle w:val="paraChar"/>
          <w:rFonts w:ascii="CG Times" w:hAnsi="CG Times"/>
          <w:b/>
          <w:sz w:val="22"/>
          <w:szCs w:val="22"/>
        </w:rPr>
        <w:tab/>
      </w:r>
      <w:r w:rsidR="0073209D">
        <w:rPr>
          <w:rStyle w:val="paraChar"/>
          <w:rFonts w:ascii="CG Times" w:hAnsi="CG Times"/>
          <w:b/>
          <w:sz w:val="22"/>
          <w:szCs w:val="22"/>
        </w:rPr>
        <w:tab/>
      </w:r>
      <w:r w:rsidR="0073209D">
        <w:rPr>
          <w:rStyle w:val="paraChar"/>
          <w:rFonts w:ascii="CG Times" w:hAnsi="CG Times"/>
          <w:b/>
          <w:sz w:val="22"/>
          <w:szCs w:val="22"/>
        </w:rPr>
        <w:tab/>
      </w:r>
      <w:r w:rsidR="0073209D" w:rsidRPr="00B27DA8">
        <w:rPr>
          <w:rStyle w:val="paraChar"/>
          <w:rFonts w:ascii="CG Times" w:hAnsi="CG Times"/>
          <w:b/>
          <w:sz w:val="22"/>
          <w:szCs w:val="22"/>
        </w:rPr>
        <w:t>Lawrence Early</w:t>
      </w:r>
    </w:p>
    <w:p w:rsidR="00E52B5A" w:rsidRPr="00B27DA8" w:rsidRDefault="00522A74" w:rsidP="00E52B5A">
      <w:pPr>
        <w:pStyle w:val="Paragrafi"/>
        <w:rPr>
          <w:rStyle w:val="paraChar"/>
          <w:rFonts w:ascii="CG Times" w:hAnsi="CG Times"/>
          <w:sz w:val="22"/>
          <w:szCs w:val="22"/>
        </w:rPr>
      </w:pPr>
      <w:r w:rsidRPr="00B27DA8">
        <w:rPr>
          <w:rStyle w:val="paraChar"/>
          <w:rFonts w:ascii="CG Times" w:hAnsi="CG Times"/>
          <w:sz w:val="22"/>
          <w:szCs w:val="22"/>
        </w:rPr>
        <w:t xml:space="preserve">  </w:t>
      </w:r>
      <w:r w:rsidR="0073209D">
        <w:rPr>
          <w:rStyle w:val="paraChar"/>
          <w:rFonts w:ascii="CG Times" w:hAnsi="CG Times"/>
          <w:sz w:val="22"/>
          <w:szCs w:val="22"/>
        </w:rPr>
        <w:t xml:space="preserve"> </w:t>
      </w:r>
      <w:r w:rsidR="0073209D" w:rsidRPr="00B27DA8">
        <w:rPr>
          <w:rStyle w:val="paraChar"/>
          <w:rFonts w:ascii="CG Times" w:hAnsi="CG Times"/>
          <w:sz w:val="22"/>
          <w:szCs w:val="22"/>
        </w:rPr>
        <w:t xml:space="preserve">President </w:t>
      </w:r>
      <w:r w:rsidR="0073209D">
        <w:rPr>
          <w:rStyle w:val="paraChar"/>
          <w:rFonts w:ascii="CG Times" w:hAnsi="CG Times"/>
          <w:sz w:val="22"/>
          <w:szCs w:val="22"/>
        </w:rPr>
        <w:tab/>
      </w:r>
      <w:r w:rsidR="0073209D">
        <w:rPr>
          <w:rStyle w:val="paraChar"/>
          <w:rFonts w:ascii="CG Times" w:hAnsi="CG Times"/>
          <w:sz w:val="22"/>
          <w:szCs w:val="22"/>
        </w:rPr>
        <w:tab/>
      </w:r>
      <w:r w:rsidR="0073209D">
        <w:rPr>
          <w:rStyle w:val="paraChar"/>
          <w:rFonts w:ascii="CG Times" w:hAnsi="CG Times"/>
          <w:sz w:val="22"/>
          <w:szCs w:val="22"/>
        </w:rPr>
        <w:tab/>
      </w:r>
      <w:r w:rsidR="0073209D">
        <w:rPr>
          <w:rStyle w:val="paraChar"/>
          <w:rFonts w:ascii="CG Times" w:hAnsi="CG Times"/>
          <w:sz w:val="22"/>
          <w:szCs w:val="22"/>
        </w:rPr>
        <w:tab/>
      </w:r>
      <w:r w:rsidR="0073209D">
        <w:rPr>
          <w:rStyle w:val="paraChar"/>
          <w:rFonts w:ascii="CG Times" w:hAnsi="CG Times"/>
          <w:sz w:val="22"/>
          <w:szCs w:val="22"/>
        </w:rPr>
        <w:tab/>
      </w:r>
      <w:r w:rsidR="0073209D">
        <w:rPr>
          <w:rStyle w:val="paraChar"/>
          <w:rFonts w:ascii="CG Times" w:hAnsi="CG Times"/>
          <w:sz w:val="22"/>
          <w:szCs w:val="22"/>
        </w:rPr>
        <w:tab/>
      </w:r>
      <w:r w:rsidR="0073209D">
        <w:rPr>
          <w:rStyle w:val="paraChar"/>
          <w:rFonts w:ascii="CG Times" w:hAnsi="CG Times"/>
          <w:sz w:val="22"/>
          <w:szCs w:val="22"/>
        </w:rPr>
        <w:tab/>
        <w:t xml:space="preserve">     </w:t>
      </w:r>
      <w:r w:rsidR="00E52B5A" w:rsidRPr="00B27DA8">
        <w:rPr>
          <w:rStyle w:val="paraChar"/>
          <w:rFonts w:ascii="CG Times" w:hAnsi="CG Times"/>
          <w:sz w:val="22"/>
          <w:szCs w:val="22"/>
        </w:rPr>
        <w:t>Regjistrues</w:t>
      </w:r>
      <w:r w:rsidR="00E52B5A" w:rsidRPr="00B27DA8">
        <w:rPr>
          <w:rStyle w:val="paraChar"/>
          <w:rFonts w:ascii="CG Times" w:hAnsi="CG Times"/>
          <w:sz w:val="22"/>
          <w:szCs w:val="22"/>
        </w:rPr>
        <w:tab/>
      </w:r>
      <w:r w:rsidR="00E52B5A" w:rsidRPr="00B27DA8">
        <w:rPr>
          <w:rStyle w:val="paraChar"/>
          <w:rFonts w:ascii="CG Times" w:hAnsi="CG Times"/>
          <w:sz w:val="22"/>
          <w:szCs w:val="22"/>
        </w:rPr>
        <w:tab/>
      </w:r>
      <w:r w:rsidR="00E52B5A" w:rsidRPr="00B27DA8">
        <w:rPr>
          <w:rStyle w:val="paraChar"/>
          <w:rFonts w:ascii="CG Times" w:hAnsi="CG Times"/>
          <w:sz w:val="22"/>
          <w:szCs w:val="22"/>
        </w:rPr>
        <w:tab/>
      </w:r>
      <w:r w:rsidR="00E52B5A" w:rsidRPr="00B27DA8">
        <w:rPr>
          <w:rStyle w:val="paraChar"/>
          <w:rFonts w:ascii="CG Times" w:hAnsi="CG Times"/>
          <w:sz w:val="22"/>
          <w:szCs w:val="22"/>
        </w:rPr>
        <w:tab/>
      </w:r>
      <w:r w:rsidR="00E52B5A" w:rsidRPr="00B27DA8">
        <w:rPr>
          <w:rStyle w:val="paraChar"/>
          <w:rFonts w:ascii="CG Times" w:hAnsi="CG Times"/>
          <w:sz w:val="22"/>
          <w:szCs w:val="22"/>
        </w:rPr>
        <w:tab/>
      </w:r>
      <w:r w:rsidR="00E52B5A" w:rsidRPr="00B27DA8">
        <w:rPr>
          <w:rStyle w:val="paraChar"/>
          <w:rFonts w:ascii="CG Times" w:hAnsi="CG Times"/>
          <w:sz w:val="22"/>
          <w:szCs w:val="22"/>
        </w:rPr>
        <w:tab/>
      </w:r>
      <w:r w:rsidRPr="00B27DA8">
        <w:rPr>
          <w:rStyle w:val="paraChar"/>
          <w:rFonts w:ascii="CG Times" w:hAnsi="CG Times"/>
          <w:sz w:val="22"/>
          <w:szCs w:val="22"/>
        </w:rPr>
        <w:tab/>
        <w:t xml:space="preserve">   </w:t>
      </w:r>
    </w:p>
    <w:p w:rsidR="00E52B5A" w:rsidRPr="00B27DA8" w:rsidRDefault="00E52B5A" w:rsidP="00E52B5A">
      <w:pPr>
        <w:pStyle w:val="Paragrafi"/>
        <w:rPr>
          <w:rStyle w:val="paraChar"/>
          <w:rFonts w:ascii="CG Times" w:hAnsi="CG Times"/>
          <w:sz w:val="22"/>
          <w:szCs w:val="22"/>
        </w:rPr>
      </w:pPr>
    </w:p>
    <w:p w:rsidR="00E52B5A" w:rsidRPr="00B27DA8" w:rsidRDefault="00E52B5A" w:rsidP="00E52B5A">
      <w:pPr>
        <w:pStyle w:val="Paragrafi"/>
        <w:rPr>
          <w:rStyle w:val="paraChar"/>
          <w:rFonts w:ascii="CG Times" w:hAnsi="CG Times"/>
          <w:sz w:val="22"/>
          <w:szCs w:val="22"/>
        </w:rPr>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CA38C3" w:rsidRPr="00B27DA8" w:rsidRDefault="00CA38C3" w:rsidP="0082201D">
      <w:pPr>
        <w:pStyle w:val="Paragrafi"/>
      </w:pPr>
    </w:p>
    <w:p w:rsidR="0095190A" w:rsidRPr="00B27DA8" w:rsidRDefault="0095190A" w:rsidP="0082201D">
      <w:pPr>
        <w:pStyle w:val="Paragrafi"/>
      </w:pPr>
    </w:p>
    <w:p w:rsidR="0095190A" w:rsidRPr="00B27DA8" w:rsidRDefault="0095190A"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E766C1" w:rsidRPr="00B27DA8" w:rsidRDefault="00E766C1" w:rsidP="0082201D">
      <w:pPr>
        <w:pStyle w:val="Paragrafi"/>
      </w:pPr>
    </w:p>
    <w:p w:rsidR="00E766C1" w:rsidRPr="00B27DA8" w:rsidRDefault="00E766C1" w:rsidP="0082201D">
      <w:pPr>
        <w:pStyle w:val="Paragrafi"/>
      </w:pPr>
    </w:p>
    <w:p w:rsidR="00E766C1" w:rsidRPr="00B27DA8" w:rsidRDefault="00E766C1" w:rsidP="0082201D">
      <w:pPr>
        <w:pStyle w:val="Paragrafi"/>
      </w:pPr>
    </w:p>
    <w:p w:rsidR="00E766C1" w:rsidRPr="00B27DA8" w:rsidRDefault="00E766C1" w:rsidP="0082201D">
      <w:pPr>
        <w:pStyle w:val="Paragrafi"/>
      </w:pPr>
    </w:p>
    <w:p w:rsidR="00E766C1" w:rsidRPr="00B27DA8" w:rsidRDefault="00E766C1" w:rsidP="0082201D">
      <w:pPr>
        <w:pStyle w:val="Paragrafi"/>
      </w:pPr>
    </w:p>
    <w:p w:rsidR="00E766C1" w:rsidRPr="00B27DA8" w:rsidRDefault="00E766C1" w:rsidP="0082201D">
      <w:pPr>
        <w:pStyle w:val="Paragrafi"/>
      </w:pPr>
    </w:p>
    <w:p w:rsidR="00E766C1" w:rsidRPr="00B27DA8" w:rsidRDefault="00E766C1" w:rsidP="0082201D">
      <w:pPr>
        <w:pStyle w:val="Paragrafi"/>
      </w:pPr>
    </w:p>
    <w:p w:rsidR="00AC76A2" w:rsidRPr="00B27DA8" w:rsidRDefault="00AC76A2" w:rsidP="0082201D">
      <w:pPr>
        <w:pStyle w:val="Paragrafi"/>
        <w:sectPr w:rsidR="00AC76A2" w:rsidRPr="00B27DA8" w:rsidSect="00B27DA8">
          <w:headerReference w:type="even" r:id="rId8"/>
          <w:headerReference w:type="default" r:id="rId9"/>
          <w:footerReference w:type="even" r:id="rId10"/>
          <w:footerReference w:type="default" r:id="rId11"/>
          <w:pgSz w:w="11907" w:h="16840" w:code="9"/>
          <w:pgMar w:top="1418" w:right="1418" w:bottom="1418" w:left="1418" w:header="1588" w:footer="1134" w:gutter="0"/>
          <w:pgNumType w:start="3"/>
          <w:cols w:space="720"/>
          <w:docGrid w:linePitch="360"/>
        </w:sectPr>
      </w:pPr>
    </w:p>
    <w:p w:rsidR="00E766C1" w:rsidRPr="00B27DA8" w:rsidRDefault="00E766C1" w:rsidP="0082201D">
      <w:pPr>
        <w:pStyle w:val="Paragrafi"/>
      </w:pPr>
    </w:p>
    <w:p w:rsidR="00AC76A2" w:rsidRPr="00B27DA8" w:rsidRDefault="00AC76A2" w:rsidP="0082201D">
      <w:pPr>
        <w:pStyle w:val="Paragrafi"/>
      </w:pPr>
    </w:p>
    <w:p w:rsidR="00E766C1" w:rsidRPr="00B27DA8" w:rsidRDefault="00E766C1" w:rsidP="0082201D">
      <w:pPr>
        <w:pStyle w:val="Paragrafi"/>
      </w:pPr>
    </w:p>
    <w:p w:rsidR="00AC76A2" w:rsidRPr="00B27DA8" w:rsidRDefault="00AC76A2" w:rsidP="0082201D">
      <w:pPr>
        <w:pStyle w:val="Paragrafi"/>
        <w:sectPr w:rsidR="00AC76A2" w:rsidRPr="00B27DA8" w:rsidSect="00376AA6">
          <w:pgSz w:w="16840" w:h="11907" w:orient="landscape" w:code="9"/>
          <w:pgMar w:top="1418" w:right="1418" w:bottom="1418" w:left="1418" w:header="1588" w:footer="1134" w:gutter="0"/>
          <w:pgNumType w:start="9783"/>
          <w:cols w:space="720"/>
          <w:docGrid w:linePitch="360"/>
        </w:sectPr>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AC76A2" w:rsidRPr="00B27DA8" w:rsidRDefault="00AC76A2" w:rsidP="0082201D">
      <w:pPr>
        <w:pStyle w:val="Paragrafi"/>
      </w:pPr>
    </w:p>
    <w:p w:rsidR="00FA48F7" w:rsidRPr="00B27DA8" w:rsidRDefault="00FA48F7" w:rsidP="0082201D">
      <w:pPr>
        <w:pStyle w:val="Paragrafi"/>
      </w:pPr>
    </w:p>
    <w:p w:rsidR="00FA48F7" w:rsidRPr="00B27DA8" w:rsidRDefault="00FA48F7" w:rsidP="0082201D">
      <w:pPr>
        <w:pStyle w:val="Paragrafi"/>
      </w:pPr>
    </w:p>
    <w:p w:rsidR="00FA48F7" w:rsidRPr="00B27DA8" w:rsidRDefault="00FA48F7" w:rsidP="0082201D">
      <w:pPr>
        <w:pStyle w:val="Paragrafi"/>
      </w:pPr>
    </w:p>
    <w:p w:rsidR="00FA48F7" w:rsidRPr="00B27DA8" w:rsidRDefault="00FA48F7" w:rsidP="0082201D">
      <w:pPr>
        <w:pStyle w:val="Paragrafi"/>
      </w:pPr>
    </w:p>
    <w:p w:rsidR="00FA48F7" w:rsidRPr="00B27DA8" w:rsidRDefault="00FA48F7" w:rsidP="0082201D">
      <w:pPr>
        <w:pStyle w:val="Paragrafi"/>
      </w:pPr>
    </w:p>
    <w:p w:rsidR="00FA48F7" w:rsidRPr="00B27DA8" w:rsidRDefault="00FA48F7" w:rsidP="0082201D">
      <w:pPr>
        <w:pStyle w:val="Paragrafi"/>
      </w:pPr>
    </w:p>
    <w:p w:rsidR="00FA48F7" w:rsidRPr="00B27DA8" w:rsidRDefault="00FA48F7" w:rsidP="0082201D">
      <w:pPr>
        <w:pStyle w:val="Paragrafi"/>
      </w:pPr>
    </w:p>
    <w:p w:rsidR="00FA48F7" w:rsidRPr="00B27DA8" w:rsidRDefault="00FA48F7" w:rsidP="0082201D">
      <w:pPr>
        <w:pStyle w:val="Paragrafi"/>
      </w:pPr>
    </w:p>
    <w:p w:rsidR="00FA48F7" w:rsidRPr="00B27DA8" w:rsidRDefault="00FA48F7" w:rsidP="0082201D">
      <w:pPr>
        <w:pStyle w:val="Paragrafi"/>
      </w:pPr>
    </w:p>
    <w:p w:rsidR="00FA48F7" w:rsidRPr="00B27DA8" w:rsidRDefault="00FA48F7" w:rsidP="0082201D">
      <w:pPr>
        <w:pStyle w:val="Paragrafi"/>
      </w:pPr>
    </w:p>
    <w:p w:rsidR="00FA48F7" w:rsidRPr="00B27DA8" w:rsidRDefault="00FA48F7" w:rsidP="0082201D">
      <w:pPr>
        <w:pStyle w:val="Paragrafi"/>
      </w:pPr>
    </w:p>
    <w:p w:rsidR="00FA48F7" w:rsidRPr="00B27DA8" w:rsidRDefault="00FA48F7" w:rsidP="0082201D">
      <w:pPr>
        <w:pStyle w:val="Paragrafi"/>
      </w:pPr>
    </w:p>
    <w:p w:rsidR="00FA48F7" w:rsidRPr="00B27DA8" w:rsidRDefault="00FA48F7" w:rsidP="0082201D">
      <w:pPr>
        <w:pStyle w:val="Paragrafi"/>
      </w:pPr>
    </w:p>
    <w:p w:rsidR="00FA48F7" w:rsidRPr="00B27DA8" w:rsidRDefault="00FA48F7" w:rsidP="0082201D">
      <w:pPr>
        <w:pStyle w:val="Paragrafi"/>
      </w:pPr>
    </w:p>
    <w:p w:rsidR="00FA48F7" w:rsidRPr="00B27DA8" w:rsidRDefault="00FA48F7" w:rsidP="0082201D">
      <w:pPr>
        <w:pStyle w:val="Paragrafi"/>
      </w:pPr>
    </w:p>
    <w:p w:rsidR="00FA48F7" w:rsidRPr="00B27DA8" w:rsidRDefault="00FA48F7" w:rsidP="0082201D">
      <w:pPr>
        <w:pStyle w:val="Paragrafi"/>
      </w:pPr>
    </w:p>
    <w:p w:rsidR="00FA48F7" w:rsidRPr="00B27DA8" w:rsidRDefault="00FA48F7" w:rsidP="0082201D">
      <w:pPr>
        <w:pStyle w:val="Paragrafi"/>
      </w:pPr>
    </w:p>
    <w:p w:rsidR="00FA48F7" w:rsidRPr="00B27DA8" w:rsidRDefault="00FA48F7" w:rsidP="0082201D">
      <w:pPr>
        <w:pStyle w:val="Paragrafi"/>
      </w:pPr>
    </w:p>
    <w:p w:rsidR="00FA48F7" w:rsidRPr="00B27DA8" w:rsidRDefault="00FA48F7" w:rsidP="0082201D">
      <w:pPr>
        <w:pStyle w:val="Paragrafi"/>
      </w:pPr>
    </w:p>
    <w:p w:rsidR="00FA48F7" w:rsidRPr="00B27DA8" w:rsidRDefault="00FA48F7" w:rsidP="0082201D">
      <w:pPr>
        <w:pStyle w:val="Paragrafi"/>
      </w:pPr>
    </w:p>
    <w:p w:rsidR="00C172B4" w:rsidRPr="00B27DA8" w:rsidRDefault="00C172B4" w:rsidP="0082201D">
      <w:pPr>
        <w:pStyle w:val="Paragrafi"/>
      </w:pPr>
    </w:p>
    <w:p w:rsidR="00C172B4" w:rsidRPr="00B27DA8" w:rsidRDefault="00C172B4" w:rsidP="0082201D">
      <w:pPr>
        <w:pStyle w:val="Paragrafi"/>
      </w:pPr>
    </w:p>
    <w:p w:rsidR="00C172B4" w:rsidRPr="00B27DA8" w:rsidRDefault="00C172B4" w:rsidP="0082201D">
      <w:pPr>
        <w:pStyle w:val="Paragrafi"/>
      </w:pPr>
    </w:p>
    <w:sectPr w:rsidR="00C172B4" w:rsidRPr="00B27DA8"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5FA" w:rsidRDefault="00F815FA" w:rsidP="0039754A">
      <w:pPr>
        <w:pStyle w:val="Paragrafi"/>
        <w:rPr>
          <w:rFonts w:cs="Times New Roman"/>
        </w:rPr>
      </w:pPr>
      <w:r>
        <w:rPr>
          <w:rFonts w:cs="Times New Roman"/>
        </w:rPr>
        <w:separator/>
      </w:r>
    </w:p>
  </w:endnote>
  <w:endnote w:type="continuationSeparator" w:id="0">
    <w:p w:rsidR="00F815FA" w:rsidRDefault="00F815FA"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5DA" w:rsidRDefault="00C945DA">
    <w:pPr>
      <w:pStyle w:val="Footer"/>
    </w:pPr>
    <w:r>
      <w:fldChar w:fldCharType="begin"/>
    </w:r>
    <w:r>
      <w:instrText xml:space="preserve"> PAGE   \* MERGEFORMAT </w:instrText>
    </w:r>
    <w:r>
      <w:fldChar w:fldCharType="separate"/>
    </w:r>
    <w:r w:rsidR="00EC1247">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5DA" w:rsidRDefault="00C945DA">
    <w:pPr>
      <w:pStyle w:val="Footer"/>
      <w:jc w:val="right"/>
    </w:pPr>
    <w:r>
      <w:fldChar w:fldCharType="begin"/>
    </w:r>
    <w:r>
      <w:instrText xml:space="preserve"> PAGE   \* MERGEFORMAT </w:instrText>
    </w:r>
    <w:r>
      <w:fldChar w:fldCharType="separate"/>
    </w:r>
    <w:r w:rsidR="00EC1247">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5FA" w:rsidRDefault="00F815FA" w:rsidP="0039754A">
      <w:pPr>
        <w:pStyle w:val="Paragrafi"/>
        <w:rPr>
          <w:rFonts w:cs="Times New Roman"/>
        </w:rPr>
      </w:pPr>
      <w:r>
        <w:rPr>
          <w:rFonts w:cs="Times New Roman"/>
        </w:rPr>
        <w:separator/>
      </w:r>
    </w:p>
  </w:footnote>
  <w:footnote w:type="continuationSeparator" w:id="0">
    <w:p w:rsidR="00F815FA" w:rsidRDefault="00F815FA"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90A" w:rsidRDefault="00EC1247" w:rsidP="00FA48F7">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95190A" w:rsidRDefault="0095190A" w:rsidP="00AF6F98">
    <w:pPr>
      <w:pStyle w:val="Header"/>
      <w:pBdr>
        <w:top w:val="single" w:sz="2" w:space="1" w:color="auto"/>
      </w:pBdr>
      <w:tabs>
        <w:tab w:val="clear" w:pos="9360"/>
      </w:tabs>
      <w:ind w:right="-1369"/>
      <w:rPr>
        <w:sz w:val="10"/>
        <w:szCs w:val="10"/>
      </w:rPr>
    </w:pPr>
  </w:p>
  <w:p w:rsidR="00462CC4" w:rsidRPr="00DC5099" w:rsidRDefault="00462CC4"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90A" w:rsidRDefault="00EC1247" w:rsidP="00A0512E">
    <w:pPr>
      <w:pStyle w:val="Header"/>
      <w:tabs>
        <w:tab w:val="clear" w:pos="4680"/>
        <w:tab w:val="clear" w:pos="9360"/>
      </w:tabs>
      <w:ind w:right="1134"/>
      <w:jc w:val="right"/>
    </w:pPr>
    <w:r>
      <w:rPr>
        <w:noProof/>
      </w:rPr>
      <w:drawing>
        <wp:inline distT="0" distB="0" distL="0" distR="0">
          <wp:extent cx="1345565" cy="370840"/>
          <wp:effectExtent l="0" t="0" r="6985"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95190A" w:rsidRPr="00213FDE" w:rsidRDefault="0095190A"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90A" w:rsidRDefault="0095190A"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90A" w:rsidRDefault="0095190A"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0E434140"/>
    <w:multiLevelType w:val="hybridMultilevel"/>
    <w:tmpl w:val="EA0C5000"/>
    <w:lvl w:ilvl="0" w:tplc="5CC66FBC">
      <w:numFmt w:val="bullet"/>
      <w:lvlText w:val="-"/>
      <w:lvlJc w:val="left"/>
      <w:pPr>
        <w:ind w:left="720" w:hanging="360"/>
      </w:pPr>
      <w:rPr>
        <w:rFonts w:ascii="Calibri" w:eastAsia="Calibri" w:hAnsi="Calibri" w:cs="Calibri"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nsid w:val="14175AA5"/>
    <w:multiLevelType w:val="hybridMultilevel"/>
    <w:tmpl w:val="A448FE76"/>
    <w:lvl w:ilvl="0" w:tplc="D884BE94">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nsid w:val="19882F10"/>
    <w:multiLevelType w:val="hybridMultilevel"/>
    <w:tmpl w:val="16E4777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199D54DC"/>
    <w:multiLevelType w:val="hybridMultilevel"/>
    <w:tmpl w:val="C8F01B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E734E02"/>
    <w:multiLevelType w:val="hybridMultilevel"/>
    <w:tmpl w:val="B3D2175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01D2497"/>
    <w:multiLevelType w:val="hybridMultilevel"/>
    <w:tmpl w:val="CF849A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830CB5"/>
    <w:multiLevelType w:val="hybridMultilevel"/>
    <w:tmpl w:val="6DAAB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394A1060"/>
    <w:multiLevelType w:val="hybridMultilevel"/>
    <w:tmpl w:val="202ECB32"/>
    <w:lvl w:ilvl="0" w:tplc="4448085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9F778D0"/>
    <w:multiLevelType w:val="hybridMultilevel"/>
    <w:tmpl w:val="0B2CF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6">
    <w:nsid w:val="471529B7"/>
    <w:multiLevelType w:val="hybridMultilevel"/>
    <w:tmpl w:val="A558AF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531166"/>
    <w:multiLevelType w:val="hybridMultilevel"/>
    <w:tmpl w:val="A5264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9">
    <w:nsid w:val="5BDF32B4"/>
    <w:multiLevelType w:val="hybridMultilevel"/>
    <w:tmpl w:val="321CD5C8"/>
    <w:lvl w:ilvl="0" w:tplc="4FFA8E0E">
      <w:numFmt w:val="bullet"/>
      <w:lvlText w:val="-"/>
      <w:lvlJc w:val="left"/>
      <w:pPr>
        <w:ind w:left="720" w:hanging="360"/>
      </w:pPr>
      <w:rPr>
        <w:rFonts w:ascii="Bookman Old Style" w:eastAsia="Calibr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AD0396"/>
    <w:multiLevelType w:val="hybridMultilevel"/>
    <w:tmpl w:val="571C3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2">
    <w:nsid w:val="68431B89"/>
    <w:multiLevelType w:val="hybridMultilevel"/>
    <w:tmpl w:val="0212EB3C"/>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C1A7011"/>
    <w:multiLevelType w:val="hybridMultilevel"/>
    <w:tmpl w:val="B808981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5">
    <w:nsid w:val="6F00343D"/>
    <w:multiLevelType w:val="hybridMultilevel"/>
    <w:tmpl w:val="8378FCF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6">
    <w:nsid w:val="715A6286"/>
    <w:multiLevelType w:val="hybridMultilevel"/>
    <w:tmpl w:val="07BC04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8">
    <w:nsid w:val="77A669D6"/>
    <w:multiLevelType w:val="hybridMultilevel"/>
    <w:tmpl w:val="F48C4DBC"/>
    <w:lvl w:ilvl="0" w:tplc="EDBE16B8">
      <w:numFmt w:val="bullet"/>
      <w:lvlText w:val="-"/>
      <w:lvlJc w:val="left"/>
      <w:pPr>
        <w:ind w:left="720" w:hanging="360"/>
      </w:pPr>
      <w:rPr>
        <w:rFonts w:ascii="Bookman Old Style" w:eastAsia="Times New Roman" w:hAnsi="Bookman Old Style"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9">
    <w:nsid w:val="7AE20883"/>
    <w:multiLevelType w:val="hybridMultilevel"/>
    <w:tmpl w:val="29AAAA5A"/>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0">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31"/>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37"/>
  </w:num>
  <w:num w:numId="7">
    <w:abstractNumId w:val="21"/>
  </w:num>
  <w:num w:numId="8">
    <w:abstractNumId w:val="14"/>
  </w:num>
  <w:num w:numId="9">
    <w:abstractNumId w:val="40"/>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3"/>
  </w:num>
  <w:num w:numId="20">
    <w:abstractNumId w:val="11"/>
  </w:num>
  <w:num w:numId="21">
    <w:abstractNumId w:val="18"/>
  </w:num>
  <w:num w:numId="22">
    <w:abstractNumId w:val="25"/>
  </w:num>
  <w:num w:numId="23">
    <w:abstractNumId w:val="24"/>
  </w:num>
  <w:num w:numId="24">
    <w:abstractNumId w:val="30"/>
  </w:num>
  <w:num w:numId="25">
    <w:abstractNumId w:val="22"/>
  </w:num>
  <w:num w:numId="26">
    <w:abstractNumId w:val="19"/>
  </w:num>
  <w:num w:numId="27">
    <w:abstractNumId w:val="16"/>
  </w:num>
  <w:num w:numId="28">
    <w:abstractNumId w:val="12"/>
  </w:num>
  <w:num w:numId="29">
    <w:abstractNumId w:val="29"/>
  </w:num>
  <w:num w:numId="30">
    <w:abstractNumId w:val="35"/>
  </w:num>
  <w:num w:numId="31">
    <w:abstractNumId w:val="13"/>
  </w:num>
  <w:num w:numId="32">
    <w:abstractNumId w:val="26"/>
  </w:num>
  <w:num w:numId="33">
    <w:abstractNumId w:val="15"/>
  </w:num>
  <w:num w:numId="34">
    <w:abstractNumId w:val="17"/>
  </w:num>
  <w:num w:numId="35">
    <w:abstractNumId w:val="39"/>
  </w:num>
  <w:num w:numId="36">
    <w:abstractNumId w:val="38"/>
  </w:num>
  <w:num w:numId="37">
    <w:abstractNumId w:val="34"/>
  </w:num>
  <w:num w:numId="38">
    <w:abstractNumId w:val="32"/>
  </w:num>
  <w:num w:numId="39">
    <w:abstractNumId w:val="23"/>
  </w:num>
  <w:num w:numId="40">
    <w:abstractNumId w:val="36"/>
  </w:num>
  <w:num w:numId="41">
    <w:abstractNumId w:val="27"/>
  </w:num>
  <w:num w:numId="42">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07C"/>
    <w:rsid w:val="00051F6B"/>
    <w:rsid w:val="000C48ED"/>
    <w:rsid w:val="000D0E53"/>
    <w:rsid w:val="001302D1"/>
    <w:rsid w:val="001659FA"/>
    <w:rsid w:val="001674A9"/>
    <w:rsid w:val="001D5148"/>
    <w:rsid w:val="00202EDD"/>
    <w:rsid w:val="00213FDE"/>
    <w:rsid w:val="00233A49"/>
    <w:rsid w:val="002340BC"/>
    <w:rsid w:val="00240677"/>
    <w:rsid w:val="00251027"/>
    <w:rsid w:val="00275AA8"/>
    <w:rsid w:val="002B2A62"/>
    <w:rsid w:val="002D5F75"/>
    <w:rsid w:val="00324FE2"/>
    <w:rsid w:val="00326B0C"/>
    <w:rsid w:val="00333B05"/>
    <w:rsid w:val="00376AA6"/>
    <w:rsid w:val="0039754A"/>
    <w:rsid w:val="003B329D"/>
    <w:rsid w:val="003C7C6D"/>
    <w:rsid w:val="003D44CD"/>
    <w:rsid w:val="003E3217"/>
    <w:rsid w:val="003F4FF5"/>
    <w:rsid w:val="004101E2"/>
    <w:rsid w:val="00412F60"/>
    <w:rsid w:val="00435581"/>
    <w:rsid w:val="0045042C"/>
    <w:rsid w:val="00462CC4"/>
    <w:rsid w:val="004F3203"/>
    <w:rsid w:val="00501C46"/>
    <w:rsid w:val="00507BAC"/>
    <w:rsid w:val="00516291"/>
    <w:rsid w:val="00522A74"/>
    <w:rsid w:val="00523391"/>
    <w:rsid w:val="00555581"/>
    <w:rsid w:val="00572063"/>
    <w:rsid w:val="00613502"/>
    <w:rsid w:val="00622F48"/>
    <w:rsid w:val="0065652B"/>
    <w:rsid w:val="0067465B"/>
    <w:rsid w:val="00726052"/>
    <w:rsid w:val="0073209D"/>
    <w:rsid w:val="00740FC3"/>
    <w:rsid w:val="00760BD9"/>
    <w:rsid w:val="0082201D"/>
    <w:rsid w:val="00865ED3"/>
    <w:rsid w:val="0088207C"/>
    <w:rsid w:val="008A157F"/>
    <w:rsid w:val="009230C0"/>
    <w:rsid w:val="00947EE5"/>
    <w:rsid w:val="00951404"/>
    <w:rsid w:val="0095190A"/>
    <w:rsid w:val="00A0512E"/>
    <w:rsid w:val="00A604C0"/>
    <w:rsid w:val="00AC06B8"/>
    <w:rsid w:val="00AC76A2"/>
    <w:rsid w:val="00AF6F98"/>
    <w:rsid w:val="00B0651D"/>
    <w:rsid w:val="00B06D47"/>
    <w:rsid w:val="00B23644"/>
    <w:rsid w:val="00B27DA8"/>
    <w:rsid w:val="00B511D2"/>
    <w:rsid w:val="00BA12AE"/>
    <w:rsid w:val="00BE1B84"/>
    <w:rsid w:val="00BF5FAA"/>
    <w:rsid w:val="00C07417"/>
    <w:rsid w:val="00C172B4"/>
    <w:rsid w:val="00C71B4C"/>
    <w:rsid w:val="00C945DA"/>
    <w:rsid w:val="00CA38C3"/>
    <w:rsid w:val="00CC0703"/>
    <w:rsid w:val="00CD1556"/>
    <w:rsid w:val="00CD2E8F"/>
    <w:rsid w:val="00D34BF9"/>
    <w:rsid w:val="00D76E7C"/>
    <w:rsid w:val="00DB3D2B"/>
    <w:rsid w:val="00DC5099"/>
    <w:rsid w:val="00E2456F"/>
    <w:rsid w:val="00E51779"/>
    <w:rsid w:val="00E52B5A"/>
    <w:rsid w:val="00E766C1"/>
    <w:rsid w:val="00EC1247"/>
    <w:rsid w:val="00ED2133"/>
    <w:rsid w:val="00F41E09"/>
    <w:rsid w:val="00F815FA"/>
    <w:rsid w:val="00F823DD"/>
    <w:rsid w:val="00F97A4A"/>
    <w:rsid w:val="00FA48F7"/>
    <w:rsid w:val="00FE1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9" w:unhideWhenUsed="0" w:qFormat="1"/>
    <w:lsdException w:name="heading 9" w:locked="1"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semiHidden="0" w:uiPriority="0" w:unhideWhenUsed="0" w:qFormat="1"/>
    <w:lsdException w:name="page number" w:uiPriority="0"/>
    <w:lsdException w:name="List Bullet 2" w:uiPriority="0"/>
    <w:lsdException w:name="Title" w:locked="1" w:semiHidden="0" w:uiPriority="10" w:unhideWhenUsed="0" w:qFormat="1"/>
    <w:lsdException w:name="Default Paragraph Font" w:uiPriority="1"/>
    <w:lsdException w:name="Body Text" w:uiPriority="0"/>
    <w:lsdException w:name="Subtitle" w:locked="1" w:semiHidden="0" w:uiPriority="11" w:unhideWhenUsed="0" w:qFormat="1"/>
    <w:lsdException w:name="Hyperlink" w:uiPriority="0"/>
    <w:lsdException w:name="Strong" w:locked="1" w:semiHidden="0" w:uiPriority="22" w:unhideWhenUsed="0" w:qFormat="1"/>
    <w:lsdException w:name="Emphasis" w:locked="1"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val="en-GB"/>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uiPriority w:val="99"/>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E52B5A"/>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E52B5A"/>
    <w:rPr>
      <w:rFonts w:ascii="Arial" w:hAnsi="Arial" w:cs="Arial"/>
      <w:b/>
      <w:bCs/>
      <w:i/>
      <w:iCs/>
      <w:sz w:val="24"/>
      <w:szCs w:val="24"/>
      <w:lang w:val="de-DE" w:eastAsia="de-DE"/>
    </w:rPr>
  </w:style>
  <w:style w:type="paragraph" w:customStyle="1" w:styleId="CM1">
    <w:name w:val="CM1"/>
    <w:basedOn w:val="Default"/>
    <w:next w:val="Default"/>
    <w:uiPriority w:val="99"/>
    <w:rsid w:val="00E52B5A"/>
    <w:rPr>
      <w:rFonts w:eastAsia="Times New Roman"/>
      <w:lang w:bidi="en-US"/>
    </w:rPr>
  </w:style>
  <w:style w:type="paragraph" w:customStyle="1" w:styleId="Style10">
    <w:name w:val="Style1"/>
    <w:basedOn w:val="Normal"/>
    <w:uiPriority w:val="99"/>
    <w:rsid w:val="00E52B5A"/>
    <w:pPr>
      <w:widowControl w:val="0"/>
      <w:autoSpaceDE w:val="0"/>
      <w:autoSpaceDN w:val="0"/>
      <w:adjustRightInd w:val="0"/>
      <w:spacing w:line="315" w:lineRule="exact"/>
      <w:jc w:val="center"/>
    </w:pPr>
    <w:rPr>
      <w:rFonts w:ascii="Bookman Old Style" w:eastAsia="Times New Roman" w:hAnsi="Bookman Old Style"/>
      <w:lang w:val="el-GR" w:eastAsia="el-GR"/>
    </w:rPr>
  </w:style>
  <w:style w:type="paragraph" w:customStyle="1" w:styleId="Style2">
    <w:name w:val="Style2"/>
    <w:basedOn w:val="Normal"/>
    <w:uiPriority w:val="99"/>
    <w:rsid w:val="00E52B5A"/>
    <w:pPr>
      <w:widowControl w:val="0"/>
      <w:autoSpaceDE w:val="0"/>
      <w:autoSpaceDN w:val="0"/>
      <w:adjustRightInd w:val="0"/>
    </w:pPr>
    <w:rPr>
      <w:rFonts w:ascii="Bookman Old Style" w:eastAsia="Times New Roman" w:hAnsi="Bookman Old Style"/>
      <w:lang w:val="el-GR" w:eastAsia="el-GR"/>
    </w:rPr>
  </w:style>
  <w:style w:type="paragraph" w:customStyle="1" w:styleId="Style3">
    <w:name w:val="Style3"/>
    <w:basedOn w:val="Normal"/>
    <w:uiPriority w:val="99"/>
    <w:rsid w:val="00E52B5A"/>
    <w:pPr>
      <w:widowControl w:val="0"/>
      <w:autoSpaceDE w:val="0"/>
      <w:autoSpaceDN w:val="0"/>
      <w:adjustRightInd w:val="0"/>
    </w:pPr>
    <w:rPr>
      <w:rFonts w:ascii="Bookman Old Style" w:eastAsia="Times New Roman" w:hAnsi="Bookman Old Style"/>
      <w:lang w:val="el-GR" w:eastAsia="el-GR"/>
    </w:rPr>
  </w:style>
  <w:style w:type="paragraph" w:customStyle="1" w:styleId="Style40">
    <w:name w:val="Style4"/>
    <w:basedOn w:val="Normal"/>
    <w:uiPriority w:val="99"/>
    <w:rsid w:val="00E52B5A"/>
    <w:pPr>
      <w:widowControl w:val="0"/>
      <w:autoSpaceDE w:val="0"/>
      <w:autoSpaceDN w:val="0"/>
      <w:adjustRightInd w:val="0"/>
    </w:pPr>
    <w:rPr>
      <w:rFonts w:ascii="Bookman Old Style" w:eastAsia="Times New Roman" w:hAnsi="Bookman Old Style"/>
      <w:lang w:val="el-GR" w:eastAsia="el-GR"/>
    </w:rPr>
  </w:style>
  <w:style w:type="paragraph" w:customStyle="1" w:styleId="Style50">
    <w:name w:val="Style5"/>
    <w:basedOn w:val="Normal"/>
    <w:uiPriority w:val="99"/>
    <w:rsid w:val="00E52B5A"/>
    <w:pPr>
      <w:widowControl w:val="0"/>
      <w:autoSpaceDE w:val="0"/>
      <w:autoSpaceDN w:val="0"/>
      <w:adjustRightInd w:val="0"/>
      <w:spacing w:line="274" w:lineRule="exact"/>
    </w:pPr>
    <w:rPr>
      <w:rFonts w:ascii="Bookman Old Style" w:eastAsia="Times New Roman" w:hAnsi="Bookman Old Style"/>
      <w:lang w:val="el-GR" w:eastAsia="el-GR"/>
    </w:rPr>
  </w:style>
  <w:style w:type="paragraph" w:customStyle="1" w:styleId="Style6">
    <w:name w:val="Style6"/>
    <w:basedOn w:val="Normal"/>
    <w:uiPriority w:val="99"/>
    <w:rsid w:val="00E52B5A"/>
    <w:pPr>
      <w:widowControl w:val="0"/>
      <w:autoSpaceDE w:val="0"/>
      <w:autoSpaceDN w:val="0"/>
      <w:adjustRightInd w:val="0"/>
      <w:spacing w:line="274" w:lineRule="exact"/>
      <w:jc w:val="both"/>
    </w:pPr>
    <w:rPr>
      <w:rFonts w:ascii="Bookman Old Style" w:eastAsia="Times New Roman" w:hAnsi="Bookman Old Style"/>
      <w:lang w:val="el-GR" w:eastAsia="el-GR"/>
    </w:rPr>
  </w:style>
  <w:style w:type="character" w:customStyle="1" w:styleId="FontStyle11">
    <w:name w:val="Font Style11"/>
    <w:uiPriority w:val="99"/>
    <w:rsid w:val="00E52B5A"/>
    <w:rPr>
      <w:rFonts w:ascii="Bookman Old Style" w:hAnsi="Bookman Old Style" w:cs="Bookman Old Style"/>
      <w:b/>
      <w:bCs/>
      <w:sz w:val="26"/>
      <w:szCs w:val="26"/>
    </w:rPr>
  </w:style>
  <w:style w:type="character" w:customStyle="1" w:styleId="FontStyle12">
    <w:name w:val="Font Style12"/>
    <w:uiPriority w:val="99"/>
    <w:rsid w:val="00E52B5A"/>
    <w:rPr>
      <w:rFonts w:ascii="Bookman Old Style" w:hAnsi="Bookman Old Style" w:cs="Bookman Old Style"/>
      <w:b/>
      <w:bCs/>
      <w:sz w:val="16"/>
      <w:szCs w:val="16"/>
    </w:rPr>
  </w:style>
  <w:style w:type="character" w:customStyle="1" w:styleId="FontStyle16">
    <w:name w:val="Font Style16"/>
    <w:uiPriority w:val="99"/>
    <w:rsid w:val="00E52B5A"/>
    <w:rPr>
      <w:rFonts w:ascii="Bookman Old Style" w:hAnsi="Bookman Old Style" w:cs="Bookman Old Style"/>
      <w:sz w:val="22"/>
      <w:szCs w:val="22"/>
    </w:rPr>
  </w:style>
  <w:style w:type="character" w:customStyle="1" w:styleId="FontStyle17">
    <w:name w:val="Font Style17"/>
    <w:uiPriority w:val="99"/>
    <w:rsid w:val="00E52B5A"/>
    <w:rPr>
      <w:rFonts w:ascii="Bookman Old Style" w:hAnsi="Bookman Old Style" w:cs="Bookman Old Style"/>
      <w:b/>
      <w:bCs/>
      <w:sz w:val="22"/>
      <w:szCs w:val="22"/>
    </w:rPr>
  </w:style>
  <w:style w:type="character" w:customStyle="1" w:styleId="FontStyle18">
    <w:name w:val="Font Style18"/>
    <w:uiPriority w:val="99"/>
    <w:rsid w:val="00E52B5A"/>
    <w:rPr>
      <w:rFonts w:ascii="Bookman Old Style" w:hAnsi="Bookman Old Style" w:cs="Bookman Old Style"/>
      <w:b/>
      <w:bCs/>
      <w:sz w:val="20"/>
      <w:szCs w:val="20"/>
    </w:rPr>
  </w:style>
  <w:style w:type="paragraph" w:styleId="Date">
    <w:name w:val="Date"/>
    <w:basedOn w:val="Normal"/>
    <w:next w:val="Normal"/>
    <w:link w:val="DateChar"/>
    <w:uiPriority w:val="99"/>
    <w:semiHidden/>
    <w:unhideWhenUsed/>
    <w:rsid w:val="00E52B5A"/>
    <w:pPr>
      <w:widowControl w:val="0"/>
      <w:autoSpaceDE w:val="0"/>
      <w:autoSpaceDN w:val="0"/>
      <w:adjustRightInd w:val="0"/>
    </w:pPr>
    <w:rPr>
      <w:rFonts w:ascii="Bookman Old Style" w:eastAsia="Times New Roman" w:hAnsi="Bookman Old Style"/>
      <w:lang w:val="el-GR" w:eastAsia="el-GR"/>
    </w:rPr>
  </w:style>
  <w:style w:type="character" w:customStyle="1" w:styleId="DateChar">
    <w:name w:val="Date Char"/>
    <w:basedOn w:val="DefaultParagraphFont"/>
    <w:link w:val="Date"/>
    <w:uiPriority w:val="99"/>
    <w:semiHidden/>
    <w:rsid w:val="00E52B5A"/>
    <w:rPr>
      <w:rFonts w:ascii="Bookman Old Style" w:eastAsia="Times New Roman" w:hAnsi="Bookman Old Style"/>
      <w:sz w:val="24"/>
      <w:szCs w:val="24"/>
      <w:lang w:val="el-GR" w:eastAsia="el-GR"/>
    </w:rPr>
  </w:style>
  <w:style w:type="paragraph" w:customStyle="1" w:styleId="JuJudges">
    <w:name w:val="Ju_Judges"/>
    <w:basedOn w:val="Normal"/>
    <w:link w:val="JuJudgesChar"/>
    <w:rsid w:val="00E52B5A"/>
    <w:pPr>
      <w:tabs>
        <w:tab w:val="left" w:pos="567"/>
        <w:tab w:val="left" w:pos="1134"/>
      </w:tabs>
    </w:pPr>
    <w:rPr>
      <w:rFonts w:eastAsia="Times New Roman"/>
      <w:szCs w:val="20"/>
      <w:lang w:val="en-GB" w:eastAsia="fr-FR"/>
    </w:rPr>
  </w:style>
  <w:style w:type="character" w:customStyle="1" w:styleId="JuJudgesChar">
    <w:name w:val="Ju_Judges Char"/>
    <w:link w:val="JuJudges"/>
    <w:rsid w:val="00E52B5A"/>
    <w:rPr>
      <w:rFonts w:eastAsia="Times New Roman"/>
      <w:sz w:val="24"/>
      <w:lang w:val="en-GB" w:eastAsia="fr-FR"/>
    </w:rPr>
  </w:style>
  <w:style w:type="paragraph" w:customStyle="1" w:styleId="JuQuot">
    <w:name w:val="Ju_Quot"/>
    <w:basedOn w:val="Normal"/>
    <w:link w:val="JuQuotChar"/>
    <w:rsid w:val="00E52B5A"/>
    <w:pPr>
      <w:spacing w:before="120" w:after="120"/>
      <w:ind w:left="425" w:firstLine="142"/>
      <w:jc w:val="both"/>
    </w:pPr>
    <w:rPr>
      <w:rFonts w:eastAsia="Times New Roman"/>
      <w:sz w:val="20"/>
      <w:szCs w:val="20"/>
      <w:lang w:val="en-GB" w:eastAsia="fr-FR"/>
    </w:rPr>
  </w:style>
  <w:style w:type="character" w:customStyle="1" w:styleId="JuQuotChar">
    <w:name w:val="Ju_Quot Char"/>
    <w:link w:val="JuQuot"/>
    <w:rsid w:val="00E52B5A"/>
    <w:rPr>
      <w:rFonts w:eastAsia="Times New Roman"/>
      <w:lang w:val="en-GB" w:eastAsia="fr-FR"/>
    </w:rPr>
  </w:style>
  <w:style w:type="paragraph" w:customStyle="1" w:styleId="default0">
    <w:name w:val="default"/>
    <w:basedOn w:val="Normal"/>
    <w:rsid w:val="00E52B5A"/>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9" w:unhideWhenUsed="0" w:qFormat="1"/>
    <w:lsdException w:name="heading 9" w:locked="1"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semiHidden="0" w:uiPriority="0" w:unhideWhenUsed="0" w:qFormat="1"/>
    <w:lsdException w:name="page number" w:uiPriority="0"/>
    <w:lsdException w:name="List Bullet 2" w:uiPriority="0"/>
    <w:lsdException w:name="Title" w:locked="1" w:semiHidden="0" w:uiPriority="10" w:unhideWhenUsed="0" w:qFormat="1"/>
    <w:lsdException w:name="Default Paragraph Font" w:uiPriority="1"/>
    <w:lsdException w:name="Body Text" w:uiPriority="0"/>
    <w:lsdException w:name="Subtitle" w:locked="1" w:semiHidden="0" w:uiPriority="11" w:unhideWhenUsed="0" w:qFormat="1"/>
    <w:lsdException w:name="Hyperlink" w:uiPriority="0"/>
    <w:lsdException w:name="Strong" w:locked="1" w:semiHidden="0" w:uiPriority="22" w:unhideWhenUsed="0" w:qFormat="1"/>
    <w:lsdException w:name="Emphasis" w:locked="1"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val="en-GB"/>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uiPriority w:val="99"/>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E52B5A"/>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E52B5A"/>
    <w:rPr>
      <w:rFonts w:ascii="Arial" w:hAnsi="Arial" w:cs="Arial"/>
      <w:b/>
      <w:bCs/>
      <w:i/>
      <w:iCs/>
      <w:sz w:val="24"/>
      <w:szCs w:val="24"/>
      <w:lang w:val="de-DE" w:eastAsia="de-DE"/>
    </w:rPr>
  </w:style>
  <w:style w:type="paragraph" w:customStyle="1" w:styleId="CM1">
    <w:name w:val="CM1"/>
    <w:basedOn w:val="Default"/>
    <w:next w:val="Default"/>
    <w:uiPriority w:val="99"/>
    <w:rsid w:val="00E52B5A"/>
    <w:rPr>
      <w:rFonts w:eastAsia="Times New Roman"/>
      <w:lang w:bidi="en-US"/>
    </w:rPr>
  </w:style>
  <w:style w:type="paragraph" w:customStyle="1" w:styleId="Style10">
    <w:name w:val="Style1"/>
    <w:basedOn w:val="Normal"/>
    <w:uiPriority w:val="99"/>
    <w:rsid w:val="00E52B5A"/>
    <w:pPr>
      <w:widowControl w:val="0"/>
      <w:autoSpaceDE w:val="0"/>
      <w:autoSpaceDN w:val="0"/>
      <w:adjustRightInd w:val="0"/>
      <w:spacing w:line="315" w:lineRule="exact"/>
      <w:jc w:val="center"/>
    </w:pPr>
    <w:rPr>
      <w:rFonts w:ascii="Bookman Old Style" w:eastAsia="Times New Roman" w:hAnsi="Bookman Old Style"/>
      <w:lang w:val="el-GR" w:eastAsia="el-GR"/>
    </w:rPr>
  </w:style>
  <w:style w:type="paragraph" w:customStyle="1" w:styleId="Style2">
    <w:name w:val="Style2"/>
    <w:basedOn w:val="Normal"/>
    <w:uiPriority w:val="99"/>
    <w:rsid w:val="00E52B5A"/>
    <w:pPr>
      <w:widowControl w:val="0"/>
      <w:autoSpaceDE w:val="0"/>
      <w:autoSpaceDN w:val="0"/>
      <w:adjustRightInd w:val="0"/>
    </w:pPr>
    <w:rPr>
      <w:rFonts w:ascii="Bookman Old Style" w:eastAsia="Times New Roman" w:hAnsi="Bookman Old Style"/>
      <w:lang w:val="el-GR" w:eastAsia="el-GR"/>
    </w:rPr>
  </w:style>
  <w:style w:type="paragraph" w:customStyle="1" w:styleId="Style3">
    <w:name w:val="Style3"/>
    <w:basedOn w:val="Normal"/>
    <w:uiPriority w:val="99"/>
    <w:rsid w:val="00E52B5A"/>
    <w:pPr>
      <w:widowControl w:val="0"/>
      <w:autoSpaceDE w:val="0"/>
      <w:autoSpaceDN w:val="0"/>
      <w:adjustRightInd w:val="0"/>
    </w:pPr>
    <w:rPr>
      <w:rFonts w:ascii="Bookman Old Style" w:eastAsia="Times New Roman" w:hAnsi="Bookman Old Style"/>
      <w:lang w:val="el-GR" w:eastAsia="el-GR"/>
    </w:rPr>
  </w:style>
  <w:style w:type="paragraph" w:customStyle="1" w:styleId="Style40">
    <w:name w:val="Style4"/>
    <w:basedOn w:val="Normal"/>
    <w:uiPriority w:val="99"/>
    <w:rsid w:val="00E52B5A"/>
    <w:pPr>
      <w:widowControl w:val="0"/>
      <w:autoSpaceDE w:val="0"/>
      <w:autoSpaceDN w:val="0"/>
      <w:adjustRightInd w:val="0"/>
    </w:pPr>
    <w:rPr>
      <w:rFonts w:ascii="Bookman Old Style" w:eastAsia="Times New Roman" w:hAnsi="Bookman Old Style"/>
      <w:lang w:val="el-GR" w:eastAsia="el-GR"/>
    </w:rPr>
  </w:style>
  <w:style w:type="paragraph" w:customStyle="1" w:styleId="Style50">
    <w:name w:val="Style5"/>
    <w:basedOn w:val="Normal"/>
    <w:uiPriority w:val="99"/>
    <w:rsid w:val="00E52B5A"/>
    <w:pPr>
      <w:widowControl w:val="0"/>
      <w:autoSpaceDE w:val="0"/>
      <w:autoSpaceDN w:val="0"/>
      <w:adjustRightInd w:val="0"/>
      <w:spacing w:line="274" w:lineRule="exact"/>
    </w:pPr>
    <w:rPr>
      <w:rFonts w:ascii="Bookman Old Style" w:eastAsia="Times New Roman" w:hAnsi="Bookman Old Style"/>
      <w:lang w:val="el-GR" w:eastAsia="el-GR"/>
    </w:rPr>
  </w:style>
  <w:style w:type="paragraph" w:customStyle="1" w:styleId="Style6">
    <w:name w:val="Style6"/>
    <w:basedOn w:val="Normal"/>
    <w:uiPriority w:val="99"/>
    <w:rsid w:val="00E52B5A"/>
    <w:pPr>
      <w:widowControl w:val="0"/>
      <w:autoSpaceDE w:val="0"/>
      <w:autoSpaceDN w:val="0"/>
      <w:adjustRightInd w:val="0"/>
      <w:spacing w:line="274" w:lineRule="exact"/>
      <w:jc w:val="both"/>
    </w:pPr>
    <w:rPr>
      <w:rFonts w:ascii="Bookman Old Style" w:eastAsia="Times New Roman" w:hAnsi="Bookman Old Style"/>
      <w:lang w:val="el-GR" w:eastAsia="el-GR"/>
    </w:rPr>
  </w:style>
  <w:style w:type="character" w:customStyle="1" w:styleId="FontStyle11">
    <w:name w:val="Font Style11"/>
    <w:uiPriority w:val="99"/>
    <w:rsid w:val="00E52B5A"/>
    <w:rPr>
      <w:rFonts w:ascii="Bookman Old Style" w:hAnsi="Bookman Old Style" w:cs="Bookman Old Style"/>
      <w:b/>
      <w:bCs/>
      <w:sz w:val="26"/>
      <w:szCs w:val="26"/>
    </w:rPr>
  </w:style>
  <w:style w:type="character" w:customStyle="1" w:styleId="FontStyle12">
    <w:name w:val="Font Style12"/>
    <w:uiPriority w:val="99"/>
    <w:rsid w:val="00E52B5A"/>
    <w:rPr>
      <w:rFonts w:ascii="Bookman Old Style" w:hAnsi="Bookman Old Style" w:cs="Bookman Old Style"/>
      <w:b/>
      <w:bCs/>
      <w:sz w:val="16"/>
      <w:szCs w:val="16"/>
    </w:rPr>
  </w:style>
  <w:style w:type="character" w:customStyle="1" w:styleId="FontStyle16">
    <w:name w:val="Font Style16"/>
    <w:uiPriority w:val="99"/>
    <w:rsid w:val="00E52B5A"/>
    <w:rPr>
      <w:rFonts w:ascii="Bookman Old Style" w:hAnsi="Bookman Old Style" w:cs="Bookman Old Style"/>
      <w:sz w:val="22"/>
      <w:szCs w:val="22"/>
    </w:rPr>
  </w:style>
  <w:style w:type="character" w:customStyle="1" w:styleId="FontStyle17">
    <w:name w:val="Font Style17"/>
    <w:uiPriority w:val="99"/>
    <w:rsid w:val="00E52B5A"/>
    <w:rPr>
      <w:rFonts w:ascii="Bookman Old Style" w:hAnsi="Bookman Old Style" w:cs="Bookman Old Style"/>
      <w:b/>
      <w:bCs/>
      <w:sz w:val="22"/>
      <w:szCs w:val="22"/>
    </w:rPr>
  </w:style>
  <w:style w:type="character" w:customStyle="1" w:styleId="FontStyle18">
    <w:name w:val="Font Style18"/>
    <w:uiPriority w:val="99"/>
    <w:rsid w:val="00E52B5A"/>
    <w:rPr>
      <w:rFonts w:ascii="Bookman Old Style" w:hAnsi="Bookman Old Style" w:cs="Bookman Old Style"/>
      <w:b/>
      <w:bCs/>
      <w:sz w:val="20"/>
      <w:szCs w:val="20"/>
    </w:rPr>
  </w:style>
  <w:style w:type="paragraph" w:styleId="Date">
    <w:name w:val="Date"/>
    <w:basedOn w:val="Normal"/>
    <w:next w:val="Normal"/>
    <w:link w:val="DateChar"/>
    <w:uiPriority w:val="99"/>
    <w:semiHidden/>
    <w:unhideWhenUsed/>
    <w:rsid w:val="00E52B5A"/>
    <w:pPr>
      <w:widowControl w:val="0"/>
      <w:autoSpaceDE w:val="0"/>
      <w:autoSpaceDN w:val="0"/>
      <w:adjustRightInd w:val="0"/>
    </w:pPr>
    <w:rPr>
      <w:rFonts w:ascii="Bookman Old Style" w:eastAsia="Times New Roman" w:hAnsi="Bookman Old Style"/>
      <w:lang w:val="el-GR" w:eastAsia="el-GR"/>
    </w:rPr>
  </w:style>
  <w:style w:type="character" w:customStyle="1" w:styleId="DateChar">
    <w:name w:val="Date Char"/>
    <w:basedOn w:val="DefaultParagraphFont"/>
    <w:link w:val="Date"/>
    <w:uiPriority w:val="99"/>
    <w:semiHidden/>
    <w:rsid w:val="00E52B5A"/>
    <w:rPr>
      <w:rFonts w:ascii="Bookman Old Style" w:eastAsia="Times New Roman" w:hAnsi="Bookman Old Style"/>
      <w:sz w:val="24"/>
      <w:szCs w:val="24"/>
      <w:lang w:val="el-GR" w:eastAsia="el-GR"/>
    </w:rPr>
  </w:style>
  <w:style w:type="paragraph" w:customStyle="1" w:styleId="JuJudges">
    <w:name w:val="Ju_Judges"/>
    <w:basedOn w:val="Normal"/>
    <w:link w:val="JuJudgesChar"/>
    <w:rsid w:val="00E52B5A"/>
    <w:pPr>
      <w:tabs>
        <w:tab w:val="left" w:pos="567"/>
        <w:tab w:val="left" w:pos="1134"/>
      </w:tabs>
    </w:pPr>
    <w:rPr>
      <w:rFonts w:eastAsia="Times New Roman"/>
      <w:szCs w:val="20"/>
      <w:lang w:val="en-GB" w:eastAsia="fr-FR"/>
    </w:rPr>
  </w:style>
  <w:style w:type="character" w:customStyle="1" w:styleId="JuJudgesChar">
    <w:name w:val="Ju_Judges Char"/>
    <w:link w:val="JuJudges"/>
    <w:rsid w:val="00E52B5A"/>
    <w:rPr>
      <w:rFonts w:eastAsia="Times New Roman"/>
      <w:sz w:val="24"/>
      <w:lang w:val="en-GB" w:eastAsia="fr-FR"/>
    </w:rPr>
  </w:style>
  <w:style w:type="paragraph" w:customStyle="1" w:styleId="JuQuot">
    <w:name w:val="Ju_Quot"/>
    <w:basedOn w:val="Normal"/>
    <w:link w:val="JuQuotChar"/>
    <w:rsid w:val="00E52B5A"/>
    <w:pPr>
      <w:spacing w:before="120" w:after="120"/>
      <w:ind w:left="425" w:firstLine="142"/>
      <w:jc w:val="both"/>
    </w:pPr>
    <w:rPr>
      <w:rFonts w:eastAsia="Times New Roman"/>
      <w:sz w:val="20"/>
      <w:szCs w:val="20"/>
      <w:lang w:val="en-GB" w:eastAsia="fr-FR"/>
    </w:rPr>
  </w:style>
  <w:style w:type="character" w:customStyle="1" w:styleId="JuQuotChar">
    <w:name w:val="Ju_Quot Char"/>
    <w:link w:val="JuQuot"/>
    <w:rsid w:val="00E52B5A"/>
    <w:rPr>
      <w:rFonts w:eastAsia="Times New Roman"/>
      <w:lang w:val="en-GB" w:eastAsia="fr-FR"/>
    </w:rPr>
  </w:style>
  <w:style w:type="paragraph" w:customStyle="1" w:styleId="default0">
    <w:name w:val="default"/>
    <w:basedOn w:val="Normal"/>
    <w:rsid w:val="00E52B5A"/>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1749</Words>
  <Characters>9974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Jonida Resulaj</cp:lastModifiedBy>
  <cp:revision>2</cp:revision>
  <cp:lastPrinted>2011-10-31T06:48:00Z</cp:lastPrinted>
  <dcterms:created xsi:type="dcterms:W3CDTF">2019-05-22T09:46:00Z</dcterms:created>
  <dcterms:modified xsi:type="dcterms:W3CDTF">2019-05-22T09:46:00Z</dcterms:modified>
</cp:coreProperties>
</file>