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63F" w:rsidRPr="002E36E2" w:rsidRDefault="0055563F" w:rsidP="0055563F">
      <w:pPr>
        <w:pStyle w:val="Titulli"/>
        <w:rPr>
          <w:sz w:val="21"/>
          <w:szCs w:val="21"/>
          <w:lang w:val="sq-AL"/>
        </w:rPr>
      </w:pPr>
      <w:bookmarkStart w:id="0" w:name="_GoBack"/>
      <w:bookmarkEnd w:id="0"/>
      <w:r w:rsidRPr="002E36E2">
        <w:rPr>
          <w:sz w:val="21"/>
          <w:szCs w:val="21"/>
          <w:lang w:val="sq-AL"/>
        </w:rPr>
        <w:t>VENDIM</w:t>
      </w:r>
    </w:p>
    <w:p w:rsidR="0055563F" w:rsidRPr="002E36E2" w:rsidRDefault="00F81AC2" w:rsidP="0055563F">
      <w:pPr>
        <w:pStyle w:val="Numri"/>
        <w:rPr>
          <w:sz w:val="21"/>
          <w:szCs w:val="21"/>
          <w:lang w:val="sq-AL"/>
        </w:rPr>
      </w:pPr>
      <w:r w:rsidRPr="002E36E2">
        <w:rPr>
          <w:sz w:val="21"/>
          <w:szCs w:val="21"/>
          <w:lang w:val="sq-AL"/>
        </w:rPr>
        <w:t>Nr. 1, datë 20.1</w:t>
      </w:r>
      <w:r w:rsidR="0055563F" w:rsidRPr="002E36E2">
        <w:rPr>
          <w:sz w:val="21"/>
          <w:szCs w:val="21"/>
          <w:lang w:val="sq-AL"/>
        </w:rPr>
        <w:t>.2014</w:t>
      </w:r>
    </w:p>
    <w:p w:rsidR="0055563F" w:rsidRPr="002E36E2" w:rsidRDefault="0055563F" w:rsidP="0055563F">
      <w:pPr>
        <w:widowControl w:val="0"/>
        <w:ind w:firstLine="720"/>
        <w:jc w:val="both"/>
        <w:rPr>
          <w:rFonts w:ascii="CG Times" w:hAnsi="CG Times"/>
          <w:sz w:val="16"/>
          <w:szCs w:val="21"/>
          <w:lang w:val="sq-AL"/>
        </w:rPr>
      </w:pPr>
    </w:p>
    <w:p w:rsidR="0055563F" w:rsidRPr="002E36E2" w:rsidRDefault="0055563F" w:rsidP="0055563F">
      <w:pPr>
        <w:keepNext/>
        <w:jc w:val="center"/>
        <w:outlineLvl w:val="3"/>
        <w:rPr>
          <w:rFonts w:ascii="CG Times" w:hAnsi="CG Times"/>
          <w:b/>
          <w:sz w:val="21"/>
          <w:szCs w:val="21"/>
          <w:lang w:val="sq-AL"/>
        </w:rPr>
      </w:pPr>
      <w:r w:rsidRPr="002E36E2">
        <w:rPr>
          <w:rFonts w:ascii="CG Times" w:hAnsi="CG Times"/>
          <w:b/>
          <w:sz w:val="21"/>
          <w:szCs w:val="21"/>
          <w:lang w:val="sq-AL"/>
        </w:rPr>
        <w:t>NË EMËR TË REPUBLIKËS SË SHQIPËRISË</w:t>
      </w:r>
    </w:p>
    <w:p w:rsidR="0055563F" w:rsidRPr="002E36E2" w:rsidRDefault="0055563F" w:rsidP="0055563F">
      <w:pPr>
        <w:jc w:val="both"/>
        <w:rPr>
          <w:rFonts w:ascii="CG Times" w:eastAsia="Calibri" w:hAnsi="CG Times"/>
          <w:sz w:val="16"/>
          <w:szCs w:val="21"/>
          <w:lang w:val="sq-AL"/>
        </w:rPr>
      </w:pPr>
    </w:p>
    <w:p w:rsidR="0055563F" w:rsidRPr="002E36E2" w:rsidRDefault="0055563F"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Gjykata Kushtetuese e Republikës së Shqipërisë, e përbërë nga:</w:t>
      </w:r>
    </w:p>
    <w:p w:rsidR="0055563F" w:rsidRPr="002E36E2" w:rsidRDefault="0055563F"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Bashkim Dedja</w:t>
      </w:r>
      <w:r w:rsidRPr="002E36E2">
        <w:rPr>
          <w:rFonts w:ascii="CG Times" w:eastAsia="Calibri" w:hAnsi="CG Times"/>
          <w:sz w:val="21"/>
          <w:szCs w:val="21"/>
          <w:lang w:val="sq-AL"/>
        </w:rPr>
        <w:tab/>
      </w:r>
      <w:r w:rsidRPr="002E36E2">
        <w:rPr>
          <w:rFonts w:ascii="CG Times" w:eastAsia="Calibri" w:hAnsi="CG Times"/>
          <w:sz w:val="21"/>
          <w:szCs w:val="21"/>
          <w:lang w:val="sq-AL"/>
        </w:rPr>
        <w:tab/>
        <w:t>Kryetar i Gjykatës Kushtetuese</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Sokol Berberi</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 xml:space="preserve">“ </w:t>
      </w:r>
      <w:r w:rsidR="0055563F" w:rsidRPr="002E36E2">
        <w:rPr>
          <w:rFonts w:ascii="CG Times" w:eastAsia="Calibri" w:hAnsi="CG Times"/>
          <w:sz w:val="21"/>
          <w:szCs w:val="21"/>
          <w:lang w:val="sq-AL"/>
        </w:rPr>
        <w:tab/>
        <w:t>“</w:t>
      </w:r>
    </w:p>
    <w:p w:rsidR="0055563F" w:rsidRPr="002E36E2" w:rsidRDefault="0055563F"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Vitore Tusha</w:t>
      </w:r>
      <w:r w:rsidRPr="002E36E2">
        <w:rPr>
          <w:rFonts w:ascii="CG Times" w:eastAsia="Calibri" w:hAnsi="CG Times"/>
          <w:sz w:val="21"/>
          <w:szCs w:val="21"/>
          <w:lang w:val="sq-AL"/>
        </w:rPr>
        <w:tab/>
      </w:r>
      <w:r w:rsidRPr="002E36E2">
        <w:rPr>
          <w:rFonts w:ascii="CG Times" w:eastAsia="Calibri" w:hAnsi="CG Times"/>
          <w:sz w:val="21"/>
          <w:szCs w:val="21"/>
          <w:lang w:val="sq-AL"/>
        </w:rPr>
        <w:tab/>
        <w:t>Anëtare e</w:t>
      </w:r>
      <w:r w:rsidRPr="002E36E2">
        <w:rPr>
          <w:rFonts w:ascii="CG Times" w:eastAsia="Calibri" w:hAnsi="CG Times"/>
          <w:sz w:val="21"/>
          <w:szCs w:val="21"/>
          <w:lang w:val="sq-AL"/>
        </w:rPr>
        <w:tab/>
        <w:t>“</w:t>
      </w:r>
      <w:r w:rsidRPr="002E36E2">
        <w:rPr>
          <w:rFonts w:ascii="CG Times" w:eastAsia="Calibri" w:hAnsi="CG Times"/>
          <w:sz w:val="21"/>
          <w:szCs w:val="21"/>
          <w:lang w:val="sq-AL"/>
        </w:rPr>
        <w:tab/>
        <w:t>“</w:t>
      </w:r>
    </w:p>
    <w:p w:rsidR="0055563F" w:rsidRPr="002E36E2" w:rsidRDefault="0055563F"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Altina Xhoxhaj</w:t>
      </w:r>
      <w:r w:rsidRPr="002E36E2">
        <w:rPr>
          <w:rFonts w:ascii="CG Times" w:eastAsia="Calibri" w:hAnsi="CG Times"/>
          <w:sz w:val="21"/>
          <w:szCs w:val="21"/>
          <w:lang w:val="sq-AL"/>
        </w:rPr>
        <w:tab/>
      </w:r>
      <w:r w:rsidRPr="002E36E2">
        <w:rPr>
          <w:rFonts w:ascii="CG Times" w:eastAsia="Calibri" w:hAnsi="CG Times"/>
          <w:sz w:val="21"/>
          <w:szCs w:val="21"/>
          <w:lang w:val="sq-AL"/>
        </w:rPr>
        <w:tab/>
        <w:t>Anëtare e</w:t>
      </w:r>
      <w:r w:rsidRPr="002E36E2">
        <w:rPr>
          <w:rFonts w:ascii="CG Times" w:eastAsia="Calibri" w:hAnsi="CG Times"/>
          <w:sz w:val="21"/>
          <w:szCs w:val="21"/>
          <w:lang w:val="sq-AL"/>
        </w:rPr>
        <w:tab/>
        <w:t>“</w:t>
      </w:r>
      <w:r w:rsidRPr="002E36E2">
        <w:rPr>
          <w:rFonts w:ascii="CG Times" w:eastAsia="Calibri" w:hAnsi="CG Times"/>
          <w:sz w:val="21"/>
          <w:szCs w:val="21"/>
          <w:lang w:val="sq-AL"/>
        </w:rPr>
        <w:tab/>
        <w:t xml:space="preserve">“ </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 xml:space="preserve">Fatmir Hoxha </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w:t>
      </w:r>
      <w:r w:rsidR="0055563F" w:rsidRPr="002E36E2">
        <w:rPr>
          <w:rFonts w:ascii="CG Times" w:eastAsia="Calibri" w:hAnsi="CG Times"/>
          <w:sz w:val="21"/>
          <w:szCs w:val="21"/>
          <w:lang w:val="sq-AL"/>
        </w:rPr>
        <w:tab/>
        <w:t>“</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Gani Dizdari</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 xml:space="preserve">“ </w:t>
      </w:r>
      <w:r w:rsidR="0055563F" w:rsidRPr="002E36E2">
        <w:rPr>
          <w:rFonts w:ascii="CG Times" w:eastAsia="Calibri" w:hAnsi="CG Times"/>
          <w:sz w:val="21"/>
          <w:szCs w:val="21"/>
          <w:lang w:val="sq-AL"/>
        </w:rPr>
        <w:tab/>
        <w:t>“</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Besnik Imeraj</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 xml:space="preserve">“ </w:t>
      </w:r>
      <w:r w:rsidR="0055563F" w:rsidRPr="002E36E2">
        <w:rPr>
          <w:rFonts w:ascii="CG Times" w:eastAsia="Calibri" w:hAnsi="CG Times"/>
          <w:sz w:val="21"/>
          <w:szCs w:val="21"/>
          <w:lang w:val="sq-AL"/>
        </w:rPr>
        <w:tab/>
        <w:t>“</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 xml:space="preserve">Fatos Lulo </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w:t>
      </w:r>
      <w:r w:rsidR="0055563F" w:rsidRPr="002E36E2">
        <w:rPr>
          <w:rFonts w:ascii="CG Times" w:eastAsia="Calibri" w:hAnsi="CG Times"/>
          <w:sz w:val="21"/>
          <w:szCs w:val="21"/>
          <w:lang w:val="sq-AL"/>
        </w:rPr>
        <w:tab/>
        <w:t>“</w:t>
      </w:r>
    </w:p>
    <w:p w:rsidR="0055563F" w:rsidRPr="002E36E2" w:rsidRDefault="000C2DD4"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Vladimir Kristo</w:t>
      </w:r>
      <w:r w:rsidRPr="002E36E2">
        <w:rPr>
          <w:rFonts w:ascii="CG Times" w:eastAsia="Calibri" w:hAnsi="CG Times"/>
          <w:sz w:val="21"/>
          <w:szCs w:val="21"/>
          <w:lang w:val="sq-AL"/>
        </w:rPr>
        <w:tab/>
      </w:r>
      <w:r w:rsidRPr="002E36E2">
        <w:rPr>
          <w:rFonts w:ascii="CG Times" w:eastAsia="Calibri" w:hAnsi="CG Times"/>
          <w:sz w:val="21"/>
          <w:szCs w:val="21"/>
          <w:lang w:val="sq-AL"/>
        </w:rPr>
        <w:tab/>
        <w:t>Anëtar i</w:t>
      </w:r>
      <w:r w:rsidRPr="002E36E2">
        <w:rPr>
          <w:rFonts w:ascii="CG Times" w:eastAsia="Calibri" w:hAnsi="CG Times"/>
          <w:sz w:val="21"/>
          <w:szCs w:val="21"/>
          <w:lang w:val="sq-AL"/>
        </w:rPr>
        <w:tab/>
      </w:r>
      <w:r w:rsidR="004F43A3">
        <w:rPr>
          <w:rFonts w:ascii="CG Times" w:eastAsia="Calibri" w:hAnsi="CG Times"/>
          <w:sz w:val="21"/>
          <w:szCs w:val="21"/>
          <w:lang w:val="sq-AL"/>
        </w:rPr>
        <w:tab/>
      </w:r>
      <w:r w:rsidR="0055563F" w:rsidRPr="002E36E2">
        <w:rPr>
          <w:rFonts w:ascii="CG Times" w:eastAsia="Calibri" w:hAnsi="CG Times"/>
          <w:sz w:val="21"/>
          <w:szCs w:val="21"/>
          <w:lang w:val="sq-AL"/>
        </w:rPr>
        <w:t xml:space="preserve">“ </w:t>
      </w:r>
      <w:r w:rsidR="0055563F" w:rsidRPr="002E36E2">
        <w:rPr>
          <w:rFonts w:ascii="CG Times" w:eastAsia="Calibri" w:hAnsi="CG Times"/>
          <w:sz w:val="21"/>
          <w:szCs w:val="21"/>
          <w:lang w:val="sq-AL"/>
        </w:rPr>
        <w:tab/>
        <w:t>“</w:t>
      </w:r>
    </w:p>
    <w:p w:rsidR="0055563F" w:rsidRPr="002E36E2" w:rsidRDefault="0055563F" w:rsidP="0055563F">
      <w:pPr>
        <w:ind w:firstLine="720"/>
        <w:jc w:val="both"/>
        <w:rPr>
          <w:rFonts w:ascii="CG Times" w:eastAsia="Calibri" w:hAnsi="CG Times"/>
          <w:sz w:val="21"/>
          <w:szCs w:val="21"/>
          <w:lang w:val="sq-AL"/>
        </w:rPr>
      </w:pPr>
      <w:r w:rsidRPr="002E36E2">
        <w:rPr>
          <w:rFonts w:ascii="CG Times" w:eastAsia="Calibri" w:hAnsi="CG Times"/>
          <w:sz w:val="21"/>
          <w:szCs w:val="21"/>
          <w:lang w:val="sq-AL"/>
        </w:rPr>
        <w:t>me sekretare Blerina Basha, në datën 10.12.2013 mori në shqyrtim, në seancë plenare mbi bazë dokumentesh, çështjen nr. 50/22 Akti, që i përket:</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KËRKUES: Belul Toto, përfaqësuar nga avokat Nevzat Tarelli, me prokurë të posaçme.</w:t>
      </w:r>
    </w:p>
    <w:p w:rsidR="0055563F" w:rsidRPr="002E36E2" w:rsidRDefault="0055563F" w:rsidP="0055563F">
      <w:pPr>
        <w:ind w:firstLine="720"/>
        <w:jc w:val="both"/>
        <w:rPr>
          <w:rFonts w:ascii="CG Times" w:hAnsi="CG Times"/>
          <w:bCs/>
          <w:spacing w:val="-14"/>
          <w:sz w:val="21"/>
          <w:szCs w:val="21"/>
          <w:lang w:val="sq-AL"/>
        </w:rPr>
      </w:pPr>
      <w:r w:rsidRPr="002E36E2">
        <w:rPr>
          <w:rFonts w:ascii="CG Times" w:hAnsi="CG Times"/>
          <w:bCs/>
          <w:spacing w:val="-14"/>
          <w:sz w:val="21"/>
          <w:szCs w:val="21"/>
          <w:lang w:val="sq-AL"/>
        </w:rPr>
        <w:t xml:space="preserve">SUBJEKT I INTERESUAR: </w:t>
      </w:r>
      <w:r w:rsidRPr="002E36E2">
        <w:rPr>
          <w:rFonts w:ascii="CG Times" w:hAnsi="CG Times"/>
          <w:sz w:val="21"/>
          <w:szCs w:val="21"/>
          <w:lang w:val="sq-AL"/>
        </w:rPr>
        <w:t xml:space="preserve">Prokuroria e Përgjithshme, e përfaqësuar nga prokurori Arqilea Koci. </w:t>
      </w:r>
    </w:p>
    <w:p w:rsidR="0055563F" w:rsidRPr="002E36E2" w:rsidRDefault="0055563F" w:rsidP="0055563F">
      <w:pPr>
        <w:ind w:firstLine="720"/>
        <w:jc w:val="both"/>
        <w:rPr>
          <w:rFonts w:ascii="CG Times" w:hAnsi="CG Times"/>
          <w:bCs/>
          <w:sz w:val="21"/>
          <w:szCs w:val="21"/>
          <w:lang w:val="sq-AL"/>
        </w:rPr>
      </w:pPr>
      <w:r w:rsidRPr="002E36E2">
        <w:rPr>
          <w:rFonts w:ascii="CG Times" w:hAnsi="CG Times"/>
          <w:sz w:val="21"/>
          <w:szCs w:val="21"/>
          <w:lang w:val="sq-AL"/>
        </w:rPr>
        <w:t xml:space="preserve">OBJEKTI: </w:t>
      </w:r>
      <w:r w:rsidRPr="002E36E2">
        <w:rPr>
          <w:rFonts w:ascii="CG Times" w:hAnsi="CG Times"/>
          <w:bCs/>
          <w:sz w:val="21"/>
          <w:szCs w:val="21"/>
          <w:lang w:val="sq-AL"/>
        </w:rPr>
        <w:t xml:space="preserve">Shfuqizimi, si i papajtueshëm me Kushtetutën e Republikës së Shqipërisë, i vendimit nr. 401, datë 11.11.2010 të Gjykatës së Rrethit Gjyqësor Korçë; i vendimit nr. </w:t>
      </w:r>
      <w:r w:rsidRPr="002E36E2">
        <w:rPr>
          <w:rFonts w:ascii="CG Times" w:hAnsi="CG Times"/>
          <w:sz w:val="21"/>
          <w:szCs w:val="21"/>
          <w:lang w:val="sq-AL"/>
        </w:rPr>
        <w:t xml:space="preserve">00-2013-945 (144), </w:t>
      </w:r>
      <w:r w:rsidRPr="002E36E2">
        <w:rPr>
          <w:rFonts w:ascii="CG Times" w:hAnsi="CG Times"/>
          <w:bCs/>
          <w:sz w:val="21"/>
          <w:szCs w:val="21"/>
          <w:lang w:val="sq-AL"/>
        </w:rPr>
        <w:t xml:space="preserve">datë 24.4.2013 të Kolegjit Penal të Gjykatës së Lartë (dhomë këshillimi). </w:t>
      </w:r>
    </w:p>
    <w:p w:rsidR="0055563F" w:rsidRPr="002E36E2" w:rsidRDefault="0055563F" w:rsidP="0055563F">
      <w:pPr>
        <w:ind w:firstLine="720"/>
        <w:jc w:val="both"/>
        <w:rPr>
          <w:rFonts w:ascii="CG Times" w:hAnsi="CG Times"/>
          <w:b/>
          <w:sz w:val="21"/>
          <w:szCs w:val="21"/>
          <w:lang w:val="sq-AL"/>
        </w:rPr>
      </w:pPr>
      <w:r w:rsidRPr="002E36E2">
        <w:rPr>
          <w:rFonts w:ascii="CG Times" w:hAnsi="CG Times"/>
          <w:sz w:val="21"/>
          <w:szCs w:val="21"/>
          <w:lang w:val="sq-AL"/>
        </w:rPr>
        <w:t>BAZA LIGJORE: Nenet 29/3, 42/2, 131/f, 134/1/g dhe 142/1 të Kushtetutës së Republikës së Shqipërisë.</w:t>
      </w:r>
      <w:r w:rsidRPr="002E36E2">
        <w:rPr>
          <w:rFonts w:ascii="CG Times" w:hAnsi="CG Times"/>
          <w:b/>
          <w:sz w:val="21"/>
          <w:szCs w:val="21"/>
          <w:lang w:val="sq-AL"/>
        </w:rPr>
        <w:t xml:space="preserve"> </w:t>
      </w:r>
    </w:p>
    <w:p w:rsidR="0055563F" w:rsidRPr="002E36E2" w:rsidRDefault="0055563F" w:rsidP="0055563F">
      <w:pPr>
        <w:jc w:val="center"/>
        <w:rPr>
          <w:rFonts w:ascii="CG Times" w:hAnsi="CG Times"/>
          <w:bCs/>
          <w:sz w:val="21"/>
          <w:szCs w:val="21"/>
          <w:lang w:val="sq-AL"/>
        </w:rPr>
      </w:pPr>
      <w:r w:rsidRPr="002E36E2">
        <w:rPr>
          <w:rFonts w:ascii="CG Times" w:hAnsi="CG Times"/>
          <w:bCs/>
          <w:sz w:val="21"/>
          <w:szCs w:val="21"/>
          <w:lang w:val="sq-AL"/>
        </w:rPr>
        <w:t>GJYKATA KUSHTETUESE,</w:t>
      </w:r>
    </w:p>
    <w:p w:rsidR="0055563F" w:rsidRPr="002E36E2" w:rsidRDefault="0055563F" w:rsidP="0055563F">
      <w:pPr>
        <w:ind w:firstLine="720"/>
        <w:jc w:val="center"/>
        <w:rPr>
          <w:rFonts w:ascii="CG Times" w:hAnsi="CG Times"/>
          <w:sz w:val="14"/>
          <w:szCs w:val="21"/>
          <w:lang w:val="sq-AL"/>
        </w:rPr>
      </w:pP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pasi dëgjoi relatorin e çështjes, Vladimir Kristo, mori në shqyrtim pretendimet me shkrim të mbrojtësit të kërkuesit, i cili është shprehur për pranimin e kërkesës, dhe prapësimet me shkrim të subjektit të interesuar, Prokuroria e Përgjithshme, që kërkoi rrëzimin e kërkesës dhe, pasi bisedoi çështjen në tërësi,</w:t>
      </w:r>
    </w:p>
    <w:p w:rsidR="0055563F" w:rsidRPr="002E36E2" w:rsidRDefault="0055563F" w:rsidP="0055563F">
      <w:pPr>
        <w:jc w:val="center"/>
        <w:rPr>
          <w:rFonts w:ascii="CG Times" w:hAnsi="CG Times"/>
          <w:sz w:val="21"/>
          <w:szCs w:val="21"/>
          <w:lang w:val="sq-AL"/>
        </w:rPr>
      </w:pPr>
      <w:r w:rsidRPr="002E36E2">
        <w:rPr>
          <w:rFonts w:ascii="CG Times" w:hAnsi="CG Times"/>
          <w:bCs/>
          <w:sz w:val="21"/>
          <w:szCs w:val="21"/>
          <w:lang w:val="sq-AL"/>
        </w:rPr>
        <w:t>VËREN:</w:t>
      </w:r>
    </w:p>
    <w:p w:rsidR="0055563F" w:rsidRPr="002E36E2" w:rsidRDefault="0055563F" w:rsidP="0055563F">
      <w:pPr>
        <w:jc w:val="center"/>
        <w:rPr>
          <w:rFonts w:ascii="CG Times" w:hAnsi="CG Times"/>
          <w:b/>
          <w:bCs/>
          <w:sz w:val="16"/>
          <w:szCs w:val="21"/>
          <w:lang w:val="sq-AL"/>
        </w:rPr>
      </w:pPr>
    </w:p>
    <w:p w:rsidR="0055563F" w:rsidRPr="002E36E2" w:rsidRDefault="0055563F" w:rsidP="0055563F">
      <w:pPr>
        <w:jc w:val="center"/>
        <w:rPr>
          <w:rFonts w:ascii="CG Times" w:hAnsi="CG Times"/>
          <w:b/>
          <w:bCs/>
          <w:sz w:val="21"/>
          <w:szCs w:val="21"/>
          <w:lang w:val="sq-AL"/>
        </w:rPr>
      </w:pPr>
      <w:r w:rsidRPr="002E36E2">
        <w:rPr>
          <w:rFonts w:ascii="CG Times" w:hAnsi="CG Times"/>
          <w:b/>
          <w:bCs/>
          <w:sz w:val="21"/>
          <w:szCs w:val="21"/>
          <w:lang w:val="sq-AL"/>
        </w:rPr>
        <w:t>I</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1. Gjykata e Rrethit Gjyqësor Korçë, me vendimin</w:t>
      </w:r>
      <w:r w:rsidRPr="002E36E2">
        <w:rPr>
          <w:rFonts w:ascii="CG Times" w:hAnsi="CG Times"/>
          <w:b/>
          <w:sz w:val="21"/>
          <w:szCs w:val="21"/>
          <w:lang w:val="sq-AL"/>
        </w:rPr>
        <w:t xml:space="preserve"> </w:t>
      </w:r>
      <w:r w:rsidRPr="002E36E2">
        <w:rPr>
          <w:rFonts w:ascii="CG Times" w:hAnsi="CG Times"/>
          <w:bCs/>
          <w:sz w:val="21"/>
          <w:szCs w:val="21"/>
          <w:lang w:val="sq-AL"/>
        </w:rPr>
        <w:t xml:space="preserve">nr. 401, datë 11.11.2010, </w:t>
      </w:r>
      <w:r w:rsidRPr="002E36E2">
        <w:rPr>
          <w:rFonts w:ascii="CG Times" w:hAnsi="CG Times"/>
          <w:sz w:val="21"/>
          <w:szCs w:val="21"/>
          <w:lang w:val="sq-AL"/>
        </w:rPr>
        <w:t>ka vendosur, ndër të tjera:</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 deklarimin fajtor të kërkuesit për veprën penale të “prodhimit dhe shitjes së narkotikëve”, parashikuar nga neni 283/1 i Kodit Penal (KP), dhe dënimin e tij me 5 vjet burgim;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 deklarimin fajtor të kërkuesit për veprën penale të “mosbindjes ndaj urdhrit të punonjësit të policisë”, parashikuar nga neni 242 i KP-së, dhe dënimin e tij me 1 muaj burgim;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në bashkim të dënimeve, në bazë të nenit 55 të KP-së, dënimin e vetëm me 5 vjet burgim;</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në bazë të nenit 34 të KP-së, dënimin e tij edhe me gjobë në masën 200.000 lekë.</w:t>
      </w:r>
    </w:p>
    <w:p w:rsidR="0055563F" w:rsidRPr="002E36E2" w:rsidRDefault="0055563F" w:rsidP="0055563F">
      <w:pPr>
        <w:ind w:firstLine="720"/>
        <w:jc w:val="both"/>
        <w:rPr>
          <w:rFonts w:ascii="CG Times" w:hAnsi="CG Times"/>
          <w:i/>
          <w:sz w:val="21"/>
          <w:szCs w:val="21"/>
          <w:lang w:val="sq-AL"/>
        </w:rPr>
      </w:pPr>
      <w:r w:rsidRPr="002E36E2">
        <w:rPr>
          <w:rFonts w:ascii="CG Times" w:hAnsi="CG Times"/>
          <w:sz w:val="21"/>
          <w:szCs w:val="21"/>
          <w:lang w:val="sq-AL"/>
        </w:rPr>
        <w:t xml:space="preserve">2. Gjykata e Apelit Korçë, me vendimin </w:t>
      </w:r>
      <w:r w:rsidRPr="002E36E2">
        <w:rPr>
          <w:rFonts w:ascii="CG Times" w:hAnsi="CG Times"/>
          <w:bCs/>
          <w:sz w:val="21"/>
          <w:szCs w:val="21"/>
          <w:lang w:val="sq-AL"/>
        </w:rPr>
        <w:t xml:space="preserve">nr. 32, datë 15.3.2011, </w:t>
      </w:r>
      <w:r w:rsidRPr="002E36E2">
        <w:rPr>
          <w:rFonts w:ascii="CG Times" w:hAnsi="CG Times"/>
          <w:sz w:val="21"/>
          <w:szCs w:val="21"/>
          <w:lang w:val="sq-AL"/>
        </w:rPr>
        <w:t xml:space="preserve">ka vendosur prishjen e vendimit </w:t>
      </w:r>
      <w:r w:rsidRPr="002E36E2">
        <w:rPr>
          <w:rFonts w:ascii="CG Times" w:hAnsi="CG Times"/>
          <w:bCs/>
          <w:sz w:val="21"/>
          <w:szCs w:val="21"/>
          <w:lang w:val="sq-AL"/>
        </w:rPr>
        <w:t xml:space="preserve">nr. 401, datë 11.11.2010 të </w:t>
      </w:r>
      <w:r w:rsidRPr="002E36E2">
        <w:rPr>
          <w:rFonts w:ascii="CG Times" w:hAnsi="CG Times"/>
          <w:sz w:val="21"/>
          <w:szCs w:val="21"/>
          <w:lang w:val="sq-AL"/>
        </w:rPr>
        <w:t xml:space="preserve">Gjykatës së Rrethit Gjyqësor Korçë dhe pushimin e çështjes për kërkuesin.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3. Kolegji Penal i Gjykatës së Lartë, me vendimin </w:t>
      </w:r>
      <w:r w:rsidRPr="002E36E2">
        <w:rPr>
          <w:rFonts w:ascii="CG Times" w:hAnsi="CG Times"/>
          <w:bCs/>
          <w:sz w:val="21"/>
          <w:szCs w:val="21"/>
          <w:lang w:val="sq-AL"/>
        </w:rPr>
        <w:t xml:space="preserve">nr. </w:t>
      </w:r>
      <w:r w:rsidRPr="002E36E2">
        <w:rPr>
          <w:rFonts w:ascii="CG Times" w:hAnsi="CG Times"/>
          <w:sz w:val="21"/>
          <w:szCs w:val="21"/>
          <w:lang w:val="sq-AL"/>
        </w:rPr>
        <w:t xml:space="preserve">00-2013-945 (144), </w:t>
      </w:r>
      <w:r w:rsidRPr="002E36E2">
        <w:rPr>
          <w:rFonts w:ascii="CG Times" w:hAnsi="CG Times"/>
          <w:bCs/>
          <w:sz w:val="21"/>
          <w:szCs w:val="21"/>
          <w:lang w:val="sq-AL"/>
        </w:rPr>
        <w:t xml:space="preserve">datë 24.4.2013, </w:t>
      </w:r>
      <w:r w:rsidRPr="002E36E2">
        <w:rPr>
          <w:rFonts w:ascii="CG Times" w:hAnsi="CG Times"/>
          <w:sz w:val="21"/>
          <w:szCs w:val="21"/>
          <w:lang w:val="sq-AL"/>
        </w:rPr>
        <w:t xml:space="preserve">ka vendosur prishjen e vendimit nr. 32, datë 16.3.2011 të Gjykatës së Apelit Korçë dhe lënien në fuqi të vendimit </w:t>
      </w:r>
      <w:r w:rsidRPr="002E36E2">
        <w:rPr>
          <w:rFonts w:ascii="CG Times" w:hAnsi="CG Times"/>
          <w:bCs/>
          <w:sz w:val="21"/>
          <w:szCs w:val="21"/>
          <w:lang w:val="sq-AL"/>
        </w:rPr>
        <w:t xml:space="preserve">nr. 401, datë 11.11.2010 të </w:t>
      </w:r>
      <w:r w:rsidRPr="002E36E2">
        <w:rPr>
          <w:rFonts w:ascii="CG Times" w:hAnsi="CG Times"/>
          <w:sz w:val="21"/>
          <w:szCs w:val="21"/>
          <w:lang w:val="sq-AL"/>
        </w:rPr>
        <w:t xml:space="preserve">Gjykatës së Rrethit Gjyqësor Korçë. </w:t>
      </w:r>
    </w:p>
    <w:p w:rsidR="002F0F14" w:rsidRPr="002E36E2" w:rsidRDefault="002F0F14" w:rsidP="0055563F">
      <w:pPr>
        <w:jc w:val="center"/>
        <w:rPr>
          <w:rFonts w:ascii="CG Times" w:hAnsi="CG Times"/>
          <w:b/>
          <w:sz w:val="16"/>
          <w:szCs w:val="21"/>
          <w:lang w:val="sq-AL"/>
        </w:rPr>
      </w:pPr>
    </w:p>
    <w:p w:rsidR="0055563F" w:rsidRPr="002E36E2" w:rsidRDefault="0055563F" w:rsidP="0055563F">
      <w:pPr>
        <w:jc w:val="center"/>
        <w:rPr>
          <w:rFonts w:ascii="CG Times" w:hAnsi="CG Times"/>
          <w:b/>
          <w:sz w:val="21"/>
          <w:szCs w:val="21"/>
          <w:lang w:val="sq-AL"/>
        </w:rPr>
      </w:pPr>
      <w:r w:rsidRPr="002E36E2">
        <w:rPr>
          <w:rFonts w:ascii="CG Times" w:hAnsi="CG Times"/>
          <w:b/>
          <w:sz w:val="21"/>
          <w:szCs w:val="21"/>
          <w:lang w:val="sq-AL"/>
        </w:rPr>
        <w:t>II</w:t>
      </w:r>
    </w:p>
    <w:p w:rsidR="0055563F" w:rsidRPr="002E36E2" w:rsidRDefault="0055563F" w:rsidP="0055563F">
      <w:pPr>
        <w:ind w:firstLine="720"/>
        <w:jc w:val="both"/>
        <w:rPr>
          <w:rFonts w:ascii="CG Times" w:hAnsi="CG Times"/>
          <w:b/>
          <w:bCs/>
          <w:sz w:val="21"/>
          <w:szCs w:val="21"/>
          <w:lang w:val="sq-AL"/>
        </w:rPr>
      </w:pPr>
      <w:r w:rsidRPr="002E36E2">
        <w:rPr>
          <w:rFonts w:ascii="CG Times" w:hAnsi="CG Times"/>
          <w:sz w:val="21"/>
          <w:szCs w:val="21"/>
          <w:lang w:val="sq-AL"/>
        </w:rPr>
        <w:t xml:space="preserve">4. </w:t>
      </w:r>
      <w:r w:rsidRPr="002E36E2">
        <w:rPr>
          <w:rFonts w:ascii="CG Times" w:hAnsi="CG Times"/>
          <w:b/>
          <w:i/>
          <w:sz w:val="21"/>
          <w:szCs w:val="21"/>
          <w:lang w:val="sq-AL"/>
        </w:rPr>
        <w:t>Kërkuesi</w:t>
      </w:r>
      <w:r w:rsidRPr="002E36E2">
        <w:rPr>
          <w:rFonts w:ascii="CG Times" w:hAnsi="CG Times"/>
          <w:sz w:val="21"/>
          <w:szCs w:val="21"/>
          <w:lang w:val="sq-AL"/>
        </w:rPr>
        <w:t xml:space="preserve"> i është drejtuar Gjykatës Kushtetuese (Gjykata) për shfuqizimin e</w:t>
      </w:r>
      <w:r w:rsidRPr="002E36E2">
        <w:rPr>
          <w:rFonts w:ascii="CG Times" w:hAnsi="CG Times"/>
          <w:b/>
          <w:bCs/>
          <w:sz w:val="21"/>
          <w:szCs w:val="21"/>
          <w:lang w:val="sq-AL"/>
        </w:rPr>
        <w:t xml:space="preserve"> </w:t>
      </w:r>
      <w:r w:rsidRPr="002E36E2">
        <w:rPr>
          <w:rFonts w:ascii="CG Times" w:hAnsi="CG Times"/>
          <w:bCs/>
          <w:sz w:val="21"/>
          <w:szCs w:val="21"/>
          <w:lang w:val="sq-AL"/>
        </w:rPr>
        <w:t xml:space="preserve">vendimeve objekt kërkese, </w:t>
      </w:r>
      <w:r w:rsidRPr="002E36E2">
        <w:rPr>
          <w:rFonts w:ascii="CG Times" w:hAnsi="CG Times"/>
          <w:sz w:val="21"/>
          <w:szCs w:val="21"/>
          <w:lang w:val="sq-AL"/>
        </w:rPr>
        <w:t>pasi këto vendime i kanë cenuar të drejtën për një proces të rregullt ligjor në drejtimet e mëposhtme:</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 xml:space="preserve">4.1. Gjykata e Rrethit Gjyqësor Korçë dhe Gjykata e Lartë nuk kanë respektuar parimin e gjykimit nga një gjykatë e paanshme, për shkak të vlerësimit të gabuar të provave dhe të çmuarjes së tyre në kundërshtim me atë çka provonin. </w:t>
      </w:r>
    </w:p>
    <w:p w:rsidR="0055563F" w:rsidRPr="002E36E2" w:rsidRDefault="0055563F" w:rsidP="0055563F">
      <w:pPr>
        <w:pStyle w:val="BodyTextIndent"/>
        <w:spacing w:after="0"/>
        <w:ind w:left="0" w:firstLine="720"/>
        <w:jc w:val="both"/>
        <w:rPr>
          <w:rFonts w:ascii="CG Times" w:eastAsia="Calibri" w:hAnsi="CG Times"/>
          <w:sz w:val="21"/>
          <w:szCs w:val="21"/>
          <w:lang w:val="sq-AL" w:eastAsia="fr-FR"/>
        </w:rPr>
      </w:pPr>
      <w:r w:rsidRPr="002E36E2">
        <w:rPr>
          <w:rFonts w:ascii="CG Times" w:hAnsi="CG Times"/>
          <w:sz w:val="21"/>
          <w:szCs w:val="21"/>
          <w:lang w:val="sq-AL"/>
        </w:rPr>
        <w:lastRenderedPageBreak/>
        <w:t xml:space="preserve">4.2. Gjykata e Rrethit Gjyqësor Korçë dhe Gjykata e Lartë </w:t>
      </w:r>
      <w:r w:rsidRPr="002E36E2">
        <w:rPr>
          <w:rFonts w:ascii="CG Times" w:eastAsia="Calibri" w:hAnsi="CG Times"/>
          <w:sz w:val="21"/>
          <w:szCs w:val="21"/>
          <w:lang w:val="sq-AL" w:eastAsia="fr-FR"/>
        </w:rPr>
        <w:t xml:space="preserve">nuk kanë respektuar nenin 142/1 të Kushtetutës, që sanksionon detyrimin e arsyetimit të vendimit, pasi në këto dy vendime nuk arsyetohen provat dhe fuqia e tyre provuese, si dhe nuk rezulton një analizë e plotë e tyre në raport me provat e mbrojtjes. </w:t>
      </w:r>
    </w:p>
    <w:p w:rsidR="0055563F" w:rsidRPr="002E36E2" w:rsidRDefault="0055563F" w:rsidP="0055563F">
      <w:pPr>
        <w:pStyle w:val="BodyTextIndent"/>
        <w:spacing w:after="0"/>
        <w:ind w:left="0" w:firstLine="720"/>
        <w:jc w:val="both"/>
        <w:rPr>
          <w:rFonts w:ascii="CG Times" w:eastAsia="Calibri" w:hAnsi="CG Times"/>
          <w:sz w:val="21"/>
          <w:szCs w:val="21"/>
          <w:lang w:val="sq-AL" w:eastAsia="fr-FR"/>
        </w:rPr>
      </w:pPr>
      <w:r w:rsidRPr="002E36E2">
        <w:rPr>
          <w:rFonts w:ascii="CG Times" w:eastAsia="Calibri" w:hAnsi="CG Times"/>
          <w:sz w:val="21"/>
          <w:szCs w:val="21"/>
          <w:lang w:val="sq-AL" w:eastAsia="fr-FR"/>
        </w:rPr>
        <w:t xml:space="preserve">4.3. Gjykata e Lartë ka gjykuar dhe shpallur fajtor kërkuesin për veprën penale </w:t>
      </w:r>
      <w:r w:rsidRPr="002E36E2">
        <w:rPr>
          <w:rFonts w:ascii="CG Times" w:hAnsi="CG Times"/>
          <w:sz w:val="21"/>
          <w:szCs w:val="21"/>
          <w:lang w:val="sq-AL"/>
        </w:rPr>
        <w:t>“mosbindje ndaj urdhrit të punonjësit të policisë”,</w:t>
      </w:r>
      <w:r w:rsidRPr="002E36E2">
        <w:rPr>
          <w:rFonts w:ascii="CG Times" w:eastAsia="Calibri" w:hAnsi="CG Times"/>
          <w:sz w:val="21"/>
          <w:szCs w:val="21"/>
          <w:lang w:val="sq-AL" w:eastAsia="fr-FR"/>
        </w:rPr>
        <w:t xml:space="preserve"> e cila në momentin e gjykimit ishte amnistuar me ligjin nr. 107/2012, i hyrë në fuqi në datën 28.12.2012.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eastAsia="Calibri" w:hAnsi="CG Times"/>
          <w:sz w:val="21"/>
          <w:szCs w:val="21"/>
          <w:lang w:val="sq-AL" w:eastAsia="fr-FR"/>
        </w:rPr>
        <w:t xml:space="preserve">4.4. </w:t>
      </w:r>
      <w:r w:rsidRPr="002E36E2">
        <w:rPr>
          <w:rFonts w:ascii="CG Times" w:hAnsi="CG Times"/>
          <w:sz w:val="21"/>
          <w:szCs w:val="21"/>
          <w:lang w:val="sq-AL"/>
        </w:rPr>
        <w:t xml:space="preserve">Gjykata e Rrethit Gjyqësor Korçë dhe Gjykata e Lartë, në kundërshtim me vendimin nr. 47, datë 26.7.2012 të Gjykatës Kushtetuese, kanë aplikuar për kërkuesin, si dënim kryesor, krahas dënimit me burgim edhe dënimin me gjobë. </w:t>
      </w:r>
    </w:p>
    <w:p w:rsidR="0055563F" w:rsidRPr="002E36E2" w:rsidRDefault="0055563F" w:rsidP="0055563F">
      <w:pPr>
        <w:numPr>
          <w:ilvl w:val="0"/>
          <w:numId w:val="36"/>
        </w:numPr>
        <w:tabs>
          <w:tab w:val="left" w:pos="993"/>
        </w:tabs>
        <w:ind w:left="0" w:firstLine="720"/>
        <w:jc w:val="both"/>
        <w:outlineLvl w:val="0"/>
        <w:rPr>
          <w:rFonts w:ascii="CG Times" w:hAnsi="CG Times"/>
          <w:bCs/>
          <w:kern w:val="28"/>
          <w:sz w:val="21"/>
          <w:szCs w:val="21"/>
          <w:lang w:val="sq-AL"/>
        </w:rPr>
      </w:pPr>
      <w:r w:rsidRPr="002E36E2">
        <w:rPr>
          <w:rFonts w:ascii="CG Times" w:hAnsi="CG Times"/>
          <w:b/>
          <w:bCs/>
          <w:i/>
          <w:kern w:val="28"/>
          <w:sz w:val="21"/>
          <w:szCs w:val="21"/>
          <w:lang w:val="sq-AL"/>
        </w:rPr>
        <w:t>Subjekti i interesuar, Prokuroria e Përgjithshme</w:t>
      </w:r>
      <w:r w:rsidRPr="002E36E2">
        <w:rPr>
          <w:rFonts w:ascii="CG Times" w:hAnsi="CG Times"/>
          <w:bCs/>
          <w:i/>
          <w:kern w:val="28"/>
          <w:sz w:val="21"/>
          <w:szCs w:val="21"/>
          <w:lang w:val="sq-AL"/>
        </w:rPr>
        <w:t xml:space="preserve">, </w:t>
      </w:r>
      <w:r w:rsidRPr="002E36E2">
        <w:rPr>
          <w:rFonts w:ascii="CG Times" w:hAnsi="CG Times"/>
          <w:bCs/>
          <w:kern w:val="28"/>
          <w:sz w:val="21"/>
          <w:szCs w:val="21"/>
          <w:lang w:val="sq-AL"/>
        </w:rPr>
        <w:t>ka paraqitur me shkrim, në mënyrë të përmbledhur, këto prapësime:</w:t>
      </w:r>
    </w:p>
    <w:p w:rsidR="0055563F" w:rsidRPr="002E36E2" w:rsidRDefault="0055563F" w:rsidP="0055563F">
      <w:pPr>
        <w:numPr>
          <w:ilvl w:val="1"/>
          <w:numId w:val="36"/>
        </w:numPr>
        <w:tabs>
          <w:tab w:val="left" w:pos="1170"/>
        </w:tabs>
        <w:ind w:left="0" w:firstLine="720"/>
        <w:jc w:val="both"/>
        <w:rPr>
          <w:rFonts w:ascii="CG Times" w:eastAsia="Calibri" w:hAnsi="CG Times"/>
          <w:sz w:val="21"/>
          <w:szCs w:val="21"/>
          <w:lang w:val="sq-AL" w:eastAsia="fr-FR"/>
        </w:rPr>
      </w:pPr>
      <w:r w:rsidRPr="002E36E2">
        <w:rPr>
          <w:rFonts w:ascii="CG Times" w:eastAsia="Calibri" w:hAnsi="CG Times"/>
          <w:sz w:val="21"/>
          <w:szCs w:val="21"/>
          <w:lang w:val="sq-AL" w:eastAsia="fr-FR"/>
        </w:rPr>
        <w:t>Pretendimet e k</w:t>
      </w:r>
      <w:r w:rsidRPr="002E36E2">
        <w:rPr>
          <w:rFonts w:ascii="CG Times" w:hAnsi="CG Times"/>
          <w:sz w:val="21"/>
          <w:szCs w:val="21"/>
          <w:lang w:val="sq-AL"/>
        </w:rPr>
        <w:t xml:space="preserve">ërkuesit për çmim dhe vlerësim provash, nuk mund të jenë objekt shqyrtimi në Gjykatën Kushtetuese, pasi ato nuk hyjnë në juridiksionin e saj, por kanë të bëjnë me konstatimin e çështjeve që, sipas jurisprudencës së Gjykatës Kushtetuese, janë në kompetencë të gjykatave të juridiksionit të zakonshëm. Po ashtu, pretendimi i kërkuesit për paanshmëri të këtyre gjykatave është i pabazuar, sepse nuk është paraqitur asnjë argument për të provuar se gjykatat nuk kanë ofruar garanci procedurale të mjaftueshme dhe se kanë pasur interesa personale në çështjen në shqyrtim. </w:t>
      </w:r>
    </w:p>
    <w:p w:rsidR="0055563F" w:rsidRPr="002E36E2" w:rsidRDefault="0055563F" w:rsidP="0055563F">
      <w:pPr>
        <w:numPr>
          <w:ilvl w:val="1"/>
          <w:numId w:val="36"/>
        </w:numPr>
        <w:tabs>
          <w:tab w:val="left" w:pos="1170"/>
        </w:tabs>
        <w:ind w:left="0" w:firstLine="720"/>
        <w:jc w:val="both"/>
        <w:outlineLvl w:val="0"/>
        <w:rPr>
          <w:rFonts w:ascii="CG Times" w:hAnsi="CG Times"/>
          <w:bCs/>
          <w:kern w:val="28"/>
          <w:sz w:val="21"/>
          <w:szCs w:val="21"/>
          <w:lang w:val="sq-AL"/>
        </w:rPr>
      </w:pPr>
      <w:r w:rsidRPr="002E36E2">
        <w:rPr>
          <w:rFonts w:ascii="CG Times" w:hAnsi="CG Times"/>
          <w:bCs/>
          <w:kern w:val="28"/>
          <w:sz w:val="21"/>
          <w:szCs w:val="21"/>
          <w:lang w:val="sq-AL"/>
        </w:rPr>
        <w:t xml:space="preserve">Gjykatat e juridiksionit të zakonshëm në vendimet e tyre shpjegojnë dhe arsyetojnë shkaqet e themelit të dhënies së vendimeve të tyre, duke iu referuar fakteve për të cilat është zhvilluar procesi, provave të administruara, të cilat janë </w:t>
      </w:r>
      <w:r w:rsidR="007D0E6E" w:rsidRPr="002E36E2">
        <w:rPr>
          <w:rFonts w:ascii="CG Times" w:hAnsi="CG Times"/>
          <w:bCs/>
          <w:kern w:val="28"/>
          <w:sz w:val="21"/>
          <w:szCs w:val="21"/>
          <w:lang w:val="sq-AL"/>
        </w:rPr>
        <w:t>analizuar në harmoni me njëra-</w:t>
      </w:r>
      <w:r w:rsidRPr="002E36E2">
        <w:rPr>
          <w:rFonts w:ascii="CG Times" w:hAnsi="CG Times"/>
          <w:bCs/>
          <w:kern w:val="28"/>
          <w:sz w:val="21"/>
          <w:szCs w:val="21"/>
          <w:lang w:val="sq-AL"/>
        </w:rPr>
        <w:t>tjetrën, ligjeve të zbatueshme dhe kërkesave të ndryshme të palëve në gjykim, duke përmbushur detyrimin e sanksionuar në nenin 142 të Kushtetutës.</w:t>
      </w:r>
    </w:p>
    <w:p w:rsidR="0055563F" w:rsidRPr="002E36E2" w:rsidRDefault="0055563F" w:rsidP="0055563F">
      <w:pPr>
        <w:numPr>
          <w:ilvl w:val="1"/>
          <w:numId w:val="36"/>
        </w:numPr>
        <w:tabs>
          <w:tab w:val="left" w:pos="1170"/>
        </w:tabs>
        <w:ind w:left="0" w:firstLine="720"/>
        <w:jc w:val="both"/>
        <w:outlineLvl w:val="0"/>
        <w:rPr>
          <w:rFonts w:ascii="CG Times" w:hAnsi="CG Times"/>
          <w:bCs/>
          <w:kern w:val="28"/>
          <w:sz w:val="21"/>
          <w:szCs w:val="21"/>
          <w:lang w:val="sq-AL"/>
        </w:rPr>
      </w:pPr>
      <w:r w:rsidRPr="002E36E2">
        <w:rPr>
          <w:rFonts w:ascii="CG Times" w:hAnsi="CG Times"/>
          <w:bCs/>
          <w:kern w:val="28"/>
          <w:sz w:val="21"/>
          <w:szCs w:val="21"/>
          <w:lang w:val="sq-AL"/>
        </w:rPr>
        <w:t xml:space="preserve">Vepra penale </w:t>
      </w:r>
      <w:r w:rsidRPr="002E36E2">
        <w:rPr>
          <w:rFonts w:ascii="CG Times" w:hAnsi="CG Times"/>
          <w:sz w:val="21"/>
          <w:szCs w:val="21"/>
          <w:lang w:val="sq-AL"/>
        </w:rPr>
        <w:t>“mosbindje ndaj urdhrit të punonjësit të policisë”,</w:t>
      </w:r>
      <w:r w:rsidRPr="002E36E2">
        <w:rPr>
          <w:rFonts w:ascii="CG Times" w:eastAsia="Calibri" w:hAnsi="CG Times"/>
          <w:sz w:val="21"/>
          <w:szCs w:val="21"/>
          <w:lang w:val="sq-AL" w:eastAsia="fr-FR"/>
        </w:rPr>
        <w:t xml:space="preserve"> për të cilën është dënuar kërkuesi, plotëson kriteret për përfitim nga ligji nr. 107/2012 “Për dhënie amnistie”. </w:t>
      </w:r>
      <w:r w:rsidRPr="002E36E2">
        <w:rPr>
          <w:rFonts w:ascii="CG Times" w:hAnsi="CG Times"/>
          <w:bCs/>
          <w:kern w:val="28"/>
          <w:sz w:val="21"/>
          <w:szCs w:val="21"/>
          <w:lang w:val="sq-AL"/>
        </w:rPr>
        <w:t xml:space="preserve">Qëndrimi i Kolegjit Penal të Gjykatës së Lartë, që nuk ka vendosur pushimin e çështjes për këtë vepër penale, </w:t>
      </w:r>
      <w:r w:rsidRPr="002E36E2">
        <w:rPr>
          <w:rFonts w:ascii="CG Times" w:eastAsia="Calibri" w:hAnsi="CG Times"/>
          <w:sz w:val="21"/>
          <w:szCs w:val="21"/>
          <w:lang w:val="sq-AL" w:eastAsia="fr-FR"/>
        </w:rPr>
        <w:t xml:space="preserve">përbën një ometim. Gjithsesi, ky ometim nuk shkakton një dënim real të kërkuesit, pasi nuk ka ndikuar në masën e dënimit. Gjithashtu, ai është i riparueshëm pasi kërkuesi, sipas nenit 480 të Kodit të Procedurës Penale (KPP), mund t’i drejtohet gjykatës në fazën e ekzekutimit. Në këtë drejtim, kërkuesi nuk i ka shteruar mjetet ligjore në dispozicion. </w:t>
      </w:r>
    </w:p>
    <w:p w:rsidR="0055563F" w:rsidRPr="002E36E2" w:rsidRDefault="0055563F" w:rsidP="0055563F">
      <w:pPr>
        <w:numPr>
          <w:ilvl w:val="1"/>
          <w:numId w:val="36"/>
        </w:numPr>
        <w:tabs>
          <w:tab w:val="left" w:pos="1170"/>
        </w:tabs>
        <w:ind w:left="0" w:firstLine="720"/>
        <w:jc w:val="both"/>
        <w:outlineLvl w:val="0"/>
        <w:rPr>
          <w:rFonts w:ascii="CG Times" w:hAnsi="CG Times"/>
          <w:bCs/>
          <w:kern w:val="28"/>
          <w:sz w:val="21"/>
          <w:szCs w:val="21"/>
          <w:lang w:val="sq-AL"/>
        </w:rPr>
      </w:pPr>
      <w:r w:rsidRPr="002E36E2">
        <w:rPr>
          <w:rFonts w:ascii="CG Times" w:hAnsi="CG Times"/>
          <w:sz w:val="21"/>
          <w:szCs w:val="21"/>
          <w:lang w:val="sq-AL"/>
        </w:rPr>
        <w:t xml:space="preserve">Në lidhje me aplikimin e dënimit me gjobë krahas atij me burg, Gjykata e Rrethit Gjyqësor Korçë dhe Gjykata e Lartë </w:t>
      </w:r>
      <w:r w:rsidRPr="002E36E2">
        <w:rPr>
          <w:rFonts w:ascii="CG Times" w:hAnsi="CG Times"/>
          <w:bCs/>
          <w:kern w:val="28"/>
          <w:sz w:val="21"/>
          <w:szCs w:val="21"/>
          <w:lang w:val="sq-AL"/>
        </w:rPr>
        <w:t>kanë vepruar në përputhje me qëndrimin e Gjykatës Kushtetuese. Gjykata e Rrethit Gjyqësor Korçë ka aplikuar ndaj kërkuesit dënimin me gjobë në zbatim të nenit 34/4 të KP-së, pasi vepra “prodhim dhe shitje e narkotikëve”, e parashikuar nga neni 283/1 i KP-së, është kryer për përfitime materiale dhe fakti që kjo dispozitë përmban vetëm dënim me burgim, lë vend edhe për një dënim me gjobë.</w:t>
      </w:r>
    </w:p>
    <w:p w:rsidR="00384EEF" w:rsidRPr="002E36E2" w:rsidRDefault="00384EEF" w:rsidP="0055563F">
      <w:pPr>
        <w:pStyle w:val="ListParagraph"/>
        <w:spacing w:after="0" w:line="240" w:lineRule="auto"/>
        <w:ind w:left="0"/>
        <w:jc w:val="center"/>
        <w:rPr>
          <w:rFonts w:ascii="CG Times" w:hAnsi="CG Times"/>
          <w:b/>
          <w:sz w:val="14"/>
          <w:szCs w:val="21"/>
          <w:lang w:val="sq-AL"/>
        </w:rPr>
      </w:pPr>
    </w:p>
    <w:p w:rsidR="0055563F" w:rsidRPr="002E36E2" w:rsidRDefault="0055563F" w:rsidP="0055563F">
      <w:pPr>
        <w:pStyle w:val="ListParagraph"/>
        <w:spacing w:after="0" w:line="240" w:lineRule="auto"/>
        <w:ind w:left="0"/>
        <w:jc w:val="center"/>
        <w:rPr>
          <w:rFonts w:ascii="CG Times" w:hAnsi="CG Times"/>
          <w:b/>
          <w:sz w:val="21"/>
          <w:szCs w:val="21"/>
          <w:lang w:val="sq-AL"/>
        </w:rPr>
      </w:pPr>
      <w:r w:rsidRPr="002E36E2">
        <w:rPr>
          <w:rFonts w:ascii="CG Times" w:hAnsi="CG Times"/>
          <w:b/>
          <w:sz w:val="21"/>
          <w:szCs w:val="21"/>
          <w:lang w:val="sq-AL"/>
        </w:rPr>
        <w:t>III</w:t>
      </w:r>
    </w:p>
    <w:p w:rsidR="0055563F" w:rsidRPr="002E36E2" w:rsidRDefault="0055563F" w:rsidP="0055563F">
      <w:pPr>
        <w:pStyle w:val="ListParagraph"/>
        <w:spacing w:after="0" w:line="240" w:lineRule="auto"/>
        <w:ind w:left="0"/>
        <w:jc w:val="center"/>
        <w:rPr>
          <w:rFonts w:ascii="CG Times" w:hAnsi="CG Times"/>
          <w:b/>
          <w:sz w:val="21"/>
          <w:szCs w:val="21"/>
          <w:lang w:val="sq-AL"/>
        </w:rPr>
      </w:pPr>
      <w:r w:rsidRPr="002E36E2">
        <w:rPr>
          <w:rFonts w:ascii="CG Times" w:hAnsi="CG Times"/>
          <w:b/>
          <w:sz w:val="21"/>
          <w:szCs w:val="21"/>
          <w:lang w:val="sq-AL"/>
        </w:rPr>
        <w:t>Vlerësimi i Gjykatës Kushtetuese</w:t>
      </w:r>
    </w:p>
    <w:p w:rsidR="0055563F" w:rsidRPr="002E36E2" w:rsidRDefault="0055563F" w:rsidP="0055563F">
      <w:pPr>
        <w:pStyle w:val="ListParagraph"/>
        <w:spacing w:after="0" w:line="240" w:lineRule="auto"/>
        <w:ind w:left="0" w:firstLine="720"/>
        <w:jc w:val="both"/>
        <w:rPr>
          <w:rFonts w:ascii="CG Times" w:hAnsi="CG Times"/>
          <w:sz w:val="21"/>
          <w:szCs w:val="21"/>
          <w:lang w:val="sq-AL"/>
        </w:rPr>
      </w:pPr>
    </w:p>
    <w:p w:rsidR="0055563F" w:rsidRPr="002E36E2" w:rsidRDefault="0055563F" w:rsidP="0055563F">
      <w:pPr>
        <w:pStyle w:val="ListParagraph"/>
        <w:spacing w:after="0" w:line="240" w:lineRule="auto"/>
        <w:ind w:left="0" w:firstLine="720"/>
        <w:jc w:val="both"/>
        <w:rPr>
          <w:rFonts w:ascii="CG Times" w:hAnsi="CG Times"/>
          <w:b/>
          <w:i/>
          <w:sz w:val="21"/>
          <w:szCs w:val="21"/>
          <w:lang w:val="sq-AL"/>
        </w:rPr>
      </w:pPr>
      <w:r w:rsidRPr="002E36E2">
        <w:rPr>
          <w:rFonts w:ascii="CG Times" w:hAnsi="CG Times"/>
          <w:b/>
          <w:i/>
          <w:sz w:val="21"/>
          <w:szCs w:val="21"/>
          <w:lang w:val="sq-AL"/>
        </w:rPr>
        <w:t>Për pretendimin e vlerësimit të provave</w:t>
      </w:r>
    </w:p>
    <w:p w:rsidR="0055563F" w:rsidRPr="002E36E2" w:rsidRDefault="0055563F" w:rsidP="0055563F">
      <w:pPr>
        <w:pStyle w:val="BodyTextIndent"/>
        <w:spacing w:after="0"/>
        <w:ind w:left="0" w:firstLine="720"/>
        <w:jc w:val="both"/>
        <w:rPr>
          <w:rFonts w:ascii="CG Times" w:eastAsia="Calibri" w:hAnsi="CG Times"/>
          <w:sz w:val="21"/>
          <w:szCs w:val="21"/>
          <w:lang w:val="sq-AL" w:eastAsia="fr-FR"/>
        </w:rPr>
      </w:pPr>
      <w:r w:rsidRPr="002E36E2">
        <w:rPr>
          <w:rFonts w:ascii="CG Times" w:hAnsi="CG Times"/>
          <w:sz w:val="21"/>
          <w:szCs w:val="21"/>
          <w:lang w:val="sq-AL"/>
        </w:rPr>
        <w:t xml:space="preserve">6. Kërkuesi ka pretenduar se Gjykata e Rrethit Gjyqësor Korçë dhe Gjykata e Lartë kanë vlerësuar në mënyrë të gabuar provat dhe i kanë çmuar ato në kundërshtim me atë çka provonin. Gjithashtu, në vendimet e tyre, këto gjykata </w:t>
      </w:r>
      <w:r w:rsidRPr="002E36E2">
        <w:rPr>
          <w:rFonts w:ascii="CG Times" w:eastAsia="Calibri" w:hAnsi="CG Times"/>
          <w:sz w:val="21"/>
          <w:szCs w:val="21"/>
          <w:lang w:val="sq-AL" w:eastAsia="fr-FR"/>
        </w:rPr>
        <w:t xml:space="preserve">nuk kanë arsyetuar mbi fuqinë provuese të provave dhe nuk kanë bërë një analizë të plotë të tyre në raport me provat e mbrojtjes. Për rrjedhojë, sipas kërkuesit, është cenuar </w:t>
      </w:r>
      <w:r w:rsidRPr="002E36E2">
        <w:rPr>
          <w:rFonts w:ascii="CG Times" w:hAnsi="CG Times"/>
          <w:sz w:val="21"/>
          <w:szCs w:val="21"/>
          <w:lang w:val="sq-AL"/>
        </w:rPr>
        <w:t>parimi i gjykimit nga një gjykatë e paanshme,</w:t>
      </w:r>
      <w:r w:rsidRPr="002E36E2">
        <w:rPr>
          <w:rFonts w:ascii="CG Times" w:eastAsia="Calibri" w:hAnsi="CG Times"/>
          <w:sz w:val="21"/>
          <w:szCs w:val="21"/>
          <w:lang w:val="sq-AL" w:eastAsia="fr-FR"/>
        </w:rPr>
        <w:t xml:space="preserve"> si dhe parimi i arsyetimit të vendimit gjyqësor. </w:t>
      </w:r>
    </w:p>
    <w:p w:rsidR="0055563F" w:rsidRPr="002E36E2" w:rsidRDefault="0055563F" w:rsidP="0055563F">
      <w:pPr>
        <w:pStyle w:val="ListParagraph"/>
        <w:spacing w:after="0" w:line="240" w:lineRule="auto"/>
        <w:ind w:left="0" w:firstLine="720"/>
        <w:jc w:val="both"/>
        <w:rPr>
          <w:rFonts w:ascii="CG Times" w:hAnsi="CG Times"/>
          <w:sz w:val="21"/>
          <w:szCs w:val="21"/>
          <w:lang w:val="sq-AL"/>
        </w:rPr>
      </w:pPr>
      <w:r w:rsidRPr="002E36E2">
        <w:rPr>
          <w:rFonts w:ascii="CG Times" w:hAnsi="CG Times"/>
          <w:sz w:val="21"/>
          <w:szCs w:val="21"/>
          <w:lang w:val="sq-AL"/>
        </w:rPr>
        <w:t>7. Gjykata vlerëson se, pavarësisht mënyrës së formulimit të pretendimeve të kërkuesit, në thelb, ato kanë të bëjnë me çështje të konstatimit dhe vlerësimit të provave nga gjykatat</w:t>
      </w:r>
      <w:r w:rsidRPr="002E36E2">
        <w:rPr>
          <w:rFonts w:ascii="CG Times" w:eastAsia="Calibri" w:hAnsi="CG Times"/>
          <w:sz w:val="21"/>
          <w:szCs w:val="21"/>
          <w:lang w:val="sq-AL" w:eastAsia="fr-FR"/>
        </w:rPr>
        <w:t xml:space="preserve"> e juridiksionit të zakonshëm. </w:t>
      </w:r>
      <w:r w:rsidRPr="002E36E2">
        <w:rPr>
          <w:rFonts w:ascii="CG Times" w:hAnsi="CG Times"/>
          <w:sz w:val="21"/>
          <w:szCs w:val="21"/>
          <w:lang w:val="sq-AL"/>
        </w:rPr>
        <w:t xml:space="preserve">Gjykata, në jurisprudencën e saj, është shprehur, në mënyrë të vazhdueshme, se vlerësimi i fakteve dhe rrethanave të çështjes janë në kompetencë të gjykatave të sistemit gjyqësor të cilat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w:t>
      </w:r>
      <w:r w:rsidRPr="002E36E2">
        <w:rPr>
          <w:rFonts w:ascii="CG Times" w:hAnsi="CG Times"/>
          <w:sz w:val="21"/>
          <w:szCs w:val="21"/>
          <w:lang w:val="sq-AL"/>
        </w:rPr>
        <w:lastRenderedPageBreak/>
        <w:t>Gjykata nuk mund të bëjë vlerësim të provave dhe as të përcaktojë mënyrën e zgjidhjes së çështjes, sepse këto të fundit hyjnë në sferën e kompetencave të gjykatave të sistemit gjyqësor (</w:t>
      </w:r>
      <w:r w:rsidRPr="002E36E2">
        <w:rPr>
          <w:rFonts w:ascii="CG Times" w:hAnsi="CG Times"/>
          <w:i/>
          <w:sz w:val="21"/>
          <w:szCs w:val="21"/>
          <w:lang w:val="sq-AL"/>
        </w:rPr>
        <w:t>shih vendimin nr. 19, datë 2.4.2012; nr. 26, datë 15.12.2008; nr. 7, datë 27.4.2005; nr. 106, datë 1.8.2001 të Gjykatës Kushtetuese</w:t>
      </w:r>
      <w:r w:rsidRPr="002E36E2">
        <w:rPr>
          <w:rFonts w:ascii="CG Times" w:hAnsi="CG Times"/>
          <w:sz w:val="21"/>
          <w:szCs w:val="21"/>
          <w:lang w:val="sq-AL"/>
        </w:rPr>
        <w:t>).</w:t>
      </w:r>
    </w:p>
    <w:p w:rsidR="0055563F" w:rsidRPr="002E36E2" w:rsidRDefault="0055563F" w:rsidP="0055563F">
      <w:pPr>
        <w:ind w:firstLine="720"/>
        <w:jc w:val="both"/>
        <w:rPr>
          <w:rFonts w:ascii="CG Times" w:eastAsia="Calibri" w:hAnsi="CG Times"/>
          <w:sz w:val="21"/>
          <w:szCs w:val="21"/>
          <w:lang w:val="sq-AL" w:eastAsia="fr-FR"/>
        </w:rPr>
      </w:pPr>
      <w:r w:rsidRPr="002E36E2">
        <w:rPr>
          <w:rFonts w:ascii="CG Times" w:hAnsi="CG Times"/>
          <w:sz w:val="21"/>
          <w:szCs w:val="21"/>
          <w:lang w:val="sq-AL"/>
        </w:rPr>
        <w:t>8. Si pasojë, Gjykata çmon se ajo nuk mund të investohet për shqyrtimin e pretendimeve të kërkuesit si më sipër</w:t>
      </w:r>
      <w:r w:rsidRPr="002E36E2">
        <w:rPr>
          <w:rFonts w:ascii="CG Times" w:eastAsia="Calibri" w:hAnsi="CG Times"/>
          <w:sz w:val="21"/>
          <w:szCs w:val="21"/>
          <w:lang w:val="sq-AL" w:eastAsia="fr-FR"/>
        </w:rPr>
        <w:t xml:space="preserve">, përderisa ato </w:t>
      </w:r>
      <w:r w:rsidRPr="002E36E2">
        <w:rPr>
          <w:rFonts w:ascii="CG Times" w:hAnsi="CG Times"/>
          <w:sz w:val="21"/>
          <w:szCs w:val="21"/>
          <w:lang w:val="sq-AL"/>
        </w:rPr>
        <w:t xml:space="preserve">nuk janë ngritur në nivelin e një gjykimi kushtetues. </w:t>
      </w:r>
    </w:p>
    <w:p w:rsidR="0055563F" w:rsidRPr="002E36E2" w:rsidRDefault="0055563F" w:rsidP="0055563F">
      <w:pPr>
        <w:pStyle w:val="BodyTextIndent"/>
        <w:spacing w:after="0"/>
        <w:ind w:left="0" w:firstLine="720"/>
        <w:rPr>
          <w:rFonts w:ascii="CG Times" w:hAnsi="CG Times"/>
          <w:b/>
          <w:i/>
          <w:sz w:val="21"/>
          <w:szCs w:val="21"/>
          <w:lang w:val="sq-AL"/>
        </w:rPr>
      </w:pPr>
      <w:r w:rsidRPr="002E36E2">
        <w:rPr>
          <w:rFonts w:ascii="CG Times" w:hAnsi="CG Times"/>
          <w:b/>
          <w:i/>
          <w:sz w:val="21"/>
          <w:szCs w:val="21"/>
          <w:lang w:val="sq-AL"/>
        </w:rPr>
        <w:t>Për pretendimin e amnistisë së veprës penale</w:t>
      </w:r>
    </w:p>
    <w:p w:rsidR="0055563F" w:rsidRPr="002E36E2" w:rsidRDefault="0055563F" w:rsidP="0055563F">
      <w:pPr>
        <w:ind w:firstLine="810"/>
        <w:jc w:val="both"/>
        <w:rPr>
          <w:rFonts w:ascii="CG Times" w:eastAsia="Calibri" w:hAnsi="CG Times"/>
          <w:sz w:val="21"/>
          <w:szCs w:val="21"/>
          <w:lang w:val="sq-AL" w:eastAsia="fr-FR"/>
        </w:rPr>
      </w:pPr>
      <w:r w:rsidRPr="002E36E2">
        <w:rPr>
          <w:rFonts w:ascii="CG Times" w:eastAsia="Calibri" w:hAnsi="CG Times"/>
          <w:sz w:val="21"/>
          <w:szCs w:val="21"/>
          <w:lang w:val="sq-AL" w:eastAsia="fr-FR"/>
        </w:rPr>
        <w:t xml:space="preserve">9. Kërkuesi pretendon se Gjykata e Lartë e ka gjykuar dhe shpallur fajtor për veprën penale </w:t>
      </w:r>
      <w:r w:rsidRPr="002E36E2">
        <w:rPr>
          <w:rFonts w:ascii="CG Times" w:hAnsi="CG Times"/>
          <w:sz w:val="21"/>
          <w:szCs w:val="21"/>
          <w:lang w:val="sq-AL"/>
        </w:rPr>
        <w:t>“mosbindje ndaj urdhrit të punonjësit të policisë”,</w:t>
      </w:r>
      <w:r w:rsidRPr="002E36E2">
        <w:rPr>
          <w:rFonts w:ascii="CG Times" w:eastAsia="Calibri" w:hAnsi="CG Times"/>
          <w:sz w:val="21"/>
          <w:szCs w:val="21"/>
          <w:lang w:val="sq-AL" w:eastAsia="fr-FR"/>
        </w:rPr>
        <w:t xml:space="preserve"> e cila në momentin e gjykimit ishte amnistuar me ligjin nr. 107/2012, i hyrë në fuqi në datën 28.12.2012. Edhe subjekti i interesuar, Prokuroria e Përgjithshme, parashtron se kjo v</w:t>
      </w:r>
      <w:r w:rsidRPr="002E36E2">
        <w:rPr>
          <w:rFonts w:ascii="CG Times" w:hAnsi="CG Times"/>
          <w:bCs/>
          <w:kern w:val="28"/>
          <w:sz w:val="21"/>
          <w:szCs w:val="21"/>
          <w:lang w:val="sq-AL"/>
        </w:rPr>
        <w:t xml:space="preserve">epër penale </w:t>
      </w:r>
      <w:r w:rsidRPr="002E36E2">
        <w:rPr>
          <w:rFonts w:ascii="CG Times" w:eastAsia="Calibri" w:hAnsi="CG Times"/>
          <w:sz w:val="21"/>
          <w:szCs w:val="21"/>
          <w:lang w:val="sq-AL" w:eastAsia="fr-FR"/>
        </w:rPr>
        <w:t>plotëson kriteret për përfitim nga ligji i lartpërmendur për dhënien e amnistisë dhe se q</w:t>
      </w:r>
      <w:r w:rsidRPr="002E36E2">
        <w:rPr>
          <w:rFonts w:ascii="CG Times" w:hAnsi="CG Times"/>
          <w:bCs/>
          <w:kern w:val="28"/>
          <w:sz w:val="21"/>
          <w:szCs w:val="21"/>
          <w:lang w:val="sq-AL"/>
        </w:rPr>
        <w:t xml:space="preserve">ëndrimi i Kolegjit Penal të Gjykatës së Lartë, që nuk ka vendosur pushimin e çështjes për këtë vepër penale, </w:t>
      </w:r>
      <w:r w:rsidRPr="002E36E2">
        <w:rPr>
          <w:rFonts w:ascii="CG Times" w:eastAsia="Calibri" w:hAnsi="CG Times"/>
          <w:sz w:val="21"/>
          <w:szCs w:val="21"/>
          <w:lang w:val="sq-AL" w:eastAsia="fr-FR"/>
        </w:rPr>
        <w:t xml:space="preserve">përbën thjesht një ometim të tij. </w:t>
      </w:r>
    </w:p>
    <w:p w:rsidR="0055563F" w:rsidRPr="002E36E2" w:rsidRDefault="0055563F" w:rsidP="0055563F">
      <w:pPr>
        <w:tabs>
          <w:tab w:val="left" w:pos="8640"/>
        </w:tabs>
        <w:ind w:firstLine="720"/>
        <w:jc w:val="both"/>
        <w:rPr>
          <w:rFonts w:ascii="CG Times" w:hAnsi="CG Times"/>
          <w:sz w:val="21"/>
          <w:szCs w:val="21"/>
          <w:lang w:val="sq-AL"/>
        </w:rPr>
      </w:pPr>
      <w:r w:rsidRPr="002E36E2">
        <w:rPr>
          <w:rFonts w:ascii="CG Times" w:hAnsi="CG Times"/>
          <w:sz w:val="21"/>
          <w:szCs w:val="21"/>
          <w:lang w:val="sq-AL"/>
        </w:rPr>
        <w:t>10. Nga ana tjetër, subjekti i interesuar pretendon se kërkuesi nuk i ka shteruar të gjitha mjetet ligjore të ankimit, si kusht për t’iu drejtuar Gjykatës, pasi ai, për të riparuar ometimin e Gjykatës së Lartë, konform nenit 480 të KPP-së, mund t’i drejtohet gjykatës kompetente në fazën e ekzekutimit të vendimit.</w:t>
      </w:r>
    </w:p>
    <w:p w:rsidR="0055563F" w:rsidRPr="002E36E2" w:rsidRDefault="0055563F" w:rsidP="0055563F">
      <w:pPr>
        <w:tabs>
          <w:tab w:val="left" w:pos="8640"/>
        </w:tabs>
        <w:ind w:firstLine="720"/>
        <w:jc w:val="both"/>
        <w:rPr>
          <w:rFonts w:ascii="CG Times" w:hAnsi="CG Times"/>
          <w:sz w:val="21"/>
          <w:szCs w:val="21"/>
          <w:lang w:val="sq-AL"/>
        </w:rPr>
      </w:pPr>
      <w:r w:rsidRPr="002E36E2">
        <w:rPr>
          <w:rFonts w:ascii="CG Times" w:hAnsi="CG Times"/>
          <w:sz w:val="21"/>
          <w:szCs w:val="21"/>
          <w:lang w:val="sq-AL"/>
        </w:rPr>
        <w:t>11. Në titullin IX, kreu II, i KPP-së, parashikohet shqyrtimi nga gjykata i çështjeve që lidhen me ekzekutimin e vendimeve. Në këtë kontekst, neni 480 i KPP-së sanksion kompetencat e tjera të gjykatës në fazën e ekzekutimit, të tilla si: shuarja e veprës penale pas dënimit, shuarja e dënimit etj. Referuar kapitullit të KPP-së, në të cilin gjendet neni 480, dhe mbështetur në përmbajtjen e tij, Gjykata vlerëson se ky nen ka të bëjë ekskluzivisht me kompetencat e gjykatave të sistemit gjyqësor në fazën e ekzekutimit të vendimit, ndërsa rasti objekt shqyrtimi është i lidhur ngushtë me pasojat që amnistia e veprës penale sjell në momentin e shqyrtimit të çështjes në Gjykatën e Lartë. Për rrjedhojë, Gjykata çmon se, ndryshe nga sa prapëson subjekti i interesuar, kërkuesi legjitimohet në kërkesën e tij drejtuar kësaj Gjykate.</w:t>
      </w:r>
    </w:p>
    <w:p w:rsidR="0055563F" w:rsidRPr="002E36E2" w:rsidRDefault="0055563F" w:rsidP="0055563F">
      <w:pPr>
        <w:ind w:firstLine="720"/>
        <w:jc w:val="both"/>
        <w:rPr>
          <w:rFonts w:ascii="CG Times" w:hAnsi="CG Times"/>
          <w:sz w:val="21"/>
          <w:szCs w:val="21"/>
          <w:lang w:val="sq-AL"/>
        </w:rPr>
      </w:pPr>
      <w:r w:rsidRPr="002E36E2">
        <w:rPr>
          <w:rFonts w:ascii="CG Times" w:hAnsi="CG Times"/>
          <w:bCs/>
          <w:sz w:val="21"/>
          <w:szCs w:val="21"/>
          <w:lang w:val="sq-AL"/>
        </w:rPr>
        <w:t xml:space="preserve">12. Në këto kushte, në zbatim të parimit </w:t>
      </w:r>
      <w:r w:rsidRPr="002E36E2">
        <w:rPr>
          <w:rFonts w:ascii="CG Times" w:hAnsi="CG Times"/>
          <w:bCs/>
          <w:i/>
          <w:sz w:val="21"/>
          <w:szCs w:val="21"/>
          <w:lang w:val="sq-AL"/>
        </w:rPr>
        <w:t>iura novit curia,</w:t>
      </w:r>
      <w:r w:rsidRPr="002E36E2">
        <w:rPr>
          <w:rFonts w:ascii="CG Times" w:hAnsi="CG Times"/>
          <w:bCs/>
          <w:sz w:val="21"/>
          <w:szCs w:val="21"/>
          <w:lang w:val="sq-AL"/>
        </w:rPr>
        <w:t xml:space="preserve"> sipas të cilit G</w:t>
      </w:r>
      <w:r w:rsidRPr="002E36E2">
        <w:rPr>
          <w:rFonts w:ascii="CG Times" w:hAnsi="CG Times"/>
          <w:color w:val="000000"/>
          <w:sz w:val="21"/>
          <w:szCs w:val="21"/>
          <w:lang w:val="sq-AL"/>
        </w:rPr>
        <w:t xml:space="preserve">jykata mund të vlerësojë vetë nëse pretendimet e ngritura nga kërkuesi bien në fushën e veprimit të një dispozite të caktuar, që nuk është parashtruar para saj dhe se ajo nuk e konsideron veten të detyruar nga cilësimi që i është bërë fakteve të çështjes nga kërkuesi </w:t>
      </w:r>
      <w:r w:rsidRPr="002E36E2">
        <w:rPr>
          <w:rFonts w:ascii="CG Times" w:hAnsi="CG Times"/>
          <w:i/>
          <w:color w:val="000000"/>
          <w:sz w:val="21"/>
          <w:szCs w:val="21"/>
          <w:lang w:val="sq-AL"/>
        </w:rPr>
        <w:t>(shih v</w:t>
      </w:r>
      <w:r w:rsidRPr="002E36E2">
        <w:rPr>
          <w:rFonts w:ascii="CG Times" w:hAnsi="CG Times"/>
          <w:i/>
          <w:sz w:val="21"/>
          <w:szCs w:val="21"/>
          <w:lang w:val="sq-AL"/>
        </w:rPr>
        <w:t xml:space="preserve">endimet nr. 27, datë 9.5.2012; nr. 19, datë 25.4.2013 të Gjykatës Kushtetuese), </w:t>
      </w:r>
      <w:r w:rsidRPr="002E36E2">
        <w:rPr>
          <w:rFonts w:ascii="CG Times" w:hAnsi="CG Times"/>
          <w:sz w:val="21"/>
          <w:szCs w:val="21"/>
          <w:lang w:val="sq-AL"/>
        </w:rPr>
        <w:t xml:space="preserve">Gjykata vlerëson </w:t>
      </w:r>
      <w:r w:rsidRPr="002E36E2">
        <w:rPr>
          <w:rFonts w:ascii="CG Times" w:hAnsi="CG Times"/>
          <w:bCs/>
          <w:sz w:val="21"/>
          <w:szCs w:val="21"/>
          <w:lang w:val="sq-AL"/>
        </w:rPr>
        <w:t xml:space="preserve">se çështja që shtrohet për shqyrtim në rastin konkret konsiston në vlerësimin nëse kërkuesit i është cenuar e </w:t>
      </w:r>
      <w:r w:rsidRPr="002E36E2">
        <w:rPr>
          <w:rFonts w:ascii="CG Times" w:hAnsi="CG Times"/>
          <w:sz w:val="21"/>
          <w:szCs w:val="21"/>
          <w:lang w:val="sq-AL"/>
        </w:rPr>
        <w:t xml:space="preserve">drejta e përfitimit nga efekti prapaveprues i ligjit penal favorizues, e sanksionuar në nenin 29/3 të Kushtetutës.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13. Gjykata është shprehur se ky është një parim themelor që ka të bëjë me thelbin e një procesi të drejtë penal dhe si i tillë, është i rëndësishëm për respektimin e së drejtës kushtetuese për një proces të rregullt ligjor (</w:t>
      </w:r>
      <w:r w:rsidRPr="002E36E2">
        <w:rPr>
          <w:rFonts w:ascii="CG Times" w:hAnsi="CG Times"/>
          <w:i/>
          <w:sz w:val="21"/>
          <w:szCs w:val="21"/>
          <w:lang w:val="sq-AL"/>
        </w:rPr>
        <w:t xml:space="preserve">shih vendimin nr. 14, datë 17.4.2007 të Gjykatës Kushtetuese). </w:t>
      </w:r>
      <w:r w:rsidRPr="002E36E2">
        <w:rPr>
          <w:rFonts w:ascii="CG Times" w:hAnsi="CG Times"/>
          <w:sz w:val="21"/>
          <w:szCs w:val="21"/>
          <w:lang w:val="sq-AL"/>
        </w:rPr>
        <w:t>Neni 29 i Kushtetutës parashikon se askush nuk mund të akuzohet ose të deklarohet fajtor për një vepër penale, e cila nuk konsiderohej e tillë me ligj në kohën e kryerjes së saj; se nuk mund të jepet një dënim më i rëndë se ai që ka qenë parashikuar me ligj në kohën e kryerjes së veprës penale; se ligji penal favorizues ka fuqi prapavepruese. Kjo dispozitë kushtetuese reflektohet edhe në nenin 3 të KP-së, sipas të cilit askush nuk mund të dënohet për një vepër që, sipas ligjit të kohës kur është kryer, nuk përbënte vepër penale; ligji i ri që nuk dënon veprën penale ka fuqi prapavepruese; kur ligji i kohës kur është kryer vepra penale dhe ligji i mëvonshëm janë të ndryshëm, zbatohet ai ligj dispozitat e të cilit janë më të favorshme për personin që ka kryer veprën penale.</w:t>
      </w:r>
    </w:p>
    <w:p w:rsidR="0055563F" w:rsidRPr="002E36E2" w:rsidRDefault="0055563F" w:rsidP="0055563F">
      <w:pPr>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14. Parimi i përgjithshëm që vepron në sistemin e së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 Gjykata ka theksuar se parimi kushtetues i fuqisë prapavepruese të ligjit penal favorizues duhet respektuar nga të gjitha gjykatat e juridiksionit të zakonshëm, mjafton që fati i çështjes të mos jetë vendosur ende përfundimisht prej tyre. Për më tepër, ky parim duhet të respektohet edhe në gjykimin që mund të zhvillohet në Gjykatën e Lartë, sepse është pikërisht kjo Gjykatë që kontrollon mënyrën e zbatimit të ligjit material dhe procedural nga ana e gjykatave më të ulëta (</w:t>
      </w:r>
      <w:r w:rsidRPr="002E36E2">
        <w:rPr>
          <w:rFonts w:ascii="CG Times" w:hAnsi="CG Times"/>
          <w:i/>
          <w:sz w:val="21"/>
          <w:szCs w:val="21"/>
          <w:lang w:val="sq-AL"/>
        </w:rPr>
        <w:t>shih vendimet nr. 35, datë 20.12.2005; nr. 14, datë 17.4.2007 të Gjykatës Kushtetuese</w:t>
      </w:r>
      <w:r w:rsidRPr="002E36E2">
        <w:rPr>
          <w:rFonts w:ascii="CG Times" w:hAnsi="CG Times"/>
          <w:sz w:val="21"/>
          <w:szCs w:val="21"/>
          <w:lang w:val="sq-AL"/>
        </w:rPr>
        <w:t xml:space="preserve">).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lastRenderedPageBreak/>
        <w:t xml:space="preserve">15. Gjykata, në funksion të kontrollit të respektimit të parimit të lartpërmendur, nisur edhe nga pretendimet e ngritura nga subjekti i interesuar, vlerëson të rishprehet për kuptimin kushtetues e ligjor të amnistisë, si dhe për pasojat që ajo sjell ndaj procedurave të gjykimit në Gjykatën e Lartë. </w:t>
      </w:r>
    </w:p>
    <w:p w:rsidR="0055563F" w:rsidRPr="002E36E2" w:rsidRDefault="0055563F" w:rsidP="0055563F">
      <w:pPr>
        <w:pStyle w:val="BodyTextIndent"/>
        <w:spacing w:after="0"/>
        <w:ind w:left="0" w:firstLine="720"/>
        <w:jc w:val="both"/>
        <w:rPr>
          <w:rFonts w:ascii="CG Times" w:hAnsi="CG Times"/>
          <w:i/>
          <w:sz w:val="21"/>
          <w:szCs w:val="21"/>
          <w:lang w:val="sq-AL"/>
        </w:rPr>
      </w:pPr>
      <w:r w:rsidRPr="002E36E2">
        <w:rPr>
          <w:rFonts w:ascii="CG Times" w:hAnsi="CG Times"/>
          <w:sz w:val="21"/>
          <w:szCs w:val="21"/>
          <w:lang w:val="sq-AL"/>
        </w:rPr>
        <w:t>16. Amnistia përbën një masë të përgjithshme faljeje për kategori të përcaktuara veprash penale të kryera në një periudhë të caktuar kohe, apo dënimeve përkatëse. Në trajtimin doktrinar penal dhe jurisprudencial të amnistisë, njihen amnistia e veprës penale që vepron para dhënies së vendimit përfundimtar të dënimit me pasojë shuarjen e veprës penale të kryer dhe amnistia e dënimit, e cila</w:t>
      </w:r>
      <w:r w:rsidRPr="002E36E2">
        <w:rPr>
          <w:rFonts w:ascii="CG Times" w:hAnsi="CG Times"/>
          <w:i/>
          <w:sz w:val="21"/>
          <w:szCs w:val="21"/>
          <w:lang w:val="sq-AL"/>
        </w:rPr>
        <w:t xml:space="preserve"> </w:t>
      </w:r>
      <w:r w:rsidRPr="002E36E2">
        <w:rPr>
          <w:rFonts w:ascii="CG Times" w:hAnsi="CG Times"/>
          <w:sz w:val="21"/>
          <w:szCs w:val="21"/>
          <w:lang w:val="sq-AL"/>
        </w:rPr>
        <w:t xml:space="preserve">ndërhyn pas dhënies së një vendimi përfundimtar dënimi, duke shuar ekzekutimin e dënimit, dhe të dënimeve aksesore, edhe pse mbeten efektet e tjera penale. Ndryshimi midis tyre qëndron në faktin se amnistia e veprës penale sjell si pasojë mosfillimin ose pushimin e ndjekjes penale përpara se të jetë dhënë një vendim përfundimtar dënimi (i ekzekutueshëm), ndërsa amnistia e dënimit sjell efekte pas dhënies së vendimit të ekzekutueshëm </w:t>
      </w:r>
      <w:r w:rsidRPr="002E36E2">
        <w:rPr>
          <w:rFonts w:ascii="CG Times" w:hAnsi="CG Times"/>
          <w:i/>
          <w:sz w:val="21"/>
          <w:szCs w:val="21"/>
          <w:lang w:val="sq-AL"/>
        </w:rPr>
        <w:t>(shih vendimin nr. 16, datë 19.4.2010 të Gjykatës Kushtetuese)</w:t>
      </w:r>
      <w:r w:rsidRPr="002E36E2">
        <w:rPr>
          <w:rFonts w:ascii="CG Times" w:hAnsi="CG Times"/>
          <w:sz w:val="21"/>
          <w:szCs w:val="21"/>
          <w:lang w:val="sq-AL"/>
        </w:rPr>
        <w:t>.</w:t>
      </w:r>
    </w:p>
    <w:p w:rsidR="0055563F" w:rsidRPr="002E36E2" w:rsidRDefault="0055563F" w:rsidP="0055563F">
      <w:pPr>
        <w:pStyle w:val="BodyTextIndent"/>
        <w:spacing w:after="0"/>
        <w:ind w:left="0" w:firstLine="720"/>
        <w:jc w:val="both"/>
        <w:rPr>
          <w:rFonts w:ascii="CG Times" w:eastAsia="Calibri" w:hAnsi="CG Times"/>
          <w:sz w:val="21"/>
          <w:szCs w:val="21"/>
          <w:lang w:val="sq-AL" w:eastAsia="fr-FR"/>
        </w:rPr>
      </w:pPr>
      <w:r w:rsidRPr="002E36E2">
        <w:rPr>
          <w:rFonts w:ascii="CG Times" w:hAnsi="CG Times"/>
          <w:sz w:val="21"/>
          <w:szCs w:val="21"/>
          <w:lang w:val="sq-AL"/>
        </w:rPr>
        <w:t xml:space="preserve">17. Në rastin konkret, rezulton se ligji </w:t>
      </w:r>
      <w:r w:rsidRPr="002E36E2">
        <w:rPr>
          <w:rFonts w:ascii="CG Times" w:eastAsia="Calibri" w:hAnsi="CG Times"/>
          <w:sz w:val="21"/>
          <w:szCs w:val="21"/>
          <w:lang w:val="sq-AL" w:eastAsia="fr-FR"/>
        </w:rPr>
        <w:t>nr. 107/2012 “Për dhënie amnistie”, datë 8.11.2012, i hyrë në fuqi në datën 28.12.2012, në nenin 5 të tij, ndër kriteret për përfitimin e amnistisë ka parashikuar se “</w:t>
      </w:r>
      <w:r w:rsidRPr="002E36E2">
        <w:rPr>
          <w:rFonts w:ascii="CG Times" w:eastAsia="Calibri" w:hAnsi="CG Times"/>
          <w:i/>
          <w:sz w:val="21"/>
          <w:szCs w:val="21"/>
          <w:lang w:val="sq-AL" w:eastAsia="fr-FR"/>
        </w:rPr>
        <w:t>1. Procedimi penal nuk mund të fillojë dhe nëse ka filluar duhet të pushojë për veprat penale të kryera deri në datën 30 shtator 2012, për të cilat Kodi Penal parashikon një dënim me burgim deri në 2 vjet ose çdo lloj dënimi tjetër më të lehtë. 2. Sipas kompetencës së dhënë nga Kodi i Procedurës Penale dhe në varësi të fazës apo të shkallës së procedimit penal, prokurori ose gjykata vendosin mosfillimin e çështjes penale apo pushimin e çështjes penale për veprat penale që amnistohen</w:t>
      </w:r>
      <w:r w:rsidRPr="002E36E2">
        <w:rPr>
          <w:rFonts w:ascii="CG Times" w:eastAsia="Calibri" w:hAnsi="CG Times"/>
          <w:sz w:val="21"/>
          <w:szCs w:val="21"/>
          <w:lang w:val="sq-AL" w:eastAsia="fr-FR"/>
        </w:rPr>
        <w:t>”.</w:t>
      </w:r>
    </w:p>
    <w:p w:rsidR="0055563F" w:rsidRPr="002E36E2" w:rsidRDefault="0055563F" w:rsidP="0055563F">
      <w:pPr>
        <w:ind w:firstLine="810"/>
        <w:jc w:val="both"/>
        <w:rPr>
          <w:rFonts w:ascii="CG Times" w:hAnsi="CG Times"/>
          <w:sz w:val="21"/>
          <w:szCs w:val="21"/>
          <w:lang w:val="sq-AL"/>
        </w:rPr>
      </w:pPr>
      <w:r w:rsidRPr="002E36E2">
        <w:rPr>
          <w:rFonts w:ascii="CG Times" w:eastAsia="Calibri" w:hAnsi="CG Times"/>
          <w:sz w:val="21"/>
          <w:szCs w:val="21"/>
          <w:lang w:val="sq-AL" w:eastAsia="fr-FR"/>
        </w:rPr>
        <w:t>18. Nga ana tjetër, n</w:t>
      </w:r>
      <w:r w:rsidRPr="002E36E2">
        <w:rPr>
          <w:rFonts w:ascii="CG Times" w:hAnsi="CG Times"/>
          <w:sz w:val="21"/>
          <w:szCs w:val="21"/>
          <w:lang w:val="sq-AL"/>
        </w:rPr>
        <w:t>ë nenin 71 të KP-së përcaktohet se: “</w:t>
      </w:r>
      <w:r w:rsidRPr="002E36E2">
        <w:rPr>
          <w:rFonts w:ascii="CG Times" w:hAnsi="CG Times"/>
          <w:i/>
          <w:sz w:val="21"/>
          <w:szCs w:val="21"/>
          <w:lang w:val="sq-AL"/>
        </w:rPr>
        <w:t>Me aktin e amnistisë organi kompetent përjashton nga ndjekja penale, nga vuajtja tërësisht apo pjesërisht e dënimit ose bën zëvendësimin e dënimit me një lloj dënimi më të butë. Amnistia shtrihet për ato vepra penale të kryera deri një ditë para shpalljes së saj, veç rastit kur në aktin përkatës vendoset ndryshe”</w:t>
      </w:r>
      <w:r w:rsidRPr="002E36E2">
        <w:rPr>
          <w:rFonts w:ascii="CG Times" w:hAnsi="CG Times"/>
          <w:sz w:val="21"/>
          <w:szCs w:val="21"/>
          <w:lang w:val="sq-AL"/>
        </w:rPr>
        <w:t xml:space="preserve">. </w:t>
      </w:r>
    </w:p>
    <w:p w:rsidR="0055563F" w:rsidRPr="002E36E2" w:rsidRDefault="0055563F" w:rsidP="0055563F">
      <w:pPr>
        <w:pStyle w:val="BodyTextIndent"/>
        <w:spacing w:after="0"/>
        <w:ind w:left="0" w:firstLine="720"/>
        <w:jc w:val="both"/>
        <w:rPr>
          <w:rFonts w:ascii="CG Times" w:hAnsi="CG Times"/>
          <w:i/>
          <w:sz w:val="21"/>
          <w:szCs w:val="21"/>
          <w:lang w:val="sq-AL"/>
        </w:rPr>
      </w:pPr>
      <w:r w:rsidRPr="002E36E2">
        <w:rPr>
          <w:rFonts w:ascii="CG Times" w:hAnsi="CG Times"/>
          <w:sz w:val="21"/>
          <w:szCs w:val="21"/>
          <w:lang w:val="sq-AL"/>
        </w:rPr>
        <w:t>19. Në lidhje me përmbajtjen e kësaj norme, Gjykata ka përcaktuar se akti i amnistisë parashikon disa organe</w:t>
      </w:r>
      <w:r w:rsidR="003461B1" w:rsidRPr="002E36E2">
        <w:rPr>
          <w:rFonts w:ascii="CG Times" w:hAnsi="CG Times"/>
          <w:sz w:val="21"/>
          <w:szCs w:val="21"/>
          <w:lang w:val="sq-AL"/>
        </w:rPr>
        <w:t>,</w:t>
      </w:r>
      <w:r w:rsidRPr="002E36E2">
        <w:rPr>
          <w:rFonts w:ascii="CG Times" w:hAnsi="CG Times"/>
          <w:sz w:val="21"/>
          <w:szCs w:val="21"/>
          <w:lang w:val="sq-AL"/>
        </w:rPr>
        <w:t xml:space="preserve"> të cilat, me hyrjen në fuqi të këtij akti (ligji për dhënie amnistie), marrin kompetencë për të përjashtuar nga ndjekja penale (</w:t>
      </w:r>
      <w:r w:rsidRPr="002E36E2">
        <w:rPr>
          <w:rFonts w:ascii="CG Times" w:hAnsi="CG Times"/>
          <w:i/>
          <w:sz w:val="21"/>
          <w:szCs w:val="21"/>
          <w:lang w:val="sq-AL"/>
        </w:rPr>
        <w:t>amnistia e veprës penale</w:t>
      </w:r>
      <w:r w:rsidRPr="002E36E2">
        <w:rPr>
          <w:rFonts w:ascii="CG Times" w:hAnsi="CG Times"/>
          <w:sz w:val="21"/>
          <w:szCs w:val="21"/>
          <w:lang w:val="sq-AL"/>
        </w:rPr>
        <w:t>), nga vuajtja tërësisht apo pjesërisht e dënimit ose për të bërë zëvendësimin e dënimit me një lloj dënimi më të butë (</w:t>
      </w:r>
      <w:r w:rsidRPr="002E36E2">
        <w:rPr>
          <w:rFonts w:ascii="CG Times" w:hAnsi="CG Times"/>
          <w:i/>
          <w:sz w:val="21"/>
          <w:szCs w:val="21"/>
          <w:lang w:val="sq-AL"/>
        </w:rPr>
        <w:t>amnistia e dënimit</w:t>
      </w:r>
      <w:r w:rsidRPr="002E36E2">
        <w:rPr>
          <w:rFonts w:ascii="CG Times" w:hAnsi="CG Times"/>
          <w:sz w:val="21"/>
          <w:szCs w:val="21"/>
          <w:lang w:val="sq-AL"/>
        </w:rPr>
        <w:t>). Kështu, Prokuroria, që në kuptim të nenit 148/1 të Kushtetutës, është organi që ushtron ndjekjen penale dhe gjykata, që, në kuptim të nenit 42 dhe 135 të Kushtetutës, është organi kompetent që gjykon akuzat e ngritura ndaj individëve për vepra penale, me hyrjen në fuqi të ligjit për amnistinë, autorizohen të përjashtojnë nga ndjekja penale vepra penale të kryera sipas parashikimeve të këtij ligji. Për sa i përket përjashtimit nga vuajtja tër</w:t>
      </w:r>
      <w:r w:rsidR="003461B1" w:rsidRPr="002E36E2">
        <w:rPr>
          <w:rFonts w:ascii="CG Times" w:hAnsi="CG Times"/>
          <w:sz w:val="21"/>
          <w:szCs w:val="21"/>
          <w:lang w:val="sq-AL"/>
        </w:rPr>
        <w:t>ësisht apo pjesërisht e dënimit</w:t>
      </w:r>
      <w:r w:rsidRPr="002E36E2">
        <w:rPr>
          <w:rFonts w:ascii="CG Times" w:hAnsi="CG Times"/>
          <w:sz w:val="21"/>
          <w:szCs w:val="21"/>
          <w:lang w:val="sq-AL"/>
        </w:rPr>
        <w:t xml:space="preserve"> ose zëvendësimit të tij, organet kompetente janë ato të parashikuara nga ligji nr. 8331, datë 21.4.1998 “Për ekzekutimin e dënimeve penale”, i ndryshuar </w:t>
      </w:r>
      <w:r w:rsidRPr="002E36E2">
        <w:rPr>
          <w:rFonts w:ascii="CG Times" w:hAnsi="CG Times"/>
          <w:i/>
          <w:sz w:val="21"/>
          <w:szCs w:val="21"/>
          <w:lang w:val="sq-AL"/>
        </w:rPr>
        <w:t>(shih vendimin nr. 16, datë 19.4.2010 të Gjykatës Kushtetuese)</w:t>
      </w:r>
      <w:r w:rsidRPr="002E36E2">
        <w:rPr>
          <w:rFonts w:ascii="CG Times" w:hAnsi="CG Times"/>
          <w:sz w:val="21"/>
          <w:szCs w:val="21"/>
          <w:lang w:val="sq-AL"/>
        </w:rPr>
        <w:t>.</w:t>
      </w:r>
    </w:p>
    <w:p w:rsidR="0055563F" w:rsidRPr="002E36E2" w:rsidRDefault="0055563F" w:rsidP="0055563F">
      <w:pPr>
        <w:pStyle w:val="BodyTextIndent"/>
        <w:tabs>
          <w:tab w:val="left" w:pos="1260"/>
        </w:tabs>
        <w:spacing w:after="0"/>
        <w:ind w:left="0" w:firstLine="720"/>
        <w:jc w:val="both"/>
        <w:rPr>
          <w:rFonts w:ascii="CG Times" w:hAnsi="CG Times"/>
          <w:sz w:val="21"/>
          <w:szCs w:val="21"/>
          <w:lang w:val="sq-AL"/>
        </w:rPr>
      </w:pPr>
      <w:r w:rsidRPr="002E36E2">
        <w:rPr>
          <w:rFonts w:ascii="CG Times" w:hAnsi="CG Times"/>
          <w:sz w:val="21"/>
          <w:szCs w:val="21"/>
          <w:lang w:val="sq-AL"/>
        </w:rPr>
        <w:t>20. Kodi i Procedurës Penale në disa norma të tij parashikon efektet ligjore që sjell amnistia ndaj procedimit penal dhe ndjekjes penale. Kështu, sipas nenit 290/dh: “</w:t>
      </w:r>
      <w:r w:rsidRPr="002E36E2">
        <w:rPr>
          <w:rFonts w:ascii="CG Times" w:hAnsi="CG Times"/>
          <w:i/>
          <w:sz w:val="21"/>
          <w:szCs w:val="21"/>
          <w:lang w:val="sq-AL"/>
        </w:rPr>
        <w:t>Procedimi penal nuk mund të fillojë dhe nëse ka filluar, duhet të pushojë në çdo gjendje të procedimit, kur është dhënë amnisti</w:t>
      </w:r>
      <w:r w:rsidRPr="002E36E2">
        <w:rPr>
          <w:rFonts w:ascii="CG Times" w:hAnsi="CG Times"/>
          <w:sz w:val="21"/>
          <w:szCs w:val="21"/>
          <w:lang w:val="sq-AL"/>
        </w:rPr>
        <w:t>”; ndërsa neni 387/1 parashikon se: “</w:t>
      </w:r>
      <w:r w:rsidRPr="002E36E2">
        <w:rPr>
          <w:rFonts w:ascii="CG Times" w:hAnsi="CG Times"/>
          <w:i/>
          <w:sz w:val="21"/>
          <w:szCs w:val="21"/>
          <w:lang w:val="sq-AL"/>
        </w:rPr>
        <w:t>Kur ndjekja penale nuk duhet të fillonte ose nuk duhet të vazhdojë, ose kur vepra penale është shuar, gjykata vendos pushimin e çështjes, duke treguar edhe shkakun</w:t>
      </w:r>
      <w:r w:rsidRPr="002E36E2">
        <w:rPr>
          <w:rFonts w:ascii="CG Times" w:hAnsi="CG Times"/>
          <w:sz w:val="21"/>
          <w:szCs w:val="21"/>
          <w:lang w:val="sq-AL"/>
        </w:rPr>
        <w:t>”. Neni 428/1, shkronja “c” parashikon se: “</w:t>
      </w:r>
      <w:r w:rsidRPr="002E36E2">
        <w:rPr>
          <w:rFonts w:ascii="CG Times" w:hAnsi="CG Times"/>
          <w:i/>
          <w:sz w:val="21"/>
          <w:szCs w:val="21"/>
          <w:lang w:val="sq-AL"/>
        </w:rPr>
        <w:t xml:space="preserve">Gjykata e Apelit vendos prishjen e vendimit dhe pushimin e çështjes kur janë rastet që nuk lejojnë fillimin apo vazhdimin e procedimit”; </w:t>
      </w:r>
      <w:r w:rsidRPr="002E36E2">
        <w:rPr>
          <w:rFonts w:ascii="CG Times" w:hAnsi="CG Times"/>
          <w:sz w:val="21"/>
          <w:szCs w:val="21"/>
          <w:lang w:val="sq-AL"/>
        </w:rPr>
        <w:t>ndërsa sipas nenit 442: “</w:t>
      </w:r>
      <w:r w:rsidRPr="002E36E2">
        <w:rPr>
          <w:rFonts w:ascii="CG Times" w:hAnsi="CG Times"/>
          <w:i/>
          <w:sz w:val="21"/>
          <w:szCs w:val="21"/>
          <w:lang w:val="sq-AL"/>
        </w:rPr>
        <w:t xml:space="preserve">1. Gjykata e Lartë vendos prishjen e vendimit dhe zgjidhjen e çështjes pa e kthyer për rishqyrtim kur: a) vepra penale është shuar ose ndjekja penale nuk duhet të fillonte e të vazhdonte. 2. Në rastet e parashikuara nga shkronja “a” Gjykata vendos pushimin e çështjes”. </w:t>
      </w:r>
    </w:p>
    <w:p w:rsidR="0055563F" w:rsidRPr="002E36E2" w:rsidRDefault="0055563F" w:rsidP="0055563F">
      <w:pPr>
        <w:pStyle w:val="BodyTextIndent"/>
        <w:spacing w:after="0"/>
        <w:ind w:left="0" w:firstLine="720"/>
        <w:jc w:val="both"/>
        <w:rPr>
          <w:rFonts w:ascii="CG Times" w:hAnsi="CG Times"/>
          <w:i/>
          <w:sz w:val="21"/>
          <w:szCs w:val="21"/>
          <w:lang w:val="sq-AL"/>
        </w:rPr>
      </w:pPr>
      <w:r w:rsidRPr="002E36E2">
        <w:rPr>
          <w:rFonts w:ascii="CG Times" w:hAnsi="CG Times"/>
          <w:sz w:val="21"/>
          <w:szCs w:val="21"/>
          <w:lang w:val="sq-AL"/>
        </w:rPr>
        <w:t xml:space="preserve">21. Nga sa më sipër, Gjykata ka vlerësuar se amnistia e veprës penale gjen zbatim në të gjitha fazat procedurale të procesit penal, me pasojë pushimin e çështjes për ato vepra penale për të cilat ndjekja penale nuk duhet të fillojë ose të vazhdojë. Kështu, në rastet kur gjykata e shkallës së parë zbaton amnistinë e veprës penale, ajo ka detyrimin të deklarojë pushimin e çështjes. Nëse amnistia e veprës penale zbatohet në procesin gjyqësor në Gjykatën e Apelit apo në Gjykatën e Lartë, këto të fundit duhet të prishin vendimet e dhëna nga gjykatat më të ulëta dhe të pushojnë çështjen penale </w:t>
      </w:r>
      <w:r w:rsidRPr="002E36E2">
        <w:rPr>
          <w:rFonts w:ascii="CG Times" w:hAnsi="CG Times"/>
          <w:i/>
          <w:sz w:val="21"/>
          <w:szCs w:val="21"/>
          <w:lang w:val="sq-AL"/>
        </w:rPr>
        <w:t>(shih vendimin nr. 16, datë 19.4.2010  të Gjykatës Kushtetuese)</w:t>
      </w:r>
      <w:r w:rsidRPr="002E36E2">
        <w:rPr>
          <w:rFonts w:ascii="CG Times" w:hAnsi="CG Times"/>
          <w:sz w:val="21"/>
          <w:szCs w:val="21"/>
          <w:lang w:val="sq-AL"/>
        </w:rPr>
        <w:t>.</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 xml:space="preserve">22. Në çështjen në shqyrtim, Gjykata konstaton se në momentin e shqyrtimit të çështjes (datë 24.4.2013) në Gjykatën e Lartë, ligji </w:t>
      </w:r>
      <w:r w:rsidRPr="002E36E2">
        <w:rPr>
          <w:rFonts w:ascii="CG Times" w:eastAsia="Calibri" w:hAnsi="CG Times"/>
          <w:sz w:val="21"/>
          <w:szCs w:val="21"/>
          <w:lang w:val="sq-AL" w:eastAsia="fr-FR"/>
        </w:rPr>
        <w:t>nr.</w:t>
      </w:r>
      <w:r w:rsidR="00193EA7" w:rsidRPr="002E36E2">
        <w:rPr>
          <w:rFonts w:ascii="CG Times" w:eastAsia="Calibri" w:hAnsi="CG Times"/>
          <w:sz w:val="21"/>
          <w:szCs w:val="21"/>
          <w:lang w:val="sq-AL" w:eastAsia="fr-FR"/>
        </w:rPr>
        <w:t xml:space="preserve"> 107/2012 “Për dhënie amnistie”</w:t>
      </w:r>
      <w:r w:rsidRPr="002E36E2">
        <w:rPr>
          <w:rFonts w:ascii="CG Times" w:eastAsia="Calibri" w:hAnsi="CG Times"/>
          <w:sz w:val="21"/>
          <w:szCs w:val="21"/>
          <w:lang w:val="sq-AL" w:eastAsia="fr-FR"/>
        </w:rPr>
        <w:t xml:space="preserve"> kishte hyrë në fuqi (28.11.2012) </w:t>
      </w:r>
      <w:r w:rsidRPr="002E36E2">
        <w:rPr>
          <w:rFonts w:ascii="CG Times" w:eastAsia="Calibri" w:hAnsi="CG Times"/>
          <w:sz w:val="21"/>
          <w:szCs w:val="21"/>
          <w:lang w:val="sq-AL" w:eastAsia="fr-FR"/>
        </w:rPr>
        <w:lastRenderedPageBreak/>
        <w:t xml:space="preserve">dhe se </w:t>
      </w:r>
      <w:r w:rsidRPr="002E36E2">
        <w:rPr>
          <w:rFonts w:ascii="CG Times" w:hAnsi="CG Times"/>
          <w:sz w:val="21"/>
          <w:szCs w:val="21"/>
          <w:lang w:val="sq-AL"/>
        </w:rPr>
        <w:t>vepra penale “mosbindje ndaj urdhrit të punonjësit të policisë”, për të cilën është dënuar kërkuesi, plotëson kriteret për përfitimin e amnistisë. Pavarësisht këtij fakti, Kolegji Penal i Gjykatës së Lartë nuk ka vendosur pushimin e çështjes për këtë vepër penale. Për pasojë, Gjykata çmon se Kolegji Penal i Gjykatës së Lartë ka cenuar parimin e zbatimit të ligjit penal favorizues.</w:t>
      </w:r>
    </w:p>
    <w:p w:rsidR="0055563F" w:rsidRPr="002E36E2" w:rsidRDefault="0055563F" w:rsidP="0055563F">
      <w:pPr>
        <w:ind w:firstLine="720"/>
        <w:jc w:val="both"/>
        <w:rPr>
          <w:rFonts w:ascii="CG Times" w:hAnsi="CG Times"/>
          <w:b/>
          <w:i/>
          <w:sz w:val="21"/>
          <w:szCs w:val="21"/>
          <w:lang w:val="sq-AL"/>
        </w:rPr>
      </w:pPr>
      <w:r w:rsidRPr="002E36E2">
        <w:rPr>
          <w:rFonts w:ascii="CG Times" w:hAnsi="CG Times"/>
          <w:b/>
          <w:i/>
          <w:sz w:val="21"/>
          <w:szCs w:val="21"/>
          <w:lang w:val="sq-AL"/>
        </w:rPr>
        <w:t>Për pretendimin e aplikimit të dy dënimeve kryesore</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 xml:space="preserve">23. Kërkuesi ka pretenduar se Gjykata e Rrethit Gjyqësor Korçë dhe Gjykata e Lartë, në kundërshtim me vendimin nr. 47, datë 26.7.2012 të Gjykatës Kushtetuese, kanë aplikuar për kërkuesin, si dënim kryesor, krahas dënimit me burgim edhe dënimin me gjobë. </w:t>
      </w:r>
    </w:p>
    <w:p w:rsidR="0055563F" w:rsidRPr="002E36E2" w:rsidRDefault="0055563F" w:rsidP="0055563F">
      <w:pPr>
        <w:ind w:firstLine="720"/>
        <w:jc w:val="both"/>
        <w:rPr>
          <w:rFonts w:ascii="CG Times" w:hAnsi="CG Times"/>
          <w:sz w:val="21"/>
          <w:szCs w:val="21"/>
          <w:lang w:val="sq-AL"/>
        </w:rPr>
      </w:pPr>
      <w:r w:rsidRPr="002E36E2">
        <w:rPr>
          <w:rFonts w:ascii="CG Times" w:eastAsia="Calibri" w:hAnsi="CG Times"/>
          <w:sz w:val="21"/>
          <w:szCs w:val="21"/>
          <w:lang w:val="sq-AL" w:eastAsia="fr-FR"/>
        </w:rPr>
        <w:t xml:space="preserve">24. Në rastin në shqyrtim, Gjykata vëren se </w:t>
      </w:r>
      <w:r w:rsidRPr="002E36E2">
        <w:rPr>
          <w:rFonts w:ascii="CG Times" w:hAnsi="CG Times"/>
          <w:sz w:val="21"/>
          <w:szCs w:val="21"/>
          <w:lang w:val="sq-AL"/>
        </w:rPr>
        <w:t xml:space="preserve">Gjykata e Rrethit Gjyqësor Korçë, vendimi i </w:t>
      </w:r>
      <w:r w:rsidR="00193EA7" w:rsidRPr="002E36E2">
        <w:rPr>
          <w:rFonts w:ascii="CG Times" w:hAnsi="CG Times"/>
          <w:sz w:val="21"/>
          <w:szCs w:val="21"/>
          <w:lang w:val="sq-AL"/>
        </w:rPr>
        <w:t>s</w:t>
      </w:r>
      <w:r w:rsidRPr="002E36E2">
        <w:rPr>
          <w:rFonts w:ascii="CG Times" w:hAnsi="CG Times"/>
          <w:sz w:val="21"/>
          <w:szCs w:val="21"/>
          <w:lang w:val="sq-AL"/>
        </w:rPr>
        <w:t xml:space="preserve">ë cilës është lënë në fuqi nga Gjykata e Lartë, ka aplikuar dënimin me gjobë ndaj kërkuesit, në zbatim të nenit 34/4 të KP-së, me arsyetimin se vepra penale “prodhim dhe shitje e narkotikëve”, e parashikuar nga neni 283/1 i KP-së, për të cilën kërkuesi është shpallur fajtor, është kryer për përfitime materiale dhe dispozita (neni 283/1 i KP-së) përmban vetëm dënim me burgim.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25. Me vendimin nr. 47, datë 26.7.2012, kjo Gjykatë ka vendosur shfuqizimin, si të papajtueshëm me Kushtetutën, edhe të nenit 29, paragrafi i fundit të KP-së, duke arsyetuar se gjykatat e juridiksionit të zakonshëm, gjatë shqyrtimit konkret të veprave penale, nuk mund të aplikojnë njëkohësisht dy dënime kryesore, në rastet kur këto dënime janë të parashikuara në dispozitat e pjesës së posaçme të KP-së. Gjykatat e juridiksionit të zakonshëm kanë të gjitha mundësitë, me parashikimet aktuale të KP-së, të japin dënimin me burgim si dënim kryesor, në të gjitha rastet e përcaktimit të dy dënimeve kryesore në dispozitat e pjesës së posaçme të KP-së, si dhe ta ashpërsojnë atë me dënimin me gjobë kur plotësohen kriteret e parashikuara në nenin 34, paragrafi i pestë dhe i gjashtë të KP-së.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26. Nisur nga sa më lart, Gjykata çmon se vlerësimet e gjykatave të juridiksionit të zakonshëm janë në linjë me jurisprudencën e kësaj Gjykate dhe, për pasojë, ky pretendim i kërkuesit nuk është i bazuar. </w:t>
      </w:r>
    </w:p>
    <w:p w:rsidR="0055563F" w:rsidRPr="002E36E2" w:rsidRDefault="0055563F" w:rsidP="0055563F">
      <w:pPr>
        <w:ind w:firstLine="720"/>
        <w:jc w:val="both"/>
        <w:rPr>
          <w:rFonts w:ascii="CG Times" w:hAnsi="CG Times"/>
          <w:i/>
          <w:sz w:val="21"/>
          <w:szCs w:val="21"/>
          <w:lang w:val="sq-AL"/>
        </w:rPr>
      </w:pPr>
      <w:r w:rsidRPr="002E36E2">
        <w:rPr>
          <w:rFonts w:ascii="CG Times" w:hAnsi="CG Times"/>
          <w:sz w:val="21"/>
          <w:szCs w:val="21"/>
          <w:lang w:val="sq-AL"/>
        </w:rPr>
        <w:t>27. Në përfundim, Gjykata vlerëson se pretendimet e kërkuesit, për cenimin e së drejtës për një proces të rregullt ligjor gjatë proceseve gjyqësore të zhvilluara në gjykatat e juridiksionit të zakonshëm, janë pjesërisht të bazuara.</w:t>
      </w:r>
    </w:p>
    <w:p w:rsidR="000C2DD4" w:rsidRPr="002E36E2" w:rsidRDefault="000C2DD4" w:rsidP="0055563F">
      <w:pPr>
        <w:jc w:val="center"/>
        <w:rPr>
          <w:rFonts w:ascii="CG Times" w:hAnsi="CG Times"/>
          <w:bCs/>
          <w:sz w:val="4"/>
          <w:szCs w:val="21"/>
          <w:lang w:val="sq-AL"/>
        </w:rPr>
      </w:pPr>
    </w:p>
    <w:p w:rsidR="0055563F" w:rsidRPr="002E36E2" w:rsidRDefault="0055563F" w:rsidP="0055563F">
      <w:pPr>
        <w:jc w:val="center"/>
        <w:rPr>
          <w:rFonts w:ascii="CG Times" w:hAnsi="CG Times"/>
          <w:bCs/>
          <w:sz w:val="21"/>
          <w:szCs w:val="21"/>
          <w:lang w:val="sq-AL"/>
        </w:rPr>
      </w:pPr>
      <w:r w:rsidRPr="002E36E2">
        <w:rPr>
          <w:rFonts w:ascii="CG Times" w:hAnsi="CG Times"/>
          <w:bCs/>
          <w:sz w:val="21"/>
          <w:szCs w:val="21"/>
          <w:lang w:val="sq-AL"/>
        </w:rPr>
        <w:t>PËR KËTO ARSYE,</w:t>
      </w:r>
    </w:p>
    <w:p w:rsidR="0055563F" w:rsidRPr="002E36E2" w:rsidRDefault="0055563F" w:rsidP="0055563F">
      <w:pPr>
        <w:jc w:val="center"/>
        <w:rPr>
          <w:rFonts w:ascii="CG Times" w:hAnsi="CG Times"/>
          <w:sz w:val="14"/>
          <w:szCs w:val="21"/>
          <w:lang w:val="sq-AL"/>
        </w:rPr>
      </w:pP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w:t>
      </w:r>
      <w:r w:rsidRPr="002E36E2">
        <w:rPr>
          <w:rFonts w:ascii="CG Times" w:hAnsi="CG Times"/>
          <w:b/>
          <w:bCs/>
          <w:sz w:val="21"/>
          <w:szCs w:val="21"/>
          <w:lang w:val="sq-AL"/>
        </w:rPr>
        <w:t xml:space="preserve"> </w:t>
      </w:r>
    </w:p>
    <w:p w:rsidR="002E36E2" w:rsidRPr="002E36E2" w:rsidRDefault="002E36E2" w:rsidP="0055563F">
      <w:pPr>
        <w:jc w:val="center"/>
        <w:rPr>
          <w:rFonts w:ascii="CG Times" w:hAnsi="CG Times"/>
          <w:bCs/>
          <w:sz w:val="14"/>
          <w:szCs w:val="21"/>
          <w:lang w:val="sq-AL"/>
        </w:rPr>
      </w:pPr>
    </w:p>
    <w:p w:rsidR="0055563F" w:rsidRPr="002E36E2" w:rsidRDefault="0055563F" w:rsidP="0055563F">
      <w:pPr>
        <w:jc w:val="center"/>
        <w:rPr>
          <w:rFonts w:ascii="CG Times" w:hAnsi="CG Times"/>
          <w:sz w:val="21"/>
          <w:szCs w:val="21"/>
          <w:lang w:val="sq-AL"/>
        </w:rPr>
      </w:pPr>
      <w:r w:rsidRPr="002E36E2">
        <w:rPr>
          <w:rFonts w:ascii="CG Times" w:hAnsi="CG Times"/>
          <w:bCs/>
          <w:sz w:val="21"/>
          <w:szCs w:val="21"/>
          <w:lang w:val="sq-AL"/>
        </w:rPr>
        <w:t>VENDOSI:</w:t>
      </w:r>
    </w:p>
    <w:p w:rsidR="0055563F" w:rsidRPr="002E36E2" w:rsidRDefault="0055563F" w:rsidP="0055563F">
      <w:pPr>
        <w:pStyle w:val="Paragrafi"/>
        <w:rPr>
          <w:sz w:val="14"/>
          <w:szCs w:val="21"/>
          <w:lang w:val="sq-AL"/>
        </w:rPr>
      </w:pPr>
    </w:p>
    <w:p w:rsidR="0055563F" w:rsidRPr="002E36E2" w:rsidRDefault="0055563F" w:rsidP="0055563F">
      <w:pPr>
        <w:pStyle w:val="Paragrafi"/>
        <w:rPr>
          <w:sz w:val="21"/>
          <w:szCs w:val="21"/>
          <w:lang w:val="sq-AL"/>
        </w:rPr>
      </w:pPr>
      <w:r w:rsidRPr="002E36E2">
        <w:rPr>
          <w:sz w:val="21"/>
          <w:szCs w:val="21"/>
          <w:lang w:val="sq-AL"/>
        </w:rPr>
        <w:t>- Pranimin pjesërisht të kërkesës.</w:t>
      </w:r>
    </w:p>
    <w:p w:rsidR="0055563F" w:rsidRPr="002E36E2" w:rsidRDefault="0055563F" w:rsidP="0055563F">
      <w:pPr>
        <w:pStyle w:val="Paragrafi"/>
        <w:rPr>
          <w:sz w:val="21"/>
          <w:szCs w:val="21"/>
          <w:lang w:val="sq-AL"/>
        </w:rPr>
      </w:pPr>
      <w:r w:rsidRPr="002E36E2">
        <w:rPr>
          <w:sz w:val="21"/>
          <w:szCs w:val="21"/>
          <w:lang w:val="sq-AL"/>
        </w:rPr>
        <w:t xml:space="preserve">- Shfuqizimin e vendimit nr. 00-2013-945 (144), datë 24.4.2013 të Kolegjit Penal të Gjykatës së Lartë, sa i përket të gjykuarit Belul Toto, në pjesën që e konsideron atë fajtor për veprën penale të “mosbindjes ndaj urdhrit të punonjësit të policisë”, parashikuar nga neni 242 i KP-së. </w:t>
      </w:r>
    </w:p>
    <w:p w:rsidR="0055563F" w:rsidRPr="002E36E2" w:rsidRDefault="0055563F" w:rsidP="0055563F">
      <w:pPr>
        <w:pStyle w:val="Paragrafi"/>
        <w:rPr>
          <w:sz w:val="21"/>
          <w:szCs w:val="21"/>
          <w:lang w:val="sq-AL"/>
        </w:rPr>
      </w:pPr>
      <w:r w:rsidRPr="002E36E2">
        <w:rPr>
          <w:sz w:val="21"/>
          <w:szCs w:val="21"/>
          <w:lang w:val="sq-AL"/>
        </w:rPr>
        <w:t xml:space="preserve">- Dërgimin e çështjes për rishqyrtim në Gjykatën e Lartë. </w:t>
      </w:r>
    </w:p>
    <w:p w:rsidR="0055563F" w:rsidRPr="002E36E2" w:rsidRDefault="0055563F" w:rsidP="0055563F">
      <w:pPr>
        <w:pStyle w:val="Paragrafi"/>
        <w:rPr>
          <w:sz w:val="21"/>
          <w:szCs w:val="21"/>
          <w:lang w:val="sq-AL"/>
        </w:rPr>
      </w:pPr>
      <w:r w:rsidRPr="002E36E2">
        <w:rPr>
          <w:sz w:val="21"/>
          <w:szCs w:val="21"/>
          <w:lang w:val="sq-AL"/>
        </w:rPr>
        <w:t>Ky vendim është përfundimtar, i formës së prerë dhe hyn në fuqi ditën e botimit në Fletoren Zyrtare.</w:t>
      </w:r>
    </w:p>
    <w:p w:rsidR="003461B1" w:rsidRPr="002E36E2" w:rsidRDefault="00B166A2" w:rsidP="0055563F">
      <w:pPr>
        <w:pStyle w:val="Paragrafi"/>
        <w:rPr>
          <w:sz w:val="21"/>
          <w:szCs w:val="21"/>
          <w:lang w:val="sq-AL"/>
        </w:rPr>
      </w:pPr>
      <w:r>
        <w:rPr>
          <w:sz w:val="21"/>
          <w:szCs w:val="21"/>
          <w:lang w:val="sq-AL"/>
        </w:rPr>
        <w:t>Vendosur më datë</w:t>
      </w:r>
      <w:r w:rsidR="003461B1" w:rsidRPr="002E36E2">
        <w:rPr>
          <w:sz w:val="21"/>
          <w:szCs w:val="21"/>
          <w:lang w:val="sq-AL"/>
        </w:rPr>
        <w:t xml:space="preserve"> 10.12.2013</w:t>
      </w:r>
    </w:p>
    <w:p w:rsidR="0055563F" w:rsidRPr="002E36E2" w:rsidRDefault="0055563F" w:rsidP="0055563F">
      <w:pPr>
        <w:pStyle w:val="Paragrafi"/>
        <w:rPr>
          <w:bCs/>
          <w:sz w:val="21"/>
          <w:szCs w:val="21"/>
          <w:lang w:val="sq-AL"/>
        </w:rPr>
      </w:pPr>
      <w:r w:rsidRPr="002E36E2">
        <w:rPr>
          <w:sz w:val="21"/>
          <w:szCs w:val="21"/>
          <w:lang w:val="sq-AL"/>
        </w:rPr>
        <w:t>Anëtar</w:t>
      </w:r>
      <w:r w:rsidR="003461B1" w:rsidRPr="002E36E2">
        <w:rPr>
          <w:sz w:val="21"/>
          <w:szCs w:val="21"/>
          <w:lang w:val="sq-AL"/>
        </w:rPr>
        <w:t>ë</w:t>
      </w:r>
      <w:r w:rsidRPr="002E36E2">
        <w:rPr>
          <w:sz w:val="21"/>
          <w:szCs w:val="21"/>
          <w:lang w:val="sq-AL"/>
        </w:rPr>
        <w:t xml:space="preserve"> pro: </w:t>
      </w:r>
      <w:r w:rsidRPr="002E36E2">
        <w:rPr>
          <w:bCs/>
          <w:sz w:val="21"/>
          <w:szCs w:val="21"/>
          <w:lang w:val="sq-AL"/>
        </w:rPr>
        <w:t>Bashkim Dedja (kryetar), Vitore Tusha, Sokol Berberi,</w:t>
      </w:r>
      <w:r w:rsidRPr="002E36E2">
        <w:rPr>
          <w:b/>
          <w:bCs/>
          <w:sz w:val="21"/>
          <w:szCs w:val="21"/>
          <w:lang w:val="sq-AL"/>
        </w:rPr>
        <w:t xml:space="preserve"> </w:t>
      </w:r>
      <w:r w:rsidRPr="002E36E2">
        <w:rPr>
          <w:bCs/>
          <w:sz w:val="21"/>
          <w:szCs w:val="21"/>
          <w:lang w:val="sq-AL"/>
        </w:rPr>
        <w:t>Gani Dizdari,</w:t>
      </w:r>
      <w:r w:rsidRPr="002E36E2">
        <w:rPr>
          <w:b/>
          <w:bCs/>
          <w:sz w:val="21"/>
          <w:szCs w:val="21"/>
          <w:lang w:val="sq-AL"/>
        </w:rPr>
        <w:t xml:space="preserve"> </w:t>
      </w:r>
      <w:r w:rsidRPr="002E36E2">
        <w:rPr>
          <w:bCs/>
          <w:sz w:val="21"/>
          <w:szCs w:val="21"/>
          <w:lang w:val="sq-AL"/>
        </w:rPr>
        <w:t>Fatmir Hoxha,</w:t>
      </w:r>
      <w:r w:rsidRPr="002E36E2">
        <w:rPr>
          <w:b/>
          <w:bCs/>
          <w:sz w:val="21"/>
          <w:szCs w:val="21"/>
          <w:lang w:val="sq-AL"/>
        </w:rPr>
        <w:t xml:space="preserve"> </w:t>
      </w:r>
      <w:r w:rsidRPr="002E36E2">
        <w:rPr>
          <w:bCs/>
          <w:sz w:val="21"/>
          <w:szCs w:val="21"/>
          <w:lang w:val="sq-AL"/>
        </w:rPr>
        <w:t>Vladimir Kristo,</w:t>
      </w:r>
      <w:r w:rsidRPr="002E36E2">
        <w:rPr>
          <w:b/>
          <w:bCs/>
          <w:sz w:val="21"/>
          <w:szCs w:val="21"/>
          <w:lang w:val="sq-AL"/>
        </w:rPr>
        <w:t xml:space="preserve"> </w:t>
      </w:r>
      <w:r w:rsidRPr="002E36E2">
        <w:rPr>
          <w:bCs/>
          <w:sz w:val="21"/>
          <w:szCs w:val="21"/>
          <w:lang w:val="sq-AL"/>
        </w:rPr>
        <w:t>Fatos Lulo,</w:t>
      </w:r>
      <w:r w:rsidRPr="002E36E2">
        <w:rPr>
          <w:b/>
          <w:bCs/>
          <w:sz w:val="21"/>
          <w:szCs w:val="21"/>
          <w:lang w:val="sq-AL"/>
        </w:rPr>
        <w:t xml:space="preserve"> </w:t>
      </w:r>
      <w:r w:rsidRPr="002E36E2">
        <w:rPr>
          <w:bCs/>
          <w:sz w:val="21"/>
          <w:szCs w:val="21"/>
          <w:lang w:val="sq-AL"/>
        </w:rPr>
        <w:t>Besnik Imeraj</w:t>
      </w:r>
    </w:p>
    <w:p w:rsidR="0055563F" w:rsidRPr="002E36E2" w:rsidRDefault="0055563F" w:rsidP="0055563F">
      <w:pPr>
        <w:pStyle w:val="Paragrafi"/>
        <w:rPr>
          <w:bCs/>
          <w:sz w:val="21"/>
          <w:szCs w:val="21"/>
          <w:lang w:val="sq-AL"/>
        </w:rPr>
      </w:pPr>
      <w:r w:rsidRPr="002E36E2">
        <w:rPr>
          <w:bCs/>
          <w:sz w:val="21"/>
          <w:szCs w:val="21"/>
          <w:lang w:val="sq-AL"/>
        </w:rPr>
        <w:t>Anëtar</w:t>
      </w:r>
      <w:r w:rsidR="003461B1" w:rsidRPr="002E36E2">
        <w:rPr>
          <w:bCs/>
          <w:sz w:val="21"/>
          <w:szCs w:val="21"/>
          <w:lang w:val="sq-AL"/>
        </w:rPr>
        <w:t>e</w:t>
      </w:r>
      <w:r w:rsidRPr="002E36E2">
        <w:rPr>
          <w:bCs/>
          <w:sz w:val="21"/>
          <w:szCs w:val="21"/>
          <w:lang w:val="sq-AL"/>
        </w:rPr>
        <w:t xml:space="preserve"> kundër: Altina Xhoxhaj</w:t>
      </w:r>
    </w:p>
    <w:p w:rsidR="0055563F" w:rsidRPr="002E36E2" w:rsidRDefault="0055563F" w:rsidP="0055563F">
      <w:pPr>
        <w:jc w:val="center"/>
        <w:rPr>
          <w:rFonts w:ascii="CG Times" w:hAnsi="CG Times"/>
          <w:b/>
          <w:sz w:val="21"/>
          <w:szCs w:val="21"/>
          <w:lang w:val="sq-AL"/>
        </w:rPr>
      </w:pPr>
    </w:p>
    <w:p w:rsidR="0055563F" w:rsidRPr="002E36E2" w:rsidRDefault="0055563F" w:rsidP="0055563F">
      <w:pPr>
        <w:jc w:val="center"/>
        <w:rPr>
          <w:rFonts w:ascii="CG Times" w:hAnsi="CG Times"/>
          <w:b/>
          <w:sz w:val="21"/>
          <w:szCs w:val="21"/>
          <w:lang w:val="sq-AL"/>
        </w:rPr>
      </w:pPr>
      <w:r w:rsidRPr="002E36E2">
        <w:rPr>
          <w:rFonts w:ascii="CG Times" w:hAnsi="CG Times"/>
          <w:b/>
          <w:sz w:val="21"/>
          <w:szCs w:val="21"/>
          <w:lang w:val="sq-AL"/>
        </w:rPr>
        <w:t>MENDIM PAKICE</w:t>
      </w:r>
    </w:p>
    <w:p w:rsidR="0055563F" w:rsidRPr="002E36E2" w:rsidRDefault="0055563F" w:rsidP="0055563F">
      <w:pPr>
        <w:jc w:val="both"/>
        <w:rPr>
          <w:rFonts w:ascii="CG Times" w:hAnsi="CG Times"/>
          <w:sz w:val="21"/>
          <w:szCs w:val="21"/>
          <w:lang w:val="sq-AL"/>
        </w:rPr>
      </w:pP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1. Në çështjen konkrete vlerësoj se kërkesa e paraqitur nga kërkuesi Belul Toto është haptazi e pabazuar dhe duhej të ishte rrëzuar nga Gjykata, ndaj çmoj të shprehem me mendim pakice për arsyet që mbështetin këtë qëndrim timin.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2. Nga rrethanat e kësaj çështjeje rezulton se kërkuesi Belul Toto, me vendimin nr. </w:t>
      </w:r>
      <w:r w:rsidRPr="002E36E2">
        <w:rPr>
          <w:rFonts w:ascii="CG Times" w:hAnsi="CG Times"/>
          <w:bCs/>
          <w:sz w:val="21"/>
          <w:szCs w:val="21"/>
          <w:lang w:val="sq-AL"/>
        </w:rPr>
        <w:t xml:space="preserve">401, datë 11.11.2010 të </w:t>
      </w:r>
      <w:r w:rsidRPr="002E36E2">
        <w:rPr>
          <w:rFonts w:ascii="CG Times" w:hAnsi="CG Times"/>
          <w:sz w:val="21"/>
          <w:szCs w:val="21"/>
          <w:lang w:val="sq-AL"/>
        </w:rPr>
        <w:t>Gjykatës së Rrethit Gjyqësor Korçë</w:t>
      </w:r>
      <w:r w:rsidR="00D55ED5" w:rsidRPr="002E36E2">
        <w:rPr>
          <w:rFonts w:ascii="CG Times" w:hAnsi="CG Times"/>
          <w:sz w:val="21"/>
          <w:szCs w:val="21"/>
          <w:lang w:val="sq-AL"/>
        </w:rPr>
        <w:t>,</w:t>
      </w:r>
      <w:r w:rsidRPr="002E36E2">
        <w:rPr>
          <w:rFonts w:ascii="CG Times" w:hAnsi="CG Times"/>
          <w:sz w:val="21"/>
          <w:szCs w:val="21"/>
          <w:lang w:val="sq-AL"/>
        </w:rPr>
        <w:t xml:space="preserve"> është deklaruar fajtor për veprën penale të “prodhim dhe shitje e narkotikëve”, parashikuar nga neni 283/1 i KP-së, duke u dënuar me 5 vjet burgim, si edhe për </w:t>
      </w:r>
      <w:r w:rsidRPr="002E36E2">
        <w:rPr>
          <w:rFonts w:ascii="CG Times" w:hAnsi="CG Times"/>
          <w:sz w:val="21"/>
          <w:szCs w:val="21"/>
          <w:lang w:val="sq-AL"/>
        </w:rPr>
        <w:lastRenderedPageBreak/>
        <w:t xml:space="preserve">veprën penale të “mosbindje ndaj urdhrit të punonjësit të policisë”, parashikuar nga neni 242 i KP-së, duke u dënuar me 1 muaj burgim. Në bashkim të dënimeve, në bazë të nenit 55 të KP-së, kërkuesi është dënuar me 5 vjet burgim. Ky vendim është prishur nga Gjykata e Apelit Korçë, e cila me vendimin </w:t>
      </w:r>
      <w:r w:rsidRPr="002E36E2">
        <w:rPr>
          <w:rFonts w:ascii="CG Times" w:hAnsi="CG Times"/>
          <w:bCs/>
          <w:sz w:val="21"/>
          <w:szCs w:val="21"/>
          <w:lang w:val="sq-AL"/>
        </w:rPr>
        <w:t xml:space="preserve">nr. 32, datë 15.3.2011 e ka pushuar çështjen penale në ngarkim të </w:t>
      </w:r>
      <w:r w:rsidRPr="002E36E2">
        <w:rPr>
          <w:rFonts w:ascii="CG Times" w:hAnsi="CG Times"/>
          <w:sz w:val="21"/>
          <w:szCs w:val="21"/>
          <w:lang w:val="sq-AL"/>
        </w:rPr>
        <w:t xml:space="preserve">kërkuesit. Mbi bazën e rekursit të paraqitur nga prokurori, Kolegji Penal i Gjykatës së Lartë, me vendimin </w:t>
      </w:r>
      <w:r w:rsidRPr="002E36E2">
        <w:rPr>
          <w:rFonts w:ascii="CG Times" w:hAnsi="CG Times"/>
          <w:bCs/>
          <w:sz w:val="21"/>
          <w:szCs w:val="21"/>
          <w:lang w:val="sq-AL"/>
        </w:rPr>
        <w:t xml:space="preserve">nr. </w:t>
      </w:r>
      <w:r w:rsidRPr="002E36E2">
        <w:rPr>
          <w:rFonts w:ascii="CG Times" w:hAnsi="CG Times"/>
          <w:sz w:val="21"/>
          <w:szCs w:val="21"/>
          <w:lang w:val="sq-AL"/>
        </w:rPr>
        <w:t xml:space="preserve">00-2013-945 (144), </w:t>
      </w:r>
      <w:r w:rsidRPr="002E36E2">
        <w:rPr>
          <w:rFonts w:ascii="CG Times" w:hAnsi="CG Times"/>
          <w:bCs/>
          <w:sz w:val="21"/>
          <w:szCs w:val="21"/>
          <w:lang w:val="sq-AL"/>
        </w:rPr>
        <w:t>datë 24.4.2013</w:t>
      </w:r>
      <w:r w:rsidR="00D55ED5" w:rsidRPr="002E36E2">
        <w:rPr>
          <w:rFonts w:ascii="CG Times" w:hAnsi="CG Times"/>
          <w:bCs/>
          <w:sz w:val="21"/>
          <w:szCs w:val="21"/>
          <w:lang w:val="sq-AL"/>
        </w:rPr>
        <w:t>,</w:t>
      </w:r>
      <w:r w:rsidRPr="002E36E2">
        <w:rPr>
          <w:rFonts w:ascii="CG Times" w:hAnsi="CG Times"/>
          <w:bCs/>
          <w:sz w:val="21"/>
          <w:szCs w:val="21"/>
          <w:lang w:val="sq-AL"/>
        </w:rPr>
        <w:t xml:space="preserve"> </w:t>
      </w:r>
      <w:r w:rsidRPr="002E36E2">
        <w:rPr>
          <w:rFonts w:ascii="CG Times" w:hAnsi="CG Times"/>
          <w:sz w:val="21"/>
          <w:szCs w:val="21"/>
          <w:lang w:val="sq-AL"/>
        </w:rPr>
        <w:t xml:space="preserve">ka vendosur prishjen e vendimit nr. 32, datë 16.3.2011 të Gjykatës së Apelit Korçë dhe lënien në fuqi të vendimit </w:t>
      </w:r>
      <w:r w:rsidRPr="002E36E2">
        <w:rPr>
          <w:rFonts w:ascii="CG Times" w:hAnsi="CG Times"/>
          <w:bCs/>
          <w:sz w:val="21"/>
          <w:szCs w:val="21"/>
          <w:lang w:val="sq-AL"/>
        </w:rPr>
        <w:t xml:space="preserve">nr. 401, datë 11.11.2010 të </w:t>
      </w:r>
      <w:r w:rsidRPr="002E36E2">
        <w:rPr>
          <w:rFonts w:ascii="CG Times" w:hAnsi="CG Times"/>
          <w:sz w:val="21"/>
          <w:szCs w:val="21"/>
          <w:lang w:val="sq-AL"/>
        </w:rPr>
        <w:t xml:space="preserve">Gjykatës së Rrethit Gjyqësor Korçë. </w:t>
      </w:r>
    </w:p>
    <w:p w:rsidR="0055563F" w:rsidRPr="002E36E2" w:rsidRDefault="0055563F" w:rsidP="0055563F">
      <w:pPr>
        <w:ind w:firstLine="720"/>
        <w:jc w:val="both"/>
        <w:rPr>
          <w:rFonts w:ascii="CG Times" w:hAnsi="CG Times"/>
          <w:sz w:val="21"/>
          <w:szCs w:val="21"/>
          <w:lang w:val="sq-AL"/>
        </w:rPr>
      </w:pPr>
      <w:r w:rsidRPr="002E36E2">
        <w:rPr>
          <w:rFonts w:ascii="CG Times" w:hAnsi="CG Times"/>
          <w:sz w:val="21"/>
          <w:szCs w:val="21"/>
          <w:lang w:val="sq-AL"/>
        </w:rPr>
        <w:t xml:space="preserve">3. Kërkuesi i është drejtuar Gjykatës Kushtetuese, duke pretenduar, mes të tjerash, se në momentin e gjykimit të çështjes në Gjykatën e Lartë kishte hyrë në fuqi ligji </w:t>
      </w:r>
      <w:r w:rsidRPr="002E36E2">
        <w:rPr>
          <w:rFonts w:ascii="CG Times" w:hAnsi="CG Times"/>
          <w:sz w:val="21"/>
          <w:szCs w:val="21"/>
          <w:lang w:val="sq-AL" w:eastAsia="fr-FR"/>
        </w:rPr>
        <w:t>nr. 107, datë 8.11.2012 “Për dhënie amnistie”, dhe se lidhur me veprën penale “</w:t>
      </w:r>
      <w:r w:rsidRPr="002E36E2">
        <w:rPr>
          <w:rFonts w:ascii="CG Times" w:hAnsi="CG Times"/>
          <w:sz w:val="21"/>
          <w:szCs w:val="21"/>
          <w:lang w:val="sq-AL"/>
        </w:rPr>
        <w:t>mosbindje ndaj urdhrit të punonjësit të policisë”,</w:t>
      </w:r>
      <w:r w:rsidRPr="002E36E2">
        <w:rPr>
          <w:rFonts w:ascii="CG Times" w:hAnsi="CG Times"/>
          <w:sz w:val="21"/>
          <w:szCs w:val="21"/>
          <w:lang w:val="sq-AL" w:eastAsia="fr-FR"/>
        </w:rPr>
        <w:t xml:space="preserve"> </w:t>
      </w:r>
      <w:r w:rsidRPr="002E36E2">
        <w:rPr>
          <w:rFonts w:ascii="CG Times" w:hAnsi="CG Times"/>
          <w:bCs/>
          <w:kern w:val="28"/>
          <w:sz w:val="21"/>
          <w:szCs w:val="21"/>
          <w:lang w:val="sq-AL"/>
        </w:rPr>
        <w:t>Kolegji Penal duhej të vendoste pushimin e çështjes</w:t>
      </w:r>
      <w:r w:rsidRPr="002E36E2">
        <w:rPr>
          <w:rFonts w:ascii="CG Times" w:hAnsi="CG Times"/>
          <w:sz w:val="21"/>
          <w:szCs w:val="21"/>
          <w:lang w:val="sq-AL" w:eastAsia="fr-FR"/>
        </w:rPr>
        <w:t xml:space="preserve">. </w:t>
      </w:r>
      <w:r w:rsidRPr="002E36E2">
        <w:rPr>
          <w:rFonts w:ascii="CG Times" w:hAnsi="CG Times"/>
          <w:sz w:val="21"/>
          <w:szCs w:val="21"/>
          <w:lang w:val="sq-AL"/>
        </w:rPr>
        <w:t xml:space="preserve">Gjyqtarët në shumicë, me arsyetimin se amnistia e veprës penale gjen zbatim në të gjitha fazat procedurale të procesit penal, me pasojë pushimin e çështjes për ato vepra penale për të cilat ndjekja penale nuk duhet të fillojë ose të vazhdojë, si edhe bazuar në ligjin </w:t>
      </w:r>
      <w:r w:rsidRPr="002E36E2">
        <w:rPr>
          <w:rFonts w:ascii="CG Times" w:hAnsi="CG Times"/>
          <w:sz w:val="21"/>
          <w:szCs w:val="21"/>
          <w:lang w:val="sq-AL" w:eastAsia="fr-FR"/>
        </w:rPr>
        <w:t xml:space="preserve">nr. 107/2012 “Për dhënie amnistie”, kanë vlerësuar se vepra penale </w:t>
      </w:r>
      <w:r w:rsidRPr="002E36E2">
        <w:rPr>
          <w:rFonts w:ascii="CG Times" w:hAnsi="CG Times"/>
          <w:sz w:val="21"/>
          <w:szCs w:val="21"/>
          <w:lang w:val="sq-AL"/>
        </w:rPr>
        <w:t>“mosbindje ndaj urdhrit të punonjësit të policisë”, për të cilën është dënuar kërkuesi, plotëson kriteret për përfitimin e amnistisë dhe se Kolegji Penal i Gjykatës së Lartë, duke mos vendosur pushimin e çështjes për këtë vepër penale ka cenuar parimin e zbatimit të ligjit penal favorizues, të sanksionuar në nenin 29/3 të Kushtetutës.</w:t>
      </w:r>
    </w:p>
    <w:p w:rsidR="0055563F" w:rsidRPr="002E36E2" w:rsidRDefault="0055563F" w:rsidP="0055563F">
      <w:pPr>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4. Gjykata ka theksuar se Gjykata e Lartë, për shkak të pozicionit dhe rolit të saj si gjykatë ligji, kontrollon mënyrën e zbatimit të ligjit material dhe procedural nga ana e gjykatave më të ulëta (</w:t>
      </w:r>
      <w:r w:rsidRPr="002E36E2">
        <w:rPr>
          <w:rFonts w:ascii="CG Times" w:hAnsi="CG Times"/>
          <w:i/>
          <w:sz w:val="21"/>
          <w:szCs w:val="21"/>
          <w:lang w:val="sq-AL"/>
        </w:rPr>
        <w:t>shih vendimet nr. 35, datë 20.12.2005, nr. 14, datë 17.4.2007 të Gjykatës Kushtetuese</w:t>
      </w:r>
      <w:r w:rsidRPr="002E36E2">
        <w:rPr>
          <w:rFonts w:ascii="CG Times" w:hAnsi="CG Times"/>
          <w:sz w:val="21"/>
          <w:szCs w:val="21"/>
          <w:lang w:val="sq-AL"/>
        </w:rPr>
        <w:t>). Me tej Gjykata ka theksuar se, në zbatim të parimit të subsidiaritetit, kontrolli i respektimit të standardeve kushtetuese për një proces të rregullt ligjor është funksion edhe i gjykatave të zakonshme, për më tepër i Gjykatës së Lartë. (</w:t>
      </w:r>
      <w:r w:rsidRPr="002E36E2">
        <w:rPr>
          <w:rFonts w:ascii="CG Times" w:hAnsi="CG Times"/>
          <w:i/>
          <w:iCs/>
          <w:sz w:val="21"/>
          <w:szCs w:val="21"/>
          <w:lang w:val="sq-AL"/>
        </w:rPr>
        <w:t xml:space="preserve">shih vendimet nr. 4, datë 28.2.2006; nr. 19 datë 2.4.2012; </w:t>
      </w:r>
      <w:r w:rsidRPr="002E36E2">
        <w:rPr>
          <w:rFonts w:ascii="CG Times" w:hAnsi="CG Times"/>
          <w:bCs/>
          <w:i/>
          <w:sz w:val="21"/>
          <w:szCs w:val="21"/>
          <w:lang w:val="sq-AL"/>
        </w:rPr>
        <w:t xml:space="preserve">nr. </w:t>
      </w:r>
      <w:r w:rsidRPr="002E36E2">
        <w:rPr>
          <w:rFonts w:ascii="CG Times" w:hAnsi="CG Times"/>
          <w:i/>
          <w:sz w:val="21"/>
          <w:szCs w:val="21"/>
          <w:lang w:val="sq-AL"/>
        </w:rPr>
        <w:t xml:space="preserve">58, datë 24.12.2012; </w:t>
      </w:r>
      <w:r w:rsidRPr="002E36E2">
        <w:rPr>
          <w:rFonts w:ascii="CG Times" w:hAnsi="CG Times"/>
          <w:i/>
          <w:iCs/>
          <w:sz w:val="21"/>
          <w:szCs w:val="21"/>
          <w:lang w:val="sq-AL"/>
        </w:rPr>
        <w:t xml:space="preserve">nr. 36, datë 25.7.2013; </w:t>
      </w:r>
      <w:r w:rsidRPr="002E36E2">
        <w:rPr>
          <w:rFonts w:ascii="CG Times" w:hAnsi="CG Times"/>
          <w:i/>
          <w:sz w:val="21"/>
          <w:szCs w:val="21"/>
          <w:lang w:val="sq-AL"/>
        </w:rPr>
        <w:t xml:space="preserve">nr. 52, datë 2.12.2013 </w:t>
      </w:r>
      <w:r w:rsidRPr="002E36E2">
        <w:rPr>
          <w:rFonts w:ascii="CG Times" w:hAnsi="CG Times"/>
          <w:i/>
          <w:iCs/>
          <w:sz w:val="21"/>
          <w:szCs w:val="21"/>
          <w:lang w:val="sq-AL"/>
        </w:rPr>
        <w:t>të Gjykatës Kushtetuese</w:t>
      </w:r>
      <w:r w:rsidRPr="002E36E2">
        <w:rPr>
          <w:rFonts w:ascii="CG Times" w:hAnsi="CG Times"/>
          <w:sz w:val="21"/>
          <w:szCs w:val="21"/>
          <w:lang w:val="sq-AL"/>
        </w:rPr>
        <w:t>).</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 xml:space="preserve">5. Nga materialet bashkëlidhur kërkesës rezulton se ligji për amnistinë ka hyrë në fuqi në datën 28.12.2012, kohë në të cilën çështja ishte regjistruar në Gjykatën e Lartë dhe pritej të shqyrtohej nga Kolegji Penal. Në seancën gjyqësore të zhvilluar në atë gjykatë, datë 24.4.2013, rezulton që kërkuesi të jetë përfaqësuar nga mbrojtësi i tij, i cili është dëgjuar dhe ka paraqitur të gjitha argumentet ligjore në kundërshtim të pretendimeve të ngritura në rekurs nga prokurori, por nuk rezulton që të ketë kërkuar zbatimin e ligjit për amnistinë në favor të kërkuesit.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6. KPP-ja ka parashikuar rastet në të cilat Gjykata e Lartë vepron edhe kryesisht, siç janë ato të parashikuara në nenin 43 (v</w:t>
      </w:r>
      <w:r w:rsidRPr="002E36E2">
        <w:rPr>
          <w:rFonts w:ascii="CG Times" w:hAnsi="CG Times"/>
          <w:bCs/>
          <w:sz w:val="21"/>
          <w:szCs w:val="21"/>
          <w:lang w:val="sq-AL"/>
        </w:rPr>
        <w:t>erifikimet për përgjegjshmërinë e të pandehurit); n</w:t>
      </w:r>
      <w:r w:rsidRPr="002E36E2">
        <w:rPr>
          <w:rFonts w:ascii="CG Times" w:hAnsi="CG Times"/>
          <w:sz w:val="21"/>
          <w:szCs w:val="21"/>
          <w:lang w:val="sq-AL"/>
        </w:rPr>
        <w:t>enin 71 (p</w:t>
      </w:r>
      <w:r w:rsidRPr="002E36E2">
        <w:rPr>
          <w:rFonts w:ascii="CG Times" w:hAnsi="CG Times"/>
          <w:bCs/>
          <w:sz w:val="21"/>
          <w:szCs w:val="21"/>
          <w:lang w:val="sq-AL"/>
        </w:rPr>
        <w:t>asojat e procedimit civil dhe administrativ për atë penal); n</w:t>
      </w:r>
      <w:r w:rsidRPr="002E36E2">
        <w:rPr>
          <w:rFonts w:ascii="CG Times" w:hAnsi="CG Times"/>
          <w:sz w:val="21"/>
          <w:szCs w:val="21"/>
          <w:lang w:val="sq-AL"/>
        </w:rPr>
        <w:t>enin 72 (m</w:t>
      </w:r>
      <w:r w:rsidRPr="002E36E2">
        <w:rPr>
          <w:rFonts w:ascii="CG Times" w:hAnsi="CG Times"/>
          <w:bCs/>
          <w:sz w:val="21"/>
          <w:szCs w:val="21"/>
          <w:lang w:val="sq-AL"/>
        </w:rPr>
        <w:t>ungesa e juridiksionit); n</w:t>
      </w:r>
      <w:r w:rsidRPr="002E36E2">
        <w:rPr>
          <w:rFonts w:ascii="CG Times" w:hAnsi="CG Times"/>
          <w:sz w:val="21"/>
          <w:szCs w:val="21"/>
          <w:lang w:val="sq-AL"/>
        </w:rPr>
        <w:t>enin 83 (m</w:t>
      </w:r>
      <w:r w:rsidRPr="002E36E2">
        <w:rPr>
          <w:rFonts w:ascii="CG Times" w:hAnsi="CG Times"/>
          <w:bCs/>
          <w:sz w:val="21"/>
          <w:szCs w:val="21"/>
          <w:lang w:val="sq-AL"/>
        </w:rPr>
        <w:t>oskompetenca); n</w:t>
      </w:r>
      <w:r w:rsidRPr="002E36E2">
        <w:rPr>
          <w:rFonts w:ascii="CG Times" w:hAnsi="CG Times"/>
          <w:sz w:val="21"/>
          <w:szCs w:val="21"/>
          <w:lang w:val="sq-AL"/>
        </w:rPr>
        <w:t>enin 260 (r</w:t>
      </w:r>
      <w:r w:rsidRPr="002E36E2">
        <w:rPr>
          <w:rFonts w:ascii="CG Times" w:hAnsi="CG Times"/>
          <w:bCs/>
          <w:sz w:val="21"/>
          <w:szCs w:val="21"/>
          <w:lang w:val="sq-AL"/>
        </w:rPr>
        <w:t xml:space="preserve">evokimi dhe zëvendësimi i masave të sigurimit). Duke mos qenë para asnjërit prej këtyre rasteve, Gjykata e Lartë nuk kishte detyrimin që të zbatonte kryesisht ligjin për amnistinë, në kushtet kur ky pretendim i kërkuesit nuk është ngritur para asaj gjykate. </w:t>
      </w:r>
      <w:r w:rsidRPr="002E36E2">
        <w:rPr>
          <w:rFonts w:ascii="CG Times" w:hAnsi="CG Times"/>
          <w:sz w:val="21"/>
          <w:szCs w:val="21"/>
          <w:lang w:val="sq-AL"/>
        </w:rPr>
        <w:t xml:space="preserve">Nëse ky pretendim do të ishte ngritur nga mbrojtësi i kërkuesit, atëherë Gjykata e Lartë do të duhej ta merrte atë në shqyrtim dhe të zbatonte, nëse ishte rasti, dispozitat e ligjit për amnistinë.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eastAsia="sq-AL"/>
        </w:rPr>
        <w:t>7. Megjithatë, Gjykata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Pr="002E36E2">
        <w:rPr>
          <w:rFonts w:ascii="CG Times" w:hAnsi="CG Times"/>
          <w:i/>
          <w:sz w:val="21"/>
          <w:szCs w:val="21"/>
          <w:lang w:val="sq-AL" w:eastAsia="sq-AL"/>
        </w:rPr>
        <w:t>shih vendimet nr. 21, datë 1.10.2008; nr. 40, datë 22.9.2011 të Gjykatës Kushtetuese</w:t>
      </w:r>
      <w:r w:rsidRPr="002E36E2">
        <w:rPr>
          <w:rFonts w:ascii="CG Times" w:hAnsi="CG Times"/>
          <w:sz w:val="21"/>
          <w:szCs w:val="21"/>
          <w:lang w:val="sq-AL" w:eastAsia="sq-AL"/>
        </w:rPr>
        <w:t xml:space="preserve">). Në çështjen konkrete në shqyrtim, Gjykata nuk ka pasur parasysh se kërkuesi është dënuar për dy vepra penale, atë të </w:t>
      </w:r>
      <w:r w:rsidRPr="002E36E2">
        <w:rPr>
          <w:rFonts w:ascii="CG Times" w:hAnsi="CG Times"/>
          <w:sz w:val="21"/>
          <w:szCs w:val="21"/>
          <w:lang w:val="sq-AL"/>
        </w:rPr>
        <w:t xml:space="preserve">“prodhim dhe shitje e narkotikëve”, të parashikuar nga neni 283/1 i KP-së, dhe “mosbindje ndaj urdhrit të punonjësit të policisë”, parashikuar nga neni 242 i KP-së. Për këtë të fundit kërkuesi është dënuar me një muaj burgim, ndërkohë që në përfundim të gjykimit ky dënim është përthithur nga ai i dhënë nga gjykatat e juridiksionit të zakonshëm për veprën penale të “prodhim dhe shitje e narkotikëve”. Në këto kushte, vendimmarrja e Gjykatës është formale dhe vendimi i saj, edhe pse konstaton cenim të parimeve të së drejtës për proces të rregullt ligjor, nuk sjell asnjë ndryshim në të drejtat dhe liritë themelore të kërkuesit, të cilat ka për qëllim të mbrojë e drejta për një proces të rregullt ligjor. </w:t>
      </w:r>
    </w:p>
    <w:p w:rsidR="0055563F" w:rsidRPr="002E36E2" w:rsidRDefault="0055563F" w:rsidP="0055563F">
      <w:pPr>
        <w:pStyle w:val="BodyTextIndent"/>
        <w:spacing w:after="0"/>
        <w:ind w:left="0" w:firstLine="720"/>
        <w:jc w:val="both"/>
        <w:rPr>
          <w:rFonts w:ascii="CG Times" w:hAnsi="CG Times"/>
          <w:color w:val="000000"/>
          <w:sz w:val="21"/>
          <w:szCs w:val="21"/>
          <w:lang w:val="sq-AL"/>
        </w:rPr>
      </w:pPr>
      <w:r w:rsidRPr="002E36E2">
        <w:rPr>
          <w:rFonts w:ascii="CG Times" w:hAnsi="CG Times"/>
          <w:sz w:val="21"/>
          <w:szCs w:val="21"/>
          <w:lang w:val="sq-AL"/>
        </w:rPr>
        <w:t xml:space="preserve">8. Karakteri formal i kësaj vendimmarrjeje shfaqet, në mënyrë të qartë, edhe në pjesën urdhëruese të vendimit, në të cilin Gjykata shprehet për shfuqizimin e vendimit </w:t>
      </w:r>
      <w:r w:rsidRPr="002E36E2">
        <w:rPr>
          <w:rFonts w:ascii="CG Times" w:hAnsi="CG Times"/>
          <w:bCs/>
          <w:color w:val="000000"/>
          <w:sz w:val="21"/>
          <w:szCs w:val="21"/>
          <w:lang w:val="sq-AL"/>
        </w:rPr>
        <w:t xml:space="preserve">nr. </w:t>
      </w:r>
      <w:r w:rsidRPr="002E36E2">
        <w:rPr>
          <w:rFonts w:ascii="CG Times" w:hAnsi="CG Times"/>
          <w:color w:val="000000"/>
          <w:sz w:val="21"/>
          <w:szCs w:val="21"/>
          <w:lang w:val="sq-AL"/>
        </w:rPr>
        <w:t xml:space="preserve">00-2013-945 (144), </w:t>
      </w:r>
      <w:r w:rsidRPr="002E36E2">
        <w:rPr>
          <w:rFonts w:ascii="CG Times" w:hAnsi="CG Times"/>
          <w:bCs/>
          <w:color w:val="000000"/>
          <w:sz w:val="21"/>
          <w:szCs w:val="21"/>
          <w:lang w:val="sq-AL"/>
        </w:rPr>
        <w:t>datë 24.4.2013</w:t>
      </w:r>
      <w:r w:rsidRPr="002E36E2">
        <w:rPr>
          <w:rFonts w:ascii="CG Times" w:hAnsi="CG Times"/>
          <w:color w:val="000000"/>
          <w:sz w:val="21"/>
          <w:szCs w:val="21"/>
          <w:lang w:val="sq-AL"/>
        </w:rPr>
        <w:t xml:space="preserve"> të Kolegjit Penal të Gjykatës së Lartë, vetëm në pjesën që e ka konsideruar kërkuesin fajtor për veprën penale të “mosbindjes ndaj urdhrit të punonjësit të policisë”.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 xml:space="preserve">9. Për sa më sipër, mendoj se kërkesa e paraqitur nga Belul Toto, duhej të ishte rrëzuar si e pabazuar. </w:t>
      </w:r>
    </w:p>
    <w:p w:rsidR="0055563F" w:rsidRPr="002E36E2" w:rsidRDefault="0055563F" w:rsidP="0055563F">
      <w:pPr>
        <w:pStyle w:val="BodyTextIndent"/>
        <w:spacing w:after="0"/>
        <w:ind w:left="0" w:firstLine="720"/>
        <w:jc w:val="both"/>
        <w:rPr>
          <w:rFonts w:ascii="CG Times" w:hAnsi="CG Times"/>
          <w:sz w:val="21"/>
          <w:szCs w:val="21"/>
          <w:lang w:val="sq-AL"/>
        </w:rPr>
      </w:pPr>
      <w:r w:rsidRPr="002E36E2">
        <w:rPr>
          <w:rFonts w:ascii="CG Times" w:hAnsi="CG Times"/>
          <w:sz w:val="21"/>
          <w:szCs w:val="21"/>
          <w:lang w:val="sq-AL"/>
        </w:rPr>
        <w:t>Anëtare: Altina Xhoxhaj</w:t>
      </w:r>
    </w:p>
    <w:p w:rsidR="00DF6FCE" w:rsidRDefault="00DF6FCE" w:rsidP="0055563F">
      <w:pPr>
        <w:widowControl w:val="0"/>
        <w:jc w:val="center"/>
        <w:rPr>
          <w:rFonts w:ascii="CG Times" w:hAnsi="CG Times"/>
          <w:b/>
          <w:sz w:val="21"/>
          <w:szCs w:val="21"/>
          <w:lang w:val="sq-AL"/>
        </w:rPr>
      </w:pPr>
    </w:p>
    <w:p w:rsidR="0055563F" w:rsidRPr="002E36E2" w:rsidRDefault="0055563F" w:rsidP="0055563F">
      <w:pPr>
        <w:widowControl w:val="0"/>
        <w:jc w:val="center"/>
        <w:rPr>
          <w:rFonts w:ascii="CG Times" w:hAnsi="CG Times"/>
          <w:b/>
          <w:sz w:val="21"/>
          <w:szCs w:val="21"/>
          <w:lang w:val="sq-AL"/>
        </w:rPr>
      </w:pPr>
      <w:r w:rsidRPr="002E36E2">
        <w:rPr>
          <w:rFonts w:ascii="CG Times" w:hAnsi="CG Times"/>
          <w:b/>
          <w:sz w:val="21"/>
          <w:szCs w:val="21"/>
          <w:lang w:val="sq-AL"/>
        </w:rPr>
        <w:t>VENDIM</w:t>
      </w:r>
    </w:p>
    <w:p w:rsidR="0055563F" w:rsidRPr="002E36E2" w:rsidRDefault="0055563F" w:rsidP="0055563F">
      <w:pPr>
        <w:widowControl w:val="0"/>
        <w:jc w:val="center"/>
        <w:rPr>
          <w:rFonts w:ascii="CG Times" w:hAnsi="CG Times"/>
          <w:b/>
          <w:sz w:val="21"/>
          <w:szCs w:val="21"/>
          <w:lang w:val="sq-AL"/>
        </w:rPr>
      </w:pPr>
      <w:r w:rsidRPr="002E36E2">
        <w:rPr>
          <w:rFonts w:ascii="CG Times" w:hAnsi="CG Times"/>
          <w:b/>
          <w:sz w:val="21"/>
          <w:szCs w:val="21"/>
          <w:lang w:val="sq-AL"/>
        </w:rPr>
        <w:t>Nr. 2, datë 22.1.2014</w:t>
      </w:r>
    </w:p>
    <w:p w:rsidR="0055563F" w:rsidRPr="00DF6FCE" w:rsidRDefault="0055563F" w:rsidP="0055563F">
      <w:pPr>
        <w:widowControl w:val="0"/>
        <w:jc w:val="center"/>
        <w:rPr>
          <w:rFonts w:ascii="CG Times" w:hAnsi="CG Times"/>
          <w:b/>
          <w:sz w:val="16"/>
          <w:szCs w:val="21"/>
          <w:lang w:val="sq-AL"/>
        </w:rPr>
      </w:pPr>
    </w:p>
    <w:p w:rsidR="0055563F" w:rsidRPr="002E36E2" w:rsidRDefault="0055563F" w:rsidP="0055563F">
      <w:pPr>
        <w:widowControl w:val="0"/>
        <w:jc w:val="center"/>
        <w:rPr>
          <w:rFonts w:ascii="CG Times" w:hAnsi="CG Times"/>
          <w:b/>
          <w:sz w:val="21"/>
          <w:szCs w:val="21"/>
          <w:lang w:val="sq-AL"/>
        </w:rPr>
      </w:pPr>
      <w:r w:rsidRPr="002E36E2">
        <w:rPr>
          <w:rFonts w:ascii="CG Times" w:hAnsi="CG Times"/>
          <w:b/>
          <w:sz w:val="21"/>
          <w:szCs w:val="21"/>
          <w:lang w:val="sq-AL"/>
        </w:rPr>
        <w:t>NË EMËR TË REPUBLIKËS SË SHQIPËRISË</w:t>
      </w:r>
    </w:p>
    <w:p w:rsidR="0055563F" w:rsidRPr="00DF6FCE" w:rsidRDefault="0055563F" w:rsidP="0055563F">
      <w:pPr>
        <w:widowControl w:val="0"/>
        <w:ind w:firstLine="720"/>
        <w:jc w:val="both"/>
        <w:rPr>
          <w:rFonts w:ascii="CG Times" w:eastAsia="Times New Roman" w:hAnsi="CG Times"/>
          <w:sz w:val="16"/>
          <w:szCs w:val="21"/>
          <w:lang w:val="sq-AL"/>
        </w:rPr>
      </w:pP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e përbërë nga:</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Bashkim Dedja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kryetar i Gjykatës Kushtetuese</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Sokol Berberi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Vitore Tusha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Fatmir Hoxha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Gani Dizdari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55563F" w:rsidRPr="002E36E2" w:rsidRDefault="006A717A"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Altina Xhoxhaj,</w:t>
      </w:r>
      <w:r w:rsidRPr="002E36E2">
        <w:rPr>
          <w:rFonts w:ascii="CG Times" w:eastAsia="Times New Roman" w:hAnsi="CG Times"/>
          <w:sz w:val="21"/>
          <w:szCs w:val="21"/>
          <w:lang w:val="sq-AL"/>
        </w:rPr>
        <w:tab/>
      </w:r>
      <w:r w:rsidR="00EE1242">
        <w:rPr>
          <w:rFonts w:ascii="CG Times" w:eastAsia="Times New Roman" w:hAnsi="CG Times"/>
          <w:sz w:val="21"/>
          <w:szCs w:val="21"/>
          <w:lang w:val="sq-AL"/>
        </w:rPr>
        <w:tab/>
      </w:r>
      <w:r w:rsidR="0055563F" w:rsidRPr="002E36E2">
        <w:rPr>
          <w:rFonts w:ascii="CG Times" w:eastAsia="Times New Roman" w:hAnsi="CG Times"/>
          <w:sz w:val="21"/>
          <w:szCs w:val="21"/>
          <w:lang w:val="sq-AL"/>
        </w:rPr>
        <w:t xml:space="preserve">anëtare e </w:t>
      </w:r>
      <w:r w:rsidR="0055563F" w:rsidRPr="002E36E2">
        <w:rPr>
          <w:rFonts w:ascii="CG Times" w:eastAsia="Times New Roman" w:hAnsi="CG Times"/>
          <w:sz w:val="21"/>
          <w:szCs w:val="21"/>
          <w:lang w:val="sq-AL"/>
        </w:rPr>
        <w:tab/>
        <w:t>“</w:t>
      </w:r>
      <w:r w:rsidR="0055563F" w:rsidRPr="002E36E2">
        <w:rPr>
          <w:rFonts w:ascii="CG Times" w:eastAsia="Times New Roman" w:hAnsi="CG Times"/>
          <w:sz w:val="21"/>
          <w:szCs w:val="21"/>
          <w:lang w:val="sq-AL"/>
        </w:rPr>
        <w:tab/>
        <w:t>“</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 xml:space="preserve">me sekretare Blerina Basha, në datë 19.9.2013 mori në shqyrtim </w:t>
      </w:r>
      <w:r w:rsidRPr="002E36E2">
        <w:rPr>
          <w:rFonts w:ascii="CG Times" w:hAnsi="CG Times"/>
          <w:sz w:val="21"/>
          <w:szCs w:val="21"/>
          <w:lang w:val="sq-AL"/>
        </w:rPr>
        <w:t>në seancë plenare mbi bazë dokumentesh çështjen me nr. 19/2 Akti, që u përket palëve:</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bCs/>
          <w:sz w:val="21"/>
          <w:szCs w:val="21"/>
          <w:lang w:val="sq-AL"/>
        </w:rPr>
        <w:t>KËRKUES: Enver Korteshi, Estref Avdillari</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rPr>
        <w:t>SUBJEKTE TË INTERESUARA:</w:t>
      </w:r>
      <w:r w:rsidRPr="002E36E2">
        <w:rPr>
          <w:rFonts w:ascii="CG Times" w:hAnsi="CG Times"/>
          <w:sz w:val="21"/>
          <w:szCs w:val="21"/>
          <w:lang w:val="sq-AL"/>
        </w:rPr>
        <w:t xml:space="preserve"> </w:t>
      </w:r>
      <w:r w:rsidRPr="002E36E2">
        <w:rPr>
          <w:rFonts w:ascii="CG Times" w:eastAsia="Times New Roman" w:hAnsi="CG Times"/>
          <w:iCs/>
          <w:color w:val="000000"/>
          <w:sz w:val="21"/>
          <w:szCs w:val="21"/>
          <w:lang w:val="sq-AL"/>
        </w:rPr>
        <w:t>Rovena Korteshi, Mikel Korteshi, Artur Korteshi, Selvije Korteshi, Mimoza Beqiri (Avdillari), Donika Beqiri (Avdillari), Servete Beqiri (Avdillari), Mit’hat Almanzovali, Fadil Duraku, Zoje Shurdhi, Mustafa Shurdhi, Dylbere Shurdhi, Xhoana Shurdhi, Hava Shurdhi, Artan Binaj, Muhamet Farouk Abdeal, Mohamed Faotuzi, Hekri Elmazi, Shoqëria “Twaik” sh</w:t>
      </w:r>
      <w:r w:rsidR="0026455A" w:rsidRPr="002E36E2">
        <w:rPr>
          <w:rFonts w:ascii="CG Times" w:eastAsia="Times New Roman" w:hAnsi="CG Times"/>
          <w:iCs/>
          <w:color w:val="000000"/>
          <w:sz w:val="21"/>
          <w:szCs w:val="21"/>
          <w:lang w:val="sq-AL"/>
        </w:rPr>
        <w:t>.</w:t>
      </w:r>
      <w:r w:rsidRPr="002E36E2">
        <w:rPr>
          <w:rFonts w:ascii="CG Times" w:eastAsia="Times New Roman" w:hAnsi="CG Times"/>
          <w:iCs/>
          <w:color w:val="000000"/>
          <w:sz w:val="21"/>
          <w:szCs w:val="21"/>
          <w:lang w:val="sq-AL"/>
        </w:rPr>
        <w:t>p</w:t>
      </w:r>
      <w:r w:rsidR="0026455A" w:rsidRPr="002E36E2">
        <w:rPr>
          <w:rFonts w:ascii="CG Times" w:eastAsia="Times New Roman" w:hAnsi="CG Times"/>
          <w:iCs/>
          <w:color w:val="000000"/>
          <w:sz w:val="21"/>
          <w:szCs w:val="21"/>
          <w:lang w:val="sq-AL"/>
        </w:rPr>
        <w:t>.</w:t>
      </w:r>
      <w:r w:rsidRPr="002E36E2">
        <w:rPr>
          <w:rFonts w:ascii="CG Times" w:eastAsia="Times New Roman" w:hAnsi="CG Times"/>
          <w:iCs/>
          <w:color w:val="000000"/>
          <w:sz w:val="21"/>
          <w:szCs w:val="21"/>
          <w:lang w:val="sq-AL"/>
        </w:rPr>
        <w:t>k</w:t>
      </w:r>
      <w:r w:rsidR="0026455A" w:rsidRPr="002E36E2">
        <w:rPr>
          <w:rFonts w:ascii="CG Times" w:eastAsia="Times New Roman" w:hAnsi="CG Times"/>
          <w:iCs/>
          <w:color w:val="000000"/>
          <w:sz w:val="21"/>
          <w:szCs w:val="21"/>
          <w:lang w:val="sq-AL"/>
        </w:rPr>
        <w:t>., këshilli i Qarkut Tiranë, k</w:t>
      </w:r>
      <w:r w:rsidRPr="002E36E2">
        <w:rPr>
          <w:rFonts w:ascii="CG Times" w:eastAsia="Times New Roman" w:hAnsi="CG Times"/>
          <w:iCs/>
          <w:color w:val="000000"/>
          <w:sz w:val="21"/>
          <w:szCs w:val="21"/>
          <w:lang w:val="sq-AL"/>
        </w:rPr>
        <w:t xml:space="preserve">omuna Kashar Tiranë, KKKP Tiranë, Zyra e Regjistrimit të Pasurive të Paluajtshme Tiranë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eastAsia="fr-FR"/>
        </w:rPr>
        <w:t xml:space="preserve">OBJEKTI: Shfuqizimi, si i papajtueshëm me Kushtetutën e Republikës së Shqipërisë, i vendimit nr. 00-2012-2578 (536), datë 22.11.2012 të Kolegjit Civil të Gjykatës së Lartë.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eastAsia="fr-FR"/>
        </w:rPr>
        <w:t xml:space="preserve">Pezullimi i ekzekutimit të vendimit nr. 00-2012-2578 (536), datë 22.11.2012 të Kolegjit Civil të Gjykatës së Lartë.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rPr>
        <w:t>BAZA LIGJORE:</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 xml:space="preserve">Nenet 42, 131/f, 134/1/g dhe 141 të Kushtetutës së Republikës së Shqipërisë; neni 6 i Konventës Evropiane për të Drejtat e Njeriut; ligji nr. 8577, datë 10.2.2000 “Për organizimin dhe funksionimin e Gjykatës Kushtetuese të Republikës së Shqipërisë”. </w:t>
      </w:r>
    </w:p>
    <w:p w:rsidR="0055563F" w:rsidRPr="002E36E2" w:rsidRDefault="0055563F" w:rsidP="0055563F">
      <w:pPr>
        <w:widowControl w:val="0"/>
        <w:jc w:val="center"/>
        <w:rPr>
          <w:rFonts w:ascii="CG Times" w:eastAsia="Times New Roman" w:hAnsi="CG Times"/>
          <w:sz w:val="21"/>
          <w:szCs w:val="21"/>
          <w:lang w:val="sq-AL"/>
        </w:rPr>
      </w:pPr>
      <w:r w:rsidRPr="002E36E2">
        <w:rPr>
          <w:rFonts w:ascii="CG Times" w:eastAsia="Times New Roman" w:hAnsi="CG Times"/>
          <w:bCs/>
          <w:sz w:val="21"/>
          <w:szCs w:val="21"/>
          <w:lang w:val="sq-AL"/>
        </w:rPr>
        <w:t>GJYKATA KUSHTETUESE</w:t>
      </w:r>
      <w:r w:rsidRPr="002E36E2">
        <w:rPr>
          <w:rFonts w:ascii="CG Times" w:eastAsia="Times New Roman" w:hAnsi="CG Times"/>
          <w:sz w:val="21"/>
          <w:szCs w:val="21"/>
          <w:lang w:val="sq-AL"/>
        </w:rPr>
        <w:t>,</w:t>
      </w:r>
    </w:p>
    <w:p w:rsidR="0055563F" w:rsidRPr="00DF6FCE" w:rsidRDefault="0055563F" w:rsidP="0055563F">
      <w:pPr>
        <w:widowControl w:val="0"/>
        <w:ind w:firstLine="720"/>
        <w:jc w:val="both"/>
        <w:rPr>
          <w:rFonts w:ascii="CG Times" w:eastAsia="Times New Roman" w:hAnsi="CG Times"/>
          <w:sz w:val="14"/>
          <w:szCs w:val="21"/>
          <w:lang w:val="sq-AL"/>
        </w:rPr>
      </w:pP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pasi dëgjoi relatoren e çështjes, Altina Xhoxhaj, shqyrtoi pretendimet e palëve dhe aktet e paraqitura dhe pasi bisedoi çështjen në tërësi, </w:t>
      </w:r>
    </w:p>
    <w:p w:rsidR="0055563F" w:rsidRPr="00DF6FCE" w:rsidRDefault="0055563F" w:rsidP="0055563F">
      <w:pPr>
        <w:widowControl w:val="0"/>
        <w:jc w:val="center"/>
        <w:rPr>
          <w:rFonts w:ascii="CG Times" w:eastAsia="Times New Roman" w:hAnsi="CG Times"/>
          <w:b/>
          <w:sz w:val="10"/>
          <w:szCs w:val="21"/>
          <w:lang w:val="sq-AL"/>
        </w:rPr>
      </w:pPr>
    </w:p>
    <w:p w:rsidR="0055563F" w:rsidRPr="002E36E2" w:rsidRDefault="0055563F" w:rsidP="0055563F">
      <w:pPr>
        <w:widowControl w:val="0"/>
        <w:jc w:val="center"/>
        <w:rPr>
          <w:rFonts w:ascii="CG Times" w:eastAsia="Times New Roman" w:hAnsi="CG Times"/>
          <w:sz w:val="21"/>
          <w:szCs w:val="21"/>
          <w:lang w:val="sq-AL"/>
        </w:rPr>
      </w:pPr>
      <w:r w:rsidRPr="002E36E2">
        <w:rPr>
          <w:rFonts w:ascii="CG Times" w:eastAsia="Times New Roman" w:hAnsi="CG Times"/>
          <w:sz w:val="21"/>
          <w:szCs w:val="21"/>
          <w:lang w:val="sq-AL"/>
        </w:rPr>
        <w:t>VËREN:</w:t>
      </w:r>
    </w:p>
    <w:p w:rsidR="0055563F" w:rsidRPr="002E36E2" w:rsidRDefault="0055563F" w:rsidP="0055563F">
      <w:pPr>
        <w:widowControl w:val="0"/>
        <w:jc w:val="center"/>
        <w:rPr>
          <w:rFonts w:ascii="CG Times" w:eastAsia="Times New Roman" w:hAnsi="CG Times"/>
          <w:sz w:val="21"/>
          <w:szCs w:val="21"/>
          <w:lang w:val="sq-AL"/>
        </w:rPr>
      </w:pPr>
    </w:p>
    <w:p w:rsidR="0055563F" w:rsidRPr="002E36E2" w:rsidRDefault="0055563F" w:rsidP="0055563F">
      <w:pPr>
        <w:widowControl w:val="0"/>
        <w:jc w:val="center"/>
        <w:rPr>
          <w:rFonts w:ascii="CG Times" w:eastAsia="Times New Roman" w:hAnsi="CG Times"/>
          <w:b/>
          <w:bCs/>
          <w:iCs/>
          <w:sz w:val="21"/>
          <w:szCs w:val="21"/>
          <w:lang w:val="sq-AL"/>
        </w:rPr>
      </w:pPr>
      <w:r w:rsidRPr="002E36E2">
        <w:rPr>
          <w:rFonts w:ascii="CG Times" w:eastAsia="Times New Roman" w:hAnsi="CG Times"/>
          <w:b/>
          <w:bCs/>
          <w:iCs/>
          <w:sz w:val="21"/>
          <w:szCs w:val="21"/>
          <w:lang w:val="sq-AL"/>
        </w:rPr>
        <w:t>I</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1. Me vendimin nr. 798, datë 20.10.1994, Komisioni i Kthimit dhe Kompe</w:t>
      </w:r>
      <w:r w:rsidR="00796E36">
        <w:rPr>
          <w:rFonts w:ascii="CG Times" w:eastAsia="Times New Roman" w:hAnsi="CG Times"/>
          <w:sz w:val="21"/>
          <w:szCs w:val="21"/>
          <w:lang w:val="sq-AL"/>
        </w:rPr>
        <w:t>nsimit të Pronave (KKKP) Tiranë</w:t>
      </w:r>
      <w:r w:rsidRPr="002E36E2">
        <w:rPr>
          <w:rFonts w:ascii="CG Times" w:eastAsia="Times New Roman" w:hAnsi="CG Times"/>
          <w:sz w:val="21"/>
          <w:szCs w:val="21"/>
          <w:lang w:val="sq-AL"/>
        </w:rPr>
        <w:t xml:space="preserve"> ka njohur pronar shtetasin Ibrahim Shurdhi, mbi një sipërfaqe truall prej 14.000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duke u kthyer trashëgimtarëve të tij (Zoje Shurdhi etj.), në natyrë, sipërfaqen prej 5.000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dhe duke vendosur kompensimin për pjesën e mbetur prej 9.000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Gjithashtu, me vendimin nr. 55, datë 9.6.1997, KKKP-ja Tiranë ka vendosur t’i kompensojë trashëgimtarët e ish-pronarit Ibrahim Shurdhi për një sipërfaqe prej 4.600 m², brenda sipërfaqes prej 9.000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2. Pas tjetërsimit të pasurisë së mësipërme, në bazë të disa kontratave shitblerjeje dhe dhurimi, pasuria prej 5.000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është regjistruar në emër të shtetasve Mit’hat Almanzolavi dhe Fadil Duraku.</w:t>
      </w:r>
    </w:p>
    <w:p w:rsidR="0055563F" w:rsidRPr="002E36E2" w:rsidRDefault="004E73A9"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r>
      <w:r w:rsidR="0055563F" w:rsidRPr="002E36E2">
        <w:rPr>
          <w:rFonts w:ascii="CG Times" w:eastAsia="Times New Roman" w:hAnsi="CG Times"/>
          <w:sz w:val="21"/>
          <w:szCs w:val="21"/>
          <w:lang w:val="sq-AL"/>
        </w:rPr>
        <w:t>3. Këshilli i Rrethit Tiranë, në bazë të ligjit nr. 7501, datë 19.7.1991 “Për tokën”, me aktet e marrjes së tokës në pronësi datë 12.6.1993, dhe datë 15.11.1994, ka pajisur me tokë në pronësi, përkatësisht, shtetasit Estref Avdillari, për sipërfaqen 2.900 m</w:t>
      </w:r>
      <w:r w:rsidR="0055563F" w:rsidRPr="002E36E2">
        <w:rPr>
          <w:rFonts w:ascii="CG Times" w:eastAsia="Times New Roman" w:hAnsi="CG Times"/>
          <w:sz w:val="21"/>
          <w:szCs w:val="21"/>
          <w:vertAlign w:val="superscript"/>
          <w:lang w:val="sq-AL"/>
        </w:rPr>
        <w:t>2</w:t>
      </w:r>
      <w:r w:rsidR="0055563F" w:rsidRPr="002E36E2">
        <w:rPr>
          <w:rFonts w:ascii="CG Times" w:eastAsia="Times New Roman" w:hAnsi="CG Times"/>
          <w:sz w:val="21"/>
          <w:szCs w:val="21"/>
          <w:lang w:val="sq-AL"/>
        </w:rPr>
        <w:t>, dhe Enver Korteshi, për sipërfaqen 4.000 m</w:t>
      </w:r>
      <w:r w:rsidR="0055563F" w:rsidRPr="002E36E2">
        <w:rPr>
          <w:rFonts w:ascii="CG Times" w:eastAsia="Times New Roman" w:hAnsi="CG Times"/>
          <w:sz w:val="21"/>
          <w:szCs w:val="21"/>
          <w:vertAlign w:val="superscript"/>
          <w:lang w:val="sq-AL"/>
        </w:rPr>
        <w:t>2</w:t>
      </w:r>
      <w:r w:rsidR="0055563F" w:rsidRPr="002E36E2">
        <w:rPr>
          <w:rFonts w:ascii="CG Times" w:eastAsia="Times New Roman" w:hAnsi="CG Times"/>
          <w:sz w:val="21"/>
          <w:szCs w:val="21"/>
          <w:lang w:val="sq-AL"/>
        </w:rPr>
        <w:t>. Një pjesë e kësaj sipërfaqeje toke, prej 2.000 m</w:t>
      </w:r>
      <w:r w:rsidR="0055563F" w:rsidRPr="002E36E2">
        <w:rPr>
          <w:rFonts w:ascii="CG Times" w:eastAsia="Times New Roman" w:hAnsi="CG Times"/>
          <w:sz w:val="21"/>
          <w:szCs w:val="21"/>
          <w:vertAlign w:val="superscript"/>
          <w:lang w:val="sq-AL"/>
        </w:rPr>
        <w:t>2</w:t>
      </w:r>
      <w:r w:rsidR="0055563F" w:rsidRPr="002E36E2">
        <w:rPr>
          <w:rFonts w:ascii="CG Times" w:eastAsia="Times New Roman" w:hAnsi="CG Times"/>
          <w:sz w:val="21"/>
          <w:szCs w:val="21"/>
          <w:lang w:val="sq-AL"/>
        </w:rPr>
        <w:t xml:space="preserve">, i është shitur shtetases Selvije Rushiti, veprime këto që, gjithashtu, janë pasqyruar në regjistrat e Zyrës Vendore të Regjistrimit të Pasurive të Paluajtshme Tiranë.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4. Me pretendimin se prona në fjalë </w:t>
      </w:r>
      <w:r w:rsidR="004E73A9" w:rsidRPr="002E36E2">
        <w:rPr>
          <w:rFonts w:ascii="CG Times" w:eastAsia="Times New Roman" w:hAnsi="CG Times"/>
          <w:sz w:val="21"/>
          <w:szCs w:val="21"/>
          <w:lang w:val="sq-AL"/>
        </w:rPr>
        <w:t>ndodhej brenda vijës së verdhë t</w:t>
      </w:r>
      <w:r w:rsidRPr="002E36E2">
        <w:rPr>
          <w:rFonts w:ascii="CG Times" w:eastAsia="Times New Roman" w:hAnsi="CG Times"/>
          <w:sz w:val="21"/>
          <w:szCs w:val="21"/>
          <w:lang w:val="sq-AL"/>
        </w:rPr>
        <w:t xml:space="preserve">ë qytetit të Tiranës dhe, si rrjedhim, ka qenë tokë truall e nuk mund të ndahej në bazë të ligjit nr. 7501, datë 19.07.1991 “Për tokën”, shtetasit Mit’hat Almanzolavi dhe Fadil Duraku i janë drejtuar me padi gjykatës, me pretendimin se marrja e tokës në pronësi nga shtetasit Enver Korteshi dhe Estref Avdillari, ka qenë e paligjshme.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5. Shtetasit Enver Korteshi, Estref Avdillari, Selvije Rushiti etj. kanë paraqitur kundërpadi, duke pretenduar pavlefshmërinë e vendimeve të sipërcituara të KKKP-së Tiranë, që kanë disponuar në favor të trashëgimlënësit Ibrahim Shurdhi, për arsye se organi administrativ kishte disponuar mbi një tokë bujqësore të ndarë në përputhje me ligjin nr. 7501, datë 19.7.1991 “Për tokën” dhe, si rrjedhim, veprimi ishte në kundërshtim me ligjin nr. 7698, datë 15.4.1993 “Për kthimin dhe kompensimin e pronave”. Për këtë arsye, kanë kërkuar edhe konstatimin e pavlefshmërisë së të gjitha veprimeve juridike të mëpasshme (kontratave të shitblerjes dhe dhurimit).</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6. Me vendimin nr. 672, datë 27.2.2001, Gjykata e Rrethit Gjyqësor Tiranë ka vendosur rrëzimin e padisë dhe pranimin e kundërpadisë. Ky vendim është ndryshuar me vendimin nr. 987, datë 19.9.2001 të Gjykatës së Apelit Tiranë, e cila e ka kthyer çështjen për rigjykim.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7. Me vendimin nr. 3064, datë 9.7.2002, Gjykata e Rrethit Gjyqësor Tiranë ka vendosur rrëzimin e padisë dhe pranimin e kundërpadisë. Ky vendim është lënë në fuqi me vendimin nr. 1120, datë 29.10.2002 të Gjykatës së Apelit Tiranë, kurse me vendimin nr. 505, datë 4.4.2004, Gjykata e Lartë ka prishur vendimin e Gjykatës së Apelit Tiranë dhe e ka kthyer çështjen për rigjykim në po atë gjykatë.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8. Me vendimin nr. 1199, datë 27.10.2004, Gjykata e Apelit Tiranë ka vendosur pranimin e kërkesëpadisë dhe rrëzimin e kundërpadisë, vendim që është prishur sërish, me vendimin nr. 51, datë 19.1.2006 të Kolegjit Civil të Gjykatës së Lartë, dhe çështja është dërguar për rishqyrtim në po atë gjykatë.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9. Me vendimin nr. 1624, datë 19.12.2007, Gjykata e Apelit Tiranë, në zbatim të detyrave dhe udhëzimeve të lëna nga Kolegji Civil i Gjykatës së Lartë, ka vendosur lënien në fuqi të vendimit nr. 3064, datë 9.7.2002 të Gjykatës së Rrethit Gjyqësor Tiranë.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10. Me vendimin nr. 00-2012-2578 (536), datë 22.11.2012, Ko</w:t>
      </w:r>
      <w:r w:rsidR="00E321C8" w:rsidRPr="002E36E2">
        <w:rPr>
          <w:rFonts w:ascii="CG Times" w:eastAsia="Times New Roman" w:hAnsi="CG Times"/>
          <w:sz w:val="21"/>
          <w:szCs w:val="21"/>
          <w:lang w:val="sq-AL"/>
        </w:rPr>
        <w:t>legji Civil i Gjykatës së Lartë</w:t>
      </w:r>
      <w:r w:rsidRPr="002E36E2">
        <w:rPr>
          <w:rFonts w:ascii="CG Times" w:eastAsia="Times New Roman" w:hAnsi="CG Times"/>
          <w:sz w:val="21"/>
          <w:szCs w:val="21"/>
          <w:lang w:val="sq-AL"/>
        </w:rPr>
        <w:t xml:space="preserve"> ka vendosur: “</w:t>
      </w:r>
      <w:r w:rsidRPr="002E36E2">
        <w:rPr>
          <w:rFonts w:ascii="CG Times" w:eastAsia="Times New Roman" w:hAnsi="CG Times"/>
          <w:i/>
          <w:sz w:val="21"/>
          <w:szCs w:val="21"/>
          <w:lang w:val="sq-AL"/>
        </w:rPr>
        <w:t>Ndryshimin e vendimit nr. 1624, datë 19.12.2007 të Gjykatës së Apelit Tiranë dhe të vendimit nr. 3064, datë 9.7.2002 të Gjykatës së Rrethit Gjyqësor Tiranë. Pranimin e kërkesëpadisë. Anulimin e akteve të marrjes së tokës në pronësi për sipërfaqet 2900 m² të të paditurit kundërpaditës Estref Avdillari, me nr. 315/69, datë 3.12.1999, dhe për sipërfaqen 4000 m² të të paditurit Enver Kurteshi, me nr. 315/72, datë 3.12.1999, që u përket akteve të marrjes së tokës në pronësi të vitit 1994. Deklarimin e pavlefshëm të veprimit juridik të kontratës së shitjes, të bërë ndërmjet të paditurit Enver Kurteshi dhe të paditurës Selvije Rushiti, për sipërfaqen prej 2000 m², me nr. 7301 rep., nr. 2087 kol., datë 8.12.1999, dhe fshirjen nga regjistri i pasurive të paluajtshme të akteve të mësipërme. Rrëzimin e kundërpadisë.</w:t>
      </w:r>
      <w:r w:rsidRPr="002E36E2">
        <w:rPr>
          <w:rFonts w:ascii="CG Times" w:eastAsia="Times New Roman" w:hAnsi="CG Times"/>
          <w:sz w:val="21"/>
          <w:szCs w:val="21"/>
          <w:lang w:val="sq-AL"/>
        </w:rPr>
        <w:t>”</w:t>
      </w:r>
    </w:p>
    <w:p w:rsidR="0055563F" w:rsidRPr="002E36E2" w:rsidRDefault="0055563F" w:rsidP="0055563F">
      <w:pPr>
        <w:widowControl w:val="0"/>
        <w:tabs>
          <w:tab w:val="left" w:pos="709"/>
        </w:tabs>
        <w:jc w:val="both"/>
        <w:rPr>
          <w:rFonts w:ascii="CG Times" w:eastAsia="Times New Roman" w:hAnsi="CG Times"/>
          <w:sz w:val="21"/>
          <w:szCs w:val="21"/>
          <w:lang w:val="sq-AL" w:eastAsia="fr-FR"/>
        </w:rPr>
      </w:pPr>
      <w:r w:rsidRPr="002E36E2">
        <w:rPr>
          <w:rFonts w:ascii="CG Times" w:eastAsia="Times New Roman" w:hAnsi="CG Times"/>
          <w:sz w:val="21"/>
          <w:szCs w:val="21"/>
          <w:lang w:val="sq-AL"/>
        </w:rPr>
        <w:tab/>
      </w:r>
      <w:r w:rsidRPr="002E36E2">
        <w:rPr>
          <w:rFonts w:ascii="CG Times" w:eastAsia="Times New Roman" w:hAnsi="CG Times"/>
          <w:sz w:val="21"/>
          <w:szCs w:val="21"/>
          <w:lang w:val="sq-AL" w:eastAsia="fr-FR"/>
        </w:rPr>
        <w:t xml:space="preserve"> 11. </w:t>
      </w:r>
      <w:r w:rsidRPr="002E36E2">
        <w:rPr>
          <w:rFonts w:ascii="CG Times" w:eastAsia="Times New Roman" w:hAnsi="CG Times"/>
          <w:sz w:val="21"/>
          <w:szCs w:val="21"/>
          <w:lang w:val="sq-AL"/>
        </w:rPr>
        <w:t>Në vitin 2012, s</w:t>
      </w:r>
      <w:r w:rsidRPr="002E36E2">
        <w:rPr>
          <w:rFonts w:ascii="CG Times" w:eastAsia="Times New Roman" w:hAnsi="CG Times"/>
          <w:sz w:val="21"/>
          <w:szCs w:val="21"/>
          <w:lang w:val="sq-AL" w:eastAsia="fr-FR"/>
        </w:rPr>
        <w:t xml:space="preserve">htetasja Selvije Rushiti i është drejtuar Gjykatës Kushtetuese (Gjykata) </w:t>
      </w:r>
      <w:r w:rsidRPr="002E36E2">
        <w:rPr>
          <w:rFonts w:ascii="CG Times" w:eastAsia="Times New Roman" w:hAnsi="CG Times"/>
          <w:sz w:val="21"/>
          <w:szCs w:val="21"/>
          <w:lang w:val="sq-AL"/>
        </w:rPr>
        <w:t>me kërkesë për shfuqizimin e</w:t>
      </w:r>
      <w:r w:rsidRPr="002E36E2">
        <w:rPr>
          <w:rFonts w:ascii="CG Times" w:eastAsia="Times New Roman" w:hAnsi="CG Times"/>
          <w:b/>
          <w:bCs/>
          <w:sz w:val="21"/>
          <w:szCs w:val="21"/>
          <w:lang w:val="sq-AL"/>
        </w:rPr>
        <w:t xml:space="preserve"> </w:t>
      </w:r>
      <w:r w:rsidRPr="002E36E2">
        <w:rPr>
          <w:rFonts w:ascii="CG Times" w:eastAsia="Times New Roman" w:hAnsi="CG Times"/>
          <w:sz w:val="21"/>
          <w:szCs w:val="21"/>
          <w:lang w:val="sq-AL"/>
        </w:rPr>
        <w:t xml:space="preserve">vendimit </w:t>
      </w:r>
      <w:r w:rsidRPr="002E36E2">
        <w:rPr>
          <w:rFonts w:ascii="CG Times" w:eastAsia="Times New Roman" w:hAnsi="CG Times"/>
          <w:bCs/>
          <w:sz w:val="21"/>
          <w:szCs w:val="21"/>
          <w:lang w:val="sq-AL" w:eastAsia="fr-FR"/>
        </w:rPr>
        <w:t>nr. 00-2012-2578 (536), datë 22.11.2012 të Kolegjit Civil të Gjykatës së Lartë. Kolegji i Gjykatës Kushtetuese, me vendimin nr. 38, datë 12.3.2013, ka vendosur moskalimin e çështjes për shqyrtim në seancë plenare.</w:t>
      </w:r>
    </w:p>
    <w:p w:rsidR="0055563F" w:rsidRPr="002E36E2" w:rsidRDefault="0055563F" w:rsidP="0055563F">
      <w:pPr>
        <w:widowControl w:val="0"/>
        <w:jc w:val="center"/>
        <w:rPr>
          <w:rFonts w:ascii="CG Times" w:hAnsi="CG Times"/>
          <w:b/>
          <w:sz w:val="21"/>
          <w:szCs w:val="21"/>
          <w:lang w:val="sq-AL"/>
        </w:rPr>
      </w:pPr>
      <w:r w:rsidRPr="002E36E2">
        <w:rPr>
          <w:rFonts w:ascii="CG Times" w:hAnsi="CG Times"/>
          <w:b/>
          <w:sz w:val="21"/>
          <w:szCs w:val="21"/>
          <w:lang w:val="sq-AL"/>
        </w:rPr>
        <w:t>II</w:t>
      </w:r>
    </w:p>
    <w:p w:rsidR="0055563F" w:rsidRPr="002E36E2" w:rsidRDefault="0055563F" w:rsidP="0055563F">
      <w:pPr>
        <w:pStyle w:val="Paragrafi"/>
        <w:rPr>
          <w:rFonts w:eastAsia="Times New Roman"/>
          <w:bCs/>
          <w:sz w:val="21"/>
          <w:szCs w:val="21"/>
          <w:lang w:val="sq-AL" w:eastAsia="fr-FR"/>
        </w:rPr>
      </w:pPr>
      <w:r w:rsidRPr="002E36E2">
        <w:rPr>
          <w:rFonts w:eastAsia="Times New Roman"/>
          <w:bCs/>
          <w:sz w:val="21"/>
          <w:szCs w:val="21"/>
          <w:lang w:val="sq-AL" w:eastAsia="fr-FR"/>
        </w:rPr>
        <w:t>12. Me kërkesën e datës 9.4.2013</w:t>
      </w:r>
      <w:r w:rsidR="00E321C8" w:rsidRPr="002E36E2">
        <w:rPr>
          <w:rFonts w:eastAsia="Times New Roman"/>
          <w:bCs/>
          <w:sz w:val="21"/>
          <w:szCs w:val="21"/>
          <w:lang w:val="sq-AL" w:eastAsia="fr-FR"/>
        </w:rPr>
        <w:t>,</w:t>
      </w:r>
      <w:r w:rsidRPr="002E36E2">
        <w:rPr>
          <w:rFonts w:eastAsia="Times New Roman"/>
          <w:bCs/>
          <w:sz w:val="21"/>
          <w:szCs w:val="21"/>
          <w:lang w:val="sq-AL" w:eastAsia="fr-FR"/>
        </w:rPr>
        <w:t xml:space="preserve"> </w:t>
      </w:r>
      <w:r w:rsidRPr="002E36E2">
        <w:rPr>
          <w:rFonts w:eastAsia="Times New Roman"/>
          <w:b/>
          <w:bCs/>
          <w:i/>
          <w:sz w:val="21"/>
          <w:szCs w:val="21"/>
          <w:lang w:val="sq-AL" w:eastAsia="fr-FR"/>
        </w:rPr>
        <w:t>kërkuesit Enver Korteshi dhe Estref Avdillari</w:t>
      </w:r>
      <w:r w:rsidRPr="002E36E2">
        <w:rPr>
          <w:rFonts w:eastAsia="Times New Roman"/>
          <w:bCs/>
          <w:sz w:val="21"/>
          <w:szCs w:val="21"/>
          <w:lang w:val="sq-AL" w:eastAsia="fr-FR"/>
        </w:rPr>
        <w:t xml:space="preserve"> i janë drejtuar Gjykatës Kushtetuese për kundërshtimin e vendimit nr. 00-2012-2578 (536), datë 22.11.2012 të Kolegjit Civil të Gjykatës së Lartë, duke paraqitur këto shkaqe:</w:t>
      </w:r>
    </w:p>
    <w:p w:rsidR="0055563F" w:rsidRPr="002E36E2" w:rsidRDefault="0055563F" w:rsidP="0055563F">
      <w:pPr>
        <w:pStyle w:val="Paragrafi"/>
        <w:rPr>
          <w:bCs/>
          <w:sz w:val="21"/>
          <w:szCs w:val="21"/>
          <w:lang w:val="sq-AL"/>
        </w:rPr>
      </w:pPr>
      <w:r w:rsidRPr="002E36E2">
        <w:rPr>
          <w:sz w:val="21"/>
          <w:szCs w:val="21"/>
          <w:lang w:val="sq-AL" w:eastAsia="fr-FR"/>
        </w:rPr>
        <w:t xml:space="preserve">12.1 Kolegji Civil i Gjykatës së Lartë ka vepruar në kundërshtim me kompetencat e tij, të parashikuara në nenet 472 dhe 485 të KPC-së, pasi ka bërë interpretim të ndryshëm të fakteve të interpretuara nga gjykatat e tjera, duke dalë në një konkluzion krejt të kundërt me atë të gjykatës së apelit dhe të shkallës së parë. Në bazë të nenit 485 të KPC-së, ai mund të vendoste prishjen e vendimit të gjykatës së apelit apo ndryshimin e vendimeve të gjykatave më të ulëta, por nuk ka të drejtë që mbi bazën e rivlerësimit të provave të prishë vendimet dhe të rrëzojë kërkesëpadinë. </w:t>
      </w:r>
    </w:p>
    <w:p w:rsidR="0055563F" w:rsidRPr="002E36E2" w:rsidRDefault="0055563F" w:rsidP="0055563F">
      <w:pPr>
        <w:pStyle w:val="Paragrafi"/>
        <w:rPr>
          <w:bCs/>
          <w:sz w:val="21"/>
          <w:szCs w:val="21"/>
          <w:lang w:val="sq-AL"/>
        </w:rPr>
      </w:pPr>
      <w:r w:rsidRPr="002E36E2">
        <w:rPr>
          <w:sz w:val="21"/>
          <w:szCs w:val="21"/>
          <w:lang w:val="sq-AL" w:eastAsia="fr-FR"/>
        </w:rPr>
        <w:t xml:space="preserve">12.2 Kolegji Civil i Gjykatës së Lartë, me dy vendime të mëparshme ka prishur vendimet e gjykatës së apelit dhe e ka kthyer çështjen për rishqyrtim, duke i pranuar në këto gjykime provat dhe faktet ashtu si i kishin pranuar gjykatat më të ulëta dhe duke urdhëruar përsëritjen e hetimit gjyqësor. Në këto vendime ai është shprehur edhe lidhur me vijën e verdhë dhe regjimin juridik të tokës (vendimi nr. 51/2006 i Gjykatës së Lartë). Edhe pse këto detyra janë zbatuar nga gjykata e apelit dhe në përfundim të gjykimit është vendosur pranimi i kundërpadisë, Gjykata e Lartë anashkalon të gjitha argumentet juridike të përdorura nga gjykata e apelit dhe, mbi të gjitha, arsyeton në kundërshtim me vendimin e saj nr. 51/2006. </w:t>
      </w:r>
    </w:p>
    <w:p w:rsidR="0055563F" w:rsidRPr="002E36E2" w:rsidRDefault="0055563F" w:rsidP="0055563F">
      <w:pPr>
        <w:pStyle w:val="Paragrafi"/>
        <w:rPr>
          <w:bCs/>
          <w:sz w:val="21"/>
          <w:szCs w:val="21"/>
          <w:lang w:val="sq-AL"/>
        </w:rPr>
      </w:pPr>
      <w:r w:rsidRPr="002E36E2">
        <w:rPr>
          <w:sz w:val="21"/>
          <w:szCs w:val="21"/>
          <w:lang w:val="sq-AL" w:eastAsia="fr-FR"/>
        </w:rPr>
        <w:t xml:space="preserve">12.3 Kolegji Civil i Gjykatës së Lartë ka shkelur parimin e gjykimit të paanshëm dhe barazisë së armëve në gjykim, pasi në dy vendime të saj, nr. 51/2006 dhe nr. 536/2012, ka marrë pjesë në trupin gjykues, për më tepër si kryesues, gjyqtari B.I. Për më tepër, ky gjyqtar ka vendosur në mënyra të ndryshme në këto vendime. </w:t>
      </w:r>
    </w:p>
    <w:p w:rsidR="0055563F" w:rsidRPr="002E36E2" w:rsidRDefault="0055563F" w:rsidP="0055563F">
      <w:pPr>
        <w:pStyle w:val="Paragrafi"/>
        <w:rPr>
          <w:bCs/>
          <w:sz w:val="21"/>
          <w:szCs w:val="21"/>
          <w:lang w:val="sq-AL"/>
        </w:rPr>
      </w:pPr>
      <w:r w:rsidRPr="002E36E2">
        <w:rPr>
          <w:sz w:val="21"/>
          <w:szCs w:val="21"/>
          <w:lang w:val="sq-AL" w:eastAsia="fr-FR"/>
        </w:rPr>
        <w:t>12.4 Paanshmëria e gjyqtarëve nënkupton edhe se nuk duhet të ketë paragjykime për palët. Kërkuesit, duke qenë “romë”</w:t>
      </w:r>
      <w:r w:rsidR="00E321C8" w:rsidRPr="002E36E2">
        <w:rPr>
          <w:sz w:val="21"/>
          <w:szCs w:val="21"/>
          <w:lang w:val="sq-AL" w:eastAsia="fr-FR"/>
        </w:rPr>
        <w:t>,</w:t>
      </w:r>
      <w:r w:rsidRPr="002E36E2">
        <w:rPr>
          <w:sz w:val="21"/>
          <w:szCs w:val="21"/>
          <w:lang w:val="sq-AL" w:eastAsia="fr-FR"/>
        </w:rPr>
        <w:t xml:space="preserve"> janë ndjerë inferiorë përpara trupës gjyqësore të Kolegjit Civil, që ka mbajtur një qëndrim dukshëm të njëanshëm. </w:t>
      </w:r>
    </w:p>
    <w:p w:rsidR="0055563F" w:rsidRPr="002E36E2" w:rsidRDefault="0055563F" w:rsidP="0055563F">
      <w:pPr>
        <w:pStyle w:val="Paragrafi"/>
        <w:rPr>
          <w:sz w:val="21"/>
          <w:szCs w:val="21"/>
          <w:lang w:val="sq-AL" w:eastAsia="fr-FR"/>
        </w:rPr>
      </w:pPr>
      <w:r w:rsidRPr="002E36E2">
        <w:rPr>
          <w:sz w:val="21"/>
          <w:szCs w:val="21"/>
          <w:lang w:val="sq-AL" w:eastAsia="fr-FR"/>
        </w:rPr>
        <w:t xml:space="preserve">13. </w:t>
      </w:r>
      <w:r w:rsidRPr="002E36E2">
        <w:rPr>
          <w:b/>
          <w:i/>
          <w:sz w:val="21"/>
          <w:szCs w:val="21"/>
          <w:lang w:val="sq-AL" w:eastAsia="fr-FR"/>
        </w:rPr>
        <w:t>Subjektet e interesuara</w:t>
      </w:r>
      <w:r w:rsidR="00E321C8" w:rsidRPr="002E36E2">
        <w:rPr>
          <w:b/>
          <w:i/>
          <w:sz w:val="21"/>
          <w:szCs w:val="21"/>
          <w:lang w:val="sq-AL" w:eastAsia="fr-FR"/>
        </w:rPr>
        <w:t>,</w:t>
      </w:r>
      <w:r w:rsidRPr="002E36E2">
        <w:rPr>
          <w:b/>
          <w:i/>
          <w:sz w:val="21"/>
          <w:szCs w:val="21"/>
          <w:lang w:val="sq-AL" w:eastAsia="fr-FR"/>
        </w:rPr>
        <w:t xml:space="preserve"> Fadil Duraku dhe Mustafa Shurdhi</w:t>
      </w:r>
      <w:r w:rsidRPr="002E36E2">
        <w:rPr>
          <w:sz w:val="21"/>
          <w:szCs w:val="21"/>
          <w:lang w:val="sq-AL" w:eastAsia="fr-FR"/>
        </w:rPr>
        <w:t xml:space="preserve">, në parashtrimet e tyre drejtuar Gjykatës Kushtetuese, prapësojnë se: </w:t>
      </w:r>
    </w:p>
    <w:p w:rsidR="0055563F" w:rsidRPr="002E36E2" w:rsidRDefault="0055563F" w:rsidP="0055563F">
      <w:pPr>
        <w:pStyle w:val="Paragrafi"/>
        <w:rPr>
          <w:bCs/>
          <w:sz w:val="21"/>
          <w:szCs w:val="21"/>
          <w:lang w:val="sq-AL"/>
        </w:rPr>
      </w:pPr>
      <w:r w:rsidRPr="002E36E2">
        <w:rPr>
          <w:sz w:val="21"/>
          <w:szCs w:val="21"/>
          <w:lang w:val="sq-AL" w:eastAsia="fr-FR"/>
        </w:rPr>
        <w:t>13.1 Kolegji Civil i Gjykatës së Lartë nuk ka bërë një interpretim të ndryshëm të fakteve, por mbi të njëjtat fakte të pranuara nga gjykata e apelit ka bërë interpretimin e ligjit. Në gjykatën e apelit është provuar se sipërfaqja e tokës objekt konflikti gjyqësor ka qenë brenda vijave kufizuese të qytetit në momentin që janë dhënë aktet e marrjes së tokës në pronësi, fakt ky i pranuar nga Gjykata e Lartë.</w:t>
      </w:r>
    </w:p>
    <w:p w:rsidR="0055563F" w:rsidRPr="002E36E2" w:rsidRDefault="0055563F" w:rsidP="0055563F">
      <w:pPr>
        <w:pStyle w:val="Paragrafi"/>
        <w:rPr>
          <w:bCs/>
          <w:sz w:val="21"/>
          <w:szCs w:val="21"/>
          <w:lang w:val="sq-AL"/>
        </w:rPr>
      </w:pPr>
      <w:r w:rsidRPr="002E36E2">
        <w:rPr>
          <w:sz w:val="21"/>
          <w:szCs w:val="21"/>
          <w:lang w:val="sq-AL" w:eastAsia="fr-FR"/>
        </w:rPr>
        <w:t>13.2 Fakti që Kolegji Civil i Gjykatës së Lartë, me dy vendime të tij e ka kthyer çështjen për rigjykim dhe ka dhënë udhëzime të ndryshme</w:t>
      </w:r>
      <w:r w:rsidR="006C0483" w:rsidRPr="002E36E2">
        <w:rPr>
          <w:sz w:val="21"/>
          <w:szCs w:val="21"/>
          <w:lang w:val="sq-AL" w:eastAsia="fr-FR"/>
        </w:rPr>
        <w:t>,</w:t>
      </w:r>
      <w:r w:rsidRPr="002E36E2">
        <w:rPr>
          <w:sz w:val="21"/>
          <w:szCs w:val="21"/>
          <w:lang w:val="sq-AL" w:eastAsia="fr-FR"/>
        </w:rPr>
        <w:t xml:space="preserve"> nuk e bën vendimin e kundërshtuar jokushtetues, pasi vendimet që kthejnë çështjen për rigjykim nuk janë përfundimtare.</w:t>
      </w:r>
    </w:p>
    <w:p w:rsidR="0055563F" w:rsidRPr="002E36E2" w:rsidRDefault="0055563F" w:rsidP="0055563F">
      <w:pPr>
        <w:pStyle w:val="Paragrafi"/>
        <w:rPr>
          <w:bCs/>
          <w:sz w:val="21"/>
          <w:szCs w:val="21"/>
          <w:lang w:val="sq-AL"/>
        </w:rPr>
      </w:pPr>
      <w:r w:rsidRPr="002E36E2">
        <w:rPr>
          <w:sz w:val="21"/>
          <w:szCs w:val="21"/>
          <w:lang w:val="sq-AL" w:eastAsia="fr-FR"/>
        </w:rPr>
        <w:t>13.3 Nuk është i bazuar pretendimi për cenimin e parimit të paanshmërisë, pasi në gjykimin në Gjykatën e Lartë kanë marrë pjesë pesë gjyqtarë, të cilët kanë qenë unanim me votimin lidhur me zbatimin e ligjit. Fakti që ai ka mbajtur qëndrim të ndryshëm në vendimin e mëparshëm</w:t>
      </w:r>
      <w:r w:rsidR="006C0483" w:rsidRPr="002E36E2">
        <w:rPr>
          <w:sz w:val="21"/>
          <w:szCs w:val="21"/>
          <w:lang w:val="sq-AL" w:eastAsia="fr-FR"/>
        </w:rPr>
        <w:t>,</w:t>
      </w:r>
      <w:r w:rsidRPr="002E36E2">
        <w:rPr>
          <w:sz w:val="21"/>
          <w:szCs w:val="21"/>
          <w:lang w:val="sq-AL" w:eastAsia="fr-FR"/>
        </w:rPr>
        <w:t xml:space="preserve"> nuk tregon njëanshmëri. </w:t>
      </w:r>
    </w:p>
    <w:p w:rsidR="0055563F" w:rsidRPr="002E36E2" w:rsidRDefault="0055563F" w:rsidP="0055563F">
      <w:pPr>
        <w:pStyle w:val="Paragrafi"/>
        <w:rPr>
          <w:bCs/>
          <w:sz w:val="21"/>
          <w:szCs w:val="21"/>
          <w:lang w:val="sq-AL"/>
        </w:rPr>
      </w:pPr>
      <w:r w:rsidRPr="002E36E2">
        <w:rPr>
          <w:sz w:val="21"/>
          <w:szCs w:val="21"/>
          <w:lang w:val="sq-AL" w:eastAsia="fr-FR"/>
        </w:rPr>
        <w:t xml:space="preserve">13.4 Në lidhje me pretendimin se gjykata ka qenë e njëanshme për shkak se kërkuesit janë romë, nuk ka asnjë fakt që të provojë një pretendim të tillë. </w:t>
      </w:r>
    </w:p>
    <w:p w:rsidR="00DF6FCE" w:rsidRDefault="00DF6FCE" w:rsidP="0055563F">
      <w:pPr>
        <w:widowControl w:val="0"/>
        <w:ind w:firstLine="900"/>
        <w:jc w:val="both"/>
        <w:rPr>
          <w:rFonts w:ascii="CG Times" w:hAnsi="CG Times"/>
          <w:bCs/>
          <w:sz w:val="21"/>
          <w:szCs w:val="21"/>
          <w:lang w:val="sq-AL"/>
        </w:rPr>
      </w:pPr>
    </w:p>
    <w:p w:rsidR="00DF6FCE" w:rsidRDefault="00DF6FCE" w:rsidP="0055563F">
      <w:pPr>
        <w:widowControl w:val="0"/>
        <w:ind w:firstLine="900"/>
        <w:jc w:val="both"/>
        <w:rPr>
          <w:rFonts w:ascii="CG Times" w:hAnsi="CG Times"/>
          <w:bCs/>
          <w:sz w:val="21"/>
          <w:szCs w:val="21"/>
          <w:lang w:val="sq-AL"/>
        </w:rPr>
      </w:pPr>
    </w:p>
    <w:p w:rsidR="00DF6FCE" w:rsidRPr="002E36E2" w:rsidRDefault="00DF6FCE" w:rsidP="0055563F">
      <w:pPr>
        <w:widowControl w:val="0"/>
        <w:ind w:firstLine="900"/>
        <w:jc w:val="both"/>
        <w:rPr>
          <w:rFonts w:ascii="CG Times" w:hAnsi="CG Times"/>
          <w:bCs/>
          <w:sz w:val="21"/>
          <w:szCs w:val="21"/>
          <w:lang w:val="sq-AL"/>
        </w:rPr>
      </w:pPr>
    </w:p>
    <w:p w:rsidR="0055563F" w:rsidRPr="002E36E2" w:rsidRDefault="0055563F" w:rsidP="0055563F">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III</w:t>
      </w:r>
    </w:p>
    <w:p w:rsidR="0055563F" w:rsidRPr="002E36E2" w:rsidRDefault="0055563F" w:rsidP="0055563F">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Vlerësimi i Gjykatës Kushtetuese</w:t>
      </w:r>
    </w:p>
    <w:p w:rsidR="000F0AA6" w:rsidRPr="00DF6FCE" w:rsidRDefault="000F0AA6" w:rsidP="0055563F">
      <w:pPr>
        <w:widowControl w:val="0"/>
        <w:jc w:val="center"/>
        <w:rPr>
          <w:rFonts w:ascii="CG Times" w:eastAsia="Times New Roman" w:hAnsi="CG Times"/>
          <w:b/>
          <w:sz w:val="12"/>
          <w:szCs w:val="21"/>
          <w:lang w:val="sq-AL"/>
        </w:rPr>
      </w:pPr>
    </w:p>
    <w:p w:rsidR="0055563F" w:rsidRPr="002E36E2" w:rsidRDefault="0055563F" w:rsidP="0055563F">
      <w:pPr>
        <w:widowControl w:val="0"/>
        <w:tabs>
          <w:tab w:val="left" w:pos="709"/>
        </w:tabs>
        <w:jc w:val="both"/>
        <w:rPr>
          <w:rFonts w:ascii="CG Times" w:eastAsia="Times New Roman" w:hAnsi="CG Times"/>
          <w:bCs/>
          <w:sz w:val="21"/>
          <w:szCs w:val="21"/>
          <w:lang w:val="sq-AL" w:eastAsia="fr-FR"/>
        </w:rPr>
      </w:pPr>
      <w:r w:rsidRPr="002E36E2">
        <w:rPr>
          <w:rFonts w:ascii="CG Times" w:eastAsia="Times New Roman" w:hAnsi="CG Times"/>
          <w:sz w:val="21"/>
          <w:szCs w:val="21"/>
          <w:lang w:val="sq-AL" w:eastAsia="fr-FR"/>
        </w:rPr>
        <w:tab/>
        <w:t xml:space="preserve">14. Përpara se të shprehet lidhur me thelbin e pretendimeve të ngritura nga kërkuesit, Gjykata Kushtetuese (Gjykata) vëren se </w:t>
      </w:r>
      <w:r w:rsidRPr="002E36E2">
        <w:rPr>
          <w:rFonts w:ascii="CG Times" w:eastAsia="Times New Roman" w:hAnsi="CG Times"/>
          <w:sz w:val="21"/>
          <w:szCs w:val="21"/>
          <w:lang w:val="sq-AL"/>
        </w:rPr>
        <w:t xml:space="preserve">vendimi </w:t>
      </w:r>
      <w:r w:rsidRPr="002E36E2">
        <w:rPr>
          <w:rFonts w:ascii="CG Times" w:eastAsia="Times New Roman" w:hAnsi="CG Times"/>
          <w:bCs/>
          <w:sz w:val="21"/>
          <w:szCs w:val="21"/>
          <w:lang w:val="sq-AL" w:eastAsia="fr-FR"/>
        </w:rPr>
        <w:t>nr. 00-2012-2578 (536), datë 22</w:t>
      </w:r>
      <w:r w:rsidR="006C0483" w:rsidRPr="002E36E2">
        <w:rPr>
          <w:rFonts w:ascii="CG Times" w:eastAsia="Times New Roman" w:hAnsi="CG Times"/>
          <w:bCs/>
          <w:sz w:val="21"/>
          <w:szCs w:val="21"/>
          <w:lang w:val="sq-AL" w:eastAsia="fr-FR"/>
        </w:rPr>
        <w:t>.11.2012</w:t>
      </w:r>
      <w:r w:rsidRPr="002E36E2">
        <w:rPr>
          <w:rFonts w:ascii="CG Times" w:eastAsia="Times New Roman" w:hAnsi="CG Times"/>
          <w:bCs/>
          <w:sz w:val="21"/>
          <w:szCs w:val="21"/>
          <w:lang w:val="sq-AL" w:eastAsia="fr-FR"/>
        </w:rPr>
        <w:t xml:space="preserve"> i Kolegjit Civil të Gjykatës së Lartë është bërë edhe më parë objekt i shqyrtimit nga kjo Gjykatë, e vënë në lëvizje në bazë të kërkesës së paraqitur nga shtetasja Selvije Rushiti, për të cilën Kolegji i Gjykatës Kushtetuese, me vendimin nr. 38, datë 12.3.2013, ka vendosur moskalimin e çështjes për shqyrtim në seancë plenare.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bCs/>
          <w:sz w:val="21"/>
          <w:szCs w:val="21"/>
          <w:lang w:val="sq-AL" w:eastAsia="fr-FR"/>
        </w:rPr>
        <w:tab/>
        <w:t xml:space="preserve">15. </w:t>
      </w:r>
      <w:r w:rsidRPr="002E36E2">
        <w:rPr>
          <w:rFonts w:ascii="CG Times" w:hAnsi="CG Times"/>
          <w:bCs/>
          <w:sz w:val="21"/>
          <w:szCs w:val="21"/>
          <w:lang w:val="sq-AL"/>
        </w:rPr>
        <w:t>Gjykata, n</w:t>
      </w:r>
      <w:r w:rsidRPr="002E36E2">
        <w:rPr>
          <w:rFonts w:ascii="CG Times" w:hAnsi="CG Times"/>
          <w:sz w:val="21"/>
          <w:szCs w:val="21"/>
          <w:lang w:val="sq-AL"/>
        </w:rPr>
        <w:t xml:space="preserve">ë praktikën e saj, ka pranuar rishqyrtimin e kërkesave me të njëjtin objekt kur, brenda afatit 2-vjeçar të parashikuar nga neni 30 i ligjit </w:t>
      </w:r>
      <w:r w:rsidRPr="002E36E2">
        <w:rPr>
          <w:rFonts w:ascii="CG Times" w:eastAsia="Times New Roman" w:hAnsi="CG Times"/>
          <w:sz w:val="21"/>
          <w:szCs w:val="21"/>
          <w:lang w:val="sq-AL"/>
        </w:rPr>
        <w:t xml:space="preserve">nr. 8577, datë 10.2.2000 “Për organizimin dhe funksionimin e Gjykatës Kushtetuese të Republikës së Shqipërisë”, janë </w:t>
      </w:r>
      <w:r w:rsidRPr="002E36E2">
        <w:rPr>
          <w:rFonts w:ascii="CG Times" w:hAnsi="CG Times"/>
          <w:sz w:val="21"/>
          <w:szCs w:val="21"/>
          <w:lang w:val="sq-AL"/>
        </w:rPr>
        <w:t>paraqitur shkaqe të reja për antikushtetutshmërinë e vendimmarrjes së gjykatave të juridiksionit të zakonshëm (</w:t>
      </w:r>
      <w:r w:rsidRPr="002E36E2">
        <w:rPr>
          <w:rFonts w:ascii="CG Times" w:hAnsi="CG Times"/>
          <w:i/>
          <w:sz w:val="21"/>
          <w:szCs w:val="21"/>
          <w:lang w:val="sq-AL"/>
        </w:rPr>
        <w:t>shih vendimet nr. 29, datë 21.12.2006; nr. 21, datë 29.4.2010 të Gjykatës Kushtetuese</w:t>
      </w:r>
      <w:r w:rsidRPr="002E36E2">
        <w:rPr>
          <w:rFonts w:ascii="CG Times" w:hAnsi="CG Times"/>
          <w:sz w:val="21"/>
          <w:szCs w:val="21"/>
          <w:lang w:val="sq-AL"/>
        </w:rPr>
        <w:t xml:space="preserve">). </w:t>
      </w:r>
      <w:r w:rsidRPr="002E36E2">
        <w:rPr>
          <w:rFonts w:ascii="CG Times" w:eastAsia="Times New Roman" w:hAnsi="CG Times"/>
          <w:bCs/>
          <w:sz w:val="21"/>
          <w:szCs w:val="21"/>
          <w:lang w:val="sq-AL" w:eastAsia="fr-FR"/>
        </w:rPr>
        <w:t>Në kërkesën në shqyrtim, kërkuesit kanë ngritur përsëri pretendimin për cenimin e standardit të gjykimit nga një gjykatë e caktuar me ligj, por e kanë lidhur atë me faktin se Gjykata e Lartë ka vendosur në kundërshtim me provat dhe faktet e pranuara dhe</w:t>
      </w:r>
      <w:r w:rsidR="001D1882" w:rsidRPr="002E36E2">
        <w:rPr>
          <w:rFonts w:ascii="CG Times" w:eastAsia="Times New Roman" w:hAnsi="CG Times"/>
          <w:bCs/>
          <w:sz w:val="21"/>
          <w:szCs w:val="21"/>
          <w:lang w:val="sq-AL" w:eastAsia="fr-FR"/>
        </w:rPr>
        <w:t xml:space="preserve"> të</w:t>
      </w:r>
      <w:r w:rsidRPr="002E36E2">
        <w:rPr>
          <w:rFonts w:ascii="CG Times" w:eastAsia="Times New Roman" w:hAnsi="CG Times"/>
          <w:bCs/>
          <w:sz w:val="21"/>
          <w:szCs w:val="21"/>
          <w:lang w:val="sq-AL" w:eastAsia="fr-FR"/>
        </w:rPr>
        <w:t xml:space="preserve"> vlerësuara </w:t>
      </w:r>
      <w:r w:rsidRPr="002E36E2">
        <w:rPr>
          <w:rFonts w:ascii="CG Times" w:eastAsia="Times New Roman" w:hAnsi="CG Times"/>
          <w:sz w:val="21"/>
          <w:szCs w:val="21"/>
          <w:lang w:val="sq-AL" w:eastAsia="fr-FR"/>
        </w:rPr>
        <w:t xml:space="preserve">nga gjykatat më të ulëta, pretendim i cili nuk ishte ngritur në kërkesën e paraqitur nga shtetasja Selvije Rushiti. </w:t>
      </w:r>
      <w:r w:rsidRPr="002E36E2">
        <w:rPr>
          <w:rFonts w:ascii="CG Times" w:eastAsia="Times New Roman" w:hAnsi="CG Times"/>
          <w:sz w:val="21"/>
          <w:szCs w:val="21"/>
          <w:lang w:val="sq-AL"/>
        </w:rPr>
        <w:t xml:space="preserve">Po ashtu, ata kanë paraqitur, si shkak të ri, cenimin e parimit të paanshmërisë në gjykimin e zhvilluar në Gjykatën e Lartë. </w:t>
      </w:r>
      <w:r w:rsidRPr="002E36E2">
        <w:rPr>
          <w:rFonts w:ascii="CG Times" w:hAnsi="CG Times"/>
          <w:sz w:val="21"/>
          <w:szCs w:val="21"/>
          <w:lang w:val="sq-AL"/>
        </w:rPr>
        <w:t xml:space="preserve">Në kushtet kur këto pretendime nuk janë ngritur më parë para Gjykatës dhe në lidhje me to nuk është mbajtur një qëndrim përfundimtar, Gjykata vlerëson se </w:t>
      </w:r>
      <w:r w:rsidRPr="002E36E2">
        <w:rPr>
          <w:rFonts w:ascii="CG Times" w:eastAsia="Times New Roman" w:hAnsi="CG Times"/>
          <w:sz w:val="21"/>
          <w:szCs w:val="21"/>
          <w:lang w:val="sq-AL"/>
        </w:rPr>
        <w:t xml:space="preserve">vendimi </w:t>
      </w:r>
      <w:r w:rsidRPr="002E36E2">
        <w:rPr>
          <w:rFonts w:ascii="CG Times" w:eastAsia="Times New Roman" w:hAnsi="CG Times"/>
          <w:bCs/>
          <w:sz w:val="21"/>
          <w:szCs w:val="21"/>
          <w:lang w:val="sq-AL" w:eastAsia="fr-FR"/>
        </w:rPr>
        <w:t>nr. 38,</w:t>
      </w:r>
      <w:r w:rsidR="006C0483" w:rsidRPr="002E36E2">
        <w:rPr>
          <w:rFonts w:ascii="CG Times" w:eastAsia="Times New Roman" w:hAnsi="CG Times"/>
          <w:bCs/>
          <w:sz w:val="21"/>
          <w:szCs w:val="21"/>
          <w:lang w:val="sq-AL" w:eastAsia="fr-FR"/>
        </w:rPr>
        <w:t xml:space="preserve"> datë 12.3.2013 i kësaj Gjykate,</w:t>
      </w:r>
      <w:r w:rsidRPr="002E36E2">
        <w:rPr>
          <w:rFonts w:ascii="CG Times" w:eastAsia="Times New Roman" w:hAnsi="CG Times"/>
          <w:bCs/>
          <w:sz w:val="21"/>
          <w:szCs w:val="21"/>
          <w:lang w:val="sq-AL" w:eastAsia="fr-FR"/>
        </w:rPr>
        <w:t xml:space="preserve"> </w:t>
      </w:r>
      <w:r w:rsidRPr="002E36E2">
        <w:rPr>
          <w:rFonts w:ascii="CG Times" w:eastAsia="Times New Roman" w:hAnsi="CG Times"/>
          <w:sz w:val="21"/>
          <w:szCs w:val="21"/>
          <w:lang w:val="sq-AL"/>
        </w:rPr>
        <w:t>nuk përbën pengesë në aspektin kushtetues për marrjen në shqyrtim të tyre.</w:t>
      </w:r>
    </w:p>
    <w:p w:rsidR="0055563F" w:rsidRPr="002E36E2" w:rsidRDefault="0055563F" w:rsidP="0055563F">
      <w:pPr>
        <w:widowControl w:val="0"/>
        <w:tabs>
          <w:tab w:val="left" w:pos="709"/>
        </w:tabs>
        <w:jc w:val="both"/>
        <w:rPr>
          <w:rFonts w:ascii="CG Times" w:hAnsi="CG Times"/>
          <w:i/>
          <w:sz w:val="21"/>
          <w:szCs w:val="21"/>
          <w:lang w:val="sq-AL"/>
        </w:rPr>
      </w:pPr>
      <w:r w:rsidRPr="002E36E2">
        <w:rPr>
          <w:rFonts w:ascii="CG Times" w:eastAsia="Times New Roman" w:hAnsi="CG Times"/>
          <w:sz w:val="21"/>
          <w:szCs w:val="21"/>
          <w:lang w:val="sq-AL"/>
        </w:rPr>
        <w:tab/>
      </w:r>
      <w:r w:rsidRPr="002E36E2">
        <w:rPr>
          <w:rFonts w:ascii="CG Times" w:hAnsi="CG Times"/>
          <w:i/>
          <w:sz w:val="21"/>
          <w:szCs w:val="21"/>
          <w:lang w:val="sq-AL"/>
        </w:rPr>
        <w:t xml:space="preserve">A. Lidhur me pretendimin për cenimin e standardit kushtetues të gjykimit nga një gjykatë e caktuar me ligj </w:t>
      </w:r>
    </w:p>
    <w:p w:rsidR="0055563F" w:rsidRPr="002E36E2" w:rsidRDefault="0055563F" w:rsidP="0055563F">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16. Sipas kërkuesve, Gjykata e Lartë ka cenuar parimin e gjykimit nga një gjykatë e caktuar me ligj, pasi ajo ka bërë një interpretim të ndryshëm të fakteve të interpretuara nga gjykatat më të ulëta. Sipas tyre, pas zbatimit të detyrave të lëna nga Gjykata e Lartë, gjykata e apelit, në interpretim të fakteve dhe provave të administruara, ka arritur në konkluzionin se duhej pranuar kundërpadia, por Kolegji Civil i Gjykatës së Lartë, në kundërshtim me interpretimin e bërë nga gjykata e apelit dhe duke anashkaluar argumentet juridike të përdorura nga ajo gjykatë, ka arritur në një konkluzion të ndryshëm.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 xml:space="preserve">17. </w:t>
      </w:r>
      <w:r w:rsidRPr="002E36E2">
        <w:rPr>
          <w:rFonts w:ascii="CG Times" w:hAnsi="CG Times"/>
          <w:sz w:val="21"/>
          <w:szCs w:val="21"/>
          <w:lang w:val="sq-AL"/>
        </w:rPr>
        <w:t>Gjykata ka vlerësuar se një nga elementet e procesit të rregullt ligjor, sipas nenit 42 të Kushtetutës dhe nenit 6 të KEDNJ-së</w:t>
      </w:r>
      <w:r w:rsidR="001D1882" w:rsidRPr="002E36E2">
        <w:rPr>
          <w:rFonts w:ascii="CG Times" w:hAnsi="CG Times"/>
          <w:sz w:val="21"/>
          <w:szCs w:val="21"/>
          <w:lang w:val="sq-AL"/>
        </w:rPr>
        <w:t>,</w:t>
      </w:r>
      <w:r w:rsidRPr="002E36E2">
        <w:rPr>
          <w:rFonts w:ascii="CG Times" w:hAnsi="CG Times"/>
          <w:sz w:val="21"/>
          <w:szCs w:val="21"/>
          <w:lang w:val="sq-AL"/>
        </w:rPr>
        <w:t xml:space="preserve"> është dhe shqyrtimi i çështjes nga një </w:t>
      </w:r>
      <w:r w:rsidRPr="002E36E2">
        <w:rPr>
          <w:rFonts w:ascii="CG Times" w:hAnsi="CG Times"/>
          <w:i/>
          <w:sz w:val="21"/>
          <w:szCs w:val="21"/>
          <w:lang w:val="sq-AL"/>
        </w:rPr>
        <w:t>“gjykatë</w:t>
      </w:r>
      <w:r w:rsidRPr="002E36E2">
        <w:rPr>
          <w:rFonts w:ascii="CG Times" w:hAnsi="CG Times"/>
          <w:sz w:val="21"/>
          <w:szCs w:val="21"/>
          <w:lang w:val="sq-AL"/>
        </w:rPr>
        <w:t xml:space="preserve"> </w:t>
      </w:r>
      <w:r w:rsidRPr="002E36E2">
        <w:rPr>
          <w:rFonts w:ascii="CG Times" w:hAnsi="CG Times"/>
          <w:i/>
          <w:sz w:val="21"/>
          <w:szCs w:val="21"/>
          <w:lang w:val="sq-AL"/>
        </w:rPr>
        <w:t>e caktuar me ligj”</w:t>
      </w:r>
      <w:r w:rsidRPr="002E36E2">
        <w:rPr>
          <w:rFonts w:ascii="CG Times" w:hAnsi="CG Times"/>
          <w:sz w:val="21"/>
          <w:szCs w:val="21"/>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w:t>
      </w:r>
      <w:r w:rsidR="001A031D" w:rsidRPr="002E36E2">
        <w:rPr>
          <w:rFonts w:ascii="CG Times" w:hAnsi="CG Times"/>
          <w:sz w:val="21"/>
          <w:szCs w:val="21"/>
          <w:lang w:val="sq-AL"/>
        </w:rPr>
        <w:t>,</w:t>
      </w:r>
      <w:r w:rsidRPr="002E36E2">
        <w:rPr>
          <w:rFonts w:ascii="CG Times" w:hAnsi="CG Times"/>
          <w:sz w:val="21"/>
          <w:szCs w:val="21"/>
          <w:lang w:val="sq-AL"/>
        </w:rPr>
        <w:t xml:space="preserve"> nënkupton që gjykata të ketë juridiksion për të gjykuar çështjen dhe që kompetenca për të vendosur për të t’i jetë njohur nëpërmjet ligjit </w:t>
      </w:r>
      <w:r w:rsidRPr="002E36E2">
        <w:rPr>
          <w:rFonts w:ascii="CG Times" w:hAnsi="CG Times"/>
          <w:i/>
          <w:sz w:val="21"/>
          <w:szCs w:val="21"/>
          <w:lang w:val="sq-AL"/>
        </w:rPr>
        <w:t>(shih vendimet nr. 31, datë 1.12.2005; nr. 7, datë 9.3.2009; nr. 22, datë 22.7.2009; nr. 27, datë 24.6.2013 të Gjykatës Kushtetuese)</w:t>
      </w:r>
      <w:r w:rsidRPr="002E36E2">
        <w:rPr>
          <w:rFonts w:ascii="CG Times" w:hAnsi="CG Times"/>
          <w:sz w:val="21"/>
          <w:szCs w:val="21"/>
          <w:lang w:val="sq-AL"/>
        </w:rPr>
        <w:t xml:space="preserve">.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sz w:val="21"/>
          <w:szCs w:val="21"/>
          <w:lang w:val="sq-AL"/>
        </w:rPr>
        <w:t>18. 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w:t>
      </w:r>
      <w:r w:rsidR="001A031D" w:rsidRPr="002E36E2">
        <w:rPr>
          <w:rFonts w:ascii="CG Times" w:hAnsi="CG Times"/>
          <w:sz w:val="21"/>
          <w:szCs w:val="21"/>
          <w:lang w:val="sq-AL"/>
        </w:rPr>
        <w:t>,</w:t>
      </w:r>
      <w:r w:rsidRPr="002E36E2">
        <w:rPr>
          <w:rFonts w:ascii="CG Times" w:hAnsi="CG Times"/>
          <w:sz w:val="21"/>
          <w:szCs w:val="21"/>
          <w:lang w:val="sq-AL"/>
        </w:rPr>
        <w:t xml:space="preserv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Pr="002E36E2">
        <w:rPr>
          <w:rFonts w:ascii="CG Times" w:hAnsi="CG Times"/>
          <w:i/>
          <w:sz w:val="21"/>
          <w:szCs w:val="21"/>
          <w:lang w:val="sq-AL"/>
        </w:rPr>
        <w:t>shih vendimet nr. 31, datë 1.12.2005; nr. 7, datë 9.3.2009; nr. 27, datë 24.6.2013 të Gjykatës Kushtetuese</w:t>
      </w:r>
      <w:r w:rsidRPr="002E36E2">
        <w:rPr>
          <w:rFonts w:ascii="CG Times" w:hAnsi="CG Times"/>
          <w:sz w:val="21"/>
          <w:szCs w:val="21"/>
          <w:lang w:val="sq-AL"/>
        </w:rPr>
        <w:t xml:space="preserve">).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sz w:val="21"/>
          <w:szCs w:val="21"/>
          <w:lang w:val="sq-AL"/>
        </w:rPr>
        <w:t>19. 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Pr="002E36E2">
        <w:rPr>
          <w:rFonts w:ascii="CG Times" w:hAnsi="CG Times"/>
          <w:i/>
          <w:sz w:val="21"/>
          <w:szCs w:val="21"/>
          <w:lang w:val="sq-AL"/>
        </w:rPr>
        <w:t>shih vendimet nr. 7, datë 9.3.2009; nr. 27, datë 24.6.2013 të Gjykatës Kushtetuese</w:t>
      </w:r>
      <w:r w:rsidRPr="002E36E2">
        <w:rPr>
          <w:rFonts w:ascii="CG Times" w:hAnsi="CG Times"/>
          <w:sz w:val="21"/>
          <w:szCs w:val="21"/>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2E36E2">
        <w:rPr>
          <w:rFonts w:ascii="CG Times" w:hAnsi="CG Times"/>
          <w:i/>
          <w:sz w:val="21"/>
          <w:szCs w:val="21"/>
          <w:lang w:val="sq-AL"/>
        </w:rPr>
        <w:t>shih vendimin nr. 27, datë 24.6.2013 të Gjykatës Kushtetuese</w:t>
      </w:r>
      <w:r w:rsidRPr="002E36E2">
        <w:rPr>
          <w:rFonts w:ascii="CG Times" w:hAnsi="CG Times"/>
          <w:sz w:val="21"/>
          <w:szCs w:val="21"/>
          <w:lang w:val="sq-AL"/>
        </w:rPr>
        <w:t xml:space="preserve">). </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hAnsi="CG Times"/>
          <w:bCs/>
          <w:sz w:val="21"/>
          <w:szCs w:val="21"/>
          <w:lang w:val="sq-AL"/>
        </w:rPr>
        <w:t xml:space="preserve">20. Në rastin në shqyrtim, Gjykata vëren se me vendimin nr. 51, datë 12.1.2006, Kolegji Civil i Gjykatës së Lartë e ka kthyer çështjen për rigjykim në gjykatën e apelit, duke përcaktuar detyra për atë gjykatë gjatë rigjykimit të çështjes, më konkretisht lidhur me përcaktimin e regjimit juridik të tokës dhe kuadrin ligjor në të cilin është trajtuar ajo. Në rigjykimin e çështjes, gjykata e apelit, në zbatim të detyrave të lëna nga Gjykata e Lartë, ka arsyetuar se toka objekt konflikti ka qenë tokë bujqësore dhe pra objekt i veprimit të ligjit për tokën dhe, në përfundim të gjykimit, ka vendosur lënien në fuqi të vendimit </w:t>
      </w:r>
      <w:r w:rsidRPr="002E36E2">
        <w:rPr>
          <w:rFonts w:ascii="CG Times" w:eastAsia="Times New Roman" w:hAnsi="CG Times"/>
          <w:sz w:val="21"/>
          <w:szCs w:val="21"/>
          <w:lang w:val="sq-AL"/>
        </w:rPr>
        <w:t xml:space="preserve">nr. 3064, datë 9.7.2002 të Gjykatës së Rrethit Gjyqësor Tiranë, i cili ka rrëzuar padinë dhe ka pranuar kundërpadinë. </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hAnsi="CG Times"/>
          <w:bCs/>
          <w:sz w:val="21"/>
          <w:szCs w:val="21"/>
          <w:lang w:val="sq-AL"/>
        </w:rPr>
        <w:t>21. Në bazë të rekursit të paraqitur nga subjektet e interesuara, kjo çështje është bërë përsëri objekt gjykimi në Gjykatën e Lartë, e cila përfundimisht, me vendimin nr. 00-2012-2578 (536), datë 22.11.2012 (vendimi i kundërshtuar)</w:t>
      </w:r>
      <w:r w:rsidR="005B1711" w:rsidRPr="002E36E2">
        <w:rPr>
          <w:rFonts w:ascii="CG Times" w:hAnsi="CG Times"/>
          <w:bCs/>
          <w:sz w:val="21"/>
          <w:szCs w:val="21"/>
          <w:lang w:val="sq-AL"/>
        </w:rPr>
        <w:t>,</w:t>
      </w:r>
      <w:r w:rsidRPr="002E36E2">
        <w:rPr>
          <w:rFonts w:ascii="CG Times" w:hAnsi="CG Times"/>
          <w:bCs/>
          <w:sz w:val="21"/>
          <w:szCs w:val="21"/>
          <w:lang w:val="sq-AL"/>
        </w:rPr>
        <w:t xml:space="preserve"> ka vendosur ndryshimin e vendimeve gjyqësore dhe pranimin e padisë. Duke qenë se për zgjidhjen e konfliktit gjyqësor ka qenë thelbësor përcaktimi i regjimit juridik të sipërfaqes objekt konflikti gjyqësor, i cili është trajtuar nga njëra anë me vendime të KKKP-së dhe nga ana tjetër me akte të marrjes së tokës në pronësi, Kolegji Civil i Gjykatës së Lartë, bazuar në provat e administruara dhe të vlerësuara në gjykim, ka arritur në përfundimin se toka në fjalë është tokë truall dhe në këtë kuptim ajo i nënshtrohet rregullimeve të ligjit për kthimin dhe kompensimin e pronave</w:t>
      </w:r>
      <w:r w:rsidR="005B1711" w:rsidRPr="002E36E2">
        <w:rPr>
          <w:rFonts w:ascii="CG Times" w:hAnsi="CG Times"/>
          <w:bCs/>
          <w:sz w:val="21"/>
          <w:szCs w:val="21"/>
          <w:lang w:val="sq-AL"/>
        </w:rPr>
        <w:t>,</w:t>
      </w:r>
      <w:r w:rsidRPr="002E36E2">
        <w:rPr>
          <w:rFonts w:ascii="CG Times" w:hAnsi="CG Times"/>
          <w:bCs/>
          <w:sz w:val="21"/>
          <w:szCs w:val="21"/>
          <w:lang w:val="sq-AL"/>
        </w:rPr>
        <w:t xml:space="preserve"> dhe jo atyre të ligjit për tokën. Gjykata vlerëson se, në ndryshim nga sa pretendojnë kërkuesit, Kolegji Civil i Gjykatës së Lartë ka respektuar kufijtë e shqyrtimit të çështjes që i njihen atij, duke e përqendruar vlerësimin e tij në përcaktimin e regjimit juridik të tokës në kohën e hyrjes në fuqi të ligjit nr. 7698, datë 15.4.1993. </w:t>
      </w:r>
      <w:r w:rsidRPr="002E36E2">
        <w:rPr>
          <w:rFonts w:ascii="CG Times" w:eastAsia="Times New Roman" w:hAnsi="CG Times"/>
          <w:sz w:val="21"/>
          <w:szCs w:val="21"/>
          <w:lang w:val="sq-AL"/>
        </w:rPr>
        <w:t>Ai nuk rezulton të ketë marrë prova të reja apo të ketë bërë një rivlerësim të provave në të kundërt me atë të gjykatave më të ulëta. Kjo gjykatë, duke pranuar të gjitha provat e administruara në gjykimin e faktit dhe pa i ndryshuar ato, i ka analizuar dhe vlerësuar në vështrim të dispozitave ligjore të zbatueshme, si dhe jurisprudencës së vetë asaj gjykate, duke konkluduar se gjykatat kanë bërë një interpretim të gabuar të ligjit dhe për këto arsye edhe ka shfuqizuar vendimet e gjykatave më të ulëta. Për sa i përket referimit që Gjykata e Lartë bën në vendimin nr. 1, datë 28.3.1995 të KNT-së në rreth, i cili ka konsideruar si të pavlefshme aktet e marrjes së tokës në pronësi në sipërfaqen e gjendur brenda vijës kufizuese të Bashkisë Tiranë, ajo rezulton të jetë, gjithashtu, një provë e administruar në dosjen gjyqësore dhe e vlerësuar më parë nga gjykatat e faktit (</w:t>
      </w:r>
      <w:r w:rsidRPr="002E36E2">
        <w:rPr>
          <w:rFonts w:ascii="CG Times" w:eastAsia="Times New Roman" w:hAnsi="CG Times"/>
          <w:i/>
          <w:sz w:val="21"/>
          <w:szCs w:val="21"/>
          <w:lang w:val="sq-AL"/>
        </w:rPr>
        <w:t>shih vendimin nr. 1199, datë 27.10.2004 të Gjykatës së Apelit Tiranë</w:t>
      </w:r>
      <w:r w:rsidRPr="002E36E2">
        <w:rPr>
          <w:rFonts w:ascii="CG Times" w:eastAsia="Times New Roman" w:hAnsi="CG Times"/>
          <w:sz w:val="21"/>
          <w:szCs w:val="21"/>
          <w:lang w:val="sq-AL"/>
        </w:rPr>
        <w:t xml:space="preserve">). </w:t>
      </w:r>
    </w:p>
    <w:p w:rsidR="0055563F" w:rsidRPr="002E36E2" w:rsidRDefault="0055563F" w:rsidP="0055563F">
      <w:pPr>
        <w:widowControl w:val="0"/>
        <w:ind w:firstLine="567"/>
        <w:jc w:val="both"/>
        <w:rPr>
          <w:rFonts w:ascii="CG Times" w:eastAsia="Times New Roman" w:hAnsi="CG Times"/>
          <w:sz w:val="21"/>
          <w:szCs w:val="21"/>
          <w:lang w:val="sq-AL"/>
        </w:rPr>
      </w:pPr>
      <w:r w:rsidRPr="002E36E2">
        <w:rPr>
          <w:rFonts w:ascii="CG Times" w:eastAsia="Times New Roman" w:hAnsi="CG Times"/>
          <w:sz w:val="21"/>
          <w:szCs w:val="21"/>
          <w:lang w:val="sq-AL"/>
        </w:rPr>
        <w:t>22. Për sa më sipër, Gjykata vlerëson se pretendimi i kërkuesve për cenimin e parimit të gjykimit nga një gjykatë e caktuar me ligj, është i pabazuar.</w:t>
      </w:r>
    </w:p>
    <w:p w:rsidR="0055563F" w:rsidRPr="002E36E2" w:rsidRDefault="0055563F" w:rsidP="0055563F">
      <w:pPr>
        <w:pStyle w:val="Paragrafi"/>
        <w:rPr>
          <w:i/>
          <w:sz w:val="21"/>
          <w:szCs w:val="21"/>
          <w:lang w:val="sq-AL"/>
        </w:rPr>
      </w:pPr>
      <w:r w:rsidRPr="002E36E2">
        <w:rPr>
          <w:i/>
          <w:sz w:val="21"/>
          <w:szCs w:val="21"/>
          <w:lang w:val="sq-AL"/>
        </w:rPr>
        <w:t>B. Lidhur me pretendimin për cenimin e parimit të gjykimit nga një gjykatë e paanshme</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23. Kërkuesit pretendojnë edhe cenimin e parimit të paanshmërisë në gjykim, për shkak se në dy vendime të Gjykatës së Lartë, që i referohen kësaj çështjeje, në trupin gjykues ka marrë pjesë i njëjti gjyqtar B.I., i cili ka qenë në të dy rastet edhe kryesues i Kolegjit Civil. Po ashtu, sipas tyre, </w:t>
      </w:r>
      <w:r w:rsidRPr="002E36E2">
        <w:rPr>
          <w:rFonts w:ascii="CG Times" w:eastAsia="Times New Roman" w:hAnsi="CG Times"/>
          <w:sz w:val="21"/>
          <w:szCs w:val="21"/>
          <w:lang w:val="sq-AL" w:eastAsia="fr-FR"/>
        </w:rPr>
        <w:t xml:space="preserve">duke qenë “romë” ata janë ndjerë inferiorë përpara trupës gjyqësore të Kolegjit Civil, që ka mbajtur ndaj tyre një qëndrim dukshëm të njëanshëm.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iCs/>
          <w:sz w:val="21"/>
          <w:szCs w:val="21"/>
          <w:lang w:val="sq-AL" w:eastAsia="sq-AL"/>
        </w:rPr>
        <w:t xml:space="preserve">24. Gjykata ka theksuar se gjykimi nga një gjykatë e paanshme është një nga elementet e rëndësishme të procesit të rregullt ligjor, i garantuar nga neni 42 i Kushtetutës </w:t>
      </w:r>
      <w:r w:rsidRPr="002E36E2">
        <w:rPr>
          <w:rFonts w:ascii="CG Times" w:hAnsi="CG Times"/>
          <w:sz w:val="21"/>
          <w:szCs w:val="21"/>
          <w:lang w:val="sq-AL"/>
        </w:rPr>
        <w:t xml:space="preserve">dhe neni 6 i KEDNJ- 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2E36E2">
        <w:rPr>
          <w:rFonts w:ascii="CG Times" w:hAnsi="CG Times"/>
          <w:i/>
          <w:sz w:val="21"/>
          <w:szCs w:val="21"/>
          <w:lang w:val="sq-AL"/>
        </w:rPr>
        <w:t>(shih vendimet nr. 38, datë 15.10.2007; nr. 25, datë 10.6.2011; nr. 25, datë 11.6.2013 të Gjykatës Kushtetuese)</w:t>
      </w:r>
      <w:r w:rsidRPr="002E36E2">
        <w:rPr>
          <w:rFonts w:ascii="CG Times" w:hAnsi="CG Times"/>
          <w:sz w:val="21"/>
          <w:szCs w:val="21"/>
          <w:lang w:val="sq-AL"/>
        </w:rPr>
        <w:t>.</w:t>
      </w:r>
    </w:p>
    <w:p w:rsidR="0055563F" w:rsidRPr="002E36E2" w:rsidRDefault="0055563F" w:rsidP="0055563F">
      <w:pPr>
        <w:widowControl w:val="0"/>
        <w:ind w:firstLine="720"/>
        <w:jc w:val="both"/>
        <w:rPr>
          <w:rFonts w:ascii="CG Times" w:hAnsi="CG Times"/>
          <w:b/>
          <w:iCs/>
          <w:sz w:val="21"/>
          <w:szCs w:val="21"/>
          <w:u w:val="single"/>
          <w:lang w:val="sq-AL"/>
        </w:rPr>
      </w:pPr>
      <w:r w:rsidRPr="002E36E2">
        <w:rPr>
          <w:rFonts w:ascii="CG Times" w:hAnsi="CG Times"/>
          <w:sz w:val="21"/>
          <w:szCs w:val="21"/>
          <w:lang w:val="sq-AL"/>
        </w:rPr>
        <w:t>25. Gjykata, në jurisprudencë të vazhdueshme, ka theksuar rëndësinë e gjykimit nga një gjykatë e paanshme, me qëllim respektimin e të drejtave të palëve gjatë gjithë procesit. N</w:t>
      </w:r>
      <w:r w:rsidRPr="002E36E2">
        <w:rPr>
          <w:rFonts w:ascii="CG Times" w:hAnsi="CG Times"/>
          <w:sz w:val="21"/>
          <w:szCs w:val="21"/>
          <w:lang w:val="sq-AL" w:eastAsia="sq-AL"/>
        </w:rPr>
        <w:t>ë kuptim të nenit 42/2 të Kushtetutës,</w:t>
      </w:r>
      <w:r w:rsidRPr="002E36E2">
        <w:rPr>
          <w:rFonts w:ascii="CG Times" w:hAnsi="CG Times"/>
          <w:sz w:val="21"/>
          <w:szCs w:val="21"/>
          <w:lang w:val="sq-AL"/>
        </w:rPr>
        <w:t xml:space="preserve">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Pr="002E36E2">
        <w:rPr>
          <w:rFonts w:ascii="CG Times" w:hAnsi="CG Times"/>
          <w:i/>
          <w:sz w:val="21"/>
          <w:szCs w:val="21"/>
          <w:lang w:val="sq-AL"/>
        </w:rPr>
        <w:t>shih vendimet nr. 7, datë 11.3.2008; nr. 11, datë 2.4.2008; nr. 23, datë 4.11.2008; nr. 25, datë 11.6.2013 të Gjykatës Kushtetuese</w:t>
      </w:r>
      <w:r w:rsidRPr="002E36E2">
        <w:rPr>
          <w:rFonts w:ascii="CG Times" w:hAnsi="CG Times"/>
          <w:sz w:val="21"/>
          <w:szCs w:val="21"/>
          <w:lang w:val="sq-AL"/>
        </w:rPr>
        <w:t xml:space="preserve">). </w:t>
      </w:r>
    </w:p>
    <w:p w:rsidR="0055563F" w:rsidRPr="002E36E2" w:rsidRDefault="0055563F" w:rsidP="0055563F">
      <w:pPr>
        <w:widowControl w:val="0"/>
        <w:autoSpaceDE w:val="0"/>
        <w:autoSpaceDN w:val="0"/>
        <w:adjustRightInd w:val="0"/>
        <w:ind w:firstLine="709"/>
        <w:jc w:val="both"/>
        <w:rPr>
          <w:rFonts w:ascii="CG Times" w:hAnsi="CG Times"/>
          <w:iCs/>
          <w:sz w:val="21"/>
          <w:szCs w:val="21"/>
          <w:lang w:val="sq-AL" w:eastAsia="sq-AL"/>
        </w:rPr>
      </w:pPr>
      <w:r w:rsidRPr="002E36E2">
        <w:rPr>
          <w:rFonts w:ascii="CG Times" w:hAnsi="CG Times"/>
          <w:iCs/>
          <w:sz w:val="21"/>
          <w:szCs w:val="21"/>
          <w:lang w:val="sq-AL" w:eastAsia="sq-AL"/>
        </w:rPr>
        <w:t>26. Përjashtimi i këtyre dyshimeve është garanci për besimin që duhet të frymëzojnë gjykatat në një shoqëri demokratike për publikun dhe mbi të gjitha, për palët në procesin gjyqësor</w:t>
      </w:r>
      <w:r w:rsidRPr="002E36E2">
        <w:rPr>
          <w:rFonts w:ascii="CG Times" w:hAnsi="CG Times"/>
          <w:i/>
          <w:iCs/>
          <w:sz w:val="21"/>
          <w:szCs w:val="21"/>
          <w:lang w:val="sq-AL" w:eastAsia="sq-AL"/>
        </w:rPr>
        <w:t xml:space="preserve"> </w:t>
      </w:r>
      <w:r w:rsidRPr="002E36E2">
        <w:rPr>
          <w:rFonts w:ascii="CG Times" w:hAnsi="CG Times"/>
          <w:iCs/>
          <w:sz w:val="21"/>
          <w:szCs w:val="21"/>
          <w:lang w:val="sq-AL" w:eastAsia="sq-AL"/>
        </w:rPr>
        <w:t>(s</w:t>
      </w:r>
      <w:r w:rsidRPr="002E36E2">
        <w:rPr>
          <w:rFonts w:ascii="CG Times" w:hAnsi="CG Times"/>
          <w:i/>
          <w:iCs/>
          <w:sz w:val="21"/>
          <w:szCs w:val="21"/>
          <w:lang w:val="sq-AL" w:eastAsia="sq-AL"/>
        </w:rPr>
        <w:t xml:space="preserve">hih vendimin </w:t>
      </w:r>
      <w:r w:rsidRPr="002E36E2">
        <w:rPr>
          <w:rFonts w:ascii="CG Times" w:hAnsi="CG Times"/>
          <w:i/>
          <w:sz w:val="21"/>
          <w:szCs w:val="21"/>
          <w:lang w:val="sq-AL"/>
        </w:rPr>
        <w:t xml:space="preserve">nr. 11, datë 5.4.2013 </w:t>
      </w:r>
      <w:r w:rsidRPr="002E36E2">
        <w:rPr>
          <w:rFonts w:ascii="CG Times" w:hAnsi="CG Times"/>
          <w:i/>
          <w:iCs/>
          <w:sz w:val="21"/>
          <w:szCs w:val="21"/>
          <w:lang w:val="sq-AL" w:eastAsia="sq-AL"/>
        </w:rPr>
        <w:t>të Gjykatës Kushtetuese</w:t>
      </w:r>
      <w:r w:rsidRPr="002E36E2">
        <w:rPr>
          <w:rFonts w:ascii="CG Times" w:hAnsi="CG Times"/>
          <w:iCs/>
          <w:sz w:val="21"/>
          <w:szCs w:val="21"/>
          <w:lang w:val="sq-AL" w:eastAsia="sq-AL"/>
        </w:rPr>
        <w:t xml:space="preserve">). </w:t>
      </w:r>
      <w:r w:rsidRPr="002E36E2">
        <w:rPr>
          <w:rFonts w:ascii="CG Times" w:hAnsi="CG Times"/>
          <w:sz w:val="21"/>
          <w:szCs w:val="21"/>
          <w:lang w:val="sq-AL"/>
        </w:rPr>
        <w:t xml:space="preserve">Në demokraci, ligjshmëria e rolit të gjyqtarit varet jo vetëm nga qenia e tij, por dhe nga shfaqja e tij i paanshëm dhe i pavarur, duke qenë roli i tij në mënyrë esenciale </w:t>
      </w:r>
      <w:r w:rsidRPr="002E36E2">
        <w:rPr>
          <w:rFonts w:ascii="CG Times" w:hAnsi="CG Times"/>
          <w:i/>
          <w:sz w:val="21"/>
          <w:szCs w:val="21"/>
          <w:lang w:val="sq-AL"/>
        </w:rPr>
        <w:t>pasiv</w:t>
      </w:r>
      <w:r w:rsidRPr="002E36E2">
        <w:rPr>
          <w:rFonts w:ascii="CG Times" w:hAnsi="CG Times"/>
          <w:sz w:val="21"/>
          <w:szCs w:val="21"/>
          <w:lang w:val="sq-AL"/>
        </w:rPr>
        <w:t xml:space="preserve"> dhe </w:t>
      </w:r>
      <w:r w:rsidRPr="002E36E2">
        <w:rPr>
          <w:rFonts w:ascii="CG Times" w:hAnsi="CG Times"/>
          <w:i/>
          <w:sz w:val="21"/>
          <w:szCs w:val="21"/>
          <w:lang w:val="sq-AL"/>
        </w:rPr>
        <w:t xml:space="preserve">super partes </w:t>
      </w:r>
      <w:r w:rsidRPr="002E36E2">
        <w:rPr>
          <w:rFonts w:ascii="CG Times" w:hAnsi="CG Times"/>
          <w:sz w:val="21"/>
          <w:szCs w:val="21"/>
          <w:lang w:val="sq-AL"/>
        </w:rPr>
        <w:t>(</w:t>
      </w:r>
      <w:r w:rsidRPr="002E36E2">
        <w:rPr>
          <w:rFonts w:ascii="CG Times" w:hAnsi="CG Times"/>
          <w:i/>
          <w:sz w:val="21"/>
          <w:szCs w:val="21"/>
          <w:lang w:val="sq-AL"/>
        </w:rPr>
        <w:t>shih vendimet nr. 7, datë 11.3.2008; nr. 11, datë 2.4.2008; nr. 23, datë 4.11.2008 të Gjykatës Kushtetuese</w:t>
      </w:r>
      <w:r w:rsidRPr="002E36E2">
        <w:rPr>
          <w:rFonts w:ascii="CG Times" w:hAnsi="CG Times"/>
          <w:sz w:val="21"/>
          <w:szCs w:val="21"/>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2E36E2">
        <w:rPr>
          <w:rFonts w:ascii="CG Times" w:hAnsi="CG Times"/>
          <w:i/>
          <w:sz w:val="21"/>
          <w:szCs w:val="21"/>
          <w:lang w:val="sq-AL"/>
        </w:rPr>
        <w:t>shih vendimet nr. 10, datë 204.2009; nr. 25, datë 10.6.2011; nr. 47, datë 7.11.2011 të Gjykatës Kushtetuese</w:t>
      </w:r>
      <w:r w:rsidRPr="002E36E2">
        <w:rPr>
          <w:rFonts w:ascii="CG Times" w:hAnsi="CG Times"/>
          <w:sz w:val="21"/>
          <w:szCs w:val="21"/>
          <w:lang w:val="sq-AL"/>
        </w:rPr>
        <w:t>).</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sz w:val="21"/>
          <w:szCs w:val="21"/>
          <w:lang w:val="sq-AL"/>
        </w:rPr>
        <w:t xml:space="preserve">27. Gjykata vlerëson se edhe në rastin në shqyrtim paanshmëria duhet të vlerësohet në aspektin subjektiv dhe në atë objektiv. Për sa i takon paanshmërisë personale (subjektive) të gjyqtarit B.I., </w:t>
      </w:r>
      <w:r w:rsidRPr="002E36E2">
        <w:rPr>
          <w:rFonts w:ascii="CG Times" w:hAnsi="CG Times"/>
          <w:bCs/>
          <w:sz w:val="21"/>
          <w:szCs w:val="21"/>
          <w:lang w:val="sq-AL"/>
        </w:rPr>
        <w:t xml:space="preserve">pra bindjes së brendshme të këtij gjyqtari për mënyrën e zgjidhjes së çështjes konkrete, </w:t>
      </w:r>
      <w:r w:rsidRPr="002E36E2">
        <w:rPr>
          <w:rFonts w:ascii="CG Times" w:hAnsi="CG Times"/>
          <w:sz w:val="21"/>
          <w:szCs w:val="21"/>
          <w:lang w:val="sq-AL"/>
        </w:rPr>
        <w:t>nuk rezulton që kërkuesit të kenë paraqitur ndonjë provë për të vërtetuar këtë pretendim, ndaj ajo prezumohet. Për sa i përket paanshmërisë objektive, duhet shqyrtuar nëse dyshimi i ngritur nga kërkuesi është mjaftueshmërisht i provueshëm dhe ky përfundim varet nga rrethanat e çështjes konkrete. Lidhur me paanshmërinë objektive, Gjykata Evropiane e të Drejtave të Njeriut ka theksuar se fakti i thjeshtë që gjyqtari ka marrë vendim, në vetvete nuk mjafton për të mbështetur dyshimet rreth paanshmërisë së tij. Ajo që ka rëndësi është qëllimi dhe natyra e veprimeve që kryen ai gjatë procesit gjyqësor. Në të njëjtën mënyrë, njohuritë e detajuara të gjyqtarit mbi çështjen nuk përbëjnë ndonjë shkak për të dyshuar mbi paanshmërinë e tij gjatë marrjes së vendimit në themel</w:t>
      </w:r>
      <w:r w:rsidRPr="002E36E2">
        <w:rPr>
          <w:rFonts w:ascii="CG Times" w:hAnsi="CG Times"/>
          <w:i/>
          <w:sz w:val="21"/>
          <w:szCs w:val="21"/>
          <w:lang w:val="sq-AL"/>
        </w:rPr>
        <w:t xml:space="preserve"> (shih vendimin Gjonboçari kundër Shqipërisë, datë 31 mars 2005</w:t>
      </w:r>
      <w:r w:rsidRPr="002E36E2">
        <w:rPr>
          <w:rFonts w:ascii="CG Times" w:hAnsi="CG Times"/>
          <w:sz w:val="21"/>
          <w:szCs w:val="21"/>
          <w:lang w:val="sq-AL"/>
        </w:rPr>
        <w:t xml:space="preserve">). </w:t>
      </w:r>
    </w:p>
    <w:p w:rsidR="0055563F" w:rsidRPr="002E36E2" w:rsidRDefault="0055563F" w:rsidP="0055563F">
      <w:pPr>
        <w:pStyle w:val="Paragrafi"/>
        <w:rPr>
          <w:sz w:val="21"/>
          <w:szCs w:val="21"/>
          <w:lang w:val="sq-AL"/>
        </w:rPr>
      </w:pPr>
      <w:r w:rsidRPr="002E36E2">
        <w:rPr>
          <w:sz w:val="21"/>
          <w:szCs w:val="21"/>
          <w:lang w:val="sq-AL"/>
        </w:rPr>
        <w:t>28. Gjykata ka theksuar se paragjykimi eventual për paanshmërinë e gjyqtarit mund të ngrihet edhe në hipotezën se gjyqtari është shprehur në një procedim tjetër me një vlerësim që ka të bëjë me përmbajtjen e të njëjtit fakt, në lidhje me të njëjtin subjekt (</w:t>
      </w:r>
      <w:r w:rsidRPr="002E36E2">
        <w:rPr>
          <w:i/>
          <w:sz w:val="21"/>
          <w:szCs w:val="21"/>
          <w:lang w:val="sq-AL"/>
        </w:rPr>
        <w:t>shih vendimet nr. 12, datë 13.4.2007; nr. 15, datë 26.3.2012 të Gjykatës Kushtetuese</w:t>
      </w:r>
      <w:r w:rsidRPr="002E36E2">
        <w:rPr>
          <w:sz w:val="21"/>
          <w:szCs w:val="21"/>
          <w:lang w:val="sq-AL"/>
        </w:rPr>
        <w:t>). Në rastin konkret, Gjykata çmon se duhet shqyrtuar nëse dyshimi i ngritur nga kërkuesit mbi njëanshmërinë e këtij gjyqtari, për shkak të pjesëmarrjes së tij në dy gjykime të zhvilluara në Gjykatën e Lartë, që lidhen me të njëjtën çështje, është i mjaftueshëm për të cenuar në themel drejtësinë e vendimit të marrë në mënyrë unanime nga një kolegj gjyqësor i përbërë nga pesë gjyqtarë.</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sz w:val="21"/>
          <w:szCs w:val="21"/>
          <w:lang w:val="sq-AL"/>
        </w:rPr>
        <w:t>29. Gjykata konstaton se me vendimin nr. 51, datë 12.1.2006, Kolegji Civil i Gjykatës së Lartë ka vendosur kthimin e çështjes për rishqyrtim në gjykatën e apelit, duke përcaktuar edhe disa detyra për atë gjykatë. Në këtë vendim gjyqtari B.I., i cili ka mbajtur qëndrim paralel me shumicën, nuk ka shprehur mendim lidhur me zgjidhjen e kësaj çështjeje, por ka vlerësuar se përcaktimi i natyrës juridike të tokës në konflikt është një çështje që i përket gjykatës së apelit dhe duhet të rezultojë nga përsëritja e shqyrtimit gjyqësor (</w:t>
      </w:r>
      <w:r w:rsidRPr="002E36E2">
        <w:rPr>
          <w:rFonts w:ascii="CG Times" w:hAnsi="CG Times"/>
          <w:i/>
          <w:sz w:val="21"/>
          <w:szCs w:val="21"/>
          <w:lang w:val="sq-AL"/>
        </w:rPr>
        <w:t>shih mendimin paralel të vendimit të Kolegjit Civil</w:t>
      </w:r>
      <w:r w:rsidRPr="002E36E2">
        <w:rPr>
          <w:rFonts w:ascii="CG Times" w:hAnsi="CG Times"/>
          <w:sz w:val="21"/>
          <w:szCs w:val="21"/>
          <w:lang w:val="sq-AL"/>
        </w:rPr>
        <w:t>). Në vendimin nr. 00-2012-2578 (536), datë 22.11.2012 (pasi çështja ishte rigjykuar në gjykatën e apelit) gjyqtarët në përbërje të Kolegjit Civil të Gjykatës së Lartë kanë vendosur, me unanimitet, se sipërfaqja objekt konflikti, duke qenë tokë truall, duhej të rregullohej nga ligji për kthimin dhe kompensimin e pronave dhe jo nga ligji për tokën dhe, për pasojë, kanë vendosur pranimin e padisë. Ndërsa në gjykimin e parë gjyqtari B.I. është shprehur lidhur me detyrat që duhet të kryente gjykata e apelit gjatë rishqyrtimit të çështjes, në gjykimin e kundërshtuar, Kolegji Civil në të cilin ai ka marrë pjesë, në ushtrim të kompetencave të tij ligjore, e ka zgjidhur çështjen duke u ndalur në vlerësimin e mënyrës së zbatimit dhe</w:t>
      </w:r>
      <w:r w:rsidR="005B1711" w:rsidRPr="002E36E2">
        <w:rPr>
          <w:rFonts w:ascii="CG Times" w:hAnsi="CG Times"/>
          <w:sz w:val="21"/>
          <w:szCs w:val="21"/>
          <w:lang w:val="sq-AL"/>
        </w:rPr>
        <w:t xml:space="preserve"> të</w:t>
      </w:r>
      <w:r w:rsidRPr="002E36E2">
        <w:rPr>
          <w:rFonts w:ascii="CG Times" w:hAnsi="CG Times"/>
          <w:sz w:val="21"/>
          <w:szCs w:val="21"/>
          <w:lang w:val="sq-AL"/>
        </w:rPr>
        <w:t xml:space="preserve"> respektimit të ligjit nga gjykatat më të ulëta dhe nuk është shprehur mbi të njëjtat probleme të vëna në diskutim në gjykimin e mëparshëm. Për pasojë, fakti i thjeshtë që ky gjyqtar ka qenë pjesë e Kolegjit Civil, në të dy vendimmarrjet, nuk mjafton për të mbështetur objektivisht dyshimet e kërkuesve, në kushtet kur ai nuk e kishte manifestuar bindjen e tij brenda të njëjtit procedim dhe qëllimi dhe natyra e veprimeve që ka kryer gjatë procesit gjyqësor nuk janë të tilla që të vënë në dyshim paanshmërinë e tij. </w:t>
      </w:r>
    </w:p>
    <w:p w:rsidR="0055563F" w:rsidRPr="002E36E2" w:rsidRDefault="0055563F" w:rsidP="0055563F">
      <w:pPr>
        <w:widowControl w:val="0"/>
        <w:ind w:firstLine="720"/>
        <w:jc w:val="both"/>
        <w:rPr>
          <w:rFonts w:ascii="CG Times" w:hAnsi="CG Times"/>
          <w:sz w:val="21"/>
          <w:szCs w:val="21"/>
          <w:lang w:val="sq-AL"/>
        </w:rPr>
      </w:pPr>
      <w:r w:rsidRPr="002E36E2">
        <w:rPr>
          <w:rFonts w:ascii="CG Times" w:hAnsi="CG Times"/>
          <w:sz w:val="21"/>
          <w:szCs w:val="21"/>
          <w:lang w:val="sq-AL"/>
        </w:rPr>
        <w:t>30. Kërkuesit pretendojnë, gjithashtu, se Kolegji Civil i Gjykatës së Lartë ka mbajtur një qëndrim të njëanshëm,</w:t>
      </w:r>
      <w:r w:rsidRPr="00EB3D92">
        <w:rPr>
          <w:rFonts w:ascii="CG Times" w:hAnsi="CG Times"/>
          <w:sz w:val="18"/>
          <w:szCs w:val="21"/>
          <w:lang w:val="sq-AL"/>
        </w:rPr>
        <w:t xml:space="preserve"> </w:t>
      </w:r>
      <w:r w:rsidRPr="002E36E2">
        <w:rPr>
          <w:rFonts w:ascii="CG Times" w:hAnsi="CG Times"/>
          <w:sz w:val="21"/>
          <w:szCs w:val="21"/>
          <w:lang w:val="sq-AL"/>
        </w:rPr>
        <w:t>për</w:t>
      </w:r>
      <w:r w:rsidRPr="00EB3D92">
        <w:rPr>
          <w:rFonts w:ascii="CG Times" w:hAnsi="CG Times"/>
          <w:sz w:val="18"/>
          <w:szCs w:val="21"/>
          <w:lang w:val="sq-AL"/>
        </w:rPr>
        <w:t xml:space="preserve"> </w:t>
      </w:r>
      <w:r w:rsidRPr="002E36E2">
        <w:rPr>
          <w:rFonts w:ascii="CG Times" w:hAnsi="CG Times"/>
          <w:sz w:val="21"/>
          <w:szCs w:val="21"/>
          <w:lang w:val="sq-AL"/>
        </w:rPr>
        <w:t>shkak</w:t>
      </w:r>
      <w:r w:rsidRPr="00EB3D92">
        <w:rPr>
          <w:rFonts w:ascii="CG Times" w:hAnsi="CG Times"/>
          <w:sz w:val="16"/>
          <w:szCs w:val="21"/>
          <w:lang w:val="sq-AL"/>
        </w:rPr>
        <w:t xml:space="preserve"> </w:t>
      </w:r>
      <w:r w:rsidRPr="002E36E2">
        <w:rPr>
          <w:rFonts w:ascii="CG Times" w:hAnsi="CG Times"/>
          <w:sz w:val="21"/>
          <w:szCs w:val="21"/>
          <w:lang w:val="sq-AL"/>
        </w:rPr>
        <w:t>të faktit</w:t>
      </w:r>
      <w:r w:rsidRPr="00EB3D92">
        <w:rPr>
          <w:rFonts w:ascii="CG Times" w:hAnsi="CG Times"/>
          <w:sz w:val="16"/>
          <w:szCs w:val="21"/>
          <w:lang w:val="sq-AL"/>
        </w:rPr>
        <w:t xml:space="preserve"> </w:t>
      </w:r>
      <w:r w:rsidRPr="002E36E2">
        <w:rPr>
          <w:rFonts w:ascii="CG Times" w:hAnsi="CG Times"/>
          <w:sz w:val="21"/>
          <w:szCs w:val="21"/>
          <w:lang w:val="sq-AL"/>
        </w:rPr>
        <w:t>se ata janë</w:t>
      </w:r>
      <w:r w:rsidRPr="00EB3D92">
        <w:rPr>
          <w:rFonts w:ascii="CG Times" w:eastAsia="Times New Roman" w:hAnsi="CG Times"/>
          <w:sz w:val="10"/>
          <w:szCs w:val="21"/>
          <w:lang w:val="sq-AL" w:eastAsia="fr-FR"/>
        </w:rPr>
        <w:t xml:space="preserve"> </w:t>
      </w:r>
      <w:r w:rsidRPr="002E36E2">
        <w:rPr>
          <w:rFonts w:ascii="CG Times" w:eastAsia="Times New Roman" w:hAnsi="CG Times"/>
          <w:sz w:val="21"/>
          <w:szCs w:val="21"/>
          <w:lang w:val="sq-AL" w:eastAsia="fr-FR"/>
        </w:rPr>
        <w:t>“romë”.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Në</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lidhje</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me</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këtë pretendim Gjykata vlerëson</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se</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ai</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është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haptazi i</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pabazuar,</w:t>
      </w:r>
      <w:r w:rsidRPr="00EB3D92">
        <w:rPr>
          <w:rFonts w:ascii="CG Times" w:eastAsia="Times New Roman" w:hAnsi="CG Times"/>
          <w:sz w:val="14"/>
          <w:szCs w:val="21"/>
          <w:lang w:val="sq-AL" w:eastAsia="fr-FR"/>
        </w:rPr>
        <w:t xml:space="preserve"> </w:t>
      </w:r>
      <w:r w:rsidRPr="002E36E2">
        <w:rPr>
          <w:rFonts w:ascii="CG Times" w:eastAsia="Times New Roman" w:hAnsi="CG Times"/>
          <w:sz w:val="21"/>
          <w:szCs w:val="21"/>
          <w:lang w:val="sq-AL" w:eastAsia="fr-FR"/>
        </w:rPr>
        <w:t>pasi kërkuesit nuk kanë paraqitur asnjë provë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për</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ta</w:t>
      </w:r>
      <w:r w:rsidRPr="00EB3D92">
        <w:rPr>
          <w:rFonts w:ascii="CG Times" w:eastAsia="Times New Roman" w:hAnsi="CG Times"/>
          <w:sz w:val="14"/>
          <w:szCs w:val="21"/>
          <w:lang w:val="sq-AL" w:eastAsia="fr-FR"/>
        </w:rPr>
        <w:t xml:space="preserve"> </w:t>
      </w:r>
      <w:r w:rsidRPr="002E36E2">
        <w:rPr>
          <w:rFonts w:ascii="CG Times" w:eastAsia="Times New Roman" w:hAnsi="CG Times"/>
          <w:sz w:val="21"/>
          <w:szCs w:val="21"/>
          <w:lang w:val="sq-AL" w:eastAsia="fr-FR"/>
        </w:rPr>
        <w:t xml:space="preserve">mbështetur atë. </w:t>
      </w:r>
    </w:p>
    <w:p w:rsidR="0055563F" w:rsidRPr="002E36E2" w:rsidRDefault="0055563F" w:rsidP="0055563F">
      <w:pPr>
        <w:widowControl w:val="0"/>
        <w:ind w:firstLine="720"/>
        <w:jc w:val="both"/>
        <w:rPr>
          <w:rFonts w:ascii="CG Times" w:hAnsi="CG Times"/>
          <w:color w:val="231F20"/>
          <w:sz w:val="21"/>
          <w:szCs w:val="21"/>
          <w:lang w:val="sq-AL" w:eastAsia="sq-AL"/>
        </w:rPr>
      </w:pPr>
      <w:r w:rsidRPr="002E36E2">
        <w:rPr>
          <w:rFonts w:ascii="CG Times" w:hAnsi="CG Times"/>
          <w:color w:val="231F20"/>
          <w:sz w:val="21"/>
          <w:szCs w:val="21"/>
          <w:lang w:val="sq-AL" w:eastAsia="sq-AL"/>
        </w:rPr>
        <w:t xml:space="preserve">31. </w:t>
      </w:r>
      <w:r w:rsidRPr="002E36E2">
        <w:rPr>
          <w:rFonts w:ascii="CG Times" w:hAnsi="CG Times"/>
          <w:sz w:val="21"/>
          <w:szCs w:val="21"/>
          <w:lang w:val="sq-AL"/>
        </w:rPr>
        <w:t>Në përfundim, Gjykata vlerëson se edhe pretendimi i kërkuesve për cenimin e një prej elementeve të së drejtës për një proces të rregullt gjyqësor, që lidhet me besueshmërinë e gjykatës për të qenë objektivisht e paanshme në perceptimin e publikut, është i pabazuar.</w:t>
      </w:r>
    </w:p>
    <w:p w:rsidR="0055563F" w:rsidRPr="002C04CF" w:rsidRDefault="0055563F" w:rsidP="0055563F">
      <w:pPr>
        <w:widowControl w:val="0"/>
        <w:jc w:val="center"/>
        <w:rPr>
          <w:rFonts w:ascii="CG Times" w:eastAsia="Times New Roman" w:hAnsi="CG Times"/>
          <w:b/>
          <w:bCs/>
          <w:sz w:val="8"/>
          <w:szCs w:val="21"/>
          <w:lang w:val="sq-AL"/>
        </w:rPr>
      </w:pPr>
    </w:p>
    <w:p w:rsidR="0055563F" w:rsidRPr="002E36E2" w:rsidRDefault="0055563F" w:rsidP="0055563F">
      <w:pPr>
        <w:widowControl w:val="0"/>
        <w:jc w:val="center"/>
        <w:rPr>
          <w:rFonts w:ascii="CG Times" w:eastAsia="Times New Roman" w:hAnsi="CG Times"/>
          <w:bCs/>
          <w:sz w:val="21"/>
          <w:szCs w:val="21"/>
          <w:lang w:val="sq-AL"/>
        </w:rPr>
      </w:pPr>
      <w:r w:rsidRPr="002E36E2">
        <w:rPr>
          <w:rFonts w:ascii="CG Times" w:eastAsia="Times New Roman" w:hAnsi="CG Times"/>
          <w:bCs/>
          <w:sz w:val="21"/>
          <w:szCs w:val="21"/>
          <w:lang w:val="sq-AL"/>
        </w:rPr>
        <w:t>PËR KËTO ARSYE,</w:t>
      </w:r>
    </w:p>
    <w:p w:rsidR="0055563F" w:rsidRPr="00DF6FCE" w:rsidRDefault="0055563F" w:rsidP="0055563F">
      <w:pPr>
        <w:widowControl w:val="0"/>
        <w:jc w:val="center"/>
        <w:rPr>
          <w:rFonts w:ascii="CG Times" w:eastAsia="Times New Roman" w:hAnsi="CG Times"/>
          <w:sz w:val="14"/>
          <w:szCs w:val="21"/>
          <w:lang w:val="sq-AL"/>
        </w:rPr>
      </w:pP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në mbështetje të nenit 131, shkronja “f” dhe nenit 134, pika 1, shkronja “g” të Kushtetutës, si dhe të neneve 72 e vijues të ligjit nr. 8577, datë 10.2.2000 “Për organizimin dhe funksionimin e Gjykatës Kushtetuese të Republikës së Shqipërisë”, me shumicë votash,</w:t>
      </w:r>
    </w:p>
    <w:p w:rsidR="0055563F" w:rsidRPr="002E36E2" w:rsidRDefault="0055563F" w:rsidP="0055563F">
      <w:pPr>
        <w:widowControl w:val="0"/>
        <w:jc w:val="center"/>
        <w:outlineLvl w:val="3"/>
        <w:rPr>
          <w:rFonts w:ascii="CG Times" w:eastAsia="Times New Roman" w:hAnsi="CG Times"/>
          <w:sz w:val="21"/>
          <w:szCs w:val="21"/>
          <w:lang w:val="sq-AL"/>
        </w:rPr>
      </w:pPr>
      <w:r w:rsidRPr="002E36E2">
        <w:rPr>
          <w:rFonts w:ascii="CG Times" w:eastAsia="Times New Roman" w:hAnsi="CG Times"/>
          <w:bCs/>
          <w:sz w:val="21"/>
          <w:szCs w:val="21"/>
          <w:lang w:val="sq-AL"/>
        </w:rPr>
        <w:t>VENDOSI:</w:t>
      </w:r>
    </w:p>
    <w:p w:rsidR="0055563F" w:rsidRPr="00DF6FCE" w:rsidRDefault="0055563F" w:rsidP="0055563F">
      <w:pPr>
        <w:widowControl w:val="0"/>
        <w:ind w:firstLine="720"/>
        <w:jc w:val="both"/>
        <w:rPr>
          <w:rFonts w:ascii="CG Times" w:eastAsia="Times New Roman" w:hAnsi="CG Times"/>
          <w:sz w:val="14"/>
          <w:szCs w:val="21"/>
          <w:lang w:val="sq-AL"/>
        </w:rPr>
      </w:pP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 Rrëzimin e kërkesës. </w:t>
      </w:r>
    </w:p>
    <w:p w:rsidR="0055563F" w:rsidRPr="002E36E2" w:rsidRDefault="0055563F" w:rsidP="0055563F">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Ky vendim është përfundimtar, i formës së prerë dhe hyn në fuqi ditën e botimit në Fletoren Zyrtare.</w:t>
      </w:r>
      <w:r w:rsidRPr="002E36E2">
        <w:rPr>
          <w:rFonts w:ascii="CG Times" w:eastAsia="Times New Roman" w:hAnsi="CG Times"/>
          <w:b/>
          <w:bCs/>
          <w:sz w:val="21"/>
          <w:szCs w:val="21"/>
          <w:lang w:val="sq-AL"/>
        </w:rPr>
        <w:t xml:space="preserve"> </w:t>
      </w:r>
    </w:p>
    <w:p w:rsidR="0055563F" w:rsidRPr="002E36E2" w:rsidRDefault="0055563F" w:rsidP="0055563F">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 xml:space="preserve">Vendosur më datë 25.9.2013 </w:t>
      </w:r>
    </w:p>
    <w:p w:rsidR="00DC5B55" w:rsidRPr="00DF6FCE" w:rsidRDefault="00DC5B55" w:rsidP="0055563F">
      <w:pPr>
        <w:widowControl w:val="0"/>
        <w:ind w:firstLine="720"/>
        <w:rPr>
          <w:rFonts w:ascii="CG Times" w:eastAsia="Times New Roman" w:hAnsi="CG Times"/>
          <w:bCs/>
          <w:color w:val="000000"/>
          <w:sz w:val="8"/>
          <w:szCs w:val="21"/>
          <w:lang w:val="sq-AL"/>
        </w:rPr>
      </w:pPr>
    </w:p>
    <w:p w:rsidR="0055563F" w:rsidRPr="002E36E2" w:rsidRDefault="0055563F" w:rsidP="00796E36">
      <w:pPr>
        <w:widowControl w:val="0"/>
        <w:ind w:firstLine="720"/>
        <w:jc w:val="both"/>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Anëtarë</w:t>
      </w:r>
      <w:r w:rsidRPr="00796E36">
        <w:rPr>
          <w:rFonts w:ascii="CG Times" w:eastAsia="Times New Roman" w:hAnsi="CG Times"/>
          <w:bCs/>
          <w:color w:val="000000"/>
          <w:sz w:val="12"/>
          <w:szCs w:val="21"/>
          <w:lang w:val="sq-AL"/>
        </w:rPr>
        <w:t xml:space="preserve"> </w:t>
      </w:r>
      <w:r w:rsidRPr="002E36E2">
        <w:rPr>
          <w:rFonts w:ascii="CG Times" w:eastAsia="Times New Roman" w:hAnsi="CG Times"/>
          <w:bCs/>
          <w:color w:val="000000"/>
          <w:sz w:val="21"/>
          <w:szCs w:val="21"/>
          <w:lang w:val="sq-AL"/>
        </w:rPr>
        <w:t>pro:</w:t>
      </w:r>
      <w:r w:rsidRPr="00796E36">
        <w:rPr>
          <w:rFonts w:ascii="CG Times" w:eastAsia="Times New Roman" w:hAnsi="CG Times"/>
          <w:b/>
          <w:bCs/>
          <w:sz w:val="10"/>
          <w:szCs w:val="21"/>
          <w:lang w:val="sq-AL"/>
        </w:rPr>
        <w:t xml:space="preserve"> </w:t>
      </w:r>
      <w:r w:rsidRPr="002E36E2">
        <w:rPr>
          <w:rFonts w:ascii="CG Times" w:eastAsia="Times New Roman" w:hAnsi="CG Times"/>
          <w:bCs/>
          <w:sz w:val="21"/>
          <w:szCs w:val="21"/>
          <w:lang w:val="sq-AL"/>
        </w:rPr>
        <w:t>Bashkim</w:t>
      </w:r>
      <w:r w:rsidRPr="00796E36">
        <w:rPr>
          <w:rFonts w:ascii="CG Times" w:eastAsia="Times New Roman" w:hAnsi="CG Times"/>
          <w:bCs/>
          <w:sz w:val="14"/>
          <w:szCs w:val="21"/>
          <w:lang w:val="sq-AL"/>
        </w:rPr>
        <w:t xml:space="preserve"> </w:t>
      </w:r>
      <w:r w:rsidRPr="002E36E2">
        <w:rPr>
          <w:rFonts w:ascii="CG Times" w:eastAsia="Times New Roman" w:hAnsi="CG Times"/>
          <w:bCs/>
          <w:sz w:val="21"/>
          <w:szCs w:val="21"/>
          <w:lang w:val="sq-AL"/>
        </w:rPr>
        <w:t>Dedja</w:t>
      </w:r>
      <w:r w:rsidR="005B1711" w:rsidRPr="002E36E2">
        <w:rPr>
          <w:rFonts w:ascii="CG Times" w:eastAsia="Times New Roman" w:hAnsi="CG Times"/>
          <w:bCs/>
          <w:sz w:val="21"/>
          <w:szCs w:val="21"/>
          <w:lang w:val="sq-AL"/>
        </w:rPr>
        <w:t xml:space="preserve"> (kryetar)</w:t>
      </w:r>
      <w:r w:rsidRPr="002E36E2">
        <w:rPr>
          <w:rFonts w:ascii="CG Times" w:eastAsia="Times New Roman" w:hAnsi="CG Times"/>
          <w:bCs/>
          <w:sz w:val="21"/>
          <w:szCs w:val="21"/>
          <w:lang w:val="sq-AL"/>
        </w:rPr>
        <w:t>,</w:t>
      </w:r>
      <w:r w:rsidRPr="00796E36">
        <w:rPr>
          <w:rFonts w:ascii="CG Times" w:eastAsia="Times New Roman" w:hAnsi="CG Times"/>
          <w:bCs/>
          <w:sz w:val="4"/>
          <w:szCs w:val="21"/>
          <w:lang w:val="sq-AL"/>
        </w:rPr>
        <w:t xml:space="preserve"> </w:t>
      </w:r>
      <w:r w:rsidRPr="002E36E2">
        <w:rPr>
          <w:rFonts w:ascii="CG Times" w:eastAsia="Times New Roman" w:hAnsi="CG Times"/>
          <w:bCs/>
          <w:sz w:val="21"/>
          <w:szCs w:val="21"/>
          <w:lang w:val="sq-AL"/>
        </w:rPr>
        <w:t>Vitore Tusha,</w:t>
      </w:r>
      <w:r w:rsidRPr="00796E36">
        <w:rPr>
          <w:rFonts w:ascii="CG Times" w:eastAsia="Times New Roman" w:hAnsi="CG Times"/>
          <w:bCs/>
          <w:sz w:val="10"/>
          <w:szCs w:val="21"/>
          <w:lang w:val="sq-AL"/>
        </w:rPr>
        <w:t xml:space="preserve"> </w:t>
      </w:r>
      <w:r w:rsidRPr="002E36E2">
        <w:rPr>
          <w:rFonts w:ascii="CG Times" w:eastAsia="Times New Roman" w:hAnsi="CG Times"/>
          <w:bCs/>
          <w:sz w:val="21"/>
          <w:szCs w:val="21"/>
          <w:lang w:val="sq-AL"/>
        </w:rPr>
        <w:t>Altina Xhoxhaj,</w:t>
      </w:r>
      <w:r w:rsidRPr="00796E36">
        <w:rPr>
          <w:rFonts w:ascii="CG Times" w:eastAsia="Times New Roman" w:hAnsi="CG Times"/>
          <w:bCs/>
          <w:sz w:val="14"/>
          <w:szCs w:val="21"/>
          <w:lang w:val="sq-AL"/>
        </w:rPr>
        <w:t xml:space="preserve"> </w:t>
      </w:r>
      <w:r w:rsidRPr="002E36E2">
        <w:rPr>
          <w:rFonts w:ascii="CG Times" w:eastAsia="Times New Roman" w:hAnsi="CG Times"/>
          <w:bCs/>
          <w:sz w:val="21"/>
          <w:szCs w:val="21"/>
          <w:lang w:val="sq-AL"/>
        </w:rPr>
        <w:t>Gani Dizdari, Fatmir Hoxha</w:t>
      </w:r>
    </w:p>
    <w:p w:rsidR="0055563F" w:rsidRPr="002E36E2" w:rsidRDefault="0055563F" w:rsidP="0055563F">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Anëtar kundër:</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Sokol Berberi</w:t>
      </w:r>
    </w:p>
    <w:p w:rsidR="00DF6FCE" w:rsidRPr="00DF6FCE" w:rsidRDefault="00DF6FCE" w:rsidP="00E1606B">
      <w:pPr>
        <w:widowControl w:val="0"/>
        <w:jc w:val="center"/>
        <w:rPr>
          <w:rFonts w:ascii="CG Times" w:hAnsi="CG Times"/>
          <w:b/>
          <w:sz w:val="8"/>
          <w:szCs w:val="21"/>
          <w:lang w:val="sq-AL"/>
        </w:rPr>
      </w:pPr>
    </w:p>
    <w:p w:rsidR="00E1606B" w:rsidRPr="002E36E2" w:rsidRDefault="000F0AA6" w:rsidP="00E1606B">
      <w:pPr>
        <w:widowControl w:val="0"/>
        <w:jc w:val="center"/>
        <w:rPr>
          <w:rFonts w:ascii="CG Times" w:hAnsi="CG Times"/>
          <w:b/>
          <w:sz w:val="21"/>
          <w:szCs w:val="21"/>
          <w:lang w:val="sq-AL"/>
        </w:rPr>
      </w:pPr>
      <w:r w:rsidRPr="002E36E2">
        <w:rPr>
          <w:rFonts w:ascii="CG Times" w:hAnsi="CG Times"/>
          <w:b/>
          <w:sz w:val="21"/>
          <w:szCs w:val="21"/>
          <w:lang w:val="sq-AL"/>
        </w:rPr>
        <w:t>VENDI</w:t>
      </w:r>
      <w:r w:rsidR="00E1606B" w:rsidRPr="002E36E2">
        <w:rPr>
          <w:rFonts w:ascii="CG Times" w:hAnsi="CG Times"/>
          <w:b/>
          <w:sz w:val="21"/>
          <w:szCs w:val="21"/>
          <w:lang w:val="sq-AL"/>
        </w:rPr>
        <w:t>M</w:t>
      </w:r>
    </w:p>
    <w:p w:rsidR="00E1606B" w:rsidRPr="002E36E2" w:rsidRDefault="00E1606B" w:rsidP="00E1606B">
      <w:pPr>
        <w:widowControl w:val="0"/>
        <w:jc w:val="center"/>
        <w:rPr>
          <w:rFonts w:ascii="CG Times" w:hAnsi="CG Times"/>
          <w:b/>
          <w:sz w:val="21"/>
          <w:szCs w:val="21"/>
          <w:lang w:val="sq-AL"/>
        </w:rPr>
      </w:pPr>
      <w:r w:rsidRPr="002E36E2">
        <w:rPr>
          <w:rFonts w:ascii="CG Times" w:hAnsi="CG Times"/>
          <w:b/>
          <w:sz w:val="21"/>
          <w:szCs w:val="21"/>
          <w:lang w:val="sq-AL"/>
        </w:rPr>
        <w:t>Nr. 3, datë 23.1.2014</w:t>
      </w:r>
    </w:p>
    <w:p w:rsidR="000F0AA6" w:rsidRPr="002C04CF" w:rsidRDefault="000F0AA6" w:rsidP="00E1606B">
      <w:pPr>
        <w:widowControl w:val="0"/>
        <w:jc w:val="center"/>
        <w:rPr>
          <w:rFonts w:ascii="CG Times" w:hAnsi="CG Times"/>
          <w:b/>
          <w:sz w:val="14"/>
          <w:szCs w:val="21"/>
          <w:lang w:val="sq-AL"/>
        </w:rPr>
      </w:pPr>
    </w:p>
    <w:p w:rsidR="00E1606B" w:rsidRPr="002E36E2" w:rsidRDefault="00E1606B" w:rsidP="00E1606B">
      <w:pPr>
        <w:widowControl w:val="0"/>
        <w:jc w:val="center"/>
        <w:rPr>
          <w:rFonts w:ascii="CG Times" w:hAnsi="CG Times"/>
          <w:b/>
          <w:sz w:val="21"/>
          <w:szCs w:val="21"/>
          <w:lang w:val="sq-AL"/>
        </w:rPr>
      </w:pPr>
      <w:r w:rsidRPr="002E36E2">
        <w:rPr>
          <w:rFonts w:ascii="CG Times" w:hAnsi="CG Times"/>
          <w:b/>
          <w:sz w:val="21"/>
          <w:szCs w:val="21"/>
          <w:lang w:val="sq-AL"/>
        </w:rPr>
        <w:t>NË E</w:t>
      </w:r>
      <w:r w:rsidR="000F0AA6" w:rsidRPr="002E36E2">
        <w:rPr>
          <w:rFonts w:ascii="CG Times" w:hAnsi="CG Times"/>
          <w:b/>
          <w:sz w:val="21"/>
          <w:szCs w:val="21"/>
          <w:lang w:val="sq-AL"/>
        </w:rPr>
        <w:t>MËR TË REPUBLIKËS SË SHQIPËRISË</w:t>
      </w:r>
    </w:p>
    <w:p w:rsidR="00E1606B" w:rsidRPr="002C04CF" w:rsidRDefault="00E1606B" w:rsidP="00E1606B">
      <w:pPr>
        <w:widowControl w:val="0"/>
        <w:jc w:val="center"/>
        <w:rPr>
          <w:rFonts w:ascii="CG Times" w:hAnsi="CG Times"/>
          <w:b/>
          <w:sz w:val="12"/>
          <w:szCs w:val="21"/>
          <w:lang w:val="sq-AL"/>
        </w:rPr>
      </w:pP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e përbërë nga:</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Bashkim Dedja</w:t>
      </w:r>
      <w:r w:rsidR="000F0AA6" w:rsidRPr="002E36E2">
        <w:rPr>
          <w:rFonts w:ascii="CG Times" w:eastAsia="Times New Roman" w:hAnsi="CG Times"/>
          <w:sz w:val="21"/>
          <w:szCs w:val="21"/>
          <w:lang w:val="sq-AL"/>
        </w:rPr>
        <w:tab/>
      </w:r>
      <w:r w:rsidRPr="002E36E2">
        <w:rPr>
          <w:rFonts w:ascii="CG Times" w:eastAsia="Times New Roman" w:hAnsi="CG Times"/>
          <w:sz w:val="21"/>
          <w:szCs w:val="21"/>
          <w:lang w:val="sq-AL"/>
        </w:rPr>
        <w:tab/>
        <w:t>Kryetar i Gjykatës Kushtetuese</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Vladimir Kristo</w:t>
      </w:r>
      <w:r w:rsidR="00E1606B" w:rsidRPr="002E36E2">
        <w:rPr>
          <w:rFonts w:ascii="CG Times" w:eastAsia="Times New Roman" w:hAnsi="CG Times"/>
          <w:sz w:val="21"/>
          <w:szCs w:val="21"/>
          <w:lang w:val="sq-AL"/>
        </w:rPr>
        <w:t xml:space="preserve"> </w:t>
      </w:r>
      <w:r w:rsidR="00E1606B" w:rsidRPr="002E36E2">
        <w:rPr>
          <w:rFonts w:ascii="CG Times" w:eastAsia="Times New Roman" w:hAnsi="CG Times"/>
          <w:sz w:val="21"/>
          <w:szCs w:val="21"/>
          <w:lang w:val="sq-AL"/>
        </w:rPr>
        <w:tab/>
      </w:r>
      <w:r w:rsidR="00B35DA6">
        <w:rPr>
          <w:rFonts w:ascii="CG Times" w:eastAsia="Times New Roman" w:hAnsi="CG Times"/>
          <w:sz w:val="21"/>
          <w:szCs w:val="21"/>
          <w:lang w:val="sq-AL"/>
        </w:rPr>
        <w:tab/>
      </w:r>
      <w:r w:rsidR="00E1606B" w:rsidRPr="002E36E2">
        <w:rPr>
          <w:rFonts w:ascii="CG Times" w:eastAsia="Times New Roman" w:hAnsi="CG Times"/>
          <w:sz w:val="21"/>
          <w:szCs w:val="21"/>
          <w:lang w:val="sq-AL"/>
        </w:rPr>
        <w:t xml:space="preserve">Anëtar i </w:t>
      </w:r>
      <w:r w:rsidR="00E1606B" w:rsidRPr="002E36E2">
        <w:rPr>
          <w:rFonts w:ascii="CG Times" w:eastAsia="Times New Roman" w:hAnsi="CG Times"/>
          <w:sz w:val="21"/>
          <w:szCs w:val="21"/>
          <w:lang w:val="sq-AL"/>
        </w:rPr>
        <w:tab/>
        <w:t>“</w:t>
      </w:r>
      <w:r w:rsidR="00E1606B" w:rsidRPr="002E36E2">
        <w:rPr>
          <w:rFonts w:ascii="CG Times" w:eastAsia="Times New Roman" w:hAnsi="CG Times"/>
          <w:sz w:val="21"/>
          <w:szCs w:val="21"/>
          <w:lang w:val="sq-AL"/>
        </w:rPr>
        <w:tab/>
        <w:t>“</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Sokol Berberi</w:t>
      </w:r>
      <w:r w:rsidR="00E1606B" w:rsidRPr="002E36E2">
        <w:rPr>
          <w:rFonts w:ascii="CG Times" w:eastAsia="Times New Roman" w:hAnsi="CG Times"/>
          <w:sz w:val="21"/>
          <w:szCs w:val="21"/>
          <w:lang w:val="sq-AL"/>
        </w:rPr>
        <w:tab/>
      </w:r>
      <w:r w:rsidR="00E1606B" w:rsidRPr="002E36E2">
        <w:rPr>
          <w:rFonts w:ascii="CG Times" w:eastAsia="Times New Roman" w:hAnsi="CG Times"/>
          <w:sz w:val="21"/>
          <w:szCs w:val="21"/>
          <w:lang w:val="sq-AL"/>
        </w:rPr>
        <w:tab/>
        <w:t>Anëtar i</w:t>
      </w:r>
      <w:r w:rsidR="00E1606B" w:rsidRPr="002E36E2">
        <w:rPr>
          <w:rFonts w:ascii="CG Times" w:eastAsia="Times New Roman" w:hAnsi="CG Times"/>
          <w:sz w:val="21"/>
          <w:szCs w:val="21"/>
          <w:lang w:val="sq-AL"/>
        </w:rPr>
        <w:tab/>
      </w:r>
      <w:r w:rsidR="00DF6FCE">
        <w:rPr>
          <w:rFonts w:ascii="CG Times" w:eastAsia="Times New Roman" w:hAnsi="CG Times"/>
          <w:sz w:val="21"/>
          <w:szCs w:val="21"/>
          <w:lang w:val="sq-AL"/>
        </w:rPr>
        <w:tab/>
      </w:r>
      <w:r w:rsidR="00E1606B" w:rsidRPr="002E36E2">
        <w:rPr>
          <w:rFonts w:ascii="CG Times" w:eastAsia="Times New Roman" w:hAnsi="CG Times"/>
          <w:sz w:val="21"/>
          <w:szCs w:val="21"/>
          <w:lang w:val="sq-AL"/>
        </w:rPr>
        <w:t>“</w:t>
      </w:r>
      <w:r w:rsidR="00E1606B" w:rsidRPr="002E36E2">
        <w:rPr>
          <w:rFonts w:ascii="CG Times" w:eastAsia="Times New Roman" w:hAnsi="CG Times"/>
          <w:sz w:val="21"/>
          <w:szCs w:val="21"/>
          <w:lang w:val="sq-AL"/>
        </w:rPr>
        <w:tab/>
        <w:t>“</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Vitore Tusha</w:t>
      </w:r>
      <w:r w:rsidR="00E1606B" w:rsidRPr="002E36E2">
        <w:rPr>
          <w:rFonts w:ascii="CG Times" w:eastAsia="Times New Roman" w:hAnsi="CG Times"/>
          <w:sz w:val="21"/>
          <w:szCs w:val="21"/>
          <w:lang w:val="sq-AL"/>
        </w:rPr>
        <w:tab/>
      </w:r>
      <w:r w:rsidR="00E1606B" w:rsidRPr="002E36E2">
        <w:rPr>
          <w:rFonts w:ascii="CG Times" w:eastAsia="Times New Roman" w:hAnsi="CG Times"/>
          <w:sz w:val="21"/>
          <w:szCs w:val="21"/>
          <w:lang w:val="sq-AL"/>
        </w:rPr>
        <w:tab/>
        <w:t xml:space="preserve">Anëtare e </w:t>
      </w:r>
      <w:r w:rsidR="00E1606B" w:rsidRPr="002E36E2">
        <w:rPr>
          <w:rFonts w:ascii="CG Times" w:eastAsia="Times New Roman" w:hAnsi="CG Times"/>
          <w:sz w:val="21"/>
          <w:szCs w:val="21"/>
          <w:lang w:val="sq-AL"/>
        </w:rPr>
        <w:tab/>
        <w:t>“</w:t>
      </w:r>
      <w:r w:rsidR="00E1606B" w:rsidRPr="002E36E2">
        <w:rPr>
          <w:rFonts w:ascii="CG Times" w:eastAsia="Times New Roman" w:hAnsi="CG Times"/>
          <w:sz w:val="21"/>
          <w:szCs w:val="21"/>
          <w:lang w:val="sq-AL"/>
        </w:rPr>
        <w:tab/>
        <w:t>“</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Fatmir Hoxha</w:t>
      </w:r>
      <w:r w:rsidR="00E1606B" w:rsidRPr="002E36E2">
        <w:rPr>
          <w:rFonts w:ascii="CG Times" w:eastAsia="Times New Roman" w:hAnsi="CG Times"/>
          <w:sz w:val="21"/>
          <w:szCs w:val="21"/>
          <w:lang w:val="sq-AL"/>
        </w:rPr>
        <w:tab/>
      </w:r>
      <w:r w:rsidR="00E1606B" w:rsidRPr="002E36E2">
        <w:rPr>
          <w:rFonts w:ascii="CG Times" w:eastAsia="Times New Roman" w:hAnsi="CG Times"/>
          <w:sz w:val="21"/>
          <w:szCs w:val="21"/>
          <w:lang w:val="sq-AL"/>
        </w:rPr>
        <w:tab/>
        <w:t>Anëtar i</w:t>
      </w:r>
      <w:r w:rsidR="00E1606B" w:rsidRPr="002E36E2">
        <w:rPr>
          <w:rFonts w:ascii="CG Times" w:eastAsia="Times New Roman" w:hAnsi="CG Times"/>
          <w:sz w:val="21"/>
          <w:szCs w:val="21"/>
          <w:lang w:val="sq-AL"/>
        </w:rPr>
        <w:tab/>
      </w:r>
      <w:r w:rsidR="00DF6FCE">
        <w:rPr>
          <w:rFonts w:ascii="CG Times" w:eastAsia="Times New Roman" w:hAnsi="CG Times"/>
          <w:sz w:val="21"/>
          <w:szCs w:val="21"/>
          <w:lang w:val="sq-AL"/>
        </w:rPr>
        <w:tab/>
      </w:r>
      <w:r w:rsidR="00E1606B" w:rsidRPr="002E36E2">
        <w:rPr>
          <w:rFonts w:ascii="CG Times" w:eastAsia="Times New Roman" w:hAnsi="CG Times"/>
          <w:sz w:val="21"/>
          <w:szCs w:val="21"/>
          <w:lang w:val="sq-AL"/>
        </w:rPr>
        <w:t>“</w:t>
      </w:r>
      <w:r w:rsidR="00E1606B" w:rsidRPr="002E36E2">
        <w:rPr>
          <w:rFonts w:ascii="CG Times" w:eastAsia="Times New Roman" w:hAnsi="CG Times"/>
          <w:sz w:val="21"/>
          <w:szCs w:val="21"/>
          <w:lang w:val="sq-AL"/>
        </w:rPr>
        <w:tab/>
        <w:t>“</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Gani Dizdari</w:t>
      </w:r>
      <w:r w:rsidR="00E1606B" w:rsidRPr="002E36E2">
        <w:rPr>
          <w:rFonts w:ascii="CG Times" w:eastAsia="Times New Roman" w:hAnsi="CG Times"/>
          <w:sz w:val="21"/>
          <w:szCs w:val="21"/>
          <w:lang w:val="sq-AL"/>
        </w:rPr>
        <w:tab/>
      </w:r>
      <w:r w:rsidR="00E1606B" w:rsidRPr="002E36E2">
        <w:rPr>
          <w:rFonts w:ascii="CG Times" w:eastAsia="Times New Roman" w:hAnsi="CG Times"/>
          <w:sz w:val="21"/>
          <w:szCs w:val="21"/>
          <w:lang w:val="sq-AL"/>
        </w:rPr>
        <w:tab/>
        <w:t>Anëtar i</w:t>
      </w:r>
      <w:r w:rsidR="00E1606B" w:rsidRPr="002E36E2">
        <w:rPr>
          <w:rFonts w:ascii="CG Times" w:eastAsia="Times New Roman" w:hAnsi="CG Times"/>
          <w:sz w:val="21"/>
          <w:szCs w:val="21"/>
          <w:lang w:val="sq-AL"/>
        </w:rPr>
        <w:tab/>
      </w:r>
      <w:r w:rsidR="00DF6FCE">
        <w:rPr>
          <w:rFonts w:ascii="CG Times" w:eastAsia="Times New Roman" w:hAnsi="CG Times"/>
          <w:sz w:val="21"/>
          <w:szCs w:val="21"/>
          <w:lang w:val="sq-AL"/>
        </w:rPr>
        <w:tab/>
      </w:r>
      <w:r w:rsidR="00E1606B" w:rsidRPr="002E36E2">
        <w:rPr>
          <w:rFonts w:ascii="CG Times" w:eastAsia="Times New Roman" w:hAnsi="CG Times"/>
          <w:sz w:val="21"/>
          <w:szCs w:val="21"/>
          <w:lang w:val="sq-AL"/>
        </w:rPr>
        <w:t>“</w:t>
      </w:r>
      <w:r w:rsidR="00E1606B" w:rsidRPr="002E36E2">
        <w:rPr>
          <w:rFonts w:ascii="CG Times" w:eastAsia="Times New Roman" w:hAnsi="CG Times"/>
          <w:sz w:val="21"/>
          <w:szCs w:val="21"/>
          <w:lang w:val="sq-AL"/>
        </w:rPr>
        <w:tab/>
        <w:t>“</w:t>
      </w:r>
    </w:p>
    <w:p w:rsidR="00E1606B" w:rsidRPr="002E36E2" w:rsidRDefault="000F0AA6"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Fatos Lulo</w:t>
      </w:r>
      <w:r w:rsidR="00E1606B" w:rsidRPr="002E36E2">
        <w:rPr>
          <w:rFonts w:ascii="CG Times" w:eastAsia="Times New Roman" w:hAnsi="CG Times"/>
          <w:sz w:val="21"/>
          <w:szCs w:val="21"/>
          <w:lang w:val="sq-AL"/>
        </w:rPr>
        <w:t xml:space="preserve"> </w:t>
      </w:r>
      <w:r w:rsidR="00E1606B" w:rsidRPr="002E36E2">
        <w:rPr>
          <w:rFonts w:ascii="CG Times" w:eastAsia="Times New Roman" w:hAnsi="CG Times"/>
          <w:sz w:val="21"/>
          <w:szCs w:val="21"/>
          <w:lang w:val="sq-AL"/>
        </w:rPr>
        <w:tab/>
      </w:r>
      <w:r w:rsidR="00E1606B" w:rsidRPr="002E36E2">
        <w:rPr>
          <w:rFonts w:ascii="CG Times" w:eastAsia="Times New Roman" w:hAnsi="CG Times"/>
          <w:sz w:val="21"/>
          <w:szCs w:val="21"/>
          <w:lang w:val="sq-AL"/>
        </w:rPr>
        <w:tab/>
        <w:t xml:space="preserve">Anëtar i </w:t>
      </w:r>
      <w:r w:rsidR="00E1606B" w:rsidRPr="002E36E2">
        <w:rPr>
          <w:rFonts w:ascii="CG Times" w:eastAsia="Times New Roman" w:hAnsi="CG Times"/>
          <w:sz w:val="21"/>
          <w:szCs w:val="21"/>
          <w:lang w:val="sq-AL"/>
        </w:rPr>
        <w:tab/>
        <w:t>“</w:t>
      </w:r>
      <w:r w:rsidR="00E1606B" w:rsidRPr="002E36E2">
        <w:rPr>
          <w:rFonts w:ascii="CG Times" w:eastAsia="Times New Roman" w:hAnsi="CG Times"/>
          <w:sz w:val="21"/>
          <w:szCs w:val="21"/>
          <w:lang w:val="sq-AL"/>
        </w:rPr>
        <w:tab/>
        <w:t>“</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Altina Xhoxhaj </w:t>
      </w:r>
      <w:r w:rsidRPr="002E36E2">
        <w:rPr>
          <w:rFonts w:ascii="CG Times" w:eastAsia="Times New Roman" w:hAnsi="CG Times"/>
          <w:sz w:val="21"/>
          <w:szCs w:val="21"/>
          <w:lang w:val="sq-AL"/>
        </w:rPr>
        <w:tab/>
      </w:r>
      <w:r w:rsidR="000F0AA6" w:rsidRPr="002E36E2">
        <w:rPr>
          <w:rFonts w:ascii="CG Times" w:eastAsia="Times New Roman" w:hAnsi="CG Times"/>
          <w:sz w:val="21"/>
          <w:szCs w:val="21"/>
          <w:lang w:val="sq-AL"/>
        </w:rPr>
        <w:tab/>
      </w:r>
      <w:r w:rsidRPr="002E36E2">
        <w:rPr>
          <w:rFonts w:ascii="CG Times" w:eastAsia="Times New Roman" w:hAnsi="CG Times"/>
          <w:sz w:val="21"/>
          <w:szCs w:val="21"/>
          <w:lang w:val="sq-AL"/>
        </w:rPr>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D964BA" w:rsidRDefault="00D964BA" w:rsidP="000F0AA6">
      <w:pPr>
        <w:widowControl w:val="0"/>
        <w:ind w:firstLine="720"/>
        <w:jc w:val="both"/>
        <w:rPr>
          <w:rFonts w:ascii="CG Times" w:eastAsia="Times New Roman" w:hAnsi="CG Times"/>
          <w:sz w:val="21"/>
          <w:szCs w:val="21"/>
          <w:lang w:val="sq-AL"/>
        </w:rPr>
      </w:pPr>
    </w:p>
    <w:p w:rsidR="000F0AA6" w:rsidRPr="002E36E2" w:rsidRDefault="00E1606B" w:rsidP="000F0AA6">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me sekretare Blerina Basha, në datë</w:t>
      </w:r>
      <w:r w:rsidR="0017023F">
        <w:rPr>
          <w:rFonts w:ascii="CG Times" w:eastAsia="Times New Roman" w:hAnsi="CG Times"/>
          <w:sz w:val="21"/>
          <w:szCs w:val="21"/>
          <w:lang w:val="sq-AL"/>
        </w:rPr>
        <w:t>n</w:t>
      </w:r>
      <w:r w:rsidRPr="002E36E2">
        <w:rPr>
          <w:rFonts w:ascii="CG Times" w:eastAsia="Times New Roman" w:hAnsi="CG Times"/>
          <w:sz w:val="21"/>
          <w:szCs w:val="21"/>
          <w:lang w:val="sq-AL"/>
        </w:rPr>
        <w:t xml:space="preserve"> 08.11.2013 mori në shqyrtim </w:t>
      </w:r>
      <w:r w:rsidRPr="002E36E2">
        <w:rPr>
          <w:rFonts w:ascii="CG Times" w:hAnsi="CG Times"/>
          <w:sz w:val="21"/>
          <w:szCs w:val="21"/>
          <w:lang w:val="sq-AL"/>
        </w:rPr>
        <w:t>në seancë plenare mbi bazë dokumentesh çështjen me nr.37/10 Akti, që i përket palëve:</w:t>
      </w:r>
    </w:p>
    <w:p w:rsidR="000F0AA6" w:rsidRPr="002E36E2" w:rsidRDefault="000F0AA6" w:rsidP="000F0AA6">
      <w:pPr>
        <w:widowControl w:val="0"/>
        <w:ind w:firstLine="720"/>
        <w:jc w:val="both"/>
        <w:rPr>
          <w:rFonts w:ascii="CG Times" w:hAnsi="CG Times"/>
          <w:sz w:val="21"/>
          <w:szCs w:val="21"/>
          <w:lang w:val="sq-AL"/>
        </w:rPr>
      </w:pPr>
      <w:r w:rsidRPr="002E36E2">
        <w:rPr>
          <w:rFonts w:ascii="CG Times" w:hAnsi="CG Times"/>
          <w:sz w:val="21"/>
          <w:szCs w:val="21"/>
          <w:lang w:val="sq-AL"/>
        </w:rPr>
        <w:t xml:space="preserve">KËRKUES:  Arjan Lutaj, Piro Lutaj </w:t>
      </w:r>
    </w:p>
    <w:p w:rsidR="000F0AA6" w:rsidRPr="002E36E2" w:rsidRDefault="00E1606B" w:rsidP="000F0AA6">
      <w:pPr>
        <w:widowControl w:val="0"/>
        <w:ind w:firstLine="720"/>
        <w:jc w:val="both"/>
        <w:rPr>
          <w:rFonts w:ascii="CG Times" w:hAnsi="CG Times"/>
          <w:sz w:val="21"/>
          <w:szCs w:val="21"/>
          <w:lang w:val="sq-AL"/>
        </w:rPr>
      </w:pPr>
      <w:r w:rsidRPr="002E36E2">
        <w:rPr>
          <w:rFonts w:ascii="CG Times" w:hAnsi="CG Times"/>
          <w:sz w:val="21"/>
          <w:szCs w:val="21"/>
          <w:lang w:val="sq-AL"/>
        </w:rPr>
        <w:t xml:space="preserve">SUBJEKT I INTERESUAR: </w:t>
      </w:r>
      <w:r w:rsidR="000F0AA6" w:rsidRPr="002E36E2">
        <w:rPr>
          <w:rFonts w:ascii="CG Times" w:hAnsi="CG Times"/>
          <w:sz w:val="21"/>
          <w:szCs w:val="21"/>
          <w:lang w:val="sq-AL"/>
        </w:rPr>
        <w:t xml:space="preserve"> Mimoza Libohova, Veiz Jaupaj, Mira Mana</w:t>
      </w:r>
      <w:r w:rsidR="00B90FE3" w:rsidRPr="002E36E2">
        <w:rPr>
          <w:rFonts w:ascii="CG Times" w:hAnsi="CG Times"/>
          <w:sz w:val="21"/>
          <w:szCs w:val="21"/>
          <w:lang w:val="sq-AL"/>
        </w:rPr>
        <w:t>stiri, Ndërmarrja e Shërbimeve K</w:t>
      </w:r>
      <w:r w:rsidR="000F0AA6" w:rsidRPr="002E36E2">
        <w:rPr>
          <w:rFonts w:ascii="CG Times" w:hAnsi="CG Times"/>
          <w:sz w:val="21"/>
          <w:szCs w:val="21"/>
          <w:lang w:val="sq-AL"/>
        </w:rPr>
        <w:t>omunale Vlorë, Zyra Vendore e Regjistrimit të Pasurive të Paluajtshme Vlorë</w:t>
      </w:r>
      <w:r w:rsidR="00B90FE3" w:rsidRPr="002E36E2">
        <w:rPr>
          <w:rFonts w:ascii="CG Times" w:hAnsi="CG Times"/>
          <w:sz w:val="21"/>
          <w:szCs w:val="21"/>
          <w:lang w:val="sq-AL"/>
        </w:rPr>
        <w:t>.</w:t>
      </w:r>
    </w:p>
    <w:p w:rsidR="000F0AA6" w:rsidRPr="002E36E2" w:rsidRDefault="000F0AA6" w:rsidP="000F0AA6">
      <w:pPr>
        <w:widowControl w:val="0"/>
        <w:ind w:firstLine="720"/>
        <w:jc w:val="both"/>
        <w:rPr>
          <w:rFonts w:ascii="CG Times" w:hAnsi="CG Times"/>
          <w:sz w:val="21"/>
          <w:szCs w:val="21"/>
          <w:lang w:val="sq-AL"/>
        </w:rPr>
      </w:pPr>
      <w:r w:rsidRPr="002E36E2">
        <w:rPr>
          <w:rFonts w:ascii="CG Times" w:hAnsi="CG Times"/>
          <w:sz w:val="21"/>
          <w:szCs w:val="21"/>
          <w:lang w:val="sq-AL"/>
        </w:rPr>
        <w:t xml:space="preserve">OBJEKTI: </w:t>
      </w:r>
      <w:r w:rsidR="00B90FE3" w:rsidRPr="002E36E2">
        <w:rPr>
          <w:rFonts w:ascii="CG Times" w:hAnsi="CG Times"/>
          <w:bCs/>
          <w:sz w:val="21"/>
          <w:szCs w:val="21"/>
          <w:lang w:val="sq-AL"/>
        </w:rPr>
        <w:t>Shfuqizimi, si të papajtuesh</w:t>
      </w:r>
      <w:r w:rsidR="00E1606B" w:rsidRPr="002E36E2">
        <w:rPr>
          <w:rFonts w:ascii="CG Times" w:hAnsi="CG Times"/>
          <w:bCs/>
          <w:sz w:val="21"/>
          <w:szCs w:val="21"/>
          <w:lang w:val="sq-AL"/>
        </w:rPr>
        <w:t>m</w:t>
      </w:r>
      <w:r w:rsidR="00B90FE3" w:rsidRPr="002E36E2">
        <w:rPr>
          <w:rFonts w:ascii="CG Times" w:hAnsi="CG Times"/>
          <w:bCs/>
          <w:sz w:val="21"/>
          <w:szCs w:val="21"/>
          <w:lang w:val="sq-AL"/>
        </w:rPr>
        <w:t>e</w:t>
      </w:r>
      <w:r w:rsidR="00E1606B" w:rsidRPr="002E36E2">
        <w:rPr>
          <w:rFonts w:ascii="CG Times" w:hAnsi="CG Times"/>
          <w:bCs/>
          <w:sz w:val="21"/>
          <w:szCs w:val="21"/>
          <w:lang w:val="sq-AL"/>
        </w:rPr>
        <w:t xml:space="preserve"> me Kushtetutën, i vendimeve: nr.752, datë 24.03.2009 i Gjykatës së Rrethit Gjyqësor</w:t>
      </w:r>
      <w:r w:rsidR="00B90FE3" w:rsidRPr="002E36E2">
        <w:rPr>
          <w:rFonts w:ascii="CG Times" w:hAnsi="CG Times"/>
          <w:bCs/>
          <w:sz w:val="21"/>
          <w:szCs w:val="21"/>
          <w:lang w:val="sq-AL"/>
        </w:rPr>
        <w:t xml:space="preserve"> Vlorë; nr.361, datë 28.09.2009</w:t>
      </w:r>
      <w:r w:rsidR="00E1606B" w:rsidRPr="002E36E2">
        <w:rPr>
          <w:rFonts w:ascii="CG Times" w:hAnsi="CG Times"/>
          <w:bCs/>
          <w:sz w:val="21"/>
          <w:szCs w:val="21"/>
          <w:lang w:val="sq-AL"/>
        </w:rPr>
        <w:t xml:space="preserve"> i Gjykatës së Apelit Vlorë dhe </w:t>
      </w:r>
      <w:r w:rsidR="00B90FE3" w:rsidRPr="002E36E2">
        <w:rPr>
          <w:rFonts w:ascii="CG Times" w:hAnsi="CG Times"/>
          <w:bCs/>
          <w:sz w:val="21"/>
          <w:szCs w:val="21"/>
          <w:lang w:val="sq-AL"/>
        </w:rPr>
        <w:t>nr.00-2011-792, datë 07.06.2011</w:t>
      </w:r>
      <w:r w:rsidR="00E1606B" w:rsidRPr="002E36E2">
        <w:rPr>
          <w:rFonts w:ascii="CG Times" w:hAnsi="CG Times"/>
          <w:bCs/>
          <w:sz w:val="21"/>
          <w:szCs w:val="21"/>
          <w:lang w:val="sq-AL"/>
        </w:rPr>
        <w:t xml:space="preserve"> i Kolegjit Civil të Gjykatës së Lartë.</w:t>
      </w:r>
      <w:r w:rsidR="00E1606B" w:rsidRPr="002E36E2">
        <w:rPr>
          <w:rFonts w:ascii="CG Times" w:hAnsi="CG Times"/>
          <w:b/>
          <w:bCs/>
          <w:sz w:val="21"/>
          <w:szCs w:val="21"/>
          <w:lang w:val="sq-AL"/>
        </w:rPr>
        <w:t xml:space="preserve"> </w:t>
      </w:r>
    </w:p>
    <w:p w:rsidR="00E1606B" w:rsidRPr="002E36E2" w:rsidRDefault="00E1606B" w:rsidP="000F0AA6">
      <w:pPr>
        <w:widowControl w:val="0"/>
        <w:ind w:firstLine="720"/>
        <w:jc w:val="both"/>
        <w:rPr>
          <w:rFonts w:ascii="CG Times" w:hAnsi="CG Times"/>
          <w:sz w:val="21"/>
          <w:szCs w:val="21"/>
          <w:lang w:val="sq-AL"/>
        </w:rPr>
      </w:pPr>
      <w:r w:rsidRPr="002E36E2">
        <w:rPr>
          <w:rFonts w:ascii="CG Times" w:hAnsi="CG Times"/>
          <w:sz w:val="21"/>
          <w:szCs w:val="21"/>
          <w:lang w:val="sq-AL"/>
        </w:rPr>
        <w:t>BAZA LIGJORE:</w:t>
      </w:r>
      <w:r w:rsidR="000F0AA6" w:rsidRPr="002E36E2">
        <w:rPr>
          <w:rFonts w:ascii="CG Times" w:hAnsi="CG Times"/>
          <w:b/>
          <w:sz w:val="21"/>
          <w:szCs w:val="21"/>
          <w:lang w:val="sq-AL"/>
        </w:rPr>
        <w:t xml:space="preserve"> </w:t>
      </w:r>
      <w:r w:rsidRPr="002E36E2">
        <w:rPr>
          <w:rFonts w:ascii="CG Times" w:hAnsi="CG Times"/>
          <w:sz w:val="21"/>
          <w:szCs w:val="21"/>
          <w:lang w:val="sq-AL"/>
        </w:rPr>
        <w:t xml:space="preserve">Nenet 42 dhe 131/f të Kushtetutës së Republikës së Shqipërisë; nenet 27 dhe 20 të ligjit nr.8577, datë 10.2.2000 “Për organizimin dhe funksionimin e Gjykatës Kushtetuese të Republikës së Shqipërisë”; neni 6 dhe 13 i Konventës Evropiane për të Drejtat e Njeriut. </w:t>
      </w:r>
    </w:p>
    <w:p w:rsidR="000F0AA6" w:rsidRPr="00EB3D92" w:rsidRDefault="000F0AA6" w:rsidP="00E1606B">
      <w:pPr>
        <w:widowControl w:val="0"/>
        <w:jc w:val="center"/>
        <w:rPr>
          <w:rFonts w:ascii="CG Times" w:eastAsia="Times New Roman" w:hAnsi="CG Times"/>
          <w:bCs/>
          <w:sz w:val="16"/>
          <w:szCs w:val="21"/>
          <w:lang w:val="sq-AL"/>
        </w:rPr>
      </w:pPr>
    </w:p>
    <w:p w:rsidR="00E1606B" w:rsidRPr="002E36E2" w:rsidRDefault="00E1606B" w:rsidP="00E1606B">
      <w:pPr>
        <w:widowControl w:val="0"/>
        <w:jc w:val="center"/>
        <w:rPr>
          <w:rFonts w:ascii="CG Times" w:eastAsia="Times New Roman" w:hAnsi="CG Times"/>
          <w:sz w:val="21"/>
          <w:szCs w:val="21"/>
          <w:lang w:val="sq-AL"/>
        </w:rPr>
      </w:pPr>
      <w:r w:rsidRPr="002E36E2">
        <w:rPr>
          <w:rFonts w:ascii="CG Times" w:eastAsia="Times New Roman" w:hAnsi="CG Times"/>
          <w:bCs/>
          <w:sz w:val="21"/>
          <w:szCs w:val="21"/>
          <w:lang w:val="sq-AL"/>
        </w:rPr>
        <w:t>GJYKATA KUSHTETUESE</w:t>
      </w:r>
      <w:r w:rsidRPr="002E36E2">
        <w:rPr>
          <w:rFonts w:ascii="CG Times" w:eastAsia="Times New Roman" w:hAnsi="CG Times"/>
          <w:sz w:val="21"/>
          <w:szCs w:val="21"/>
          <w:lang w:val="sq-AL"/>
        </w:rPr>
        <w:t>,</w:t>
      </w:r>
    </w:p>
    <w:p w:rsidR="000F0AA6" w:rsidRPr="002C04CF" w:rsidRDefault="000F0AA6" w:rsidP="00E1606B">
      <w:pPr>
        <w:widowControl w:val="0"/>
        <w:ind w:firstLine="720"/>
        <w:jc w:val="both"/>
        <w:rPr>
          <w:rFonts w:ascii="CG Times" w:eastAsia="Times New Roman" w:hAnsi="CG Times"/>
          <w:sz w:val="10"/>
          <w:szCs w:val="21"/>
          <w:lang w:val="sq-AL"/>
        </w:rPr>
      </w:pP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pasi dëgjoi relatoren e çështjes, Altina Xhoxhaj, shqyrtoi pretendimet e palëve dhe aktet e paraqitura dhe pasi bisedoi çështjen në tërësi, </w:t>
      </w:r>
    </w:p>
    <w:p w:rsidR="00E1606B" w:rsidRPr="002C04CF" w:rsidRDefault="00E1606B" w:rsidP="00E1606B">
      <w:pPr>
        <w:widowControl w:val="0"/>
        <w:jc w:val="center"/>
        <w:rPr>
          <w:rFonts w:ascii="CG Times" w:eastAsia="Times New Roman" w:hAnsi="CG Times"/>
          <w:b/>
          <w:sz w:val="4"/>
          <w:szCs w:val="21"/>
          <w:lang w:val="sq-AL"/>
        </w:rPr>
      </w:pPr>
    </w:p>
    <w:p w:rsidR="00E1606B" w:rsidRPr="002E36E2" w:rsidRDefault="00E1606B" w:rsidP="00E1606B">
      <w:pPr>
        <w:widowControl w:val="0"/>
        <w:jc w:val="center"/>
        <w:rPr>
          <w:rFonts w:ascii="CG Times" w:eastAsia="Times New Roman" w:hAnsi="CG Times"/>
          <w:sz w:val="21"/>
          <w:szCs w:val="21"/>
          <w:lang w:val="sq-AL"/>
        </w:rPr>
      </w:pPr>
      <w:r w:rsidRPr="002E36E2">
        <w:rPr>
          <w:rFonts w:ascii="CG Times" w:eastAsia="Times New Roman" w:hAnsi="CG Times"/>
          <w:sz w:val="21"/>
          <w:szCs w:val="21"/>
          <w:lang w:val="sq-AL"/>
        </w:rPr>
        <w:t>VËREN:</w:t>
      </w:r>
    </w:p>
    <w:p w:rsidR="000F0AA6" w:rsidRPr="002C04CF" w:rsidRDefault="000F0AA6" w:rsidP="00E1606B">
      <w:pPr>
        <w:widowControl w:val="0"/>
        <w:jc w:val="center"/>
        <w:rPr>
          <w:rFonts w:ascii="CG Times" w:eastAsia="Times New Roman" w:hAnsi="CG Times"/>
          <w:b/>
          <w:bCs/>
          <w:iCs/>
          <w:sz w:val="10"/>
          <w:szCs w:val="21"/>
          <w:lang w:val="sq-AL"/>
        </w:rPr>
      </w:pPr>
    </w:p>
    <w:p w:rsidR="00E1606B" w:rsidRPr="002E36E2" w:rsidRDefault="00E1606B" w:rsidP="00E1606B">
      <w:pPr>
        <w:widowControl w:val="0"/>
        <w:jc w:val="center"/>
        <w:rPr>
          <w:rFonts w:ascii="CG Times" w:eastAsia="Times New Roman" w:hAnsi="CG Times"/>
          <w:b/>
          <w:bCs/>
          <w:iCs/>
          <w:sz w:val="21"/>
          <w:szCs w:val="21"/>
          <w:lang w:val="sq-AL"/>
        </w:rPr>
      </w:pPr>
      <w:r w:rsidRPr="002E36E2">
        <w:rPr>
          <w:rFonts w:ascii="CG Times" w:eastAsia="Times New Roman" w:hAnsi="CG Times"/>
          <w:b/>
          <w:bCs/>
          <w:iCs/>
          <w:sz w:val="21"/>
          <w:szCs w:val="21"/>
          <w:lang w:val="sq-AL"/>
        </w:rPr>
        <w:t>I</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1. Në vitin 1992, me vendim të Këshillit të Bashkisë Vlorë, kërkuesit Piro Lutaj, efektiv ushtarak i repartit 1535, i është dhënë e drejta e banimit në objektet e ish- Policisë Ushtarake Vlorë, në pjesën veriore të saj, në një ambient të kthyer në banesë, të përbërë nga 2 dhoma dhe tualet.  </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2. Në vitin 1993 këto banesa janë kaluar në inventarin e Ndërmarrjes Banesa Vlorë dhe, në zbatim të ligjit për privatizimin e banesave shtetërore, po këtë vit, midis Ndërmarrjes Banesa dhe kërkuesit Piro Lutaj është lidhur një kontratë për privatizimin e banesës (apartament)</w:t>
      </w:r>
      <w:r w:rsidR="00B90FE3" w:rsidRPr="002E36E2">
        <w:rPr>
          <w:rFonts w:ascii="CG Times" w:hAnsi="CG Times"/>
          <w:sz w:val="21"/>
          <w:szCs w:val="21"/>
          <w:lang w:val="sq-AL"/>
        </w:rPr>
        <w:t>,</w:t>
      </w:r>
      <w:r w:rsidRPr="002E36E2">
        <w:rPr>
          <w:rFonts w:ascii="CG Times" w:hAnsi="CG Times"/>
          <w:sz w:val="21"/>
          <w:szCs w:val="21"/>
          <w:lang w:val="sq-AL"/>
        </w:rPr>
        <w:t xml:space="preserve"> të përbërë nga një dhomë e kuzhinë. Në momentin e privatizimit kërkuesi ka qenë i martuar me shtetasen K.L. Në vitin 1995, ky shtetas</w:t>
      </w:r>
      <w:r w:rsidR="00B90FE3" w:rsidRPr="002E36E2">
        <w:rPr>
          <w:rFonts w:ascii="CG Times" w:hAnsi="CG Times"/>
          <w:sz w:val="21"/>
          <w:szCs w:val="21"/>
          <w:lang w:val="sq-AL"/>
        </w:rPr>
        <w:t>,</w:t>
      </w:r>
      <w:r w:rsidRPr="002E36E2">
        <w:rPr>
          <w:rFonts w:ascii="CG Times" w:hAnsi="CG Times"/>
          <w:sz w:val="21"/>
          <w:szCs w:val="21"/>
          <w:lang w:val="sq-AL"/>
        </w:rPr>
        <w:t xml:space="preserve"> së bashku me bashkëshorten (në cilësinë e bashkëpronarëve) ia kanë dhuruar këtë banesë kërkuesit Arjan Lutaj. Të gjitha veprimet e mësipërme lidhur me këtë pasuri janë regjistruar edhe në regjistrin e pasurive të paluajtshme.</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3. Në vitin 1996, zyra e urbanistikës pranë Bashkisë Vlorë ka pajisur kërkuesin Arjan Lutaj me leje për ndryshim destinacioni të objektit, nga shtëpi banimi në dyqan për artikuj të ndryshëm.</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4. Subjekti i interesuar, Mimoza Libohova, është trashëgimtare e shtetasit SH.V., të cilit, me vendimin e ish-Komitetit Ekzekutiv të vitit 1945 i është sekuestruar pasuria, ku përfshihej dhe një garazh me dy magazina dhe oborr. Me vendimin e Komisionit të Kthimit dhe Kompensimit të Pronave nr.91, datë 12.12.1995, trashëgimlënësi SH.V. është njohur pronar mbi një banesë dykatëshe, një garazh me dy magazina dhe një oborr, si edhe mbi një sipërfaqe trualli prej 24.000 m</w:t>
      </w:r>
      <w:r w:rsidRPr="002E36E2">
        <w:rPr>
          <w:rFonts w:ascii="CG Times" w:hAnsi="CG Times"/>
          <w:sz w:val="21"/>
          <w:szCs w:val="21"/>
          <w:vertAlign w:val="superscript"/>
          <w:lang w:val="sq-AL"/>
        </w:rPr>
        <w:t>2</w:t>
      </w:r>
      <w:r w:rsidRPr="002E36E2">
        <w:rPr>
          <w:rFonts w:ascii="CG Times" w:hAnsi="CG Times"/>
          <w:sz w:val="21"/>
          <w:szCs w:val="21"/>
          <w:lang w:val="sq-AL"/>
        </w:rPr>
        <w:t xml:space="preserve">, me kufizimet përkatëse. Në pikën 1/b të këtij </w:t>
      </w:r>
      <w:r w:rsidR="00B90FE3" w:rsidRPr="002E36E2">
        <w:rPr>
          <w:rFonts w:ascii="CG Times" w:hAnsi="CG Times"/>
          <w:sz w:val="21"/>
          <w:szCs w:val="21"/>
          <w:lang w:val="sq-AL"/>
        </w:rPr>
        <w:t>vendimi, është vendosur që ish-</w:t>
      </w:r>
      <w:r w:rsidRPr="002E36E2">
        <w:rPr>
          <w:rFonts w:ascii="CG Times" w:hAnsi="CG Times"/>
          <w:sz w:val="21"/>
          <w:szCs w:val="21"/>
          <w:lang w:val="sq-AL"/>
        </w:rPr>
        <w:t>pronarit t’i kthehet në natyrë godina dykatëshe dhe garazhi (me kufizimet sipas pikës 1/a të vendimit), kurse në pikën 1/c është vendosur kompensimi p</w:t>
      </w:r>
      <w:r w:rsidR="00B90FE3" w:rsidRPr="002E36E2">
        <w:rPr>
          <w:rFonts w:ascii="CG Times" w:hAnsi="CG Times"/>
          <w:sz w:val="21"/>
          <w:szCs w:val="21"/>
          <w:lang w:val="sq-AL"/>
        </w:rPr>
        <w:t>ër sipërfaqen e truallit prej 5</w:t>
      </w:r>
      <w:r w:rsidRPr="002E36E2">
        <w:rPr>
          <w:rFonts w:ascii="CG Times" w:hAnsi="CG Times"/>
          <w:sz w:val="21"/>
          <w:szCs w:val="21"/>
          <w:lang w:val="sq-AL"/>
        </w:rPr>
        <w:t>000 m</w:t>
      </w:r>
      <w:r w:rsidRPr="002E36E2">
        <w:rPr>
          <w:rFonts w:ascii="CG Times" w:hAnsi="CG Times"/>
          <w:sz w:val="21"/>
          <w:szCs w:val="21"/>
          <w:vertAlign w:val="superscript"/>
          <w:lang w:val="sq-AL"/>
        </w:rPr>
        <w:t>2</w:t>
      </w:r>
      <w:r w:rsidRPr="002E36E2">
        <w:rPr>
          <w:rFonts w:ascii="CG Times" w:hAnsi="CG Times"/>
          <w:sz w:val="21"/>
          <w:szCs w:val="21"/>
          <w:lang w:val="sq-AL"/>
        </w:rPr>
        <w:t xml:space="preserve">. </w:t>
      </w:r>
    </w:p>
    <w:p w:rsidR="00E1606B" w:rsidRPr="002E36E2" w:rsidRDefault="00B90FE3"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5. Me urdhrin e vitit 2007</w:t>
      </w:r>
      <w:r w:rsidR="00E1606B" w:rsidRPr="002E36E2">
        <w:rPr>
          <w:rFonts w:ascii="CG Times" w:hAnsi="CG Times"/>
          <w:sz w:val="21"/>
          <w:szCs w:val="21"/>
          <w:lang w:val="sq-AL"/>
        </w:rPr>
        <w:t xml:space="preserve"> të Zyrës Vendore të Regjistrimit të Pasurive të Paluajtshme (ZVRPP) Vlorë, është urdhëruar korrigjimi i sipërfaqes ndërtimore në kartelën e pasurisë të bashkëpronarëve, trashëgimtarë të trashëgimlënësit SH.V., nga 172m</w:t>
      </w:r>
      <w:r w:rsidR="00E1606B" w:rsidRPr="002E36E2">
        <w:rPr>
          <w:rFonts w:ascii="CG Times" w:hAnsi="CG Times"/>
          <w:sz w:val="21"/>
          <w:szCs w:val="21"/>
          <w:vertAlign w:val="superscript"/>
          <w:lang w:val="sq-AL"/>
        </w:rPr>
        <w:t>2</w:t>
      </w:r>
      <w:r w:rsidR="00E1606B" w:rsidRPr="002E36E2">
        <w:rPr>
          <w:rFonts w:ascii="CG Times" w:hAnsi="CG Times"/>
          <w:sz w:val="21"/>
          <w:szCs w:val="21"/>
          <w:lang w:val="sq-AL"/>
        </w:rPr>
        <w:t xml:space="preserve"> në 125m</w:t>
      </w:r>
      <w:r w:rsidR="00E1606B" w:rsidRPr="002E36E2">
        <w:rPr>
          <w:rFonts w:ascii="CG Times" w:hAnsi="CG Times"/>
          <w:sz w:val="21"/>
          <w:szCs w:val="21"/>
          <w:vertAlign w:val="superscript"/>
          <w:lang w:val="sq-AL"/>
        </w:rPr>
        <w:t>2</w:t>
      </w:r>
      <w:r w:rsidR="00E1606B" w:rsidRPr="002E36E2">
        <w:rPr>
          <w:rFonts w:ascii="CG Times" w:hAnsi="CG Times"/>
          <w:sz w:val="21"/>
          <w:szCs w:val="21"/>
          <w:lang w:val="sq-AL"/>
        </w:rPr>
        <w:t xml:space="preserve">. </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6. Shtetasja Mimoza Libohova, në cilësinë e bashkëpronares, i është drejtuar gjykatës me padi</w:t>
      </w:r>
      <w:r w:rsidR="00B90FE3" w:rsidRPr="002E36E2">
        <w:rPr>
          <w:rFonts w:ascii="CG Times" w:hAnsi="CG Times"/>
          <w:sz w:val="21"/>
          <w:szCs w:val="21"/>
          <w:lang w:val="sq-AL"/>
        </w:rPr>
        <w:t>,</w:t>
      </w:r>
      <w:r w:rsidRPr="002E36E2">
        <w:rPr>
          <w:rFonts w:ascii="CG Times" w:hAnsi="CG Times"/>
          <w:sz w:val="21"/>
          <w:szCs w:val="21"/>
          <w:lang w:val="sq-AL"/>
        </w:rPr>
        <w:t xml:space="preserve"> me obj</w:t>
      </w:r>
      <w:r w:rsidR="00B90FE3" w:rsidRPr="002E36E2">
        <w:rPr>
          <w:rFonts w:ascii="CG Times" w:hAnsi="CG Times"/>
          <w:sz w:val="21"/>
          <w:szCs w:val="21"/>
          <w:lang w:val="sq-AL"/>
        </w:rPr>
        <w:t>ekt detyrimin e kërkuesve që t’u</w:t>
      </w:r>
      <w:r w:rsidRPr="002E36E2">
        <w:rPr>
          <w:rFonts w:ascii="CG Times" w:hAnsi="CG Times"/>
          <w:sz w:val="21"/>
          <w:szCs w:val="21"/>
          <w:lang w:val="sq-AL"/>
        </w:rPr>
        <w:t xml:space="preserve"> njohin pronarë dhe të lirojnë dhe dorëzojnë dy garazhe dhe një oborr me sipërfaqe 112 m</w:t>
      </w:r>
      <w:r w:rsidRPr="002E36E2">
        <w:rPr>
          <w:rFonts w:ascii="CG Times" w:hAnsi="CG Times"/>
          <w:sz w:val="21"/>
          <w:szCs w:val="21"/>
          <w:vertAlign w:val="superscript"/>
          <w:lang w:val="sq-AL"/>
        </w:rPr>
        <w:t>2</w:t>
      </w:r>
      <w:r w:rsidRPr="002E36E2">
        <w:rPr>
          <w:rFonts w:ascii="CG Times" w:hAnsi="CG Times"/>
          <w:sz w:val="21"/>
          <w:szCs w:val="21"/>
          <w:lang w:val="sq-AL"/>
        </w:rPr>
        <w:t xml:space="preserve">, dhe konstatimin si absolutisht të pavlefshme të kontratës së privatizimit të banesës dhe asaj të dhurimit. </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7. Me  vendimin nr. 752, datë 24.03.2009, Gjykata e Rrethit Gjyqësor Vlorë ka vendosur: </w:t>
      </w:r>
    </w:p>
    <w:p w:rsidR="00E1606B" w:rsidRPr="002E36E2" w:rsidRDefault="00E1606B" w:rsidP="00E1606B">
      <w:pPr>
        <w:widowControl w:val="0"/>
        <w:autoSpaceDE w:val="0"/>
        <w:autoSpaceDN w:val="0"/>
        <w:adjustRightInd w:val="0"/>
        <w:ind w:firstLine="720"/>
        <w:jc w:val="both"/>
        <w:rPr>
          <w:rFonts w:ascii="CG Times" w:hAnsi="CG Times"/>
          <w:i/>
          <w:sz w:val="21"/>
          <w:szCs w:val="21"/>
          <w:lang w:val="sq-AL"/>
        </w:rPr>
      </w:pPr>
      <w:r w:rsidRPr="002E36E2">
        <w:rPr>
          <w:rFonts w:ascii="CG Times" w:hAnsi="CG Times"/>
          <w:sz w:val="21"/>
          <w:szCs w:val="21"/>
          <w:lang w:val="sq-AL"/>
        </w:rPr>
        <w:t>“</w:t>
      </w:r>
      <w:r w:rsidRPr="002E36E2">
        <w:rPr>
          <w:rFonts w:ascii="CG Times" w:hAnsi="CG Times"/>
          <w:i/>
          <w:sz w:val="21"/>
          <w:szCs w:val="21"/>
          <w:lang w:val="sq-AL"/>
        </w:rPr>
        <w:t xml:space="preserve">Pranimin pjesërisht të padisë së paditëses Mimoza Libohova. Detyrimin e të paditurve Arjan Lutaj dhe Piro Lutaj që të njohin si pronarë, si dhe t’u </w:t>
      </w:r>
      <w:r w:rsidR="00020CA8" w:rsidRPr="002E36E2">
        <w:rPr>
          <w:rFonts w:ascii="CG Times" w:hAnsi="CG Times"/>
          <w:i/>
          <w:sz w:val="21"/>
          <w:szCs w:val="21"/>
          <w:lang w:val="sq-AL"/>
        </w:rPr>
        <w:t>lirojnë trashëgimtarëve të ish-</w:t>
      </w:r>
      <w:r w:rsidRPr="002E36E2">
        <w:rPr>
          <w:rFonts w:ascii="CG Times" w:hAnsi="CG Times"/>
          <w:i/>
          <w:sz w:val="21"/>
          <w:szCs w:val="21"/>
          <w:lang w:val="sq-AL"/>
        </w:rPr>
        <w:t>pronarit SH.V. një garazh me sipërfaqe 40.28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të ndodhur në....... Konstatimin si absolutisht të pavlefshme të kontratës së privatizimit të datës 21.12.1993, të lidhur ndërmjet </w:t>
      </w:r>
      <w:r w:rsidR="00020CA8" w:rsidRPr="002E36E2">
        <w:rPr>
          <w:rFonts w:ascii="CG Times" w:hAnsi="CG Times"/>
          <w:i/>
          <w:sz w:val="21"/>
          <w:szCs w:val="21"/>
          <w:lang w:val="sq-AL"/>
        </w:rPr>
        <w:t>të paditurit Piro Lutaj dhe ish-</w:t>
      </w:r>
      <w:r w:rsidRPr="002E36E2">
        <w:rPr>
          <w:rFonts w:ascii="CG Times" w:hAnsi="CG Times"/>
          <w:i/>
          <w:sz w:val="21"/>
          <w:szCs w:val="21"/>
          <w:lang w:val="sq-AL"/>
        </w:rPr>
        <w:t xml:space="preserve">NKB Vlorë. Konstatimin si absolutisht të pavlefshme të kontratës së dhurimit të datës 07.08.1995, të lidhur ndërmjet të paditurve Piro Lutaj dhe Arjan Lutaj. Çregjistrimin nga regjistrat e ZVRPP Vlorë të pasurisë me nr.54/99, të ndodhur në zonën kadastrale nr.8605 të qytetit Vlorë, pasuri kjo e cila figuron e regjistruar në emër të të paditurit Arjan Lutaj. Regjistrimin në </w:t>
      </w:r>
      <w:r w:rsidR="00020CA8" w:rsidRPr="002E36E2">
        <w:rPr>
          <w:rFonts w:ascii="CG Times" w:hAnsi="CG Times"/>
          <w:i/>
          <w:sz w:val="21"/>
          <w:szCs w:val="21"/>
          <w:lang w:val="sq-AL"/>
        </w:rPr>
        <w:t>favor të trashëgimtarëve të ish-</w:t>
      </w:r>
      <w:r w:rsidRPr="002E36E2">
        <w:rPr>
          <w:rFonts w:ascii="CG Times" w:hAnsi="CG Times"/>
          <w:i/>
          <w:sz w:val="21"/>
          <w:szCs w:val="21"/>
          <w:lang w:val="sq-AL"/>
        </w:rPr>
        <w:t>pronarit SHV të objektit garazh me sipërfaqe 40.28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dhe të truallit </w:t>
      </w:r>
      <w:r w:rsidR="00AA78E9">
        <w:rPr>
          <w:rFonts w:ascii="CG Times" w:hAnsi="CG Times"/>
          <w:i/>
          <w:sz w:val="21"/>
          <w:szCs w:val="21"/>
          <w:lang w:val="sq-AL"/>
        </w:rPr>
        <w:t>poshtë tij të ndodhur në....</w:t>
      </w:r>
      <w:r w:rsidRPr="002E36E2">
        <w:rPr>
          <w:rFonts w:ascii="CG Times" w:hAnsi="CG Times"/>
          <w:i/>
          <w:sz w:val="21"/>
          <w:szCs w:val="21"/>
          <w:lang w:val="sq-AL"/>
        </w:rPr>
        <w:t>. Rrëzimin e padisë së paditëses Mimoza Libohova për detyrimin e të paditurve Piro Lutaj dhe Arjan Lutaj që të njohin si pronarë</w:t>
      </w:r>
      <w:r w:rsidRPr="00AA78E9">
        <w:rPr>
          <w:rFonts w:ascii="CG Times" w:hAnsi="CG Times"/>
          <w:i/>
          <w:sz w:val="14"/>
          <w:szCs w:val="21"/>
          <w:lang w:val="sq-AL"/>
        </w:rPr>
        <w:t xml:space="preserve"> </w:t>
      </w:r>
      <w:r w:rsidRPr="002E36E2">
        <w:rPr>
          <w:rFonts w:ascii="CG Times" w:hAnsi="CG Times"/>
          <w:i/>
          <w:sz w:val="21"/>
          <w:szCs w:val="21"/>
          <w:lang w:val="sq-AL"/>
        </w:rPr>
        <w:t>dhe t’u lirojnë e d</w:t>
      </w:r>
      <w:r w:rsidR="00020CA8" w:rsidRPr="002E36E2">
        <w:rPr>
          <w:rFonts w:ascii="CG Times" w:hAnsi="CG Times"/>
          <w:i/>
          <w:sz w:val="21"/>
          <w:szCs w:val="21"/>
          <w:lang w:val="sq-AL"/>
        </w:rPr>
        <w:t>orëzojnë trashëgimtarëve të ish-</w:t>
      </w:r>
      <w:r w:rsidRPr="002E36E2">
        <w:rPr>
          <w:rFonts w:ascii="CG Times" w:hAnsi="CG Times"/>
          <w:i/>
          <w:sz w:val="21"/>
          <w:szCs w:val="21"/>
          <w:lang w:val="sq-AL"/>
        </w:rPr>
        <w:t>pronarit SH.V. sipërfaqen e truallit prej 71.72 m</w:t>
      </w:r>
      <w:r w:rsidRPr="002E36E2">
        <w:rPr>
          <w:rFonts w:ascii="CG Times" w:hAnsi="CG Times"/>
          <w:i/>
          <w:sz w:val="21"/>
          <w:szCs w:val="21"/>
          <w:vertAlign w:val="superscript"/>
          <w:lang w:val="sq-AL"/>
        </w:rPr>
        <w:t>2</w:t>
      </w:r>
      <w:r w:rsidRPr="002E36E2">
        <w:rPr>
          <w:rFonts w:ascii="CG Times" w:hAnsi="CG Times"/>
          <w:i/>
          <w:sz w:val="21"/>
          <w:szCs w:val="21"/>
          <w:lang w:val="sq-AL"/>
        </w:rPr>
        <w:t xml:space="preserve">. .. </w:t>
      </w:r>
      <w:r w:rsidRPr="002E36E2">
        <w:rPr>
          <w:rFonts w:ascii="CG Times" w:hAnsi="CG Times"/>
          <w:sz w:val="21"/>
          <w:szCs w:val="21"/>
          <w:lang w:val="sq-AL"/>
        </w:rPr>
        <w:t>”.</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8. Me vendimin nr. 361, datë 28.09.2009, Gjykata e Apelit Vlorë ka lënë në fuqi vendimin e mësipërm të gjykatës së shkallës së parë. Kundër këtij vendimi kanë paraqitur rekurs në Gjykatën e Lartë kërkuesit Piro dhe Arjan Lutaj. </w:t>
      </w:r>
    </w:p>
    <w:p w:rsidR="00E1606B" w:rsidRPr="002E36E2" w:rsidRDefault="00E1606B" w:rsidP="00E1606B">
      <w:pPr>
        <w:widowControl w:val="0"/>
        <w:autoSpaceDE w:val="0"/>
        <w:autoSpaceDN w:val="0"/>
        <w:adjustRightInd w:val="0"/>
        <w:ind w:firstLine="720"/>
        <w:jc w:val="both"/>
        <w:rPr>
          <w:rFonts w:ascii="CG Times" w:hAnsi="CG Times"/>
          <w:sz w:val="21"/>
          <w:szCs w:val="21"/>
          <w:lang w:val="sq-AL"/>
        </w:rPr>
      </w:pPr>
      <w:r w:rsidRPr="002E36E2">
        <w:rPr>
          <w:rFonts w:ascii="CG Times" w:hAnsi="CG Times"/>
          <w:sz w:val="21"/>
          <w:szCs w:val="21"/>
          <w:lang w:val="sq-AL"/>
        </w:rPr>
        <w:t xml:space="preserve">9. Me vendimin nr.00-2011-792, datë 07.06.2011, Kolegji Civil i Gjykatës së Lartë, në dhomë këshillimi, ka vendosur mospranimin e rekursit për arsye se ai nuk përmban shkaqe nga ato të parashikuara në nenin 472 të Kodit të Procedurës Civile (KPC). </w:t>
      </w:r>
    </w:p>
    <w:p w:rsidR="00E1606B" w:rsidRPr="002C04CF" w:rsidRDefault="00E1606B" w:rsidP="00E1606B">
      <w:pPr>
        <w:widowControl w:val="0"/>
        <w:tabs>
          <w:tab w:val="left" w:pos="709"/>
        </w:tabs>
        <w:jc w:val="both"/>
        <w:rPr>
          <w:rFonts w:ascii="CG Times" w:hAnsi="CG Times"/>
          <w:b/>
          <w:sz w:val="10"/>
          <w:szCs w:val="21"/>
          <w:lang w:val="sq-AL"/>
        </w:rPr>
      </w:pPr>
    </w:p>
    <w:p w:rsidR="00E1606B" w:rsidRPr="002E36E2" w:rsidRDefault="00E1606B" w:rsidP="00E1606B">
      <w:pPr>
        <w:widowControl w:val="0"/>
        <w:jc w:val="center"/>
        <w:rPr>
          <w:rFonts w:ascii="CG Times" w:hAnsi="CG Times"/>
          <w:b/>
          <w:sz w:val="21"/>
          <w:szCs w:val="21"/>
          <w:lang w:val="sq-AL"/>
        </w:rPr>
      </w:pPr>
      <w:r w:rsidRPr="002E36E2">
        <w:rPr>
          <w:rFonts w:ascii="CG Times" w:hAnsi="CG Times"/>
          <w:b/>
          <w:sz w:val="21"/>
          <w:szCs w:val="21"/>
          <w:lang w:val="sq-AL"/>
        </w:rPr>
        <w:t>II</w:t>
      </w:r>
    </w:p>
    <w:p w:rsidR="00E1606B" w:rsidRPr="002E36E2" w:rsidRDefault="00E1606B" w:rsidP="000F0AA6">
      <w:pPr>
        <w:pStyle w:val="Paragrafi"/>
        <w:rPr>
          <w:sz w:val="21"/>
          <w:szCs w:val="21"/>
          <w:lang w:val="sq-AL"/>
        </w:rPr>
      </w:pPr>
      <w:r w:rsidRPr="002E36E2">
        <w:rPr>
          <w:sz w:val="21"/>
          <w:szCs w:val="21"/>
          <w:lang w:val="sq-AL"/>
        </w:rPr>
        <w:t xml:space="preserve">10. </w:t>
      </w:r>
      <w:r w:rsidRPr="002E36E2">
        <w:rPr>
          <w:b/>
          <w:i/>
          <w:sz w:val="21"/>
          <w:szCs w:val="21"/>
          <w:lang w:val="sq-AL"/>
        </w:rPr>
        <w:t>Kërkuesit Piro Lutaj dhe Arjan Lutaj</w:t>
      </w:r>
      <w:r w:rsidRPr="002E36E2">
        <w:rPr>
          <w:i/>
          <w:sz w:val="21"/>
          <w:szCs w:val="21"/>
          <w:lang w:val="sq-AL"/>
        </w:rPr>
        <w:t xml:space="preserve"> </w:t>
      </w:r>
      <w:r w:rsidRPr="002E36E2">
        <w:rPr>
          <w:sz w:val="21"/>
          <w:szCs w:val="21"/>
          <w:lang w:val="sq-AL"/>
        </w:rPr>
        <w:t>i janë drejtuar Gjykatës Kushtetuese për të kundërshtuar vendimet e mësipërme gjyqësore dhe pretendojnë se procesi gjyqësor i zhvilluar në të tri shkallët e gjykimit është rezultat i një procesi jo të rregullt ligjor për këto shkaqe:</w:t>
      </w:r>
    </w:p>
    <w:p w:rsidR="00E1606B" w:rsidRPr="002E36E2" w:rsidRDefault="000F0AA6" w:rsidP="000F0AA6">
      <w:pPr>
        <w:pStyle w:val="Paragrafi"/>
        <w:rPr>
          <w:sz w:val="21"/>
          <w:szCs w:val="21"/>
          <w:lang w:val="sq-AL"/>
        </w:rPr>
      </w:pPr>
      <w:r w:rsidRPr="002E36E2">
        <w:rPr>
          <w:sz w:val="21"/>
          <w:szCs w:val="21"/>
          <w:lang w:val="sq-AL"/>
        </w:rPr>
        <w:t xml:space="preserve">10.1 </w:t>
      </w:r>
      <w:r w:rsidR="00E1606B" w:rsidRPr="002E36E2">
        <w:rPr>
          <w:sz w:val="21"/>
          <w:szCs w:val="21"/>
          <w:lang w:val="sq-AL"/>
        </w:rPr>
        <w:t xml:space="preserve">Është cenuar e drejta e palëve për t’u dëgjuar në gjykim. Gjykatat kanë konstatuar   absolutisht të pavlefshme një kontratë dhurimi, duke mos dëgjuar një prej palëve të saj, konkretisht dhuruesen K.L., bashkëshortja e kërkuesit Piro Lutaj. Nga aktet e dosjes gjyqësore nuk rezulton që ajo të jetë thirrur si palë e paditur, por as si person i tretë, çka është atribut i gjykatës në bazë të nenit 193 të KPC-së. Formimi drejt i ndërgjyqësisë përbënte kusht të domosdoshëm për rregullsinë e procesit gjyqësor, pasi ai lidhet me parimin e kontradiktoritetit në gjykim dhe të barazisë së armëve. </w:t>
      </w:r>
    </w:p>
    <w:p w:rsidR="00E1606B" w:rsidRPr="002E36E2" w:rsidRDefault="000F0AA6" w:rsidP="000F0AA6">
      <w:pPr>
        <w:pStyle w:val="Paragrafi"/>
        <w:rPr>
          <w:sz w:val="21"/>
          <w:szCs w:val="21"/>
          <w:lang w:val="sq-AL"/>
        </w:rPr>
      </w:pPr>
      <w:r w:rsidRPr="002E36E2">
        <w:rPr>
          <w:sz w:val="21"/>
          <w:szCs w:val="21"/>
          <w:lang w:val="sq-AL"/>
        </w:rPr>
        <w:t xml:space="preserve">10.2 </w:t>
      </w:r>
      <w:r w:rsidR="00E1606B" w:rsidRPr="002E36E2">
        <w:rPr>
          <w:sz w:val="21"/>
          <w:szCs w:val="21"/>
          <w:lang w:val="sq-AL"/>
        </w:rPr>
        <w:t>Është cenuar parimi i sigurisë juridike. Pasuria objekt gjykimi është tjetërsuar në bazë të një kontrate nga një institucion shtetëror, duke arkëtuar edhe pagesën në mënyrë të rregullt.</w:t>
      </w:r>
    </w:p>
    <w:p w:rsidR="00E1606B" w:rsidRPr="002E36E2" w:rsidRDefault="000F0AA6" w:rsidP="000F0AA6">
      <w:pPr>
        <w:pStyle w:val="Paragrafi"/>
        <w:rPr>
          <w:sz w:val="21"/>
          <w:szCs w:val="21"/>
          <w:lang w:val="sq-AL"/>
        </w:rPr>
      </w:pPr>
      <w:r w:rsidRPr="002E36E2">
        <w:rPr>
          <w:sz w:val="21"/>
          <w:szCs w:val="21"/>
          <w:lang w:val="sq-AL"/>
        </w:rPr>
        <w:t xml:space="preserve">10.3 </w:t>
      </w:r>
      <w:r w:rsidR="00E1606B" w:rsidRPr="002E36E2">
        <w:rPr>
          <w:sz w:val="21"/>
          <w:szCs w:val="21"/>
          <w:lang w:val="sq-AL"/>
        </w:rPr>
        <w:t>Është cenuar e drejta për një proces të rregullt, pasi gjykatat nuk kanë kryer një hetim të plotë e të gjithanshëm. Në gjykim nuk është lejuar paraqitja në cilësinë e provës e dokumentacionit të vënë në dispozicion nga Ministria e Mbrojtjes, nëpërmjet të cilit provohet ligjshmëria e mënyrës së fitimit të pronësisë së banesës nga kërkuesit, si dhe nuk janë marrë në shqyrtim kontrata e qirasë për banesën dhe libreza përkatëse, për të cilat gjykata shprehet se mungojnë. Po ashtu, pozicioni i pronës, të cilit i janë referuar gjykatat e faktit, është i pavërtetë.</w:t>
      </w:r>
    </w:p>
    <w:p w:rsidR="00E1606B" w:rsidRPr="002E36E2" w:rsidRDefault="000F0AA6" w:rsidP="000F0AA6">
      <w:pPr>
        <w:pStyle w:val="Paragrafi"/>
        <w:rPr>
          <w:sz w:val="21"/>
          <w:szCs w:val="21"/>
          <w:lang w:val="sq-AL"/>
        </w:rPr>
      </w:pPr>
      <w:r w:rsidRPr="002E36E2">
        <w:rPr>
          <w:sz w:val="21"/>
          <w:szCs w:val="21"/>
          <w:lang w:val="sq-AL"/>
        </w:rPr>
        <w:t xml:space="preserve">10.4 </w:t>
      </w:r>
      <w:r w:rsidR="00E1606B" w:rsidRPr="002E36E2">
        <w:rPr>
          <w:sz w:val="21"/>
          <w:szCs w:val="21"/>
          <w:lang w:val="sq-AL"/>
        </w:rPr>
        <w:t>Është cenuar e drejta e aksesit në Gjykatën e Lartë. Në rekurs është ngritur një çështje ligjore thelbësore, që lidhet me atë nëse plotësohen kushtet e padisë së rivendikimit, dhe në këto kushte Gjykata e Lartë duhej të pranonte rekursin për shqyrtim në seancë gjyqësore.</w:t>
      </w:r>
    </w:p>
    <w:p w:rsidR="00E1606B" w:rsidRPr="002E36E2" w:rsidRDefault="000F0AA6" w:rsidP="000F0AA6">
      <w:pPr>
        <w:pStyle w:val="Paragrafi"/>
        <w:rPr>
          <w:sz w:val="21"/>
          <w:szCs w:val="21"/>
          <w:lang w:val="sq-AL"/>
        </w:rPr>
      </w:pPr>
      <w:r w:rsidRPr="002E36E2">
        <w:rPr>
          <w:sz w:val="21"/>
          <w:szCs w:val="21"/>
          <w:lang w:val="sq-AL"/>
        </w:rPr>
        <w:t xml:space="preserve">10.5 </w:t>
      </w:r>
      <w:r w:rsidR="00E1606B" w:rsidRPr="002E36E2">
        <w:rPr>
          <w:sz w:val="21"/>
          <w:szCs w:val="21"/>
          <w:lang w:val="sq-AL"/>
        </w:rPr>
        <w:t xml:space="preserve">Është cenuar standardi i arsyetimit të vendimeve gjyqësore, pasi vendimi i Kolegjit Civil të Gjykatës së Lartë ka vendosur mospranimin e rekursit pa paraqitur arsyet për këtë qëndrim. </w:t>
      </w:r>
    </w:p>
    <w:p w:rsidR="00E1606B" w:rsidRPr="002E36E2" w:rsidRDefault="000F0AA6" w:rsidP="000F0AA6">
      <w:pPr>
        <w:pStyle w:val="Paragrafi"/>
        <w:rPr>
          <w:sz w:val="21"/>
          <w:szCs w:val="21"/>
          <w:lang w:val="sq-AL"/>
        </w:rPr>
      </w:pPr>
      <w:r w:rsidRPr="002E36E2">
        <w:rPr>
          <w:sz w:val="21"/>
          <w:szCs w:val="21"/>
          <w:lang w:val="sq-AL"/>
        </w:rPr>
        <w:t xml:space="preserve">10.6 </w:t>
      </w:r>
      <w:r w:rsidR="00E1606B" w:rsidRPr="002E36E2">
        <w:rPr>
          <w:sz w:val="21"/>
          <w:szCs w:val="21"/>
          <w:lang w:val="sq-AL"/>
        </w:rPr>
        <w:t xml:space="preserve">Është cenuar e drejta e pronës private, e sanksionuar në Kushtetutë, e fituar nëpërmjet një veprimi juridik të vlefshëm. </w:t>
      </w:r>
    </w:p>
    <w:p w:rsidR="00E1606B" w:rsidRPr="002E36E2" w:rsidRDefault="000F0AA6" w:rsidP="000F0AA6">
      <w:pPr>
        <w:pStyle w:val="Paragrafi"/>
        <w:rPr>
          <w:sz w:val="21"/>
          <w:szCs w:val="21"/>
          <w:lang w:val="sq-AL"/>
        </w:rPr>
      </w:pPr>
      <w:r w:rsidRPr="002E36E2">
        <w:rPr>
          <w:sz w:val="21"/>
          <w:szCs w:val="21"/>
          <w:lang w:val="sq-AL"/>
        </w:rPr>
        <w:t xml:space="preserve">10.7 </w:t>
      </w:r>
      <w:r w:rsidR="00E1606B" w:rsidRPr="002E36E2">
        <w:rPr>
          <w:sz w:val="21"/>
          <w:szCs w:val="21"/>
          <w:lang w:val="sq-AL"/>
        </w:rPr>
        <w:t xml:space="preserve">Është cenuar parimi i shtetit të së drejtës dhe i ndarjes së pushteteve. Gjykatat kanë marrë kompetenca që u takojnë organeve të administratës shtetërore, sepse sipërfaqja e tokës nën objekt nuk duhej të kthehej me vendim gjykate, por me vendim të KKKP-së. Gjykatat janë shprehur për të drejta pronësie që nuk janë kërkuar dhe nuk janë marrë më parë në shqyrtim nga organi administrativ. </w:t>
      </w:r>
    </w:p>
    <w:p w:rsidR="00E1606B" w:rsidRPr="002E36E2" w:rsidRDefault="00E1606B" w:rsidP="000F0AA6">
      <w:pPr>
        <w:pStyle w:val="Paragrafi"/>
        <w:rPr>
          <w:sz w:val="21"/>
          <w:szCs w:val="21"/>
          <w:lang w:val="sq-AL"/>
        </w:rPr>
      </w:pPr>
      <w:r w:rsidRPr="002E36E2">
        <w:rPr>
          <w:sz w:val="21"/>
          <w:szCs w:val="21"/>
          <w:lang w:val="sq-AL"/>
        </w:rPr>
        <w:t xml:space="preserve">11. </w:t>
      </w:r>
      <w:r w:rsidRPr="002E36E2">
        <w:rPr>
          <w:b/>
          <w:i/>
          <w:sz w:val="21"/>
          <w:szCs w:val="21"/>
          <w:lang w:val="sq-AL"/>
        </w:rPr>
        <w:t>Subjekti i interesuar, Mimoza Libohova</w:t>
      </w:r>
      <w:r w:rsidRPr="002E36E2">
        <w:rPr>
          <w:sz w:val="21"/>
          <w:szCs w:val="21"/>
          <w:lang w:val="sq-AL"/>
        </w:rPr>
        <w:t>, ka paraqitur këto prapësime përpara Gjykatës për të kundërshtuar pretendimet e kërkuesve:</w:t>
      </w:r>
    </w:p>
    <w:p w:rsidR="00E1606B" w:rsidRPr="002E36E2" w:rsidRDefault="000F0AA6" w:rsidP="000F0AA6">
      <w:pPr>
        <w:pStyle w:val="Paragrafi"/>
        <w:rPr>
          <w:sz w:val="21"/>
          <w:szCs w:val="21"/>
          <w:lang w:val="sq-AL"/>
        </w:rPr>
      </w:pPr>
      <w:r w:rsidRPr="002E36E2">
        <w:rPr>
          <w:sz w:val="21"/>
          <w:szCs w:val="21"/>
          <w:lang w:val="sq-AL"/>
        </w:rPr>
        <w:t xml:space="preserve">11.1 </w:t>
      </w:r>
      <w:r w:rsidR="00E1606B" w:rsidRPr="002E36E2">
        <w:rPr>
          <w:sz w:val="21"/>
          <w:szCs w:val="21"/>
          <w:lang w:val="sq-AL"/>
        </w:rPr>
        <w:t>Pretendimi për mosthirrjen në gjykim të shtetases K.L. nuk mund të ngrihet nga  kërkuesit, pasi ata mund të pretendojnë vetëm cenimin e të drejtave të tyre kushtetuese dhe nuk mund të mbrojnë të drejtat e individëve të tjerë.</w:t>
      </w:r>
    </w:p>
    <w:p w:rsidR="00E1606B" w:rsidRPr="002E36E2" w:rsidRDefault="000F0AA6" w:rsidP="000F0AA6">
      <w:pPr>
        <w:pStyle w:val="Paragrafi"/>
        <w:rPr>
          <w:sz w:val="21"/>
          <w:szCs w:val="21"/>
          <w:lang w:val="sq-AL"/>
        </w:rPr>
      </w:pPr>
      <w:r w:rsidRPr="002E36E2">
        <w:rPr>
          <w:sz w:val="21"/>
          <w:szCs w:val="21"/>
          <w:lang w:val="sq-AL"/>
        </w:rPr>
        <w:t xml:space="preserve">11.2 </w:t>
      </w:r>
      <w:r w:rsidR="00E1606B" w:rsidRPr="002E36E2">
        <w:rPr>
          <w:sz w:val="21"/>
          <w:szCs w:val="21"/>
          <w:lang w:val="sq-AL"/>
        </w:rPr>
        <w:t>Pretendimi për cenimin e parimit të sigurisë juridike nuk është ngritur në gjykatat e zakonshme dhe, për këtë arsye, kërkuesit nuk i kanë shteruar mjetet ligjore.</w:t>
      </w:r>
    </w:p>
    <w:p w:rsidR="00E1606B" w:rsidRPr="002E36E2" w:rsidRDefault="000F0AA6" w:rsidP="000F0AA6">
      <w:pPr>
        <w:pStyle w:val="Paragrafi"/>
        <w:rPr>
          <w:sz w:val="21"/>
          <w:szCs w:val="21"/>
          <w:lang w:val="sq-AL"/>
        </w:rPr>
      </w:pPr>
      <w:r w:rsidRPr="002E36E2">
        <w:rPr>
          <w:sz w:val="21"/>
          <w:szCs w:val="21"/>
          <w:lang w:val="sq-AL"/>
        </w:rPr>
        <w:t xml:space="preserve">11.3 </w:t>
      </w:r>
      <w:r w:rsidR="00E1606B" w:rsidRPr="002E36E2">
        <w:rPr>
          <w:sz w:val="21"/>
          <w:szCs w:val="21"/>
          <w:lang w:val="sq-AL"/>
        </w:rPr>
        <w:t xml:space="preserve">Pretendimi për cenimin e të drejtës së aksesit në Gjykatën e Lartë është haptazi i pabazuar, pasi është kompetencë e kolegjit të asaj gjykate të vendosë nëse plotësohen ose jo kushtet për shqyrtimin e çështjes në seancë gjyqësore. </w:t>
      </w:r>
    </w:p>
    <w:p w:rsidR="00E1606B" w:rsidRPr="002E36E2" w:rsidRDefault="000F0AA6" w:rsidP="000F0AA6">
      <w:pPr>
        <w:pStyle w:val="Paragrafi"/>
        <w:rPr>
          <w:sz w:val="21"/>
          <w:szCs w:val="21"/>
          <w:lang w:val="sq-AL"/>
        </w:rPr>
      </w:pPr>
      <w:r w:rsidRPr="002E36E2">
        <w:rPr>
          <w:sz w:val="21"/>
          <w:szCs w:val="21"/>
          <w:lang w:val="sq-AL"/>
        </w:rPr>
        <w:t xml:space="preserve">11.4 </w:t>
      </w:r>
      <w:r w:rsidR="00E1606B" w:rsidRPr="002E36E2">
        <w:rPr>
          <w:sz w:val="21"/>
          <w:szCs w:val="21"/>
          <w:lang w:val="sq-AL"/>
        </w:rPr>
        <w:t>Pretendimi për mosarsyetimin e vendimit të Gjykatës së Lartë është haptazi i pabazuar, pasi tashmë ka një jurisprudencë të konsoliduar të Gjykatës Kushtetuese, e cila ka konsideruar se këto lloj vendimesh, pavarësisht formulimit të përmbledhur të pjesës arsyetuese, plotësojnë kërkesën për arsyetimin e tyre.</w:t>
      </w:r>
    </w:p>
    <w:p w:rsidR="00E1606B" w:rsidRPr="002E36E2" w:rsidRDefault="000F0AA6" w:rsidP="000F0AA6">
      <w:pPr>
        <w:pStyle w:val="Paragrafi"/>
        <w:rPr>
          <w:sz w:val="21"/>
          <w:szCs w:val="21"/>
          <w:lang w:val="sq-AL"/>
        </w:rPr>
      </w:pPr>
      <w:r w:rsidRPr="002E36E2">
        <w:rPr>
          <w:sz w:val="21"/>
          <w:szCs w:val="21"/>
          <w:lang w:val="sq-AL"/>
        </w:rPr>
        <w:t xml:space="preserve">11.5 </w:t>
      </w:r>
      <w:r w:rsidR="00E1606B" w:rsidRPr="002E36E2">
        <w:rPr>
          <w:sz w:val="21"/>
          <w:szCs w:val="21"/>
          <w:lang w:val="sq-AL"/>
        </w:rPr>
        <w:t xml:space="preserve">Pretendimi për cenimin e të drejtës së pronës nuk hyn në juridiksionin e Gjykatës Kushtetuese, në kuptim të nenit 131/f të Kushtetutës.    </w:t>
      </w:r>
    </w:p>
    <w:p w:rsidR="00E1606B" w:rsidRPr="00EB3D92" w:rsidRDefault="00E1606B" w:rsidP="00E1606B">
      <w:pPr>
        <w:widowControl w:val="0"/>
        <w:tabs>
          <w:tab w:val="left" w:pos="709"/>
        </w:tabs>
        <w:jc w:val="both"/>
        <w:rPr>
          <w:rFonts w:ascii="CG Times" w:hAnsi="CG Times"/>
          <w:bCs/>
          <w:sz w:val="12"/>
          <w:szCs w:val="21"/>
          <w:lang w:val="sq-AL"/>
        </w:rPr>
      </w:pPr>
    </w:p>
    <w:p w:rsidR="00E1606B" w:rsidRPr="002E36E2" w:rsidRDefault="00E1606B" w:rsidP="00E1606B">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III</w:t>
      </w:r>
    </w:p>
    <w:p w:rsidR="000F0AA6" w:rsidRPr="002E36E2" w:rsidRDefault="00E1606B" w:rsidP="000F0AA6">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Vlerësimi i Gjykatës Kushtetuese</w:t>
      </w:r>
    </w:p>
    <w:p w:rsidR="000F0AA6" w:rsidRPr="002E36E2" w:rsidRDefault="000F0AA6" w:rsidP="000F0AA6">
      <w:pPr>
        <w:widowControl w:val="0"/>
        <w:jc w:val="center"/>
        <w:rPr>
          <w:rFonts w:ascii="CG Times" w:eastAsia="Times New Roman" w:hAnsi="CG Times"/>
          <w:b/>
          <w:sz w:val="21"/>
          <w:szCs w:val="21"/>
          <w:lang w:val="sq-AL"/>
        </w:rPr>
      </w:pPr>
    </w:p>
    <w:p w:rsidR="00E1606B" w:rsidRPr="002E36E2" w:rsidRDefault="000F0AA6" w:rsidP="000F0AA6">
      <w:pPr>
        <w:widowControl w:val="0"/>
        <w:ind w:firstLine="720"/>
        <w:jc w:val="center"/>
        <w:rPr>
          <w:rFonts w:ascii="CG Times" w:eastAsia="Times New Roman" w:hAnsi="CG Times"/>
          <w:b/>
          <w:sz w:val="21"/>
          <w:szCs w:val="21"/>
          <w:lang w:val="sq-AL"/>
        </w:rPr>
      </w:pPr>
      <w:r w:rsidRPr="002E36E2">
        <w:rPr>
          <w:rFonts w:ascii="CG Times" w:eastAsia="Times New Roman" w:hAnsi="CG Times"/>
          <w:sz w:val="21"/>
          <w:szCs w:val="21"/>
          <w:lang w:val="sq-AL"/>
        </w:rPr>
        <w:t>A.</w:t>
      </w:r>
      <w:r w:rsidRPr="002E36E2">
        <w:rPr>
          <w:rFonts w:ascii="CG Times" w:eastAsia="Times New Roman" w:hAnsi="CG Times"/>
          <w:b/>
          <w:sz w:val="21"/>
          <w:szCs w:val="21"/>
          <w:lang w:val="sq-AL"/>
        </w:rPr>
        <w:t xml:space="preserve"> </w:t>
      </w:r>
      <w:r w:rsidR="00E1606B" w:rsidRPr="002E36E2">
        <w:rPr>
          <w:rFonts w:ascii="CG Times" w:hAnsi="CG Times"/>
          <w:i/>
          <w:sz w:val="21"/>
          <w:szCs w:val="21"/>
          <w:lang w:val="sq-AL"/>
        </w:rPr>
        <w:t>Lidhur me pretendimin për cenimin e parimit të barazisë së armëve dhe kontradiktoritetit</w:t>
      </w:r>
    </w:p>
    <w:p w:rsidR="00E1606B" w:rsidRPr="002E36E2" w:rsidRDefault="00E1606B" w:rsidP="00E1606B">
      <w:pPr>
        <w:pStyle w:val="BodyTextIndent"/>
        <w:widowControl w:val="0"/>
        <w:spacing w:after="0"/>
        <w:ind w:left="0" w:firstLine="720"/>
        <w:jc w:val="both"/>
        <w:rPr>
          <w:rFonts w:ascii="CG Times" w:hAnsi="CG Times"/>
          <w:sz w:val="21"/>
          <w:szCs w:val="21"/>
          <w:lang w:val="sq-AL"/>
        </w:rPr>
      </w:pPr>
      <w:r w:rsidRPr="002E36E2">
        <w:rPr>
          <w:rFonts w:ascii="CG Times" w:hAnsi="CG Times"/>
          <w:sz w:val="21"/>
          <w:szCs w:val="21"/>
          <w:lang w:val="sq-AL"/>
        </w:rPr>
        <w:t xml:space="preserve">12. Kërkuesit pretendojnë se për shkak të mosformimit drejt të ndërgjyqësisë, si pasojë e mosthirrjes në gjykim të dhurueses tjetër të banesës objekt konflikti gjyqësor, është cenuar parimi i kontradiktoritetit dhe i barazisë së armëve në gjykim. </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13. 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civil</w:t>
      </w:r>
      <w:r w:rsidR="00655C69" w:rsidRPr="002E36E2">
        <w:rPr>
          <w:rFonts w:ascii="CG Times" w:eastAsia="Times New Roman" w:hAnsi="CG Times"/>
          <w:sz w:val="21"/>
          <w:szCs w:val="21"/>
          <w:lang w:val="sq-AL"/>
        </w:rPr>
        <w:t>,</w:t>
      </w:r>
      <w:r w:rsidRPr="002E36E2">
        <w:rPr>
          <w:rFonts w:ascii="CG Times" w:eastAsia="Times New Roman" w:hAnsi="CG Times"/>
          <w:sz w:val="21"/>
          <w:szCs w:val="21"/>
          <w:lang w:val="sq-AL"/>
        </w:rPr>
        <w:t xml:space="preserve"> por, përkundrazi, duhet që legjislacioni procedural në radhë të parë, dhe më pas gjyqtari gjatë gjykimit, t’u japin mun</w:t>
      </w:r>
      <w:r w:rsidR="00655C69" w:rsidRPr="002E36E2">
        <w:rPr>
          <w:rFonts w:ascii="CG Times" w:eastAsia="Times New Roman" w:hAnsi="CG Times"/>
          <w:sz w:val="21"/>
          <w:szCs w:val="21"/>
          <w:lang w:val="sq-AL"/>
        </w:rPr>
        <w:t>dësi të barabarta palëve</w:t>
      </w:r>
      <w:r w:rsidRPr="002E36E2">
        <w:rPr>
          <w:rFonts w:ascii="CG Times" w:eastAsia="Times New Roman" w:hAnsi="CG Times"/>
          <w:sz w:val="21"/>
          <w:szCs w:val="21"/>
          <w:lang w:val="sq-AL"/>
        </w:rPr>
        <w:t xml:space="preser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2E36E2">
        <w:rPr>
          <w:rFonts w:ascii="CG Times" w:eastAsia="Times New Roman" w:hAnsi="CG Times"/>
          <w:i/>
          <w:sz w:val="21"/>
          <w:szCs w:val="21"/>
          <w:lang w:val="sq-AL"/>
        </w:rPr>
        <w:t>shih vendimet nr.19, datë 12.06.2003; nr.23, datë 08.06.2007; nr.34, datë 25.07.2011 të Gjykatës Kushtetuese</w:t>
      </w:r>
      <w:r w:rsidRPr="002E36E2">
        <w:rPr>
          <w:rFonts w:ascii="CG Times" w:eastAsia="Times New Roman" w:hAnsi="CG Times"/>
          <w:sz w:val="21"/>
          <w:szCs w:val="21"/>
          <w:lang w:val="sq-AL"/>
        </w:rPr>
        <w:t>). Bazuar në këto parime, gjykatës i dalin një sërë detyrash, mes të cilave rëndësi të veçantë merr krijimi i mundësive të barabarta për pjesëmarrjen e palëve apo përfaqësuesve të tyre në proces</w:t>
      </w:r>
      <w:r w:rsidR="007A32CB" w:rsidRPr="002E36E2">
        <w:rPr>
          <w:rFonts w:ascii="CG Times" w:eastAsia="Times New Roman" w:hAnsi="CG Times"/>
          <w:sz w:val="21"/>
          <w:szCs w:val="21"/>
          <w:lang w:val="sq-AL"/>
        </w:rPr>
        <w:t>,</w:t>
      </w:r>
      <w:r w:rsidRPr="002E36E2">
        <w:rPr>
          <w:rFonts w:ascii="CG Times" w:eastAsia="Times New Roman" w:hAnsi="CG Times"/>
          <w:sz w:val="21"/>
          <w:szCs w:val="21"/>
          <w:lang w:val="sq-AL"/>
        </w:rPr>
        <w:t xml:space="preserve"> si dhe mundësia e deklarimit të tyre për faktet, provat dhe vlerësimet ligjore që janë të lidhura ngushtë me çështjen që shqyrtohet në gjykatë (</w:t>
      </w:r>
      <w:r w:rsidRPr="002E36E2">
        <w:rPr>
          <w:rFonts w:ascii="CG Times" w:eastAsia="Times New Roman" w:hAnsi="CG Times"/>
          <w:i/>
          <w:sz w:val="21"/>
          <w:szCs w:val="21"/>
          <w:lang w:val="sq-AL"/>
        </w:rPr>
        <w:t>shih vendimin nr.18, datë 23.04.2013, të Gjykatës Kushtetuese</w:t>
      </w:r>
      <w:r w:rsidRPr="002E36E2">
        <w:rPr>
          <w:rFonts w:ascii="CG Times" w:eastAsia="Times New Roman" w:hAnsi="CG Times"/>
          <w:sz w:val="21"/>
          <w:szCs w:val="21"/>
          <w:lang w:val="sq-AL"/>
        </w:rPr>
        <w:t xml:space="preserve">). </w:t>
      </w:r>
    </w:p>
    <w:p w:rsidR="00E1606B" w:rsidRPr="002E36E2" w:rsidRDefault="00E1606B" w:rsidP="00E1606B">
      <w:pPr>
        <w:widowControl w:val="0"/>
        <w:ind w:firstLine="720"/>
        <w:jc w:val="both"/>
        <w:rPr>
          <w:rFonts w:ascii="CG Times" w:hAnsi="CG Times"/>
          <w:sz w:val="21"/>
          <w:szCs w:val="21"/>
          <w:lang w:val="sq-AL"/>
        </w:rPr>
      </w:pPr>
      <w:r w:rsidRPr="002E36E2">
        <w:rPr>
          <w:rFonts w:ascii="CG Times" w:hAnsi="CG Times"/>
          <w:sz w:val="21"/>
          <w:szCs w:val="21"/>
          <w:lang w:val="sq-AL"/>
        </w:rPr>
        <w:t>14. Në jurisprudencën e Gjykatës, mosformimi i drejtë i ndërgjyqësisë është cilësuar si shkelje e standardeve për një proces të rregullt ligjor dhe është analizuar në funksion të cenimit të parimit të kontradiktoritetit në gjykim</w:t>
      </w:r>
      <w:r w:rsidR="007F7CCE" w:rsidRPr="002E36E2">
        <w:rPr>
          <w:rFonts w:ascii="CG Times" w:hAnsi="CG Times"/>
          <w:sz w:val="21"/>
          <w:szCs w:val="21"/>
          <w:lang w:val="sq-AL"/>
        </w:rPr>
        <w:t>,</w:t>
      </w:r>
      <w:r w:rsidRPr="002E36E2">
        <w:rPr>
          <w:rFonts w:ascii="CG Times" w:hAnsi="CG Times"/>
          <w:sz w:val="21"/>
          <w:szCs w:val="21"/>
          <w:lang w:val="sq-AL"/>
        </w:rPr>
        <w:t xml:space="preserve"> si dhe të barazisë së armëve, të cilat kërkojnë që në çështjet civile secilës palë në gjykim t’i jepet një mundësi e arsyeshme për të paraqitur pretendimet e veta. Secila palë duhet të ketë mundësi që të komentojë mbi të gjitha provat ose parashtrimet e paraqitura, me qëllim që të ndikojë në vendimmarrjen e gjykatës (</w:t>
      </w:r>
      <w:r w:rsidRPr="002E36E2">
        <w:rPr>
          <w:rFonts w:ascii="CG Times" w:hAnsi="CG Times"/>
          <w:i/>
          <w:sz w:val="21"/>
          <w:szCs w:val="21"/>
          <w:lang w:val="sq-AL"/>
        </w:rPr>
        <w:t>shih vendimet nr. 34, datë 25.07.2011;</w:t>
      </w:r>
      <w:r w:rsidRPr="002E36E2">
        <w:rPr>
          <w:rFonts w:ascii="CG Times" w:hAnsi="CG Times"/>
          <w:sz w:val="21"/>
          <w:szCs w:val="21"/>
          <w:lang w:val="sq-AL"/>
        </w:rPr>
        <w:t xml:space="preserve"> </w:t>
      </w:r>
      <w:r w:rsidRPr="002E36E2">
        <w:rPr>
          <w:rFonts w:ascii="CG Times" w:hAnsi="CG Times"/>
          <w:i/>
          <w:sz w:val="21"/>
          <w:szCs w:val="21"/>
          <w:lang w:val="sq-AL"/>
        </w:rPr>
        <w:t>nr. 16, datë 19.04.2013 të Gjykatës Kushtetuese</w:t>
      </w:r>
      <w:r w:rsidRPr="002E36E2">
        <w:rPr>
          <w:rFonts w:ascii="CG Times" w:hAnsi="CG Times"/>
          <w:sz w:val="21"/>
          <w:szCs w:val="21"/>
          <w:lang w:val="sq-AL"/>
        </w:rPr>
        <w:t xml:space="preserve">). </w:t>
      </w:r>
    </w:p>
    <w:p w:rsidR="00E1606B" w:rsidRPr="002E36E2" w:rsidRDefault="00E1606B" w:rsidP="00E1606B">
      <w:pPr>
        <w:widowControl w:val="0"/>
        <w:ind w:firstLine="720"/>
        <w:jc w:val="both"/>
        <w:rPr>
          <w:rFonts w:ascii="CG Times" w:hAnsi="CG Times"/>
          <w:sz w:val="21"/>
          <w:szCs w:val="21"/>
          <w:lang w:val="sq-AL"/>
        </w:rPr>
      </w:pPr>
      <w:r w:rsidRPr="002E36E2">
        <w:rPr>
          <w:rFonts w:ascii="CG Times" w:hAnsi="CG Times"/>
          <w:sz w:val="21"/>
          <w:szCs w:val="21"/>
          <w:lang w:val="sq-AL"/>
        </w:rPr>
        <w:t xml:space="preserve">15. Në rastin konkret, rezulton se në procesin gjyqësor janë thirrur si palë e paditur në gjykim shtetasit Piro Lutaj dhe Arjan Lutaj, kurse shtetasja K.L., e cila ka pasur cilësinë e bashkëpronares së pasurisë objekt konflikti gjyqësor, si bashkëshorte e përfituesit të kontratës së privatizimit të banesës, nuk është thirrur as nga pala paditëse, në padi, dhe as nga gjykata gjatë zhvillimit të procesit, edhe pse si objekt i gjykimit ka qenë, ndër të tjera, konstatimi i pavlefshmërisë absolute të kontratës së privatizimit të banesës dhe asaj të dhurimit. Edhe pse thirrja e palëve të paditura në proces është lënë në disponibilitetin e paditësit, dispozitat procedurale ia kanë njohur edhe gjykatës këtë të drejtë, duke parashikuar në nenin 193 të KPC-së se ajo vetë, në rast se çmon se procesi gjyqësor duhet të zhvillohet në prani të një personi të tretë, i cili ka interes në çështje, e thërret atë dhe për këtë qëllim shtyn seancën gjyqësore. </w:t>
      </w:r>
    </w:p>
    <w:p w:rsidR="00E1606B" w:rsidRPr="002E36E2" w:rsidRDefault="00E1606B" w:rsidP="000F0AA6">
      <w:pPr>
        <w:pStyle w:val="Paragrafi"/>
        <w:rPr>
          <w:rFonts w:eastAsia="Calibri"/>
          <w:sz w:val="21"/>
          <w:szCs w:val="21"/>
          <w:lang w:val="sq-AL"/>
        </w:rPr>
      </w:pPr>
      <w:r w:rsidRPr="002E36E2">
        <w:rPr>
          <w:bCs/>
          <w:sz w:val="21"/>
          <w:szCs w:val="21"/>
          <w:lang w:val="sq-AL"/>
        </w:rPr>
        <w:t>16. Gjykata</w:t>
      </w:r>
      <w:r w:rsidRPr="002E36E2">
        <w:rPr>
          <w:sz w:val="21"/>
          <w:szCs w:val="21"/>
          <w:lang w:val="sq-AL"/>
        </w:rPr>
        <w:t xml:space="preserve">, referuar natyrës së gjykimit kushtetues të kërkesave individuale, ka theksuar se kontrolli i respektimit të standardeve kushtetuese për një proces të rregullt ligjor, është funksion edhe i gjykatave të zakonshme, për më tepër i Gjykatës së Lartë. </w:t>
      </w:r>
      <w:r w:rsidRPr="002E36E2">
        <w:rPr>
          <w:bCs/>
          <w:sz w:val="21"/>
          <w:szCs w:val="21"/>
          <w:lang w:val="sq-AL"/>
        </w:rPr>
        <w:t xml:space="preserve">Ky raport midis </w:t>
      </w:r>
      <w:r w:rsidRPr="002E36E2">
        <w:rPr>
          <w:sz w:val="21"/>
          <w:szCs w:val="21"/>
          <w:lang w:val="sq-AL"/>
        </w:rPr>
        <w:t xml:space="preserve">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2E36E2">
        <w:rPr>
          <w:rFonts w:eastAsia="Calibri"/>
          <w:sz w:val="21"/>
          <w:szCs w:val="21"/>
          <w:lang w:val="sq-AL"/>
        </w:rPr>
        <w:t>(</w:t>
      </w:r>
      <w:r w:rsidRPr="002E36E2">
        <w:rPr>
          <w:rFonts w:eastAsia="Calibri"/>
          <w:iCs/>
          <w:sz w:val="21"/>
          <w:szCs w:val="21"/>
          <w:lang w:val="sq-AL"/>
        </w:rPr>
        <w:t>shih vendimet nr. 4, datë 28.02.2006; nr. 19 datë 02.04.2012</w:t>
      </w:r>
      <w:r w:rsidRPr="002E36E2">
        <w:rPr>
          <w:iCs/>
          <w:sz w:val="21"/>
          <w:szCs w:val="21"/>
          <w:lang w:val="sq-AL"/>
        </w:rPr>
        <w:t xml:space="preserve">; </w:t>
      </w:r>
      <w:r w:rsidRPr="002E36E2">
        <w:rPr>
          <w:bCs/>
          <w:sz w:val="21"/>
          <w:szCs w:val="21"/>
          <w:lang w:val="sq-AL"/>
        </w:rPr>
        <w:t xml:space="preserve">nr. </w:t>
      </w:r>
      <w:r w:rsidRPr="002E36E2">
        <w:rPr>
          <w:sz w:val="21"/>
          <w:szCs w:val="21"/>
          <w:lang w:val="sq-AL"/>
        </w:rPr>
        <w:t xml:space="preserve">58, datë 24.12.2012; </w:t>
      </w:r>
      <w:r w:rsidRPr="002E36E2">
        <w:rPr>
          <w:iCs/>
          <w:sz w:val="21"/>
          <w:szCs w:val="21"/>
          <w:lang w:val="sq-AL"/>
        </w:rPr>
        <w:t xml:space="preserve">nr. 36, datë 25.07.2013; </w:t>
      </w:r>
      <w:r w:rsidRPr="002E36E2">
        <w:rPr>
          <w:sz w:val="21"/>
          <w:szCs w:val="21"/>
          <w:lang w:val="sq-AL"/>
        </w:rPr>
        <w:t xml:space="preserve">nr. 52, datë 02.12.2013, </w:t>
      </w:r>
      <w:r w:rsidRPr="002E36E2">
        <w:rPr>
          <w:rFonts w:eastAsia="Calibri"/>
          <w:iCs/>
          <w:sz w:val="21"/>
          <w:szCs w:val="21"/>
          <w:lang w:val="sq-AL"/>
        </w:rPr>
        <w:t>të Gjykatës Kushtetuese</w:t>
      </w:r>
      <w:r w:rsidRPr="002E36E2">
        <w:rPr>
          <w:rFonts w:eastAsia="Calibri"/>
          <w:sz w:val="21"/>
          <w:szCs w:val="21"/>
          <w:lang w:val="sq-AL"/>
        </w:rPr>
        <w:t>).</w:t>
      </w:r>
    </w:p>
    <w:p w:rsidR="000F0AA6" w:rsidRPr="002E36E2" w:rsidRDefault="00E1606B" w:rsidP="000F0AA6">
      <w:pPr>
        <w:pStyle w:val="Paragrafi"/>
        <w:rPr>
          <w:iCs/>
          <w:sz w:val="21"/>
          <w:szCs w:val="21"/>
          <w:lang w:val="sq-AL"/>
        </w:rPr>
      </w:pPr>
      <w:r w:rsidRPr="002E36E2">
        <w:rPr>
          <w:sz w:val="21"/>
          <w:szCs w:val="21"/>
          <w:lang w:val="sq-AL"/>
        </w:rPr>
        <w:t xml:space="preserve">17. Nga materialet e çështjes konkrete në shqyrtim, rezulton se pretendimi për formimin drejt të ndërgjyqësisë është ngritur në rekursin e paraqitur në Gjykatën e Lartë, si një nga shkaqet për cenimin e vendimmarrjes së gjykatave më të ulëta, si dhe gjen pasqyrim edhe në vendimin e asaj gjykate (të dhomës së këshillimit). </w:t>
      </w:r>
      <w:r w:rsidRPr="002E36E2">
        <w:rPr>
          <w:bCs/>
          <w:sz w:val="21"/>
          <w:szCs w:val="21"/>
          <w:lang w:val="sq-AL"/>
        </w:rPr>
        <w:t xml:space="preserve">Për pasojë, Gjykata vlerëson se Gjykata e Lartë, </w:t>
      </w:r>
      <w:r w:rsidRPr="002E36E2">
        <w:rPr>
          <w:bCs/>
          <w:iCs/>
          <w:sz w:val="21"/>
          <w:szCs w:val="21"/>
          <w:lang w:val="sq-AL"/>
        </w:rPr>
        <w:t xml:space="preserve">në funksion të rolit të saj si gjykatë e ligjit, si dhe në atë të </w:t>
      </w:r>
      <w:r w:rsidRPr="002E36E2">
        <w:rPr>
          <w:iCs/>
          <w:sz w:val="21"/>
          <w:szCs w:val="21"/>
          <w:lang w:val="sq-AL"/>
        </w:rPr>
        <w:t>kontrollit të respektimit të standardeve kushtetuese nga gjykatat më të ulëta,</w:t>
      </w:r>
      <w:r w:rsidRPr="002E36E2">
        <w:rPr>
          <w:bCs/>
          <w:iCs/>
          <w:sz w:val="21"/>
          <w:szCs w:val="21"/>
          <w:lang w:val="sq-AL"/>
        </w:rPr>
        <w:t xml:space="preserve"> duhet të mbante një qëndrim të shprehur lidhur me </w:t>
      </w:r>
      <w:r w:rsidRPr="002E36E2">
        <w:rPr>
          <w:iCs/>
          <w:sz w:val="21"/>
          <w:szCs w:val="21"/>
          <w:lang w:val="sq-AL"/>
        </w:rPr>
        <w:t xml:space="preserve">pretendimin për cenimin e parimit të barazisë së armëve në gjykim, si një aspekt i rëndësishëm i të drejtës për një proces të rregullt. </w:t>
      </w:r>
    </w:p>
    <w:p w:rsidR="00E1606B" w:rsidRPr="002E36E2" w:rsidRDefault="000F0AA6" w:rsidP="000F0AA6">
      <w:pPr>
        <w:pStyle w:val="Paragrafi"/>
        <w:rPr>
          <w:sz w:val="21"/>
          <w:szCs w:val="21"/>
          <w:lang w:val="sq-AL" w:eastAsia="ja-JP"/>
        </w:rPr>
      </w:pPr>
      <w:r w:rsidRPr="002E36E2">
        <w:rPr>
          <w:iCs/>
          <w:sz w:val="21"/>
          <w:szCs w:val="21"/>
          <w:lang w:val="sq-AL"/>
        </w:rPr>
        <w:t xml:space="preserve">B. </w:t>
      </w:r>
      <w:r w:rsidR="00E1606B" w:rsidRPr="002E36E2">
        <w:rPr>
          <w:i/>
          <w:sz w:val="21"/>
          <w:szCs w:val="21"/>
          <w:lang w:val="sq-AL"/>
        </w:rPr>
        <w:t>Lidhur me pretendimin për cenimin e parimit të arsyetimit të vendimit të Gjykatës së Lartë</w:t>
      </w:r>
    </w:p>
    <w:p w:rsidR="00E1606B" w:rsidRPr="002E36E2" w:rsidRDefault="00E1606B" w:rsidP="00E1606B">
      <w:pPr>
        <w:widowControl w:val="0"/>
        <w:ind w:firstLine="710"/>
        <w:jc w:val="both"/>
        <w:rPr>
          <w:rFonts w:ascii="CG Times" w:hAnsi="CG Times"/>
          <w:sz w:val="21"/>
          <w:szCs w:val="21"/>
          <w:lang w:val="sq-AL"/>
        </w:rPr>
      </w:pPr>
      <w:r w:rsidRPr="002E36E2">
        <w:rPr>
          <w:rFonts w:ascii="CG Times" w:hAnsi="CG Times"/>
          <w:sz w:val="21"/>
          <w:szCs w:val="21"/>
          <w:lang w:val="sq-AL"/>
        </w:rPr>
        <w:t xml:space="preserve">18. Kërkuesit pretendojnë cenimin e standardit të arsyetimit të vendimit gjyqësor, pasi vendimi i Kolegjit Civil të Gjykatës së Lartë ka vendosur mospranimin e rekursit pa paraqitur arsyet për këtë qëndrim. </w:t>
      </w:r>
    </w:p>
    <w:p w:rsidR="00A97B2C" w:rsidRPr="002E36E2" w:rsidRDefault="00E1606B" w:rsidP="00A97B2C">
      <w:pPr>
        <w:widowControl w:val="0"/>
        <w:ind w:firstLine="710"/>
        <w:jc w:val="both"/>
        <w:rPr>
          <w:rFonts w:ascii="CG Times" w:hAnsi="CG Times"/>
          <w:iCs/>
          <w:sz w:val="21"/>
          <w:szCs w:val="21"/>
          <w:lang w:val="sq-AL"/>
        </w:rPr>
      </w:pPr>
      <w:r w:rsidRPr="002E36E2">
        <w:rPr>
          <w:rFonts w:ascii="CG Times" w:hAnsi="CG Times"/>
          <w:sz w:val="21"/>
          <w:szCs w:val="21"/>
          <w:lang w:val="sq-AL"/>
        </w:rPr>
        <w:t xml:space="preserve">19. Gjykata ka theksuar se 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2E36E2">
        <w:rPr>
          <w:rFonts w:ascii="CG Times" w:hAnsi="CG Times"/>
          <w:i/>
          <w:iCs/>
          <w:sz w:val="21"/>
          <w:szCs w:val="21"/>
          <w:lang w:val="sq-AL"/>
        </w:rPr>
        <w:t>(shih vendimet nr.20, datë 13.04.2012; nr.38, datë 30.12.2010; nr.36, datë 25.07.2013, të Gjykatës Kushtetuese)</w:t>
      </w:r>
      <w:r w:rsidRPr="002E36E2">
        <w:rPr>
          <w:rFonts w:ascii="CG Times" w:hAnsi="CG Times"/>
          <w:iCs/>
          <w:sz w:val="21"/>
          <w:szCs w:val="21"/>
          <w:lang w:val="sq-AL"/>
        </w:rPr>
        <w:t>.</w:t>
      </w:r>
    </w:p>
    <w:p w:rsidR="00E1606B" w:rsidRPr="002E36E2" w:rsidRDefault="00E1606B" w:rsidP="00A97B2C">
      <w:pPr>
        <w:widowControl w:val="0"/>
        <w:ind w:firstLine="710"/>
        <w:jc w:val="both"/>
        <w:rPr>
          <w:rFonts w:ascii="CG Times" w:hAnsi="CG Times"/>
          <w:iCs/>
          <w:sz w:val="21"/>
          <w:szCs w:val="21"/>
          <w:lang w:val="sq-AL"/>
        </w:rPr>
      </w:pPr>
      <w:r w:rsidRPr="002E36E2">
        <w:rPr>
          <w:rFonts w:ascii="CG Times" w:hAnsi="CG Times"/>
          <w:sz w:val="21"/>
          <w:szCs w:val="21"/>
          <w:lang w:val="sq-AL"/>
        </w:rPr>
        <w:t>20.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2E36E2">
        <w:rPr>
          <w:rFonts w:ascii="CG Times" w:hAnsi="CG Times"/>
          <w:i/>
          <w:sz w:val="21"/>
          <w:szCs w:val="21"/>
          <w:lang w:val="sq-AL"/>
        </w:rPr>
        <w:t>shih vendimin nr.25, datë 10.06.2011, të Gjykatës Kushtetuese</w:t>
      </w:r>
      <w:r w:rsidRPr="002E36E2">
        <w:rPr>
          <w:rFonts w:ascii="CG Times" w:hAnsi="CG Times"/>
          <w:sz w:val="21"/>
          <w:szCs w:val="21"/>
          <w:lang w:val="sq-AL"/>
        </w:rPr>
        <w:t>).</w:t>
      </w:r>
    </w:p>
    <w:p w:rsidR="00E1606B" w:rsidRPr="002E36E2" w:rsidRDefault="00E1606B" w:rsidP="00E1606B">
      <w:pPr>
        <w:widowControl w:val="0"/>
        <w:tabs>
          <w:tab w:val="left" w:pos="0"/>
        </w:tabs>
        <w:jc w:val="both"/>
        <w:rPr>
          <w:rFonts w:ascii="CG Times" w:hAnsi="CG Times"/>
          <w:bCs/>
          <w:sz w:val="21"/>
          <w:szCs w:val="21"/>
          <w:lang w:val="sq-AL"/>
        </w:rPr>
      </w:pPr>
      <w:r w:rsidRPr="002E36E2">
        <w:rPr>
          <w:rFonts w:ascii="CG Times" w:hAnsi="CG Times"/>
          <w:sz w:val="21"/>
          <w:szCs w:val="21"/>
          <w:lang w:val="sq-AL"/>
        </w:rPr>
        <w:tab/>
        <w:t>21. 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w:t>
      </w:r>
      <w:r w:rsidR="007F7CCE" w:rsidRPr="002E36E2">
        <w:rPr>
          <w:rFonts w:ascii="CG Times" w:hAnsi="CG Times"/>
          <w:sz w:val="21"/>
          <w:szCs w:val="21"/>
          <w:lang w:val="sq-AL"/>
        </w:rPr>
        <w:t>,</w:t>
      </w:r>
      <w:r w:rsidRPr="002E36E2">
        <w:rPr>
          <w:rFonts w:ascii="CG Times" w:hAnsi="CG Times"/>
          <w:sz w:val="21"/>
          <w:szCs w:val="21"/>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2E36E2">
        <w:rPr>
          <w:rFonts w:ascii="CG Times" w:hAnsi="CG Times"/>
          <w:i/>
          <w:sz w:val="21"/>
          <w:szCs w:val="21"/>
          <w:lang w:val="sq-AL"/>
        </w:rPr>
        <w:t xml:space="preserve">(shih vendimet </w:t>
      </w:r>
      <w:r w:rsidRPr="002E36E2">
        <w:rPr>
          <w:rFonts w:ascii="CG Times" w:hAnsi="CG Times"/>
          <w:bCs/>
          <w:i/>
          <w:iCs/>
          <w:sz w:val="21"/>
          <w:szCs w:val="21"/>
          <w:lang w:val="sq-AL"/>
        </w:rPr>
        <w:t>nr.3, datë 19.02.2013;</w:t>
      </w:r>
      <w:r w:rsidRPr="002E36E2">
        <w:rPr>
          <w:rFonts w:ascii="CG Times" w:hAnsi="CG Times"/>
          <w:i/>
          <w:iCs/>
          <w:sz w:val="21"/>
          <w:szCs w:val="21"/>
          <w:lang w:val="sq-AL"/>
        </w:rPr>
        <w:t xml:space="preserve"> nr.36, datë 25.07.2013,</w:t>
      </w:r>
      <w:r w:rsidRPr="002E36E2">
        <w:rPr>
          <w:rFonts w:ascii="CG Times" w:hAnsi="CG Times"/>
          <w:bCs/>
          <w:i/>
          <w:iCs/>
          <w:sz w:val="21"/>
          <w:szCs w:val="21"/>
          <w:lang w:val="sq-AL"/>
        </w:rPr>
        <w:t xml:space="preserve"> të Gjykatës Kushtetuese)</w:t>
      </w:r>
      <w:r w:rsidRPr="002E36E2">
        <w:rPr>
          <w:rFonts w:ascii="CG Times" w:hAnsi="CG Times"/>
          <w:sz w:val="21"/>
          <w:szCs w:val="21"/>
          <w:lang w:val="sq-AL"/>
        </w:rPr>
        <w:t>.</w:t>
      </w:r>
      <w:r w:rsidRPr="002E36E2">
        <w:rPr>
          <w:rFonts w:ascii="CG Times" w:hAnsi="CG Times"/>
          <w:i/>
          <w:iCs/>
          <w:sz w:val="21"/>
          <w:szCs w:val="21"/>
          <w:lang w:val="sq-AL"/>
        </w:rPr>
        <w:t xml:space="preserve"> </w:t>
      </w:r>
    </w:p>
    <w:p w:rsidR="00E1606B" w:rsidRPr="002E36E2" w:rsidRDefault="00E1606B" w:rsidP="00E1606B">
      <w:pPr>
        <w:widowControl w:val="0"/>
        <w:tabs>
          <w:tab w:val="left" w:pos="0"/>
        </w:tabs>
        <w:ind w:firstLine="720"/>
        <w:contextualSpacing/>
        <w:jc w:val="both"/>
        <w:rPr>
          <w:rFonts w:ascii="CG Times" w:hAnsi="CG Times"/>
          <w:sz w:val="21"/>
          <w:szCs w:val="21"/>
          <w:lang w:val="sq-AL"/>
        </w:rPr>
      </w:pPr>
      <w:r w:rsidRPr="002E36E2">
        <w:rPr>
          <w:rFonts w:ascii="CG Times" w:hAnsi="CG Times"/>
          <w:sz w:val="21"/>
          <w:szCs w:val="21"/>
          <w:lang w:val="sq-AL"/>
        </w:rPr>
        <w:t>22. Në çështjen konkrete, Gjykata vëren se</w:t>
      </w:r>
      <w:r w:rsidRPr="002E36E2">
        <w:rPr>
          <w:rFonts w:ascii="CG Times" w:hAnsi="CG Times"/>
          <w:bCs/>
          <w:sz w:val="21"/>
          <w:szCs w:val="21"/>
          <w:lang w:val="sq-AL"/>
        </w:rPr>
        <w:t xml:space="preserve"> vendimi i kundërshtuar i Kolegjit Civil të Gjykatës së Lartë, që ka vendosur mospranimin e rekursit, </w:t>
      </w:r>
      <w:r w:rsidRPr="002E36E2">
        <w:rPr>
          <w:rFonts w:ascii="CG Times" w:hAnsi="CG Times"/>
          <w:sz w:val="21"/>
          <w:szCs w:val="21"/>
          <w:lang w:val="sq-AL"/>
        </w:rPr>
        <w:t>përmban në pjesën e tij hyrëse palët ndërgjyqëse, objektin e padisë, disponimet e gjykatave më të ulëta</w:t>
      </w:r>
      <w:r w:rsidR="007F7CCE" w:rsidRPr="002E36E2">
        <w:rPr>
          <w:rFonts w:ascii="CG Times" w:hAnsi="CG Times"/>
          <w:sz w:val="21"/>
          <w:szCs w:val="21"/>
          <w:lang w:val="sq-AL"/>
        </w:rPr>
        <w:t>,</w:t>
      </w:r>
      <w:r w:rsidRPr="002E36E2">
        <w:rPr>
          <w:rFonts w:ascii="CG Times" w:hAnsi="CG Times"/>
          <w:sz w:val="21"/>
          <w:szCs w:val="21"/>
          <w:lang w:val="sq-AL"/>
        </w:rPr>
        <w:t xml:space="preserve"> si edhe shkaqet në bazë të të cilave kërkuesit kanë pretenduar prishjen e vendimit të Gjykatës së Apelit Vlorë, që lidhen me shkelje procedurale, si edhe me mënyrën e zbatimit të ligjit material, më konkretisht atij për kthimin dhe kompensimin e pronave ish-pronarëve dhe kuadrit ligjor për privatizimin e banesave. Edhe pse këto shkaqe</w:t>
      </w:r>
      <w:r w:rsidRPr="002E36E2">
        <w:rPr>
          <w:rFonts w:ascii="CG Times" w:hAnsi="CG Times"/>
          <w:bCs/>
          <w:sz w:val="21"/>
          <w:szCs w:val="21"/>
          <w:lang w:val="sq-AL"/>
        </w:rPr>
        <w:t xml:space="preserve"> përfshihen në parashikimet e nenit 472 të KPC-së dhe </w:t>
      </w:r>
      <w:r w:rsidRPr="002E36E2">
        <w:rPr>
          <w:rFonts w:ascii="CG Times" w:hAnsi="CG Times"/>
          <w:sz w:val="21"/>
          <w:szCs w:val="21"/>
          <w:lang w:val="sq-AL"/>
        </w:rPr>
        <w:t>i përkasin kompetencës së shqyrtimit nga ajo gjykatë, Kolegji Civil i Gjykatës së Lartë (dhomë këshillimi) ka vendosur mospranimin e tij, duke mos dhënë asnjë argument për përfundimin e shprehur në pjesën urdhëruese të vendimit.</w:t>
      </w:r>
    </w:p>
    <w:p w:rsidR="00E1606B" w:rsidRPr="002E36E2" w:rsidRDefault="00E1606B" w:rsidP="00E1606B">
      <w:pPr>
        <w:widowControl w:val="0"/>
        <w:tabs>
          <w:tab w:val="left" w:pos="0"/>
        </w:tabs>
        <w:ind w:firstLine="720"/>
        <w:contextualSpacing/>
        <w:jc w:val="both"/>
        <w:rPr>
          <w:rFonts w:ascii="CG Times" w:hAnsi="CG Times"/>
          <w:bCs/>
          <w:sz w:val="21"/>
          <w:szCs w:val="21"/>
          <w:lang w:val="sq-AL"/>
        </w:rPr>
      </w:pPr>
      <w:r w:rsidRPr="002E36E2">
        <w:rPr>
          <w:rFonts w:ascii="CG Times" w:hAnsi="CG Times"/>
          <w:sz w:val="21"/>
          <w:szCs w:val="21"/>
          <w:lang w:val="sq-AL"/>
        </w:rPr>
        <w:t>23. Gjykata ka theksuar se, b</w:t>
      </w:r>
      <w:r w:rsidRPr="002E36E2">
        <w:rPr>
          <w:rFonts w:ascii="CG Times" w:hAnsi="CG Times"/>
          <w:bCs/>
          <w:sz w:val="21"/>
          <w:szCs w:val="21"/>
          <w:lang w:val="sq-AL"/>
        </w:rPr>
        <w:t>azuar në nenin 480 të KPC-së,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r w:rsidRPr="002E36E2">
        <w:rPr>
          <w:rFonts w:ascii="CG Times" w:hAnsi="CG Times"/>
          <w:sz w:val="21"/>
          <w:szCs w:val="21"/>
          <w:lang w:val="sq-AL"/>
        </w:rPr>
        <w:t xml:space="preserve"> Megjithatë, Gjykata </w:t>
      </w:r>
      <w:r w:rsidRPr="002E36E2">
        <w:rPr>
          <w:rFonts w:ascii="CG Times" w:hAnsi="CG Times"/>
          <w:bCs/>
          <w:sz w:val="21"/>
          <w:szCs w:val="21"/>
          <w:lang w:val="sq-AL"/>
        </w:rPr>
        <w:t xml:space="preserve">ka theksuar se </w:t>
      </w:r>
      <w:r w:rsidRPr="002E36E2">
        <w:rPr>
          <w:rFonts w:ascii="CG Times" w:hAnsi="CG Times"/>
          <w:sz w:val="21"/>
          <w:szCs w:val="21"/>
          <w:lang w:val="sq-AL"/>
        </w:rPr>
        <w:t xml:space="preserve">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2E36E2">
        <w:rPr>
          <w:rFonts w:ascii="CG Times" w:hAnsi="CG Times"/>
          <w:bCs/>
          <w:sz w:val="21"/>
          <w:szCs w:val="21"/>
          <w:lang w:val="sq-AL"/>
        </w:rPr>
        <w:t>(</w:t>
      </w:r>
      <w:r w:rsidRPr="002E36E2">
        <w:rPr>
          <w:rFonts w:ascii="CG Times" w:hAnsi="CG Times"/>
          <w:bCs/>
          <w:i/>
          <w:sz w:val="21"/>
          <w:szCs w:val="21"/>
          <w:lang w:val="sq-AL"/>
        </w:rPr>
        <w:t xml:space="preserve">shih vendimet </w:t>
      </w:r>
      <w:r w:rsidRPr="002E36E2">
        <w:rPr>
          <w:rFonts w:ascii="CG Times" w:hAnsi="CG Times"/>
          <w:i/>
          <w:sz w:val="21"/>
          <w:szCs w:val="21"/>
          <w:lang w:val="sq-AL"/>
        </w:rPr>
        <w:t>n.19, datë 19.07.2005;</w:t>
      </w:r>
      <w:r w:rsidRPr="002E36E2">
        <w:rPr>
          <w:rFonts w:ascii="CG Times" w:hAnsi="CG Times"/>
          <w:sz w:val="21"/>
          <w:szCs w:val="21"/>
          <w:lang w:val="sq-AL"/>
        </w:rPr>
        <w:t xml:space="preserve"> </w:t>
      </w:r>
      <w:r w:rsidRPr="002E36E2">
        <w:rPr>
          <w:rFonts w:ascii="CG Times" w:hAnsi="CG Times"/>
          <w:bCs/>
          <w:i/>
          <w:sz w:val="21"/>
          <w:szCs w:val="21"/>
          <w:lang w:val="sq-AL"/>
        </w:rPr>
        <w:t>nr.22, datë 06.06.2011, të Gjykatës Kushtetuese</w:t>
      </w:r>
      <w:r w:rsidRPr="002E36E2">
        <w:rPr>
          <w:rFonts w:ascii="CG Times" w:hAnsi="CG Times"/>
          <w:bCs/>
          <w:sz w:val="21"/>
          <w:szCs w:val="21"/>
          <w:lang w:val="sq-AL"/>
        </w:rPr>
        <w:t xml:space="preserve">). </w:t>
      </w:r>
    </w:p>
    <w:p w:rsidR="00E1606B" w:rsidRPr="002E36E2" w:rsidRDefault="00E1606B" w:rsidP="00E1606B">
      <w:pPr>
        <w:widowControl w:val="0"/>
        <w:ind w:firstLine="567"/>
        <w:contextualSpacing/>
        <w:jc w:val="both"/>
        <w:rPr>
          <w:rFonts w:ascii="CG Times" w:hAnsi="CG Times"/>
          <w:sz w:val="21"/>
          <w:szCs w:val="21"/>
          <w:lang w:val="sq-AL"/>
        </w:rPr>
      </w:pPr>
      <w:r w:rsidRPr="002E36E2">
        <w:rPr>
          <w:rFonts w:ascii="CG Times" w:hAnsi="CG Times"/>
          <w:bCs/>
          <w:sz w:val="21"/>
          <w:szCs w:val="21"/>
          <w:lang w:val="sq-AL"/>
        </w:rPr>
        <w:tab/>
      </w:r>
      <w:r w:rsidRPr="002E36E2">
        <w:rPr>
          <w:rFonts w:ascii="CG Times" w:hAnsi="CG Times"/>
          <w:sz w:val="21"/>
          <w:szCs w:val="21"/>
          <w:lang w:val="sq-AL"/>
        </w:rPr>
        <w:t xml:space="preserve">24. Sa më sipër, Gjykata vlerëson se, nisur nga natyra e pretendimeve të paraqitura në rekurs nga kërkuesit, mungesa e arsyetimit të argumenteve </w:t>
      </w:r>
      <w:r w:rsidRPr="002E36E2">
        <w:rPr>
          <w:rFonts w:ascii="CG Times" w:hAnsi="CG Times"/>
          <w:bCs/>
          <w:sz w:val="21"/>
          <w:szCs w:val="21"/>
          <w:lang w:val="sq-AL"/>
        </w:rPr>
        <w:t>në vend</w:t>
      </w:r>
      <w:r w:rsidRPr="002E36E2">
        <w:rPr>
          <w:rFonts w:ascii="CG Times" w:hAnsi="CG Times"/>
          <w:sz w:val="21"/>
          <w:szCs w:val="21"/>
          <w:lang w:val="sq-AL"/>
        </w:rPr>
        <w:t xml:space="preserve">imin e Kolegjit Civil të Gjykatës së Lartë (dhomë këshillimi), përbën një mangësi në përmbajtjen dhe në arsyetimin e vendimit të asaj gjykate. </w:t>
      </w:r>
    </w:p>
    <w:p w:rsidR="00E1606B" w:rsidRPr="002E36E2" w:rsidRDefault="00E1606B" w:rsidP="000F0AA6">
      <w:pPr>
        <w:widowControl w:val="0"/>
        <w:numPr>
          <w:ilvl w:val="0"/>
          <w:numId w:val="40"/>
        </w:numPr>
        <w:tabs>
          <w:tab w:val="left" w:pos="0"/>
        </w:tabs>
        <w:jc w:val="both"/>
        <w:rPr>
          <w:rFonts w:ascii="CG Times" w:hAnsi="CG Times"/>
          <w:bCs/>
          <w:iCs/>
          <w:sz w:val="21"/>
          <w:szCs w:val="21"/>
          <w:lang w:val="sq-AL"/>
        </w:rPr>
      </w:pPr>
      <w:r w:rsidRPr="002E36E2">
        <w:rPr>
          <w:rFonts w:ascii="CG Times" w:hAnsi="CG Times"/>
          <w:bCs/>
          <w:i/>
          <w:iCs/>
          <w:sz w:val="21"/>
          <w:szCs w:val="21"/>
          <w:lang w:val="sq-AL"/>
        </w:rPr>
        <w:t xml:space="preserve">Lidhur me pretendimet e tjera </w:t>
      </w:r>
    </w:p>
    <w:p w:rsidR="00E1606B" w:rsidRPr="002E36E2" w:rsidRDefault="00E1606B" w:rsidP="00E1606B">
      <w:pPr>
        <w:widowControl w:val="0"/>
        <w:ind w:firstLine="720"/>
        <w:jc w:val="both"/>
        <w:rPr>
          <w:rFonts w:ascii="CG Times" w:hAnsi="CG Times"/>
          <w:sz w:val="21"/>
          <w:szCs w:val="21"/>
          <w:lang w:val="sq-AL"/>
        </w:rPr>
      </w:pPr>
      <w:r w:rsidRPr="002E36E2">
        <w:rPr>
          <w:rFonts w:ascii="CG Times" w:hAnsi="CG Times"/>
          <w:sz w:val="21"/>
          <w:szCs w:val="21"/>
          <w:lang w:val="sq-AL"/>
        </w:rPr>
        <w:t xml:space="preserve">25. Gjykata, në jurisprudencën e saj, ka theksuar se, në kuptim të nenit 131/f dhe 134/g të Kushtetutës së Republikës së Shqipërisë, individi mund t’i drejtohet kësaj Gjykate për pretendime që lidhen me cenimin e të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w:t>
      </w:r>
      <w:r w:rsidRPr="002E36E2">
        <w:rPr>
          <w:rFonts w:ascii="CG Times" w:hAnsi="CG Times"/>
          <w:i/>
          <w:sz w:val="21"/>
          <w:szCs w:val="21"/>
          <w:lang w:val="sq-AL"/>
        </w:rPr>
        <w:t>(shih vendimet nr.1, datë 25.01.2010; nr.36 datë 10.11.2010, të Gjykatës Kushtetuese)</w:t>
      </w:r>
      <w:r w:rsidRPr="002E36E2">
        <w:rPr>
          <w:rFonts w:ascii="CG Times" w:hAnsi="CG Times"/>
          <w:sz w:val="21"/>
          <w:szCs w:val="21"/>
          <w:lang w:val="sq-AL"/>
        </w:rPr>
        <w:t>. Shterimi i mjeteve juridike përbën kusht paraprak që duhet të përmbushet nga individi, përpara se t’i drejtohet Gjykatës Kushtetuese. Ky rregull nënkupton jo vetëm që individi t’i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2E36E2">
        <w:rPr>
          <w:rFonts w:ascii="CG Times" w:hAnsi="CG Times"/>
          <w:i/>
          <w:sz w:val="21"/>
          <w:szCs w:val="21"/>
          <w:lang w:val="sq-AL"/>
        </w:rPr>
        <w:t>shih vendimet nr.32, datë 28.12.2009; nr.6, datë 04.03.2010; nr.15, datë 19.04.2013, të Gjykatës Kushtetuese</w:t>
      </w:r>
      <w:r w:rsidRPr="002E36E2">
        <w:rPr>
          <w:rFonts w:ascii="CG Times" w:hAnsi="CG Times"/>
          <w:sz w:val="21"/>
          <w:szCs w:val="21"/>
          <w:lang w:val="sq-AL"/>
        </w:rPr>
        <w:t xml:space="preserve">). </w:t>
      </w:r>
    </w:p>
    <w:p w:rsidR="00E1606B" w:rsidRPr="002E36E2" w:rsidRDefault="00E1606B" w:rsidP="00E1606B">
      <w:pPr>
        <w:widowControl w:val="0"/>
        <w:ind w:firstLine="720"/>
        <w:jc w:val="both"/>
        <w:rPr>
          <w:rFonts w:ascii="CG Times" w:hAnsi="CG Times"/>
          <w:sz w:val="21"/>
          <w:szCs w:val="21"/>
          <w:lang w:val="sq-AL"/>
        </w:rPr>
      </w:pPr>
      <w:r w:rsidRPr="002E36E2">
        <w:rPr>
          <w:rFonts w:ascii="CG Times" w:hAnsi="CG Times"/>
          <w:sz w:val="21"/>
          <w:szCs w:val="21"/>
          <w:lang w:val="sq-AL"/>
        </w:rPr>
        <w:t>26. Në kuptim të sa më sipër, Gjykata vlerëson se pretendimet e kërkuesve që lidhen me cenimin e parimit të sigurisë juridike dhe ato që kanë të bëjnë me moslejimin e paraqitjes në cilësinë e provës dhe mosmarrjen në shqyrtim të disa dokumenteve, nuk janë ngritur më parë në gjykatat e juridiksionit të zakonshëm. Në këtë kuptim, kërkuesit nuk kanë shteruar mjetet ligjore, në kuptim të nenit 131/f të Kushtetutës. Po ashtu, pretendimi për cenimin e të drejtës së pronës private, nuk mund të merret në shqyrtim, në kuptim të nenit 131/f të Kushtetutës, përderisa nuk shoqërohet me pretendime që lidhen me cenimin e të drejtës për një pro</w:t>
      </w:r>
      <w:r w:rsidR="007F7CCE" w:rsidRPr="002E36E2">
        <w:rPr>
          <w:rFonts w:ascii="CG Times" w:hAnsi="CG Times"/>
          <w:sz w:val="21"/>
          <w:szCs w:val="21"/>
          <w:lang w:val="sq-AL"/>
        </w:rPr>
        <w:t>ces të rregullt ligjor. Për sa u</w:t>
      </w:r>
      <w:r w:rsidRPr="002E36E2">
        <w:rPr>
          <w:rFonts w:ascii="CG Times" w:hAnsi="CG Times"/>
          <w:sz w:val="21"/>
          <w:szCs w:val="21"/>
          <w:lang w:val="sq-AL"/>
        </w:rPr>
        <w:t xml:space="preserve"> përket pretendimit se gjykatat kanë marrë kompetenca që u takojnë organeve të administratës shtetërore, pasi sipërfaqja e tokës nën objekt duhej të kthehej me vendim të KKKP-së, Gjykata vlerëson se ky pretendim, në thelb, lidhet me çështje që i përkasin themelit (vlerësim provash dhe provueshmëri të pretendimeve të palëve) dhe, si i tillë, nuk mund të merret në shqyrtim në këtë gjykim kushtetues. </w:t>
      </w:r>
    </w:p>
    <w:p w:rsidR="00E1606B" w:rsidRPr="00EB3D92" w:rsidRDefault="00E1606B" w:rsidP="00E1606B">
      <w:pPr>
        <w:widowControl w:val="0"/>
        <w:jc w:val="center"/>
        <w:rPr>
          <w:rFonts w:ascii="CG Times" w:eastAsia="Times New Roman" w:hAnsi="CG Times"/>
          <w:b/>
          <w:bCs/>
          <w:sz w:val="16"/>
          <w:szCs w:val="21"/>
          <w:lang w:val="sq-AL"/>
        </w:rPr>
      </w:pPr>
    </w:p>
    <w:p w:rsidR="00E1606B" w:rsidRPr="002E36E2" w:rsidRDefault="00E1606B" w:rsidP="00E1606B">
      <w:pPr>
        <w:widowControl w:val="0"/>
        <w:jc w:val="center"/>
        <w:rPr>
          <w:rFonts w:ascii="CG Times" w:eastAsia="Times New Roman" w:hAnsi="CG Times"/>
          <w:bCs/>
          <w:sz w:val="21"/>
          <w:szCs w:val="21"/>
          <w:lang w:val="sq-AL"/>
        </w:rPr>
      </w:pPr>
      <w:r w:rsidRPr="002E36E2">
        <w:rPr>
          <w:rFonts w:ascii="CG Times" w:eastAsia="Times New Roman" w:hAnsi="CG Times"/>
          <w:bCs/>
          <w:sz w:val="21"/>
          <w:szCs w:val="21"/>
          <w:lang w:val="sq-AL"/>
        </w:rPr>
        <w:t>PËR KËTO ARSYE,</w:t>
      </w:r>
    </w:p>
    <w:p w:rsidR="000F0AA6" w:rsidRPr="00EB3D92" w:rsidRDefault="000F0AA6" w:rsidP="00E1606B">
      <w:pPr>
        <w:widowControl w:val="0"/>
        <w:jc w:val="center"/>
        <w:rPr>
          <w:rFonts w:ascii="CG Times" w:eastAsia="Times New Roman" w:hAnsi="CG Times"/>
          <w:sz w:val="14"/>
          <w:szCs w:val="21"/>
          <w:lang w:val="sq-AL"/>
        </w:rPr>
      </w:pP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në mbështetje të nenit 131, shkronja “f”  dhe nenit 134, pika 1, shkronja “g” të Kushtetutës, si dhe të neneve 72 dhe 77 të ligjit nr.8577, datë 10.02.2000 “Për organizimin dhe funksionimin e Gjykatës Kushtetuese të Republikës së Shqipërisë”, me shumicë votash,</w:t>
      </w:r>
    </w:p>
    <w:p w:rsidR="00E1606B" w:rsidRPr="002E36E2" w:rsidRDefault="00492179" w:rsidP="00E1606B">
      <w:pPr>
        <w:widowControl w:val="0"/>
        <w:jc w:val="center"/>
        <w:outlineLvl w:val="3"/>
        <w:rPr>
          <w:rFonts w:ascii="CG Times" w:eastAsia="Times New Roman" w:hAnsi="CG Times"/>
          <w:sz w:val="21"/>
          <w:szCs w:val="21"/>
          <w:lang w:val="sq-AL"/>
        </w:rPr>
      </w:pPr>
      <w:r w:rsidRPr="002E36E2">
        <w:rPr>
          <w:rFonts w:ascii="CG Times" w:eastAsia="Times New Roman" w:hAnsi="CG Times"/>
          <w:bCs/>
          <w:sz w:val="21"/>
          <w:szCs w:val="21"/>
          <w:lang w:val="sq-AL"/>
        </w:rPr>
        <w:t>VENDOS</w:t>
      </w:r>
      <w:r w:rsidR="00E1606B" w:rsidRPr="002E36E2">
        <w:rPr>
          <w:rFonts w:ascii="CG Times" w:eastAsia="Times New Roman" w:hAnsi="CG Times"/>
          <w:bCs/>
          <w:sz w:val="21"/>
          <w:szCs w:val="21"/>
          <w:lang w:val="sq-AL"/>
        </w:rPr>
        <w:t>I:</w:t>
      </w:r>
    </w:p>
    <w:p w:rsidR="00492179" w:rsidRPr="00EB3D92" w:rsidRDefault="00492179" w:rsidP="00E1606B">
      <w:pPr>
        <w:widowControl w:val="0"/>
        <w:ind w:firstLine="720"/>
        <w:jc w:val="both"/>
        <w:rPr>
          <w:rFonts w:ascii="CG Times" w:eastAsia="Times New Roman" w:hAnsi="CG Times"/>
          <w:sz w:val="10"/>
          <w:szCs w:val="21"/>
          <w:lang w:val="sq-AL"/>
        </w:rPr>
      </w:pP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 Pranimin pjesërisht të kërkesës. </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Shfuqizimin, si të papajtueshëm me Kushtetutën e Republikës së Shqipërisë, të vendimit nr.</w:t>
      </w:r>
      <w:r w:rsidRPr="002E36E2">
        <w:rPr>
          <w:rFonts w:ascii="CG Times" w:hAnsi="CG Times"/>
          <w:sz w:val="21"/>
          <w:szCs w:val="21"/>
          <w:lang w:val="sq-AL"/>
        </w:rPr>
        <w:t>00-2011-792, datë 07.06.2011, të Kolegjit Civil të Gjykatës së Lartë.</w:t>
      </w:r>
      <w:r w:rsidRPr="002E36E2">
        <w:rPr>
          <w:rFonts w:ascii="CG Times" w:eastAsia="Times New Roman" w:hAnsi="CG Times"/>
          <w:sz w:val="21"/>
          <w:szCs w:val="21"/>
          <w:lang w:val="sq-AL"/>
        </w:rPr>
        <w:t xml:space="preserve"> </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 Dërgimin e çështjes për rishqyrtim në Gjykatën e Lartë. </w:t>
      </w:r>
    </w:p>
    <w:p w:rsidR="00E1606B" w:rsidRPr="002E36E2" w:rsidRDefault="00E1606B" w:rsidP="00E1606B">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Ky vendim është përfundimtar, i formës së prerë dhe hyn në fuqi ditën e botimit në Fletoren Zyrtare.</w:t>
      </w:r>
      <w:r w:rsidRPr="002E36E2">
        <w:rPr>
          <w:rFonts w:ascii="CG Times" w:eastAsia="Times New Roman" w:hAnsi="CG Times"/>
          <w:b/>
          <w:bCs/>
          <w:sz w:val="21"/>
          <w:szCs w:val="21"/>
          <w:lang w:val="sq-AL"/>
        </w:rPr>
        <w:t xml:space="preserve"> </w:t>
      </w:r>
    </w:p>
    <w:p w:rsidR="00E1606B" w:rsidRPr="002E36E2" w:rsidRDefault="00A97B2C" w:rsidP="00DC5B55">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 xml:space="preserve">Vendosur më datë </w:t>
      </w:r>
      <w:r w:rsidR="00E1606B" w:rsidRPr="002E36E2">
        <w:rPr>
          <w:rFonts w:ascii="CG Times" w:eastAsia="Times New Roman" w:hAnsi="CG Times"/>
          <w:bCs/>
          <w:color w:val="000000"/>
          <w:sz w:val="21"/>
          <w:szCs w:val="21"/>
          <w:lang w:val="sq-AL"/>
        </w:rPr>
        <w:t xml:space="preserve">8.10.2013 </w:t>
      </w:r>
    </w:p>
    <w:p w:rsidR="00DC5B55" w:rsidRPr="002E36E2" w:rsidRDefault="00DC5B55" w:rsidP="007F7CCE">
      <w:pPr>
        <w:widowControl w:val="0"/>
        <w:jc w:val="both"/>
        <w:rPr>
          <w:rFonts w:ascii="CG Times" w:eastAsia="Times New Roman" w:hAnsi="CG Times"/>
          <w:bCs/>
          <w:sz w:val="21"/>
          <w:szCs w:val="21"/>
          <w:lang w:val="sq-AL"/>
        </w:rPr>
      </w:pPr>
      <w:r w:rsidRPr="002E36E2">
        <w:rPr>
          <w:rFonts w:ascii="CG Times" w:eastAsia="Times New Roman" w:hAnsi="CG Times"/>
          <w:color w:val="000000"/>
          <w:sz w:val="21"/>
          <w:szCs w:val="21"/>
          <w:lang w:val="sq-AL"/>
        </w:rPr>
        <w:tab/>
      </w:r>
      <w:r w:rsidRPr="002E36E2">
        <w:rPr>
          <w:rFonts w:ascii="CG Times" w:eastAsia="Times New Roman" w:hAnsi="CG Times"/>
          <w:bCs/>
          <w:color w:val="000000"/>
          <w:sz w:val="21"/>
          <w:szCs w:val="21"/>
          <w:lang w:val="sq-AL"/>
        </w:rPr>
        <w:t>Anëtarë pro:</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Bashkim Dedja</w:t>
      </w:r>
      <w:r w:rsidR="007F7CCE" w:rsidRPr="002E36E2">
        <w:rPr>
          <w:rFonts w:ascii="CG Times" w:eastAsia="Times New Roman" w:hAnsi="CG Times"/>
          <w:bCs/>
          <w:sz w:val="21"/>
          <w:szCs w:val="21"/>
          <w:lang w:val="sq-AL"/>
        </w:rPr>
        <w:t xml:space="preserve"> (kryetar)</w:t>
      </w:r>
      <w:r w:rsidRPr="002E36E2">
        <w:rPr>
          <w:rFonts w:ascii="CG Times" w:eastAsia="Times New Roman" w:hAnsi="CG Times"/>
          <w:bCs/>
          <w:sz w:val="21"/>
          <w:szCs w:val="21"/>
          <w:lang w:val="sq-AL"/>
        </w:rPr>
        <w:t>,</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Vladimir Kristo, Gani Dizdari, Fatmir Hoxha, Vitore Tusha</w:t>
      </w:r>
      <w:r w:rsidR="007F7CCE" w:rsidRPr="002E36E2">
        <w:rPr>
          <w:rFonts w:ascii="CG Times" w:eastAsia="Times New Roman" w:hAnsi="CG Times"/>
          <w:bCs/>
          <w:sz w:val="21"/>
          <w:szCs w:val="21"/>
          <w:lang w:val="sq-AL"/>
        </w:rPr>
        <w:t>, Altina Xhoxhaj</w:t>
      </w:r>
    </w:p>
    <w:p w:rsidR="00DC5B55" w:rsidRPr="002E36E2" w:rsidRDefault="00DC5B55" w:rsidP="007F7CCE">
      <w:pPr>
        <w:widowControl w:val="0"/>
        <w:jc w:val="both"/>
        <w:rPr>
          <w:rFonts w:ascii="CG Times" w:eastAsia="Times New Roman" w:hAnsi="CG Times"/>
          <w:bCs/>
          <w:sz w:val="21"/>
          <w:szCs w:val="21"/>
          <w:lang w:val="sq-AL"/>
        </w:rPr>
      </w:pPr>
      <w:r w:rsidRPr="002E36E2">
        <w:rPr>
          <w:rFonts w:ascii="CG Times" w:eastAsia="Times New Roman" w:hAnsi="CG Times"/>
          <w:bCs/>
          <w:sz w:val="21"/>
          <w:szCs w:val="21"/>
          <w:lang w:val="sq-AL"/>
        </w:rPr>
        <w:tab/>
        <w:t>Anëtar</w:t>
      </w:r>
      <w:r w:rsidR="007F7CCE" w:rsidRPr="002E36E2">
        <w:rPr>
          <w:rFonts w:ascii="CG Times" w:eastAsia="Times New Roman" w:hAnsi="CG Times"/>
          <w:bCs/>
          <w:sz w:val="21"/>
          <w:szCs w:val="21"/>
          <w:lang w:val="sq-AL"/>
        </w:rPr>
        <w:t>ë</w:t>
      </w:r>
      <w:r w:rsidRPr="002E36E2">
        <w:rPr>
          <w:rFonts w:ascii="CG Times" w:eastAsia="Times New Roman" w:hAnsi="CG Times"/>
          <w:bCs/>
          <w:sz w:val="21"/>
          <w:szCs w:val="21"/>
          <w:lang w:val="sq-AL"/>
        </w:rPr>
        <w:t xml:space="preserve"> kundër: Sokol Berberi, Fatos Lulo</w:t>
      </w:r>
    </w:p>
    <w:p w:rsidR="00BB6203" w:rsidRPr="002E36E2" w:rsidRDefault="00BB6203" w:rsidP="00BB6203">
      <w:pPr>
        <w:jc w:val="center"/>
        <w:rPr>
          <w:rFonts w:ascii="CG Times" w:eastAsia="Times New Roman" w:hAnsi="CG Times"/>
          <w:b/>
          <w:sz w:val="21"/>
          <w:szCs w:val="21"/>
        </w:rPr>
      </w:pPr>
      <w:r w:rsidRPr="002E36E2">
        <w:rPr>
          <w:rFonts w:ascii="CG Times" w:eastAsia="Times New Roman" w:hAnsi="CG Times"/>
          <w:b/>
          <w:sz w:val="21"/>
          <w:szCs w:val="21"/>
        </w:rPr>
        <w:t xml:space="preserve">MENDIM PAKICE </w:t>
      </w:r>
    </w:p>
    <w:p w:rsidR="00BB6203" w:rsidRPr="002C04CF" w:rsidRDefault="00BB6203" w:rsidP="00BB6203">
      <w:pPr>
        <w:jc w:val="center"/>
        <w:rPr>
          <w:rFonts w:ascii="CG Times" w:eastAsia="Times New Roman" w:hAnsi="CG Times"/>
          <w:b/>
          <w:sz w:val="14"/>
          <w:szCs w:val="21"/>
        </w:rPr>
      </w:pP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 xml:space="preserve">Për arsye se nuk ndajmë të njëjtin qëndrim me shumicën lidhur me përfundimin e arritur në këtë çështje dhe argumentet mbi të cilat mbështetet ky qëndrim, e çmojmë të rëndësishme të shprehemi me mendim pakice.  </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Nëpërmjet arsyetimit të saj, shumica ka theksuar se kur janë të pranishme pretendime që kanë të bëjnë me shkeljen e parimeve themelore të procesit gjyqësor, atëherë vendimi i Kolegjit të Gjykatës së Lartë, për mospranimin e rekursit, vë në dyshim të drejtën për një proces të rregullt ligjor (</w:t>
      </w:r>
      <w:r w:rsidRPr="002E36E2">
        <w:rPr>
          <w:rFonts w:ascii="CG Times" w:eastAsia="Times New Roman" w:hAnsi="CG Times"/>
          <w:i/>
          <w:sz w:val="21"/>
          <w:szCs w:val="21"/>
        </w:rPr>
        <w:t>prg. 23 i vendimit</w:t>
      </w:r>
      <w:r w:rsidRPr="002E36E2">
        <w:rPr>
          <w:rFonts w:ascii="CG Times" w:eastAsia="Times New Roman" w:hAnsi="CG Times"/>
          <w:sz w:val="21"/>
          <w:szCs w:val="21"/>
        </w:rPr>
        <w:t>). Bazuar në këtë qëndrim, shumica ka konkluduar se nisur nga natyra e pretendimeve të paraqitura në rekurs nga kërkuesit, mungesa e arsyetimit të argumenteve në vendimin e Kolegjit Civil të Gjykatës së Lartë (dhomë këshillimi) përbën një mangësi në përmbajtjen dhe arsyetimin e vendimit të kësaj gjykate (</w:t>
      </w:r>
      <w:r w:rsidRPr="002E36E2">
        <w:rPr>
          <w:rFonts w:ascii="CG Times" w:eastAsia="Times New Roman" w:hAnsi="CG Times"/>
          <w:i/>
          <w:sz w:val="21"/>
          <w:szCs w:val="21"/>
        </w:rPr>
        <w:t>prg. 24 i vendimit</w:t>
      </w:r>
      <w:r w:rsidRPr="002E36E2">
        <w:rPr>
          <w:rFonts w:ascii="CG Times" w:eastAsia="Times New Roman" w:hAnsi="CG Times"/>
          <w:sz w:val="21"/>
          <w:szCs w:val="21"/>
        </w:rPr>
        <w:t xml:space="preserve">). </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Nuk pajtohemi me këtë përfundim të shumicës pasi, në vlerësimin tonë, Gjykata e Lartë i ka dhënë përgjigje kërkuesve në vendimin e saj, të marrë në dhomë këshillimi. Ky qëndrim mbështetet në jurisprude</w:t>
      </w:r>
      <w:r w:rsidR="0017023F">
        <w:rPr>
          <w:rFonts w:ascii="CG Times" w:eastAsia="Times New Roman" w:hAnsi="CG Times"/>
          <w:sz w:val="21"/>
          <w:szCs w:val="21"/>
        </w:rPr>
        <w:t>ncën e Gjykatës, sipas së cilës</w:t>
      </w:r>
      <w:r w:rsidRPr="002E36E2">
        <w:rPr>
          <w:rFonts w:ascii="CG Times" w:eastAsia="Times New Roman" w:hAnsi="CG Times"/>
          <w:sz w:val="21"/>
          <w:szCs w:val="21"/>
        </w:rPr>
        <w:t xml:space="preserve"> </w:t>
      </w:r>
      <w:r w:rsidRPr="002E36E2">
        <w:rPr>
          <w:rFonts w:ascii="CG Times" w:eastAsia="Times New Roman" w:hAnsi="CG Times"/>
          <w:bCs/>
          <w:sz w:val="21"/>
          <w:szCs w:val="21"/>
        </w:rPr>
        <w:t xml:space="preserve">arsyetimi i kufizuar i vendimit të marrë në </w:t>
      </w:r>
      <w:r w:rsidRPr="002E36E2">
        <w:rPr>
          <w:rFonts w:ascii="CG Times" w:eastAsia="Times New Roman" w:hAnsi="CG Times"/>
          <w:bCs/>
          <w:kern w:val="28"/>
          <w:sz w:val="21"/>
          <w:szCs w:val="21"/>
        </w:rPr>
        <w:t>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w:t>
      </w:r>
      <w:r w:rsidRPr="002E36E2">
        <w:rPr>
          <w:rFonts w:ascii="CG Times" w:eastAsia="Times New Roman" w:hAnsi="CG Times"/>
          <w:bCs/>
          <w:i/>
          <w:kern w:val="28"/>
          <w:sz w:val="21"/>
          <w:szCs w:val="21"/>
        </w:rPr>
        <w:t>shih vendimet nr. 34, datë 12.07.2013; 108, datë 03.10.2012 dhe nr. 17, datë 17.05.2011, të Gjykatës Kushtetuese;</w:t>
      </w:r>
      <w:r w:rsidRPr="002E36E2">
        <w:rPr>
          <w:rFonts w:ascii="CG Times" w:eastAsia="Times New Roman" w:hAnsi="CG Times"/>
          <w:i/>
          <w:sz w:val="21"/>
          <w:szCs w:val="21"/>
        </w:rPr>
        <w:t xml:space="preserve"> vendimin nr. 143, datë 07.12.2011, të Mbledhjes së Gjyqtarëve</w:t>
      </w:r>
      <w:r w:rsidRPr="002E36E2">
        <w:rPr>
          <w:rFonts w:ascii="CG Times" w:eastAsia="Times New Roman" w:hAnsi="CG Times"/>
          <w:bCs/>
          <w:i/>
          <w:kern w:val="28"/>
          <w:sz w:val="21"/>
          <w:szCs w:val="21"/>
        </w:rPr>
        <w:t>)</w:t>
      </w:r>
      <w:r w:rsidRPr="002E36E2">
        <w:rPr>
          <w:rFonts w:ascii="CG Times" w:eastAsia="Times New Roman" w:hAnsi="CG Times"/>
          <w:bCs/>
          <w:kern w:val="28"/>
          <w:sz w:val="21"/>
          <w:szCs w:val="21"/>
        </w:rPr>
        <w:t>.</w:t>
      </w:r>
    </w:p>
    <w:p w:rsidR="00BB6203" w:rsidRPr="002E36E2" w:rsidRDefault="00BB6203" w:rsidP="00BB6203">
      <w:pPr>
        <w:ind w:firstLine="720"/>
        <w:jc w:val="both"/>
        <w:rPr>
          <w:rFonts w:ascii="CG Times" w:eastAsia="Times New Roman" w:hAnsi="CG Times"/>
          <w:bCs/>
          <w:kern w:val="28"/>
          <w:sz w:val="21"/>
          <w:szCs w:val="21"/>
        </w:rPr>
      </w:pPr>
      <w:r w:rsidRPr="002E36E2">
        <w:rPr>
          <w:rFonts w:ascii="CG Times" w:eastAsia="Times New Roman" w:hAnsi="CG Times"/>
          <w:bCs/>
          <w:kern w:val="28"/>
          <w:sz w:val="21"/>
          <w:szCs w:val="21"/>
        </w:rPr>
        <w:t xml:space="preserve">Edhe </w:t>
      </w:r>
      <w:r w:rsidRPr="002E36E2">
        <w:rPr>
          <w:rFonts w:ascii="CG Times" w:eastAsia="Times New Roman" w:hAnsi="CG Times"/>
          <w:sz w:val="21"/>
          <w:szCs w:val="21"/>
        </w:rPr>
        <w:t>GJEDNJ-ja ka theksuar se: “</w:t>
      </w:r>
      <w:r w:rsidRPr="002E36E2">
        <w:rPr>
          <w:rFonts w:ascii="CG Times" w:eastAsia="Times New Roman" w:hAnsi="CG Times"/>
          <w:color w:val="000000"/>
          <w:sz w:val="21"/>
          <w:szCs w:val="21"/>
        </w:rPr>
        <w:t>detyrimi që ka gjykata vendase për të arsyetuar vendimet e saj, nuk mund të interpretohet sikur kërkohet arsyetim i detajuar për çdo pretendim të palës ndërgjyqëse. Masa e arsyetimit të vendimit varet nga natyra e vendimit në fjalë” (....)</w:t>
      </w:r>
      <w:r w:rsidRPr="002E36E2">
        <w:rPr>
          <w:rFonts w:ascii="CG Times" w:eastAsia="Times New Roman" w:hAnsi="CG Times"/>
          <w:sz w:val="21"/>
          <w:szCs w:val="21"/>
        </w:rPr>
        <w:t xml:space="preserv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w:t>
      </w:r>
      <w:r w:rsidR="0017023F">
        <w:rPr>
          <w:rFonts w:ascii="CG Times" w:eastAsia="Times New Roman" w:hAnsi="CG Times"/>
          <w:sz w:val="21"/>
          <w:szCs w:val="21"/>
        </w:rPr>
        <w:t>ë gjykatë e l</w:t>
      </w:r>
      <w:r w:rsidRPr="002E36E2">
        <w:rPr>
          <w:rFonts w:ascii="CG Times" w:eastAsia="Times New Roman" w:hAnsi="CG Times"/>
          <w:sz w:val="21"/>
          <w:szCs w:val="21"/>
        </w:rPr>
        <w:t>artë refuzon të pranojë një çështje, për arsye se mungojnë shkaqet ligjore për ngritjen e çështjes, një arsyetim shumë i kufizuar mund të përmbushë kriterin e nenit 6 të Konventës</w:t>
      </w:r>
      <w:r w:rsidRPr="002E36E2">
        <w:rPr>
          <w:rFonts w:ascii="CG Times" w:eastAsia="Times New Roman" w:hAnsi="CG Times"/>
          <w:i/>
          <w:sz w:val="21"/>
          <w:szCs w:val="21"/>
        </w:rPr>
        <w:t>”</w:t>
      </w:r>
      <w:r w:rsidRPr="002E36E2">
        <w:rPr>
          <w:rFonts w:ascii="CG Times" w:eastAsia="Times New Roman" w:hAnsi="CG Times"/>
          <w:sz w:val="21"/>
          <w:szCs w:val="21"/>
        </w:rPr>
        <w:t xml:space="preserve"> (</w:t>
      </w:r>
      <w:r w:rsidRPr="002E36E2">
        <w:rPr>
          <w:rFonts w:ascii="CG Times" w:eastAsia="Times New Roman" w:hAnsi="CG Times"/>
          <w:i/>
          <w:sz w:val="21"/>
          <w:szCs w:val="21"/>
        </w:rPr>
        <w:t>Marini kundër Shqipërisë, datë 18.12.2007, §105-106; Mishgjoni kundër Shqipërisë, datë 07.12.2010, § 51</w:t>
      </w:r>
      <w:r w:rsidRPr="002E36E2">
        <w:rPr>
          <w:rFonts w:ascii="CG Times" w:eastAsia="Times New Roman" w:hAnsi="CG Times"/>
          <w:sz w:val="21"/>
          <w:szCs w:val="21"/>
        </w:rPr>
        <w:t xml:space="preserve"> ). </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Për më tepër, vlerësojmë se standardi mbi të cilin mbështetet shumica në këtë çështje</w:t>
      </w:r>
      <w:r w:rsidR="0017023F">
        <w:rPr>
          <w:rFonts w:ascii="CG Times" w:eastAsia="Times New Roman" w:hAnsi="CG Times"/>
          <w:sz w:val="21"/>
          <w:szCs w:val="21"/>
        </w:rPr>
        <w:t>,</w:t>
      </w:r>
      <w:r w:rsidRPr="002E36E2">
        <w:rPr>
          <w:rFonts w:ascii="CG Times" w:eastAsia="Times New Roman" w:hAnsi="CG Times"/>
          <w:sz w:val="21"/>
          <w:szCs w:val="21"/>
        </w:rPr>
        <w:t xml:space="preserve"> nuk krijon garanci për ruajtjen e vlerave të </w:t>
      </w:r>
      <w:r w:rsidRPr="002E36E2">
        <w:rPr>
          <w:rFonts w:ascii="CG Times" w:eastAsia="Times New Roman" w:hAnsi="CG Times"/>
          <w:sz w:val="21"/>
          <w:szCs w:val="21"/>
          <w:lang w:eastAsia="sq-AL"/>
        </w:rPr>
        <w:t xml:space="preserve">uniformitetit, qëndrueshmërisë dhe parashikueshmërisë </w:t>
      </w:r>
      <w:r w:rsidRPr="002E36E2">
        <w:rPr>
          <w:rFonts w:ascii="CG Times" w:eastAsia="Times New Roman" w:hAnsi="CG Times"/>
          <w:sz w:val="21"/>
          <w:szCs w:val="21"/>
        </w:rPr>
        <w:t>në zbatimin e së drejtës dhe, për pasojë, lë hapësirë për cenimin e sigurisë juridike dhe barazisë përpara ligjit. Këtë vlerësim e mbështesim në arsyet që vijojnë.</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Shumica nuk ka shpjeguar se cila është natyra e pretendimeve</w:t>
      </w:r>
      <w:r w:rsidR="0017023F">
        <w:rPr>
          <w:rFonts w:ascii="CG Times" w:eastAsia="Times New Roman" w:hAnsi="CG Times"/>
          <w:sz w:val="21"/>
          <w:szCs w:val="21"/>
        </w:rPr>
        <w:t>,</w:t>
      </w:r>
      <w:r w:rsidRPr="002E36E2">
        <w:rPr>
          <w:rFonts w:ascii="CG Times" w:eastAsia="Times New Roman" w:hAnsi="CG Times"/>
          <w:sz w:val="21"/>
          <w:szCs w:val="21"/>
        </w:rPr>
        <w:t xml:space="preserve"> të cilave, sipas saj, Gjykata e Lartë duhet t’u japë përgjigje të arsyetuar edhe kur vendos mospranimin e rekursit, siç është rasti konkret. Nga arsyetimi i saj nënkuptohet se, në rastin e ngritjes në rekurs të pretendimeve që kanë të bëjnë me shkeljen e parimeve themelore të procesit gjyqësor, Gjykata e Lartë, kur nuk e pranon rekursin, duhet të japë argumente për përfundimin e shprehur në pjesën urdhëruese të vendimit (</w:t>
      </w:r>
      <w:r w:rsidRPr="002E36E2">
        <w:rPr>
          <w:rFonts w:ascii="CG Times" w:eastAsia="Times New Roman" w:hAnsi="CG Times"/>
          <w:i/>
          <w:sz w:val="21"/>
          <w:szCs w:val="21"/>
        </w:rPr>
        <w:t>shih prg. 22-23</w:t>
      </w:r>
      <w:r w:rsidRPr="002E36E2">
        <w:rPr>
          <w:rFonts w:ascii="CG Times" w:eastAsia="Times New Roman" w:hAnsi="CG Times"/>
          <w:sz w:val="21"/>
          <w:szCs w:val="21"/>
        </w:rPr>
        <w:t xml:space="preserve">). Në një arsyetim </w:t>
      </w:r>
      <w:r w:rsidRPr="002E36E2">
        <w:rPr>
          <w:rFonts w:ascii="CG Times" w:eastAsia="Times New Roman" w:hAnsi="CG Times"/>
          <w:i/>
          <w:sz w:val="21"/>
          <w:szCs w:val="21"/>
        </w:rPr>
        <w:t>a contrario</w:t>
      </w:r>
      <w:r w:rsidRPr="002E36E2">
        <w:rPr>
          <w:rFonts w:ascii="CG Times" w:eastAsia="Times New Roman" w:hAnsi="CG Times"/>
          <w:sz w:val="21"/>
          <w:szCs w:val="21"/>
        </w:rPr>
        <w:t>, bazuar në qëndrimin e mësipërm, nëse në rekurs nuk ngrihen pretendime të natyrës kushtetuese, pra që kanë të bëjnë me shkelje të parimeve themelore të procesit gjyqësor,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Nisur nga ky arsyetim i shumicës</w:t>
      </w:r>
      <w:r w:rsidR="0017023F">
        <w:rPr>
          <w:rFonts w:ascii="CG Times" w:eastAsia="Times New Roman" w:hAnsi="CG Times"/>
          <w:sz w:val="21"/>
          <w:szCs w:val="21"/>
        </w:rPr>
        <w:t>,</w:t>
      </w:r>
      <w:r w:rsidRPr="002E36E2">
        <w:rPr>
          <w:rFonts w:ascii="CG Times" w:eastAsia="Times New Roman" w:hAnsi="CG Times"/>
          <w:sz w:val="21"/>
          <w:szCs w:val="21"/>
        </w:rPr>
        <w:t xml:space="preserve"> lind pyetja: nëse pretendimet e ngritura në rekurs kanë të bëjnë me shkelje të parimeve themelore të procesit gjyqësor, a duhet t’u japë përgjigje atyre edhe Gjykata e Kushtetuese? Me qëndrimin e saj shumica ka lënë shteg për një lloj ndërhyrjeje të Gjykatës Kushtetuese në rolin vlerësues të Gjykatës së Lartë. Kështu shumica, në rastin konkret, ka vlerësuar përmbajtjen e rekursit, konkretisht duke identifikuar natyrën e pretendimeve të ngritura në të dhe duke i imponuar Gjykatës së Lartë argumentimin në lidhje me këto pretendime. Vlerësimi i rekursit është atribut i Gjykatës së Lartë, e cila </w:t>
      </w:r>
      <w:r w:rsidRPr="002E36E2">
        <w:rPr>
          <w:rFonts w:ascii="CG Times" w:eastAsia="Times New Roman" w:hAnsi="CG Times"/>
          <w:bCs/>
          <w:sz w:val="21"/>
          <w:szCs w:val="21"/>
        </w:rPr>
        <w:t xml:space="preserve">vlerëson pretendimet e ngritura në rekurs, </w:t>
      </w:r>
      <w:r w:rsidRPr="002E36E2">
        <w:rPr>
          <w:rFonts w:ascii="CG Times" w:eastAsia="Times New Roman" w:hAnsi="CG Times"/>
          <w:sz w:val="21"/>
          <w:szCs w:val="21"/>
        </w:rPr>
        <w:t xml:space="preserve">në dhomë këshillimi. Ajo verifikon nëse  </w:t>
      </w:r>
      <w:r w:rsidRPr="002E36E2">
        <w:rPr>
          <w:rFonts w:ascii="CG Times" w:eastAsia="Times New Roman" w:hAnsi="CG Times"/>
          <w:bCs/>
          <w:sz w:val="21"/>
          <w:szCs w:val="21"/>
        </w:rPr>
        <w:t xml:space="preserve">rekursi </w:t>
      </w:r>
      <w:r w:rsidRPr="002E36E2">
        <w:rPr>
          <w:rFonts w:ascii="CG Times" w:eastAsia="Times New Roman" w:hAnsi="CG Times"/>
          <w:sz w:val="21"/>
          <w:szCs w:val="21"/>
        </w:rPr>
        <w:t>i plotëson ose jo kushtet për shqyrtim dhe, sipas rastit, vendos pranimin ose mospranimin e rekursit. Siç është shprehur edhe shumica, e gjithë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Pr="002E36E2">
        <w:rPr>
          <w:rFonts w:ascii="CG Times" w:eastAsia="Times New Roman" w:hAnsi="CG Times"/>
          <w:i/>
          <w:sz w:val="21"/>
          <w:szCs w:val="21"/>
        </w:rPr>
        <w:t>shih vendimet nr. 45, datë 23.07.2012; nr. 4, datë 25.02.2009; nr. 5, datë 26.01.2007 dhe nr. 8, datë 02.05.2006,  të Gjykatës Kushtetuese).</w:t>
      </w:r>
      <w:r w:rsidRPr="002E36E2">
        <w:rPr>
          <w:rFonts w:ascii="CG Times" w:eastAsia="Times New Roman" w:hAnsi="CG Times"/>
          <w:sz w:val="21"/>
          <w:szCs w:val="21"/>
        </w:rPr>
        <w:t xml:space="preserve"> Çmojmë se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BB6203" w:rsidRPr="002E36E2" w:rsidRDefault="00BB6203" w:rsidP="00BB6203">
      <w:pPr>
        <w:ind w:firstLine="720"/>
        <w:jc w:val="both"/>
        <w:rPr>
          <w:rFonts w:ascii="CG Times" w:hAnsi="CG Times"/>
          <w:sz w:val="21"/>
          <w:szCs w:val="21"/>
        </w:rPr>
      </w:pPr>
      <w:r w:rsidRPr="002E36E2">
        <w:rPr>
          <w:rFonts w:ascii="CG Times" w:eastAsia="Times New Roman" w:hAnsi="CG Times"/>
          <w:sz w:val="21"/>
          <w:szCs w:val="21"/>
        </w:rPr>
        <w:t>Parimi i shtetit të së drejtës, i sanksionuar në</w:t>
      </w:r>
      <w:r w:rsidRPr="002E36E2">
        <w:rPr>
          <w:rFonts w:ascii="CG Times" w:hAnsi="CG Times"/>
          <w:sz w:val="21"/>
          <w:szCs w:val="21"/>
        </w:rPr>
        <w:t xml:space="preserve"> nenin 4 të Kushtetutës,</w:t>
      </w:r>
      <w:r w:rsidRPr="002E36E2">
        <w:rPr>
          <w:rFonts w:ascii="CG Times" w:eastAsia="Times New Roman" w:hAnsi="CG Times"/>
          <w:sz w:val="21"/>
          <w:szCs w:val="21"/>
        </w:rPr>
        <w:t xml:space="preserve"> nënkupton, </w:t>
      </w:r>
      <w:r w:rsidRPr="002E36E2">
        <w:rPr>
          <w:rFonts w:ascii="CG Times" w:hAnsi="CG Times"/>
          <w:iCs/>
          <w:color w:val="000000"/>
          <w:sz w:val="21"/>
          <w:szCs w:val="21"/>
        </w:rPr>
        <w:t>midis të tjerave</w:t>
      </w:r>
      <w:r w:rsidRPr="002E36E2">
        <w:rPr>
          <w:rFonts w:ascii="CG Times" w:eastAsia="Times New Roman" w:hAnsi="CG Times"/>
          <w:iCs/>
          <w:color w:val="000000"/>
          <w:sz w:val="21"/>
          <w:szCs w:val="21"/>
        </w:rPr>
        <w:t>, edhe</w:t>
      </w:r>
      <w:r w:rsidRPr="002E36E2">
        <w:rPr>
          <w:rFonts w:ascii="CG Times" w:eastAsia="Times New Roman" w:hAnsi="CG Times"/>
          <w:sz w:val="21"/>
          <w:szCs w:val="21"/>
        </w:rPr>
        <w:t xml:space="preserve"> rregullin e vazhdimësisë së jurisprudencës.</w:t>
      </w:r>
      <w:r w:rsidRPr="002E36E2">
        <w:rPr>
          <w:rFonts w:ascii="CG Times" w:hAnsi="CG Times"/>
          <w:sz w:val="21"/>
          <w:szCs w:val="21"/>
        </w:rPr>
        <w:t xml:space="preserve"> Gjykata është shprehur se </w:t>
      </w:r>
      <w:r w:rsidRPr="002E36E2">
        <w:rPr>
          <w:rFonts w:ascii="CG Times" w:eastAsia="Times New Roman" w:hAnsi="CG Times"/>
          <w:sz w:val="21"/>
          <w:szCs w:val="21"/>
        </w:rPr>
        <w:t>është e pranueshme, në mënyrë të natyrshme, që jurisprudenca kushtetuese të evoluojë, duke synuar rritjen e standardeve kushtetuese.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Çdo ndryshim i precedentëve të Gjykatës Kushtetuese ose korrigjimi i doktrinës zyrtare kushtetuese mund të bëhet vetëm për arsye të rëndësishme, sidomos për ta harmonizuar atë me praktikën e GJEDNJ-së (</w:t>
      </w:r>
      <w:r w:rsidRPr="002E36E2">
        <w:rPr>
          <w:rFonts w:ascii="CG Times" w:eastAsia="Times New Roman" w:hAnsi="CG Times"/>
          <w:i/>
          <w:sz w:val="21"/>
          <w:szCs w:val="21"/>
        </w:rPr>
        <w:t>shih vendimet nr. 20, datë 01.06.2011; nr. 30, datë 17.06.2010 dhe nr. 21, datë 29.04.2010 të Gjykatës Kushtetuese</w:t>
      </w:r>
      <w:r w:rsidRPr="002E36E2">
        <w:rPr>
          <w:rFonts w:ascii="CG Times" w:eastAsia="Times New Roman" w:hAnsi="CG Times"/>
          <w:sz w:val="21"/>
          <w:szCs w:val="21"/>
        </w:rPr>
        <w:t xml:space="preserve">). Edhe GJEDNJ-ja, në këtë këndvështrim, është shprehur se: “Roli i një gjykate të lartë në një palë kontraktuese është pikërisht zgjidhja e konflikteve, shmangia e divergjencave dhe qëndrueshmëria. (....) Është në interes të sigurisë juridike, të parashikueshmërisë dhe të barazisë para ligjit që gjykata të mos shmanget pa motiv të vlefshëm nga precedentët.” </w:t>
      </w:r>
      <w:r w:rsidRPr="002E36E2">
        <w:rPr>
          <w:rFonts w:ascii="CG Times" w:eastAsia="Times New Roman" w:hAnsi="CG Times"/>
          <w:i/>
          <w:sz w:val="21"/>
          <w:szCs w:val="21"/>
        </w:rPr>
        <w:t>(Shih çështjen Mullai dhe të tjerët kundër Shqipërisë, datë 23.03.2010,  prg. 83 dhe çështjen Chapman kundër Mbretërisë së Bashkuar, datë</w:t>
      </w:r>
      <w:r w:rsidRPr="002E36E2">
        <w:rPr>
          <w:rFonts w:ascii="CG Times" w:eastAsia="Times New Roman" w:hAnsi="CG Times"/>
          <w:sz w:val="21"/>
          <w:szCs w:val="21"/>
        </w:rPr>
        <w:t xml:space="preserve"> </w:t>
      </w:r>
      <w:r w:rsidRPr="002E36E2">
        <w:rPr>
          <w:rFonts w:ascii="CG Times" w:eastAsia="Times New Roman" w:hAnsi="CG Times"/>
          <w:i/>
          <w:sz w:val="21"/>
          <w:szCs w:val="21"/>
        </w:rPr>
        <w:t>18.01.2001, prg. 70</w:t>
      </w:r>
      <w:r w:rsidRPr="002E36E2">
        <w:rPr>
          <w:rFonts w:ascii="CG Times" w:eastAsia="Times New Roman" w:hAnsi="CG Times"/>
          <w:sz w:val="21"/>
          <w:szCs w:val="21"/>
        </w:rPr>
        <w:t>)</w:t>
      </w:r>
      <w:r w:rsidRPr="002E36E2">
        <w:rPr>
          <w:rFonts w:ascii="CG Times" w:hAnsi="CG Times"/>
          <w:sz w:val="21"/>
          <w:szCs w:val="21"/>
        </w:rPr>
        <w:t xml:space="preserve">. </w:t>
      </w:r>
      <w:r w:rsidRPr="002E36E2">
        <w:rPr>
          <w:rFonts w:ascii="CG Times" w:eastAsia="Times New Roman" w:hAnsi="CG Times"/>
          <w:sz w:val="21"/>
          <w:szCs w:val="21"/>
        </w:rPr>
        <w:t xml:space="preserve">Në rastin konkret, shumica nuk e ka justifikuar ndryshimin e praktikës së Gjykatës me një motivim të qartë e të bazuar. </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 xml:space="preserve"> Gjithashtu, me qëndrimin e saj shumica krijon paqartësi për sa i përket mundësisë që ka kërkuesi për ta goditur për antikushtetutshmëri të njëjtin vendim pas rigjykimit në Gjykatën e Lartë. A mundet Gjykata ta kontrollojë përsëri nga pikëpamja kushtetuese të njëjtin vendim pasi çështja të jetë rigjykuar në Gjykatën e Lartë? Në rastin konkret shumica i është shmangur vlerësimit kushtetues të pretendimeve që, në çmuarjen e saj, kanë të bëjnë me shkeljen e parimeve themelore të procesit gjyqësor, duke e rikthyer çështjen në Gjykatën e Lartë. Për pasojë, qëndrimi i shumicës nuk i shërben efektivitetit të shqyrtimit kushtetues dhe respektimit të së drejtës për një gjykim brenda një afati të arsyeshëm.</w:t>
      </w:r>
    </w:p>
    <w:p w:rsidR="00BB6203" w:rsidRPr="002E36E2" w:rsidRDefault="00BB6203" w:rsidP="00BB6203">
      <w:pPr>
        <w:ind w:firstLine="720"/>
        <w:jc w:val="both"/>
        <w:rPr>
          <w:rFonts w:ascii="CG Times" w:eastAsia="Times New Roman" w:hAnsi="CG Times"/>
          <w:bCs/>
          <w:sz w:val="21"/>
          <w:szCs w:val="21"/>
        </w:rPr>
      </w:pPr>
      <w:r w:rsidRPr="002E36E2">
        <w:rPr>
          <w:rFonts w:ascii="CG Times" w:eastAsia="Times New Roman" w:hAnsi="CG Times"/>
          <w:sz w:val="21"/>
          <w:szCs w:val="21"/>
        </w:rPr>
        <w:t xml:space="preserve">Si përfundim, për sa më lart, ndryshe nga shumica, çmojmë se në rastin konkret nuk është cenuar standardi i arsyetimit të vendimit gjyqësor, në kuptim të nenit 42 të Kushtetutës, ndaj kërkesa e paraqitur nga kërkuesit duhej të ishte rrëzuar. </w:t>
      </w:r>
    </w:p>
    <w:p w:rsidR="00BB6203" w:rsidRPr="002E36E2" w:rsidRDefault="00BB6203" w:rsidP="00BB6203">
      <w:pPr>
        <w:ind w:firstLine="720"/>
        <w:jc w:val="both"/>
        <w:rPr>
          <w:rFonts w:ascii="CG Times" w:eastAsia="Times New Roman" w:hAnsi="CG Times"/>
          <w:sz w:val="21"/>
          <w:szCs w:val="21"/>
        </w:rPr>
      </w:pPr>
      <w:r w:rsidRPr="002E36E2">
        <w:rPr>
          <w:rFonts w:ascii="CG Times" w:eastAsia="Times New Roman" w:hAnsi="CG Times"/>
          <w:sz w:val="21"/>
          <w:szCs w:val="21"/>
        </w:rPr>
        <w:t>Anëtar</w:t>
      </w:r>
      <w:r w:rsidR="007724DD">
        <w:rPr>
          <w:rFonts w:ascii="CG Times" w:eastAsia="Times New Roman" w:hAnsi="CG Times"/>
          <w:sz w:val="21"/>
          <w:szCs w:val="21"/>
        </w:rPr>
        <w:t>ë</w:t>
      </w:r>
      <w:r w:rsidRPr="002E36E2">
        <w:rPr>
          <w:rFonts w:ascii="CG Times" w:eastAsia="Times New Roman" w:hAnsi="CG Times"/>
          <w:sz w:val="21"/>
          <w:szCs w:val="21"/>
        </w:rPr>
        <w:t>: Sokol Berberi, Fatos Lulo</w:t>
      </w:r>
    </w:p>
    <w:p w:rsidR="00DC5B55" w:rsidRPr="002C04CF" w:rsidRDefault="00DC5B55" w:rsidP="00E1606B">
      <w:pPr>
        <w:widowControl w:val="0"/>
        <w:rPr>
          <w:rFonts w:ascii="CG Times" w:eastAsia="Times New Roman" w:hAnsi="CG Times"/>
          <w:color w:val="000000"/>
          <w:sz w:val="10"/>
          <w:szCs w:val="21"/>
          <w:lang w:val="sq-AL"/>
        </w:rPr>
      </w:pPr>
    </w:p>
    <w:p w:rsidR="00047F8E" w:rsidRPr="002E36E2" w:rsidRDefault="00047F8E" w:rsidP="00463F40">
      <w:pPr>
        <w:pStyle w:val="Akti"/>
        <w:rPr>
          <w:sz w:val="21"/>
          <w:szCs w:val="21"/>
          <w:lang w:val="sq-AL"/>
        </w:rPr>
      </w:pPr>
      <w:r w:rsidRPr="002E36E2">
        <w:rPr>
          <w:sz w:val="21"/>
          <w:szCs w:val="21"/>
          <w:lang w:val="sq-AL"/>
        </w:rPr>
        <w:t>Urdh</w:t>
      </w:r>
      <w:r w:rsidR="00463F40" w:rsidRPr="002E36E2">
        <w:rPr>
          <w:sz w:val="21"/>
          <w:szCs w:val="21"/>
          <w:lang w:val="sq-AL"/>
        </w:rPr>
        <w:t>ë</w:t>
      </w:r>
      <w:r w:rsidRPr="002E36E2">
        <w:rPr>
          <w:sz w:val="21"/>
          <w:szCs w:val="21"/>
          <w:lang w:val="sq-AL"/>
        </w:rPr>
        <w:t>r</w:t>
      </w:r>
    </w:p>
    <w:p w:rsidR="00047F8E" w:rsidRPr="002E36E2" w:rsidRDefault="00047F8E" w:rsidP="00463F40">
      <w:pPr>
        <w:pStyle w:val="Numri"/>
        <w:rPr>
          <w:sz w:val="21"/>
          <w:szCs w:val="21"/>
          <w:lang w:val="sq-AL"/>
        </w:rPr>
      </w:pPr>
      <w:r w:rsidRPr="002E36E2">
        <w:rPr>
          <w:sz w:val="21"/>
          <w:szCs w:val="21"/>
          <w:lang w:val="sq-AL"/>
        </w:rPr>
        <w:t>Nr. 1, dat</w:t>
      </w:r>
      <w:r w:rsidR="00463F40" w:rsidRPr="002E36E2">
        <w:rPr>
          <w:sz w:val="21"/>
          <w:szCs w:val="21"/>
          <w:lang w:val="sq-AL"/>
        </w:rPr>
        <w:t>ë</w:t>
      </w:r>
      <w:r w:rsidRPr="002E36E2">
        <w:rPr>
          <w:sz w:val="21"/>
          <w:szCs w:val="21"/>
          <w:lang w:val="sq-AL"/>
        </w:rPr>
        <w:t xml:space="preserve"> 7.1.2014</w:t>
      </w:r>
    </w:p>
    <w:p w:rsidR="00C03B38" w:rsidRPr="002C04CF" w:rsidRDefault="00C03B38" w:rsidP="00463F40">
      <w:pPr>
        <w:pStyle w:val="NeniNr"/>
        <w:rPr>
          <w:b/>
          <w:sz w:val="10"/>
          <w:szCs w:val="21"/>
          <w:lang w:val="sq-AL"/>
        </w:rPr>
      </w:pPr>
    </w:p>
    <w:p w:rsidR="00047F8E" w:rsidRPr="002E36E2" w:rsidRDefault="00047F8E" w:rsidP="00C03B38">
      <w:pPr>
        <w:pStyle w:val="Titulli"/>
        <w:rPr>
          <w:sz w:val="21"/>
          <w:szCs w:val="21"/>
        </w:rPr>
      </w:pPr>
      <w:r w:rsidRPr="002E36E2">
        <w:rPr>
          <w:sz w:val="21"/>
          <w:szCs w:val="21"/>
        </w:rPr>
        <w:t>P</w:t>
      </w:r>
      <w:r w:rsidR="00463F40" w:rsidRPr="002E36E2">
        <w:rPr>
          <w:sz w:val="21"/>
          <w:szCs w:val="21"/>
        </w:rPr>
        <w:t>ë</w:t>
      </w:r>
      <w:r w:rsidR="00C03B38" w:rsidRPr="002E36E2">
        <w:rPr>
          <w:sz w:val="21"/>
          <w:szCs w:val="21"/>
        </w:rPr>
        <w:t>r delegim kompetencash</w:t>
      </w:r>
    </w:p>
    <w:p w:rsidR="00047F8E" w:rsidRPr="002C04CF" w:rsidRDefault="00047F8E" w:rsidP="00463F40">
      <w:pPr>
        <w:pStyle w:val="Paragrafi"/>
        <w:rPr>
          <w:sz w:val="16"/>
          <w:szCs w:val="21"/>
          <w:lang w:val="sq-AL"/>
        </w:rPr>
      </w:pPr>
    </w:p>
    <w:p w:rsidR="00047F8E" w:rsidRPr="002E36E2" w:rsidRDefault="00047F8E" w:rsidP="00463F40">
      <w:pPr>
        <w:pStyle w:val="Paragrafi"/>
        <w:rPr>
          <w:sz w:val="21"/>
          <w:szCs w:val="21"/>
          <w:lang w:val="sq-AL"/>
        </w:rPr>
      </w:pPr>
      <w:r w:rsidRPr="002E36E2">
        <w:rPr>
          <w:sz w:val="21"/>
          <w:szCs w:val="21"/>
          <w:lang w:val="sq-AL"/>
        </w:rPr>
        <w:t>N</w:t>
      </w:r>
      <w:r w:rsidR="00463F40" w:rsidRPr="002E36E2">
        <w:rPr>
          <w:sz w:val="21"/>
          <w:szCs w:val="21"/>
          <w:lang w:val="sq-AL"/>
        </w:rPr>
        <w:t>ë</w:t>
      </w:r>
      <w:r w:rsidRPr="002E36E2">
        <w:rPr>
          <w:sz w:val="21"/>
          <w:szCs w:val="21"/>
          <w:lang w:val="sq-AL"/>
        </w:rPr>
        <w:t xml:space="preserve"> mb</w:t>
      </w:r>
      <w:r w:rsidR="00463F40" w:rsidRPr="002E36E2">
        <w:rPr>
          <w:sz w:val="21"/>
          <w:szCs w:val="21"/>
          <w:lang w:val="sq-AL"/>
        </w:rPr>
        <w:t>ë</w:t>
      </w:r>
      <w:r w:rsidRPr="002E36E2">
        <w:rPr>
          <w:sz w:val="21"/>
          <w:szCs w:val="21"/>
          <w:lang w:val="sq-AL"/>
        </w:rPr>
        <w:t>shtetje t</w:t>
      </w:r>
      <w:r w:rsidR="00463F40" w:rsidRPr="002E36E2">
        <w:rPr>
          <w:sz w:val="21"/>
          <w:szCs w:val="21"/>
          <w:lang w:val="sq-AL"/>
        </w:rPr>
        <w:t>ë</w:t>
      </w:r>
      <w:r w:rsidR="00467135" w:rsidRPr="002E36E2">
        <w:rPr>
          <w:sz w:val="21"/>
          <w:szCs w:val="21"/>
          <w:lang w:val="sq-AL"/>
        </w:rPr>
        <w:t xml:space="preserve"> nenit 27</w:t>
      </w:r>
      <w:r w:rsidRPr="002E36E2">
        <w:rPr>
          <w:sz w:val="21"/>
          <w:szCs w:val="21"/>
          <w:lang w:val="sq-AL"/>
        </w:rPr>
        <w:t xml:space="preserve"> t</w:t>
      </w:r>
      <w:r w:rsidR="00463F40" w:rsidRPr="002E36E2">
        <w:rPr>
          <w:sz w:val="21"/>
          <w:szCs w:val="21"/>
          <w:lang w:val="sq-AL"/>
        </w:rPr>
        <w:t>ë</w:t>
      </w:r>
      <w:r w:rsidRPr="002E36E2">
        <w:rPr>
          <w:sz w:val="21"/>
          <w:szCs w:val="21"/>
          <w:lang w:val="sq-AL"/>
        </w:rPr>
        <w:t xml:space="preserve"> ligjit nr. 8485, dat</w:t>
      </w:r>
      <w:r w:rsidR="00463F40" w:rsidRPr="002E36E2">
        <w:rPr>
          <w:sz w:val="21"/>
          <w:szCs w:val="21"/>
          <w:lang w:val="sq-AL"/>
        </w:rPr>
        <w:t>ë</w:t>
      </w:r>
      <w:r w:rsidRPr="002E36E2">
        <w:rPr>
          <w:sz w:val="21"/>
          <w:szCs w:val="21"/>
          <w:lang w:val="sq-AL"/>
        </w:rPr>
        <w:t xml:space="preserve"> 12.5.1999 “Kodi i Procedurave Administrative t</w:t>
      </w:r>
      <w:r w:rsidR="00463F40" w:rsidRPr="002E36E2">
        <w:rPr>
          <w:sz w:val="21"/>
          <w:szCs w:val="21"/>
          <w:lang w:val="sq-AL"/>
        </w:rPr>
        <w:t>ë</w:t>
      </w:r>
      <w:r w:rsidRPr="002E36E2">
        <w:rPr>
          <w:sz w:val="21"/>
          <w:szCs w:val="21"/>
          <w:lang w:val="sq-AL"/>
        </w:rPr>
        <w:t xml:space="preserve"> </w:t>
      </w:r>
      <w:r w:rsidR="00C03B38" w:rsidRPr="002E36E2">
        <w:rPr>
          <w:sz w:val="21"/>
          <w:szCs w:val="21"/>
          <w:lang w:val="sq-AL"/>
        </w:rPr>
        <w:t>Republikës</w:t>
      </w:r>
      <w:r w:rsidRPr="002E36E2">
        <w:rPr>
          <w:sz w:val="21"/>
          <w:szCs w:val="21"/>
          <w:lang w:val="sq-AL"/>
        </w:rPr>
        <w:t xml:space="preserve"> s</w:t>
      </w:r>
      <w:r w:rsidR="00463F40" w:rsidRPr="002E36E2">
        <w:rPr>
          <w:sz w:val="21"/>
          <w:szCs w:val="21"/>
          <w:lang w:val="sq-AL"/>
        </w:rPr>
        <w:t>ë</w:t>
      </w:r>
      <w:r w:rsidRPr="002E36E2">
        <w:rPr>
          <w:sz w:val="21"/>
          <w:szCs w:val="21"/>
          <w:lang w:val="sq-AL"/>
        </w:rPr>
        <w:t xml:space="preserve"> Shqip</w:t>
      </w:r>
      <w:r w:rsidR="00463F40" w:rsidRPr="002E36E2">
        <w:rPr>
          <w:sz w:val="21"/>
          <w:szCs w:val="21"/>
          <w:lang w:val="sq-AL"/>
        </w:rPr>
        <w:t>ë</w:t>
      </w:r>
      <w:r w:rsidRPr="002E36E2">
        <w:rPr>
          <w:sz w:val="21"/>
          <w:szCs w:val="21"/>
          <w:lang w:val="sq-AL"/>
        </w:rPr>
        <w:t>ris</w:t>
      </w:r>
      <w:r w:rsidR="00463F40" w:rsidRPr="002E36E2">
        <w:rPr>
          <w:sz w:val="21"/>
          <w:szCs w:val="21"/>
          <w:lang w:val="sq-AL"/>
        </w:rPr>
        <w:t>ë</w:t>
      </w:r>
      <w:r w:rsidR="00467135" w:rsidRPr="002E36E2">
        <w:rPr>
          <w:sz w:val="21"/>
          <w:szCs w:val="21"/>
          <w:lang w:val="sq-AL"/>
        </w:rPr>
        <w:t>”,</w:t>
      </w:r>
      <w:r w:rsidRPr="002E36E2">
        <w:rPr>
          <w:sz w:val="21"/>
          <w:szCs w:val="21"/>
          <w:lang w:val="sq-AL"/>
        </w:rPr>
        <w:t xml:space="preserve"> t</w:t>
      </w:r>
      <w:r w:rsidR="00463F40" w:rsidRPr="002E36E2">
        <w:rPr>
          <w:sz w:val="21"/>
          <w:szCs w:val="21"/>
          <w:lang w:val="sq-AL"/>
        </w:rPr>
        <w:t>ë</w:t>
      </w:r>
      <w:r w:rsidRPr="002E36E2">
        <w:rPr>
          <w:sz w:val="21"/>
          <w:szCs w:val="21"/>
          <w:lang w:val="sq-AL"/>
        </w:rPr>
        <w:t xml:space="preserve"> ndryshuar dhe t</w:t>
      </w:r>
      <w:r w:rsidR="00463F40" w:rsidRPr="002E36E2">
        <w:rPr>
          <w:sz w:val="21"/>
          <w:szCs w:val="21"/>
          <w:lang w:val="sq-AL"/>
        </w:rPr>
        <w:t>ë</w:t>
      </w:r>
      <w:r w:rsidRPr="002E36E2">
        <w:rPr>
          <w:sz w:val="21"/>
          <w:szCs w:val="21"/>
          <w:lang w:val="sq-AL"/>
        </w:rPr>
        <w:t xml:space="preserve"> nenit 3 t</w:t>
      </w:r>
      <w:r w:rsidR="00463F40" w:rsidRPr="002E36E2">
        <w:rPr>
          <w:sz w:val="21"/>
          <w:szCs w:val="21"/>
          <w:lang w:val="sq-AL"/>
        </w:rPr>
        <w:t>ë</w:t>
      </w:r>
      <w:r w:rsidRPr="002E36E2">
        <w:rPr>
          <w:sz w:val="21"/>
          <w:szCs w:val="21"/>
          <w:lang w:val="sq-AL"/>
        </w:rPr>
        <w:t xml:space="preserve"> ligjit nr. 9643, dat</w:t>
      </w:r>
      <w:r w:rsidR="00463F40" w:rsidRPr="002E36E2">
        <w:rPr>
          <w:sz w:val="21"/>
          <w:szCs w:val="21"/>
          <w:lang w:val="sq-AL"/>
        </w:rPr>
        <w:t>ë</w:t>
      </w:r>
      <w:r w:rsidRPr="002E36E2">
        <w:rPr>
          <w:sz w:val="21"/>
          <w:szCs w:val="21"/>
          <w:lang w:val="sq-AL"/>
        </w:rPr>
        <w:t xml:space="preserve"> 20.11.2006 “P</w:t>
      </w:r>
      <w:r w:rsidR="00463F40" w:rsidRPr="002E36E2">
        <w:rPr>
          <w:sz w:val="21"/>
          <w:szCs w:val="21"/>
          <w:lang w:val="sq-AL"/>
        </w:rPr>
        <w:t>ë</w:t>
      </w:r>
      <w:r w:rsidRPr="002E36E2">
        <w:rPr>
          <w:sz w:val="21"/>
          <w:szCs w:val="21"/>
          <w:lang w:val="sq-AL"/>
        </w:rPr>
        <w:t>r prokurimin publik”</w:t>
      </w:r>
      <w:r w:rsidR="007724DD">
        <w:rPr>
          <w:sz w:val="21"/>
          <w:szCs w:val="21"/>
          <w:lang w:val="sq-AL"/>
        </w:rPr>
        <w:t>,</w:t>
      </w:r>
      <w:r w:rsidRPr="002E36E2">
        <w:rPr>
          <w:sz w:val="21"/>
          <w:szCs w:val="21"/>
          <w:lang w:val="sq-AL"/>
        </w:rPr>
        <w:t xml:space="preserve"> t</w:t>
      </w:r>
      <w:r w:rsidR="00463F40" w:rsidRPr="002E36E2">
        <w:rPr>
          <w:sz w:val="21"/>
          <w:szCs w:val="21"/>
          <w:lang w:val="sq-AL"/>
        </w:rPr>
        <w:t>ë</w:t>
      </w:r>
      <w:r w:rsidRPr="002E36E2">
        <w:rPr>
          <w:sz w:val="21"/>
          <w:szCs w:val="21"/>
          <w:lang w:val="sq-AL"/>
        </w:rPr>
        <w:t xml:space="preserve"> ndryshuar,</w:t>
      </w:r>
    </w:p>
    <w:p w:rsidR="002C04CF" w:rsidRPr="002C04CF" w:rsidRDefault="002C04CF" w:rsidP="00463F40">
      <w:pPr>
        <w:pStyle w:val="VENDOSI"/>
        <w:rPr>
          <w:sz w:val="2"/>
          <w:szCs w:val="21"/>
          <w:lang w:val="sq-AL"/>
        </w:rPr>
      </w:pPr>
    </w:p>
    <w:p w:rsidR="00047F8E" w:rsidRDefault="00047F8E" w:rsidP="00463F40">
      <w:pPr>
        <w:pStyle w:val="VENDOSI"/>
        <w:rPr>
          <w:sz w:val="21"/>
          <w:szCs w:val="21"/>
          <w:lang w:val="sq-AL"/>
        </w:rPr>
      </w:pPr>
      <w:r w:rsidRPr="002E36E2">
        <w:rPr>
          <w:sz w:val="21"/>
          <w:szCs w:val="21"/>
          <w:lang w:val="sq-AL"/>
        </w:rPr>
        <w:t>Urdh</w:t>
      </w:r>
      <w:r w:rsidR="00463F40" w:rsidRPr="002E36E2">
        <w:rPr>
          <w:sz w:val="21"/>
          <w:szCs w:val="21"/>
          <w:lang w:val="sq-AL"/>
        </w:rPr>
        <w:t>ë</w:t>
      </w:r>
      <w:r w:rsidRPr="002E36E2">
        <w:rPr>
          <w:sz w:val="21"/>
          <w:szCs w:val="21"/>
          <w:lang w:val="sq-AL"/>
        </w:rPr>
        <w:t>roj</w:t>
      </w:r>
      <w:r w:rsidR="00467135" w:rsidRPr="002E36E2">
        <w:rPr>
          <w:sz w:val="21"/>
          <w:szCs w:val="21"/>
          <w:lang w:val="sq-AL"/>
        </w:rPr>
        <w:t>:</w:t>
      </w:r>
    </w:p>
    <w:p w:rsidR="002C04CF" w:rsidRPr="00AA78E9" w:rsidRDefault="002C04CF" w:rsidP="002C04CF">
      <w:pPr>
        <w:rPr>
          <w:sz w:val="10"/>
          <w:lang w:val="sq-AL"/>
        </w:rPr>
      </w:pPr>
    </w:p>
    <w:p w:rsidR="00047F8E" w:rsidRPr="002E36E2" w:rsidRDefault="00047F8E" w:rsidP="00463F40">
      <w:pPr>
        <w:pStyle w:val="Paragrafi"/>
        <w:rPr>
          <w:sz w:val="21"/>
          <w:szCs w:val="21"/>
          <w:lang w:val="sq-AL"/>
        </w:rPr>
      </w:pPr>
      <w:r w:rsidRPr="002E36E2">
        <w:rPr>
          <w:sz w:val="21"/>
          <w:szCs w:val="21"/>
          <w:lang w:val="sq-AL"/>
        </w:rPr>
        <w:t>1.</w:t>
      </w:r>
      <w:r w:rsidR="00463F40" w:rsidRPr="002E36E2">
        <w:rPr>
          <w:sz w:val="21"/>
          <w:szCs w:val="21"/>
          <w:lang w:val="sq-AL"/>
        </w:rPr>
        <w:t xml:space="preserve"> </w:t>
      </w:r>
      <w:r w:rsidRPr="002E36E2">
        <w:rPr>
          <w:sz w:val="21"/>
          <w:szCs w:val="21"/>
          <w:lang w:val="sq-AL"/>
        </w:rPr>
        <w:t>Delegimin e kompetencave t</w:t>
      </w:r>
      <w:r w:rsidR="00463F40" w:rsidRPr="002E36E2">
        <w:rPr>
          <w:sz w:val="21"/>
          <w:szCs w:val="21"/>
          <w:lang w:val="sq-AL"/>
        </w:rPr>
        <w:t>ë</w:t>
      </w:r>
      <w:r w:rsidRPr="002E36E2">
        <w:rPr>
          <w:sz w:val="21"/>
          <w:szCs w:val="21"/>
          <w:lang w:val="sq-AL"/>
        </w:rPr>
        <w:t xml:space="preserve"> </w:t>
      </w:r>
      <w:r w:rsidR="00467135" w:rsidRPr="002E36E2">
        <w:rPr>
          <w:sz w:val="21"/>
          <w:szCs w:val="21"/>
          <w:lang w:val="sq-AL"/>
        </w:rPr>
        <w:t>t</w:t>
      </w:r>
      <w:r w:rsidRPr="002E36E2">
        <w:rPr>
          <w:sz w:val="21"/>
          <w:szCs w:val="21"/>
          <w:lang w:val="sq-AL"/>
        </w:rPr>
        <w:t>itullarit t</w:t>
      </w:r>
      <w:r w:rsidR="00463F40" w:rsidRPr="002E36E2">
        <w:rPr>
          <w:sz w:val="21"/>
          <w:szCs w:val="21"/>
          <w:lang w:val="sq-AL"/>
        </w:rPr>
        <w:t>ë</w:t>
      </w:r>
      <w:r w:rsidRPr="002E36E2">
        <w:rPr>
          <w:sz w:val="21"/>
          <w:szCs w:val="21"/>
          <w:lang w:val="sq-AL"/>
        </w:rPr>
        <w:t xml:space="preserve"> </w:t>
      </w:r>
      <w:r w:rsidR="00467135" w:rsidRPr="002E36E2">
        <w:rPr>
          <w:sz w:val="21"/>
          <w:szCs w:val="21"/>
          <w:lang w:val="sq-AL"/>
        </w:rPr>
        <w:t xml:space="preserve">autoritetit kontraktor </w:t>
      </w:r>
      <w:r w:rsidRPr="002E36E2">
        <w:rPr>
          <w:sz w:val="21"/>
          <w:szCs w:val="21"/>
          <w:lang w:val="sq-AL"/>
        </w:rPr>
        <w:t>p</w:t>
      </w:r>
      <w:r w:rsidR="00463F40" w:rsidRPr="002E36E2">
        <w:rPr>
          <w:sz w:val="21"/>
          <w:szCs w:val="21"/>
          <w:lang w:val="sq-AL"/>
        </w:rPr>
        <w:t>ë</w:t>
      </w:r>
      <w:r w:rsidRPr="002E36E2">
        <w:rPr>
          <w:sz w:val="21"/>
          <w:szCs w:val="21"/>
          <w:lang w:val="sq-AL"/>
        </w:rPr>
        <w:t>r Gjykat</w:t>
      </w:r>
      <w:r w:rsidR="00463F40" w:rsidRPr="002E36E2">
        <w:rPr>
          <w:sz w:val="21"/>
          <w:szCs w:val="21"/>
          <w:lang w:val="sq-AL"/>
        </w:rPr>
        <w:t>ë</w:t>
      </w:r>
      <w:r w:rsidRPr="002E36E2">
        <w:rPr>
          <w:sz w:val="21"/>
          <w:szCs w:val="21"/>
          <w:lang w:val="sq-AL"/>
        </w:rPr>
        <w:t>n Kushtetuese, Sekretarit t</w:t>
      </w:r>
      <w:r w:rsidR="00463F40" w:rsidRPr="002E36E2">
        <w:rPr>
          <w:sz w:val="21"/>
          <w:szCs w:val="21"/>
          <w:lang w:val="sq-AL"/>
        </w:rPr>
        <w:t>ë</w:t>
      </w:r>
      <w:r w:rsidRPr="002E36E2">
        <w:rPr>
          <w:sz w:val="21"/>
          <w:szCs w:val="21"/>
          <w:lang w:val="sq-AL"/>
        </w:rPr>
        <w:t xml:space="preserve"> P</w:t>
      </w:r>
      <w:r w:rsidR="00463F40" w:rsidRPr="002E36E2">
        <w:rPr>
          <w:sz w:val="21"/>
          <w:szCs w:val="21"/>
          <w:lang w:val="sq-AL"/>
        </w:rPr>
        <w:t>ë</w:t>
      </w:r>
      <w:r w:rsidRPr="002E36E2">
        <w:rPr>
          <w:sz w:val="21"/>
          <w:szCs w:val="21"/>
          <w:lang w:val="sq-AL"/>
        </w:rPr>
        <w:t>rgjithsh</w:t>
      </w:r>
      <w:r w:rsidR="00463F40" w:rsidRPr="002E36E2">
        <w:rPr>
          <w:sz w:val="21"/>
          <w:szCs w:val="21"/>
          <w:lang w:val="sq-AL"/>
        </w:rPr>
        <w:t>ë</w:t>
      </w:r>
      <w:r w:rsidRPr="002E36E2">
        <w:rPr>
          <w:sz w:val="21"/>
          <w:szCs w:val="21"/>
          <w:lang w:val="sq-AL"/>
        </w:rPr>
        <w:t>m t</w:t>
      </w:r>
      <w:r w:rsidR="00463F40" w:rsidRPr="002E36E2">
        <w:rPr>
          <w:sz w:val="21"/>
          <w:szCs w:val="21"/>
          <w:lang w:val="sq-AL"/>
        </w:rPr>
        <w:t>ë</w:t>
      </w:r>
      <w:r w:rsidRPr="002E36E2">
        <w:rPr>
          <w:sz w:val="21"/>
          <w:szCs w:val="21"/>
          <w:lang w:val="sq-AL"/>
        </w:rPr>
        <w:t xml:space="preserve"> k</w:t>
      </w:r>
      <w:r w:rsidR="00463F40" w:rsidRPr="002E36E2">
        <w:rPr>
          <w:sz w:val="21"/>
          <w:szCs w:val="21"/>
          <w:lang w:val="sq-AL"/>
        </w:rPr>
        <w:t>ë</w:t>
      </w:r>
      <w:r w:rsidRPr="002E36E2">
        <w:rPr>
          <w:sz w:val="21"/>
          <w:szCs w:val="21"/>
          <w:lang w:val="sq-AL"/>
        </w:rPr>
        <w:t>saj  gjykate, z.Kujtim Osmani.</w:t>
      </w:r>
    </w:p>
    <w:p w:rsidR="00047F8E" w:rsidRPr="002E36E2" w:rsidRDefault="00047F8E" w:rsidP="00463F40">
      <w:pPr>
        <w:pStyle w:val="Paragrafi"/>
        <w:rPr>
          <w:sz w:val="21"/>
          <w:szCs w:val="21"/>
          <w:lang w:val="sq-AL"/>
        </w:rPr>
      </w:pPr>
      <w:r w:rsidRPr="002E36E2">
        <w:rPr>
          <w:sz w:val="21"/>
          <w:szCs w:val="21"/>
          <w:lang w:val="sq-AL"/>
        </w:rPr>
        <w:t>2.</w:t>
      </w:r>
      <w:r w:rsidR="00463F40" w:rsidRPr="002E36E2">
        <w:rPr>
          <w:sz w:val="21"/>
          <w:szCs w:val="21"/>
          <w:lang w:val="sq-AL"/>
        </w:rPr>
        <w:t xml:space="preserve"> </w:t>
      </w:r>
      <w:r w:rsidRPr="002E36E2">
        <w:rPr>
          <w:sz w:val="21"/>
          <w:szCs w:val="21"/>
          <w:lang w:val="sq-AL"/>
        </w:rPr>
        <w:t>Kompetencat e titullarit t</w:t>
      </w:r>
      <w:r w:rsidR="00463F40" w:rsidRPr="002E36E2">
        <w:rPr>
          <w:sz w:val="21"/>
          <w:szCs w:val="21"/>
          <w:lang w:val="sq-AL"/>
        </w:rPr>
        <w:t>ë</w:t>
      </w:r>
      <w:r w:rsidRPr="002E36E2">
        <w:rPr>
          <w:sz w:val="21"/>
          <w:szCs w:val="21"/>
          <w:lang w:val="sq-AL"/>
        </w:rPr>
        <w:t xml:space="preserve"> </w:t>
      </w:r>
      <w:r w:rsidR="00845DD0" w:rsidRPr="002E36E2">
        <w:rPr>
          <w:sz w:val="21"/>
          <w:szCs w:val="21"/>
          <w:lang w:val="sq-AL"/>
        </w:rPr>
        <w:t xml:space="preserve">autoritetit kontraktor </w:t>
      </w:r>
      <w:r w:rsidRPr="002E36E2">
        <w:rPr>
          <w:sz w:val="21"/>
          <w:szCs w:val="21"/>
          <w:lang w:val="sq-AL"/>
        </w:rPr>
        <w:t>t</w:t>
      </w:r>
      <w:r w:rsidR="00463F40" w:rsidRPr="002E36E2">
        <w:rPr>
          <w:sz w:val="21"/>
          <w:szCs w:val="21"/>
          <w:lang w:val="sq-AL"/>
        </w:rPr>
        <w:t>ë</w:t>
      </w:r>
      <w:r w:rsidRPr="002E36E2">
        <w:rPr>
          <w:sz w:val="21"/>
          <w:szCs w:val="21"/>
          <w:lang w:val="sq-AL"/>
        </w:rPr>
        <w:t xml:space="preserve"> Gjykat</w:t>
      </w:r>
      <w:r w:rsidR="00463F40" w:rsidRPr="002E36E2">
        <w:rPr>
          <w:sz w:val="21"/>
          <w:szCs w:val="21"/>
          <w:lang w:val="sq-AL"/>
        </w:rPr>
        <w:t>ë</w:t>
      </w:r>
      <w:r w:rsidRPr="002E36E2">
        <w:rPr>
          <w:sz w:val="21"/>
          <w:szCs w:val="21"/>
          <w:lang w:val="sq-AL"/>
        </w:rPr>
        <w:t>s Kushtetuese, do t</w:t>
      </w:r>
      <w:r w:rsidR="00463F40" w:rsidRPr="002E36E2">
        <w:rPr>
          <w:sz w:val="21"/>
          <w:szCs w:val="21"/>
          <w:lang w:val="sq-AL"/>
        </w:rPr>
        <w:t>ë</w:t>
      </w:r>
      <w:r w:rsidRPr="002E36E2">
        <w:rPr>
          <w:sz w:val="21"/>
          <w:szCs w:val="21"/>
          <w:lang w:val="sq-AL"/>
        </w:rPr>
        <w:t xml:space="preserve"> ushtrohen p</w:t>
      </w:r>
      <w:r w:rsidR="00463F40" w:rsidRPr="002E36E2">
        <w:rPr>
          <w:sz w:val="21"/>
          <w:szCs w:val="21"/>
          <w:lang w:val="sq-AL"/>
        </w:rPr>
        <w:t>ë</w:t>
      </w:r>
      <w:r w:rsidRPr="002E36E2">
        <w:rPr>
          <w:sz w:val="21"/>
          <w:szCs w:val="21"/>
          <w:lang w:val="sq-AL"/>
        </w:rPr>
        <w:t>r periudh</w:t>
      </w:r>
      <w:r w:rsidR="00463F40" w:rsidRPr="002E36E2">
        <w:rPr>
          <w:sz w:val="21"/>
          <w:szCs w:val="21"/>
          <w:lang w:val="sq-AL"/>
        </w:rPr>
        <w:t>ë</w:t>
      </w:r>
      <w:r w:rsidRPr="002E36E2">
        <w:rPr>
          <w:sz w:val="21"/>
          <w:szCs w:val="21"/>
          <w:lang w:val="sq-AL"/>
        </w:rPr>
        <w:t>n 7.1.2014 deri m</w:t>
      </w:r>
      <w:r w:rsidR="00463F40" w:rsidRPr="002E36E2">
        <w:rPr>
          <w:sz w:val="21"/>
          <w:szCs w:val="21"/>
          <w:lang w:val="sq-AL"/>
        </w:rPr>
        <w:t>ë</w:t>
      </w:r>
      <w:r w:rsidRPr="002E36E2">
        <w:rPr>
          <w:sz w:val="21"/>
          <w:szCs w:val="21"/>
          <w:lang w:val="sq-AL"/>
        </w:rPr>
        <w:t xml:space="preserve"> 31.12.2014.</w:t>
      </w:r>
    </w:p>
    <w:p w:rsidR="00047F8E" w:rsidRPr="002E36E2" w:rsidRDefault="00047F8E" w:rsidP="00463F40">
      <w:pPr>
        <w:pStyle w:val="Paragrafi"/>
        <w:rPr>
          <w:sz w:val="21"/>
          <w:szCs w:val="21"/>
          <w:lang w:val="sq-AL"/>
        </w:rPr>
      </w:pPr>
      <w:r w:rsidRPr="002E36E2">
        <w:rPr>
          <w:sz w:val="21"/>
          <w:szCs w:val="21"/>
          <w:lang w:val="sq-AL"/>
        </w:rPr>
        <w:t>3.</w:t>
      </w:r>
      <w:r w:rsidR="00463F40" w:rsidRPr="002E36E2">
        <w:rPr>
          <w:sz w:val="21"/>
          <w:szCs w:val="21"/>
          <w:lang w:val="sq-AL"/>
        </w:rPr>
        <w:t xml:space="preserve"> Për zbatimin e </w:t>
      </w:r>
      <w:r w:rsidR="00C03B38" w:rsidRPr="002E36E2">
        <w:rPr>
          <w:sz w:val="21"/>
          <w:szCs w:val="21"/>
          <w:lang w:val="sq-AL"/>
        </w:rPr>
        <w:t>këtij</w:t>
      </w:r>
      <w:r w:rsidR="00463F40" w:rsidRPr="002E36E2">
        <w:rPr>
          <w:sz w:val="21"/>
          <w:szCs w:val="21"/>
          <w:lang w:val="sq-AL"/>
        </w:rPr>
        <w:t xml:space="preserve"> urdhri ngarkohet Sekretari i Përgjithshëm dhe të gjitha strukturat e tjera përgjegjëse.</w:t>
      </w:r>
    </w:p>
    <w:p w:rsidR="00463F40" w:rsidRPr="002E36E2" w:rsidRDefault="00463F40" w:rsidP="00463F40">
      <w:pPr>
        <w:pStyle w:val="Paragrafi"/>
        <w:rPr>
          <w:sz w:val="21"/>
          <w:szCs w:val="21"/>
          <w:lang w:val="sq-AL"/>
        </w:rPr>
      </w:pPr>
      <w:r w:rsidRPr="002E36E2">
        <w:rPr>
          <w:sz w:val="21"/>
          <w:szCs w:val="21"/>
          <w:lang w:val="sq-AL"/>
        </w:rPr>
        <w:t>4. Ky urdhër hyn në fuqi menjëherë dhe botohet në Fletoren Zyrtare.</w:t>
      </w:r>
    </w:p>
    <w:p w:rsidR="00463F40" w:rsidRPr="002E36E2" w:rsidRDefault="00463F40" w:rsidP="00463F40">
      <w:pPr>
        <w:pStyle w:val="Autoriteti"/>
        <w:rPr>
          <w:sz w:val="21"/>
          <w:szCs w:val="21"/>
          <w:lang w:val="sq-AL"/>
        </w:rPr>
      </w:pPr>
      <w:r w:rsidRPr="002E36E2">
        <w:rPr>
          <w:sz w:val="21"/>
          <w:szCs w:val="21"/>
          <w:lang w:val="sq-AL"/>
        </w:rPr>
        <w:t>Kryetari</w:t>
      </w:r>
    </w:p>
    <w:p w:rsidR="00463F40" w:rsidRPr="002E36E2" w:rsidRDefault="00463F40" w:rsidP="00463F40">
      <w:pPr>
        <w:pStyle w:val="AutoritetiEmer"/>
        <w:rPr>
          <w:sz w:val="21"/>
          <w:szCs w:val="21"/>
          <w:lang w:val="sq-AL"/>
        </w:rPr>
      </w:pPr>
      <w:r w:rsidRPr="002E36E2">
        <w:rPr>
          <w:sz w:val="21"/>
          <w:szCs w:val="21"/>
          <w:lang w:val="sq-AL"/>
        </w:rPr>
        <w:t>Bashkim Dedja</w:t>
      </w:r>
    </w:p>
    <w:p w:rsidR="003173DE" w:rsidRPr="002E36E2" w:rsidRDefault="003173DE" w:rsidP="00463F40">
      <w:pPr>
        <w:pStyle w:val="Paragrafi"/>
        <w:rPr>
          <w:sz w:val="21"/>
          <w:szCs w:val="21"/>
          <w:lang w:val="sq-AL"/>
        </w:rPr>
      </w:pPr>
    </w:p>
    <w:p w:rsidR="003173DE" w:rsidRPr="002E36E2" w:rsidRDefault="003173DE" w:rsidP="00E02E77">
      <w:pPr>
        <w:pStyle w:val="Paragrafi"/>
        <w:rPr>
          <w:sz w:val="21"/>
          <w:szCs w:val="21"/>
          <w:lang w:val="sq-AL"/>
        </w:rPr>
      </w:pPr>
    </w:p>
    <w:p w:rsidR="003173DE" w:rsidRPr="002E36E2" w:rsidRDefault="003173DE" w:rsidP="00E02E77">
      <w:pPr>
        <w:widowControl w:val="0"/>
        <w:ind w:firstLine="720"/>
        <w:jc w:val="both"/>
        <w:outlineLvl w:val="0"/>
        <w:rPr>
          <w:rFonts w:ascii="CG Times" w:hAnsi="CG Times"/>
          <w:sz w:val="21"/>
          <w:szCs w:val="21"/>
          <w:lang w:val="sq-AL"/>
        </w:rPr>
      </w:pPr>
    </w:p>
    <w:p w:rsidR="003173DE" w:rsidRPr="002E36E2" w:rsidRDefault="003173DE" w:rsidP="00E02E77">
      <w:pPr>
        <w:widowControl w:val="0"/>
        <w:ind w:firstLine="720"/>
        <w:jc w:val="both"/>
        <w:rPr>
          <w:rFonts w:ascii="CG Times" w:hAnsi="CG Times"/>
          <w:sz w:val="21"/>
          <w:szCs w:val="21"/>
          <w:lang w:val="sq-AL"/>
        </w:rPr>
      </w:pPr>
    </w:p>
    <w:p w:rsidR="003173DE" w:rsidRPr="002E36E2" w:rsidRDefault="003173DE" w:rsidP="00E02E77">
      <w:pPr>
        <w:widowControl w:val="0"/>
        <w:ind w:firstLine="720"/>
        <w:jc w:val="both"/>
        <w:rPr>
          <w:rFonts w:ascii="CG Times" w:hAnsi="CG Times"/>
          <w:sz w:val="21"/>
          <w:szCs w:val="21"/>
          <w:lang w:val="sq-AL"/>
        </w:rPr>
      </w:pPr>
    </w:p>
    <w:p w:rsidR="003173DE" w:rsidRPr="002E36E2" w:rsidRDefault="003173DE" w:rsidP="00E02E77">
      <w:pPr>
        <w:pStyle w:val="Paragrafi"/>
        <w:rPr>
          <w:sz w:val="21"/>
          <w:szCs w:val="21"/>
          <w:lang w:val="sq-AL"/>
        </w:rPr>
      </w:pPr>
    </w:p>
    <w:p w:rsidR="002F7F23" w:rsidRPr="002E36E2" w:rsidRDefault="002F7F23" w:rsidP="00E02E77">
      <w:pPr>
        <w:pStyle w:val="Paragrafi"/>
        <w:rPr>
          <w:b/>
          <w:sz w:val="21"/>
          <w:szCs w:val="21"/>
          <w:lang w:val="sq-AL"/>
        </w:rPr>
      </w:pPr>
    </w:p>
    <w:p w:rsidR="002F7F23" w:rsidRPr="002E36E2" w:rsidRDefault="002F7F23" w:rsidP="00E02E77">
      <w:pPr>
        <w:pStyle w:val="Paragrafi"/>
        <w:rPr>
          <w:b/>
          <w:sz w:val="21"/>
          <w:szCs w:val="21"/>
          <w:lang w:val="sq-AL"/>
        </w:rPr>
      </w:pPr>
    </w:p>
    <w:p w:rsidR="00776BCA" w:rsidRPr="002E36E2" w:rsidRDefault="00776BCA" w:rsidP="00E02E77">
      <w:pPr>
        <w:pStyle w:val="Paragrafi"/>
        <w:rPr>
          <w:sz w:val="21"/>
          <w:szCs w:val="21"/>
          <w:lang w:val="sq-AL"/>
        </w:rPr>
      </w:pPr>
    </w:p>
    <w:p w:rsidR="00776BCA" w:rsidRPr="002E36E2" w:rsidRDefault="00A61355" w:rsidP="00A61355">
      <w:pPr>
        <w:pStyle w:val="Paragrafi"/>
        <w:tabs>
          <w:tab w:val="left" w:pos="5977"/>
        </w:tabs>
        <w:rPr>
          <w:sz w:val="21"/>
          <w:szCs w:val="21"/>
          <w:lang w:val="sq-AL"/>
        </w:rPr>
      </w:pPr>
      <w:r w:rsidRPr="002E36E2">
        <w:rPr>
          <w:sz w:val="21"/>
          <w:szCs w:val="21"/>
          <w:lang w:val="sq-AL"/>
        </w:rPr>
        <w:tab/>
      </w:r>
    </w:p>
    <w:p w:rsidR="0024136C" w:rsidRPr="002E36E2" w:rsidRDefault="0024136C" w:rsidP="00E02E77">
      <w:pPr>
        <w:pStyle w:val="Paragrafi"/>
        <w:rPr>
          <w:sz w:val="21"/>
          <w:szCs w:val="21"/>
          <w:lang w:val="sq-AL"/>
        </w:rPr>
      </w:pPr>
    </w:p>
    <w:p w:rsidR="0024136C" w:rsidRPr="002E36E2" w:rsidRDefault="0024136C" w:rsidP="00E02E77">
      <w:pPr>
        <w:pStyle w:val="Paragrafi"/>
        <w:rPr>
          <w:sz w:val="21"/>
          <w:szCs w:val="21"/>
          <w:lang w:val="sq-AL"/>
        </w:rPr>
      </w:pPr>
    </w:p>
    <w:p w:rsidR="0024136C" w:rsidRPr="002E36E2" w:rsidRDefault="0024136C"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CA38C3" w:rsidRPr="002E36E2" w:rsidRDefault="00CA38C3" w:rsidP="00E02E77">
      <w:pPr>
        <w:pStyle w:val="Paragrafi"/>
        <w:rPr>
          <w:sz w:val="21"/>
          <w:szCs w:val="21"/>
          <w:lang w:val="sq-AL"/>
        </w:rPr>
      </w:pPr>
    </w:p>
    <w:p w:rsidR="0095190A" w:rsidRPr="002E36E2" w:rsidRDefault="0095190A" w:rsidP="00E02E77">
      <w:pPr>
        <w:pStyle w:val="Paragrafi"/>
        <w:rPr>
          <w:sz w:val="21"/>
          <w:szCs w:val="21"/>
          <w:lang w:val="sq-AL"/>
        </w:rPr>
      </w:pPr>
    </w:p>
    <w:p w:rsidR="0095190A" w:rsidRPr="002E36E2" w:rsidRDefault="0095190A"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E766C1" w:rsidRPr="002E36E2" w:rsidRDefault="00E766C1" w:rsidP="00E02E77">
      <w:pPr>
        <w:pStyle w:val="Paragrafi"/>
        <w:rPr>
          <w:sz w:val="21"/>
          <w:szCs w:val="21"/>
          <w:lang w:val="sq-AL"/>
        </w:rPr>
      </w:pPr>
    </w:p>
    <w:p w:rsidR="00AC76A2" w:rsidRPr="002E36E2" w:rsidRDefault="00AC76A2" w:rsidP="00E02E77">
      <w:pPr>
        <w:pStyle w:val="Paragrafi"/>
        <w:rPr>
          <w:sz w:val="21"/>
          <w:szCs w:val="21"/>
          <w:lang w:val="sq-AL"/>
        </w:rPr>
        <w:sectPr w:rsidR="00AC76A2" w:rsidRPr="002E36E2" w:rsidSect="006C3F78">
          <w:headerReference w:type="even" r:id="rId7"/>
          <w:headerReference w:type="default" r:id="rId8"/>
          <w:footerReference w:type="even" r:id="rId9"/>
          <w:footerReference w:type="default" r:id="rId10"/>
          <w:pgSz w:w="11907" w:h="16840" w:code="9"/>
          <w:pgMar w:top="1418" w:right="1418" w:bottom="1418" w:left="1418" w:header="1588" w:footer="1134" w:gutter="0"/>
          <w:pgNumType w:start="81"/>
          <w:cols w:space="720"/>
          <w:docGrid w:linePitch="360"/>
        </w:sectPr>
      </w:pPr>
    </w:p>
    <w:p w:rsidR="00E766C1" w:rsidRPr="002E36E2" w:rsidRDefault="00E766C1" w:rsidP="00E02E77">
      <w:pPr>
        <w:pStyle w:val="Paragrafi"/>
        <w:rPr>
          <w:sz w:val="21"/>
          <w:szCs w:val="21"/>
          <w:lang w:val="sq-AL"/>
        </w:rPr>
      </w:pPr>
    </w:p>
    <w:p w:rsidR="00AC76A2" w:rsidRPr="002E36E2" w:rsidRDefault="00AC76A2" w:rsidP="00E02E77">
      <w:pPr>
        <w:pStyle w:val="Paragrafi"/>
        <w:rPr>
          <w:sz w:val="21"/>
          <w:szCs w:val="21"/>
          <w:lang w:val="sq-AL"/>
        </w:rPr>
      </w:pPr>
    </w:p>
    <w:p w:rsidR="00E766C1" w:rsidRPr="002E36E2" w:rsidRDefault="00E766C1" w:rsidP="00E02E77">
      <w:pPr>
        <w:pStyle w:val="Paragrafi"/>
        <w:rPr>
          <w:sz w:val="21"/>
          <w:szCs w:val="21"/>
          <w:lang w:val="sq-AL"/>
        </w:rPr>
      </w:pPr>
    </w:p>
    <w:p w:rsidR="00AC76A2" w:rsidRPr="002E36E2" w:rsidRDefault="00AC76A2" w:rsidP="00E02E77">
      <w:pPr>
        <w:pStyle w:val="Paragrafi"/>
        <w:rPr>
          <w:sz w:val="21"/>
          <w:szCs w:val="21"/>
          <w:lang w:val="sq-AL"/>
        </w:rPr>
        <w:sectPr w:rsidR="00AC76A2" w:rsidRPr="002E36E2" w:rsidSect="00376AA6">
          <w:pgSz w:w="16840" w:h="11907" w:orient="landscape" w:code="9"/>
          <w:pgMar w:top="1418" w:right="1418" w:bottom="1418" w:left="1418" w:header="1588" w:footer="1134" w:gutter="0"/>
          <w:pgNumType w:start="9783"/>
          <w:cols w:space="720"/>
          <w:docGrid w:linePitch="360"/>
        </w:sect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AC76A2" w:rsidRPr="002E36E2" w:rsidRDefault="00AC76A2"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FA48F7" w:rsidRPr="002E36E2" w:rsidRDefault="00FA48F7" w:rsidP="00E02E77">
      <w:pPr>
        <w:pStyle w:val="Paragrafi"/>
        <w:rPr>
          <w:sz w:val="21"/>
          <w:szCs w:val="21"/>
          <w:lang w:val="sq-AL"/>
        </w:rPr>
      </w:pPr>
    </w:p>
    <w:p w:rsidR="00C172B4" w:rsidRPr="002E36E2" w:rsidRDefault="00C172B4" w:rsidP="00E02E77">
      <w:pPr>
        <w:pStyle w:val="Paragrafi"/>
        <w:rPr>
          <w:sz w:val="21"/>
          <w:szCs w:val="21"/>
          <w:lang w:val="sq-AL"/>
        </w:rPr>
      </w:pPr>
    </w:p>
    <w:p w:rsidR="00C172B4" w:rsidRPr="002E36E2" w:rsidRDefault="00C172B4" w:rsidP="00E02E77">
      <w:pPr>
        <w:pStyle w:val="Paragrafi"/>
        <w:rPr>
          <w:sz w:val="21"/>
          <w:szCs w:val="21"/>
          <w:lang w:val="sq-AL"/>
        </w:rPr>
      </w:pPr>
    </w:p>
    <w:p w:rsidR="00C172B4" w:rsidRPr="002E36E2" w:rsidRDefault="00C172B4" w:rsidP="00E02E77">
      <w:pPr>
        <w:pStyle w:val="Paragrafi"/>
        <w:rPr>
          <w:sz w:val="21"/>
          <w:szCs w:val="21"/>
          <w:lang w:val="sq-AL"/>
        </w:rPr>
      </w:pPr>
    </w:p>
    <w:sectPr w:rsidR="00C172B4" w:rsidRPr="002E36E2"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B6E" w:rsidRDefault="00BE0B6E" w:rsidP="0039754A">
      <w:pPr>
        <w:pStyle w:val="Paragrafi"/>
        <w:rPr>
          <w:rFonts w:cs="Times New Roman"/>
        </w:rPr>
      </w:pPr>
      <w:r>
        <w:rPr>
          <w:rFonts w:cs="Times New Roman"/>
        </w:rPr>
        <w:separator/>
      </w:r>
    </w:p>
  </w:endnote>
  <w:endnote w:type="continuationSeparator" w:id="0">
    <w:p w:rsidR="00BE0B6E" w:rsidRDefault="00BE0B6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6C3F78" w:rsidRDefault="00312E0C">
    <w:pPr>
      <w:pStyle w:val="Footer"/>
      <w:rPr>
        <w:rFonts w:ascii="CG Times" w:hAnsi="CG Times"/>
        <w:sz w:val="22"/>
        <w:szCs w:val="22"/>
      </w:rPr>
    </w:pPr>
    <w:r w:rsidRPr="006C3F78">
      <w:rPr>
        <w:rFonts w:ascii="CG Times" w:hAnsi="CG Times"/>
        <w:sz w:val="22"/>
        <w:szCs w:val="22"/>
      </w:rPr>
      <w:fldChar w:fldCharType="begin"/>
    </w:r>
    <w:r w:rsidRPr="006C3F78">
      <w:rPr>
        <w:rFonts w:ascii="CG Times" w:hAnsi="CG Times"/>
        <w:sz w:val="22"/>
        <w:szCs w:val="22"/>
      </w:rPr>
      <w:instrText xml:space="preserve"> PAGE   \* MERGEFORMAT </w:instrText>
    </w:r>
    <w:r w:rsidRPr="006C3F78">
      <w:rPr>
        <w:rFonts w:ascii="CG Times" w:hAnsi="CG Times"/>
        <w:sz w:val="22"/>
        <w:szCs w:val="22"/>
      </w:rPr>
      <w:fldChar w:fldCharType="separate"/>
    </w:r>
    <w:r w:rsidR="005A509F">
      <w:rPr>
        <w:rFonts w:ascii="CG Times" w:hAnsi="CG Times"/>
        <w:noProof/>
        <w:sz w:val="22"/>
        <w:szCs w:val="22"/>
      </w:rPr>
      <w:t>84</w:t>
    </w:r>
    <w:r w:rsidRPr="006C3F7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6C3F78" w:rsidRDefault="00312E0C">
    <w:pPr>
      <w:pStyle w:val="Footer"/>
      <w:jc w:val="right"/>
      <w:rPr>
        <w:rFonts w:ascii="CG Times" w:hAnsi="CG Times"/>
        <w:sz w:val="22"/>
        <w:szCs w:val="22"/>
      </w:rPr>
    </w:pPr>
    <w:r w:rsidRPr="006C3F78">
      <w:rPr>
        <w:rFonts w:ascii="CG Times" w:hAnsi="CG Times"/>
        <w:sz w:val="22"/>
        <w:szCs w:val="22"/>
      </w:rPr>
      <w:fldChar w:fldCharType="begin"/>
    </w:r>
    <w:r w:rsidRPr="006C3F78">
      <w:rPr>
        <w:rFonts w:ascii="CG Times" w:hAnsi="CG Times"/>
        <w:sz w:val="22"/>
        <w:szCs w:val="22"/>
      </w:rPr>
      <w:instrText xml:space="preserve"> PAGE   \* MERGEFORMAT </w:instrText>
    </w:r>
    <w:r w:rsidRPr="006C3F78">
      <w:rPr>
        <w:rFonts w:ascii="CG Times" w:hAnsi="CG Times"/>
        <w:sz w:val="22"/>
        <w:szCs w:val="22"/>
      </w:rPr>
      <w:fldChar w:fldCharType="separate"/>
    </w:r>
    <w:r w:rsidR="005A509F">
      <w:rPr>
        <w:rFonts w:ascii="CG Times" w:hAnsi="CG Times"/>
        <w:noProof/>
        <w:sz w:val="22"/>
        <w:szCs w:val="22"/>
      </w:rPr>
      <w:t>85</w:t>
    </w:r>
    <w:r w:rsidRPr="006C3F7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B6E" w:rsidRDefault="00BE0B6E" w:rsidP="0039754A">
      <w:pPr>
        <w:pStyle w:val="Paragrafi"/>
        <w:rPr>
          <w:rFonts w:cs="Times New Roman"/>
        </w:rPr>
      </w:pPr>
      <w:r>
        <w:rPr>
          <w:rFonts w:cs="Times New Roman"/>
        </w:rPr>
        <w:separator/>
      </w:r>
    </w:p>
  </w:footnote>
  <w:footnote w:type="continuationSeparator" w:id="0">
    <w:p w:rsidR="00BE0B6E" w:rsidRDefault="00BE0B6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5A509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5A50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34E2BDA"/>
    <w:multiLevelType w:val="multilevel"/>
    <w:tmpl w:val="30F49218"/>
    <w:lvl w:ilvl="0">
      <w:start w:val="11"/>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AD3E63"/>
    <w:multiLevelType w:val="hybridMultilevel"/>
    <w:tmpl w:val="A0569264"/>
    <w:lvl w:ilvl="0" w:tplc="5CF20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B9590B"/>
    <w:multiLevelType w:val="hybridMultilevel"/>
    <w:tmpl w:val="FB80E78A"/>
    <w:lvl w:ilvl="0" w:tplc="A41EB91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0111E57"/>
    <w:multiLevelType w:val="multilevel"/>
    <w:tmpl w:val="42B820A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30"/>
  </w:num>
  <w:num w:numId="3">
    <w:abstractNumId w:val="27"/>
  </w:num>
  <w:num w:numId="4">
    <w:abstractNumId w:val="21"/>
  </w:num>
  <w:num w:numId="5">
    <w:abstractNumId w:val="25"/>
  </w:num>
  <w:num w:numId="6">
    <w:abstractNumId w:val="9"/>
  </w:num>
  <w:num w:numId="7">
    <w:abstractNumId w:val="5"/>
  </w:num>
  <w:num w:numId="8">
    <w:abstractNumId w:val="39"/>
  </w:num>
  <w:num w:numId="9">
    <w:abstractNumId w:val="28"/>
  </w:num>
  <w:num w:numId="1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3"/>
  </w:num>
  <w:num w:numId="25">
    <w:abstractNumId w:val="2"/>
  </w:num>
  <w:num w:numId="26">
    <w:abstractNumId w:val="14"/>
  </w:num>
  <w:num w:numId="27">
    <w:abstractNumId w:val="31"/>
  </w:num>
  <w:num w:numId="28">
    <w:abstractNumId w:val="29"/>
  </w:num>
  <w:num w:numId="29">
    <w:abstractNumId w:val="1"/>
  </w:num>
  <w:num w:numId="30">
    <w:abstractNumId w:val="3"/>
  </w:num>
  <w:num w:numId="31">
    <w:abstractNumId w:val="26"/>
  </w:num>
  <w:num w:numId="32">
    <w:abstractNumId w:val="15"/>
  </w:num>
  <w:num w:numId="33">
    <w:abstractNumId w:val="35"/>
  </w:num>
  <w:num w:numId="34">
    <w:abstractNumId w:val="20"/>
  </w:num>
  <w:num w:numId="35">
    <w:abstractNumId w:val="33"/>
  </w:num>
  <w:num w:numId="36">
    <w:abstractNumId w:val="10"/>
  </w:num>
  <w:num w:numId="37">
    <w:abstractNumId w:val="34"/>
  </w:num>
  <w:num w:numId="38">
    <w:abstractNumId w:val="22"/>
  </w:num>
  <w:num w:numId="39">
    <w:abstractNumId w:val="24"/>
  </w:num>
  <w:num w:numId="40">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CA8"/>
    <w:rsid w:val="000452C4"/>
    <w:rsid w:val="00047F8E"/>
    <w:rsid w:val="00051F6B"/>
    <w:rsid w:val="00063840"/>
    <w:rsid w:val="000A484C"/>
    <w:rsid w:val="000B1276"/>
    <w:rsid w:val="000B7C06"/>
    <w:rsid w:val="000C0DEE"/>
    <w:rsid w:val="000C2DD4"/>
    <w:rsid w:val="000C48ED"/>
    <w:rsid w:val="000D0E53"/>
    <w:rsid w:val="000F0AA6"/>
    <w:rsid w:val="0010589D"/>
    <w:rsid w:val="00126F53"/>
    <w:rsid w:val="001302D1"/>
    <w:rsid w:val="00164327"/>
    <w:rsid w:val="001659FA"/>
    <w:rsid w:val="00166468"/>
    <w:rsid w:val="00166C1D"/>
    <w:rsid w:val="001674A9"/>
    <w:rsid w:val="0017023F"/>
    <w:rsid w:val="001900D0"/>
    <w:rsid w:val="00193EA7"/>
    <w:rsid w:val="001A031D"/>
    <w:rsid w:val="001A74C8"/>
    <w:rsid w:val="001C3F35"/>
    <w:rsid w:val="001C613E"/>
    <w:rsid w:val="001D1882"/>
    <w:rsid w:val="001D3C37"/>
    <w:rsid w:val="001D5148"/>
    <w:rsid w:val="001E2E1E"/>
    <w:rsid w:val="001E38D7"/>
    <w:rsid w:val="001E5C59"/>
    <w:rsid w:val="00202EDD"/>
    <w:rsid w:val="00213FDE"/>
    <w:rsid w:val="00233A49"/>
    <w:rsid w:val="002340BC"/>
    <w:rsid w:val="0023604F"/>
    <w:rsid w:val="00240677"/>
    <w:rsid w:val="0024136C"/>
    <w:rsid w:val="00250254"/>
    <w:rsid w:val="00250386"/>
    <w:rsid w:val="00251027"/>
    <w:rsid w:val="00252B9D"/>
    <w:rsid w:val="00253BB4"/>
    <w:rsid w:val="00260E34"/>
    <w:rsid w:val="00260F02"/>
    <w:rsid w:val="0026455A"/>
    <w:rsid w:val="00264E54"/>
    <w:rsid w:val="00265F62"/>
    <w:rsid w:val="00275AA8"/>
    <w:rsid w:val="002B1865"/>
    <w:rsid w:val="002B2A62"/>
    <w:rsid w:val="002C04CF"/>
    <w:rsid w:val="002C5FD0"/>
    <w:rsid w:val="002D5F75"/>
    <w:rsid w:val="002E36E2"/>
    <w:rsid w:val="002E6ED4"/>
    <w:rsid w:val="002F0F14"/>
    <w:rsid w:val="002F733F"/>
    <w:rsid w:val="002F7F23"/>
    <w:rsid w:val="00312E0C"/>
    <w:rsid w:val="003173DE"/>
    <w:rsid w:val="00324FE2"/>
    <w:rsid w:val="00326B0C"/>
    <w:rsid w:val="0033131B"/>
    <w:rsid w:val="00333B05"/>
    <w:rsid w:val="00336587"/>
    <w:rsid w:val="003461B1"/>
    <w:rsid w:val="003620E5"/>
    <w:rsid w:val="00364B73"/>
    <w:rsid w:val="00365EF7"/>
    <w:rsid w:val="00376AA6"/>
    <w:rsid w:val="00381C4C"/>
    <w:rsid w:val="00384EEF"/>
    <w:rsid w:val="0039754A"/>
    <w:rsid w:val="003A7DFC"/>
    <w:rsid w:val="003B2660"/>
    <w:rsid w:val="003B329D"/>
    <w:rsid w:val="003C6488"/>
    <w:rsid w:val="003C7C6D"/>
    <w:rsid w:val="003D09AD"/>
    <w:rsid w:val="003D44CD"/>
    <w:rsid w:val="003D7931"/>
    <w:rsid w:val="003E3217"/>
    <w:rsid w:val="003E71C1"/>
    <w:rsid w:val="003F4FF5"/>
    <w:rsid w:val="004101E2"/>
    <w:rsid w:val="00412C02"/>
    <w:rsid w:val="00412F60"/>
    <w:rsid w:val="00415B46"/>
    <w:rsid w:val="00435581"/>
    <w:rsid w:val="00442AED"/>
    <w:rsid w:val="00445DB3"/>
    <w:rsid w:val="0045042C"/>
    <w:rsid w:val="00462CC4"/>
    <w:rsid w:val="00463F40"/>
    <w:rsid w:val="004648FB"/>
    <w:rsid w:val="00464CA3"/>
    <w:rsid w:val="00465BCD"/>
    <w:rsid w:val="00467135"/>
    <w:rsid w:val="0047319F"/>
    <w:rsid w:val="004865DE"/>
    <w:rsid w:val="00492179"/>
    <w:rsid w:val="00496D6B"/>
    <w:rsid w:val="004A730B"/>
    <w:rsid w:val="004A7528"/>
    <w:rsid w:val="004C340A"/>
    <w:rsid w:val="004C415A"/>
    <w:rsid w:val="004E0A6A"/>
    <w:rsid w:val="004E3462"/>
    <w:rsid w:val="004E73A9"/>
    <w:rsid w:val="004F35B2"/>
    <w:rsid w:val="004F43A3"/>
    <w:rsid w:val="00501C46"/>
    <w:rsid w:val="0050543B"/>
    <w:rsid w:val="00507BAC"/>
    <w:rsid w:val="00522CBF"/>
    <w:rsid w:val="00523391"/>
    <w:rsid w:val="00535A6F"/>
    <w:rsid w:val="005367F6"/>
    <w:rsid w:val="005414D6"/>
    <w:rsid w:val="00545204"/>
    <w:rsid w:val="0055563F"/>
    <w:rsid w:val="00563AC4"/>
    <w:rsid w:val="005660E4"/>
    <w:rsid w:val="00572063"/>
    <w:rsid w:val="0057561B"/>
    <w:rsid w:val="005929B2"/>
    <w:rsid w:val="00595D7E"/>
    <w:rsid w:val="005A509F"/>
    <w:rsid w:val="005B1711"/>
    <w:rsid w:val="005B7541"/>
    <w:rsid w:val="005C4F71"/>
    <w:rsid w:val="005D0E1E"/>
    <w:rsid w:val="005D6D71"/>
    <w:rsid w:val="005F352C"/>
    <w:rsid w:val="006014C6"/>
    <w:rsid w:val="00613502"/>
    <w:rsid w:val="00616588"/>
    <w:rsid w:val="00622F48"/>
    <w:rsid w:val="0063243F"/>
    <w:rsid w:val="00641636"/>
    <w:rsid w:val="00655C69"/>
    <w:rsid w:val="0065652B"/>
    <w:rsid w:val="006605C1"/>
    <w:rsid w:val="0067465B"/>
    <w:rsid w:val="006A717A"/>
    <w:rsid w:val="006B512B"/>
    <w:rsid w:val="006C0483"/>
    <w:rsid w:val="006C3F78"/>
    <w:rsid w:val="006D18C3"/>
    <w:rsid w:val="006D34FE"/>
    <w:rsid w:val="006E2816"/>
    <w:rsid w:val="00724D1E"/>
    <w:rsid w:val="00726052"/>
    <w:rsid w:val="0072716A"/>
    <w:rsid w:val="007328B9"/>
    <w:rsid w:val="00740FC3"/>
    <w:rsid w:val="0074584B"/>
    <w:rsid w:val="007608B2"/>
    <w:rsid w:val="00760BD9"/>
    <w:rsid w:val="00772129"/>
    <w:rsid w:val="007724DD"/>
    <w:rsid w:val="007725D2"/>
    <w:rsid w:val="00776BCA"/>
    <w:rsid w:val="00796E36"/>
    <w:rsid w:val="00797FBC"/>
    <w:rsid w:val="007A32CB"/>
    <w:rsid w:val="007D0E6E"/>
    <w:rsid w:val="007D2A90"/>
    <w:rsid w:val="007E1A4A"/>
    <w:rsid w:val="007F7CCE"/>
    <w:rsid w:val="00807FEB"/>
    <w:rsid w:val="0082201D"/>
    <w:rsid w:val="008302C9"/>
    <w:rsid w:val="00845DBF"/>
    <w:rsid w:val="00845DD0"/>
    <w:rsid w:val="00851394"/>
    <w:rsid w:val="0085486D"/>
    <w:rsid w:val="008656BD"/>
    <w:rsid w:val="00865ED3"/>
    <w:rsid w:val="00866A94"/>
    <w:rsid w:val="0088207C"/>
    <w:rsid w:val="008E4EC7"/>
    <w:rsid w:val="009230C0"/>
    <w:rsid w:val="00937314"/>
    <w:rsid w:val="009437E4"/>
    <w:rsid w:val="00944715"/>
    <w:rsid w:val="00947EE5"/>
    <w:rsid w:val="00951404"/>
    <w:rsid w:val="0095190A"/>
    <w:rsid w:val="00961715"/>
    <w:rsid w:val="0096282A"/>
    <w:rsid w:val="009A313E"/>
    <w:rsid w:val="009C6DDA"/>
    <w:rsid w:val="009E0C71"/>
    <w:rsid w:val="00A0512E"/>
    <w:rsid w:val="00A2170E"/>
    <w:rsid w:val="00A34CAF"/>
    <w:rsid w:val="00A519B3"/>
    <w:rsid w:val="00A604C0"/>
    <w:rsid w:val="00A61355"/>
    <w:rsid w:val="00A97B2C"/>
    <w:rsid w:val="00AA78E9"/>
    <w:rsid w:val="00AB7595"/>
    <w:rsid w:val="00AC06B8"/>
    <w:rsid w:val="00AC76A2"/>
    <w:rsid w:val="00AD1795"/>
    <w:rsid w:val="00AE0191"/>
    <w:rsid w:val="00AE7784"/>
    <w:rsid w:val="00AF2825"/>
    <w:rsid w:val="00AF6F98"/>
    <w:rsid w:val="00B0355A"/>
    <w:rsid w:val="00B0651D"/>
    <w:rsid w:val="00B06D47"/>
    <w:rsid w:val="00B166A2"/>
    <w:rsid w:val="00B2034C"/>
    <w:rsid w:val="00B23644"/>
    <w:rsid w:val="00B3449A"/>
    <w:rsid w:val="00B35DA6"/>
    <w:rsid w:val="00B43F26"/>
    <w:rsid w:val="00B511D2"/>
    <w:rsid w:val="00B52BF9"/>
    <w:rsid w:val="00B61BD3"/>
    <w:rsid w:val="00B90FE3"/>
    <w:rsid w:val="00BA12AE"/>
    <w:rsid w:val="00BA4D1D"/>
    <w:rsid w:val="00BB2F69"/>
    <w:rsid w:val="00BB6203"/>
    <w:rsid w:val="00BC33AD"/>
    <w:rsid w:val="00BD5E94"/>
    <w:rsid w:val="00BE0B6E"/>
    <w:rsid w:val="00BE1B84"/>
    <w:rsid w:val="00BF5FAA"/>
    <w:rsid w:val="00C00ED5"/>
    <w:rsid w:val="00C03B38"/>
    <w:rsid w:val="00C06B73"/>
    <w:rsid w:val="00C172B4"/>
    <w:rsid w:val="00C176C1"/>
    <w:rsid w:val="00C21EF2"/>
    <w:rsid w:val="00C32B54"/>
    <w:rsid w:val="00C71B4C"/>
    <w:rsid w:val="00C73B84"/>
    <w:rsid w:val="00C94DD8"/>
    <w:rsid w:val="00CA38C3"/>
    <w:rsid w:val="00CA46B1"/>
    <w:rsid w:val="00CC54BF"/>
    <w:rsid w:val="00CD1411"/>
    <w:rsid w:val="00CD2E8F"/>
    <w:rsid w:val="00CF689A"/>
    <w:rsid w:val="00CF7D78"/>
    <w:rsid w:val="00D11A74"/>
    <w:rsid w:val="00D34BF9"/>
    <w:rsid w:val="00D55ED5"/>
    <w:rsid w:val="00D60DFA"/>
    <w:rsid w:val="00D634DC"/>
    <w:rsid w:val="00D71899"/>
    <w:rsid w:val="00D76E7C"/>
    <w:rsid w:val="00D921B7"/>
    <w:rsid w:val="00D964BA"/>
    <w:rsid w:val="00DB3D2B"/>
    <w:rsid w:val="00DC5099"/>
    <w:rsid w:val="00DC551D"/>
    <w:rsid w:val="00DC5B55"/>
    <w:rsid w:val="00DD08B9"/>
    <w:rsid w:val="00DD1C91"/>
    <w:rsid w:val="00DF1CE6"/>
    <w:rsid w:val="00DF5E43"/>
    <w:rsid w:val="00DF6FCE"/>
    <w:rsid w:val="00E02E77"/>
    <w:rsid w:val="00E123D1"/>
    <w:rsid w:val="00E15390"/>
    <w:rsid w:val="00E1606B"/>
    <w:rsid w:val="00E27FD6"/>
    <w:rsid w:val="00E321C8"/>
    <w:rsid w:val="00E46C1E"/>
    <w:rsid w:val="00E51779"/>
    <w:rsid w:val="00E70838"/>
    <w:rsid w:val="00E766C1"/>
    <w:rsid w:val="00E802C4"/>
    <w:rsid w:val="00E81EAB"/>
    <w:rsid w:val="00E8727E"/>
    <w:rsid w:val="00EA7FB1"/>
    <w:rsid w:val="00EB3D92"/>
    <w:rsid w:val="00ED2133"/>
    <w:rsid w:val="00EE1242"/>
    <w:rsid w:val="00EF522A"/>
    <w:rsid w:val="00EF68CF"/>
    <w:rsid w:val="00F02A7C"/>
    <w:rsid w:val="00F17FD5"/>
    <w:rsid w:val="00F26B84"/>
    <w:rsid w:val="00F41E09"/>
    <w:rsid w:val="00F46753"/>
    <w:rsid w:val="00F46F1C"/>
    <w:rsid w:val="00F52754"/>
    <w:rsid w:val="00F75CEA"/>
    <w:rsid w:val="00F81AC2"/>
    <w:rsid w:val="00F823DD"/>
    <w:rsid w:val="00F93223"/>
    <w:rsid w:val="00F97A4A"/>
    <w:rsid w:val="00FA48F7"/>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2EBA6B-74DF-4D61-8484-6C1BC62C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character" w:customStyle="1" w:styleId="BodyTextIndentChar">
    <w:name w:val="Body Text Indent Char"/>
    <w:basedOn w:val="DefaultParagraphFont"/>
    <w:link w:val="BodyTextIndent"/>
    <w:rsid w:val="005556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12797</Words>
  <Characters>72949</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2014-01-29T13:56:00Z</cp:lastPrinted>
  <dcterms:created xsi:type="dcterms:W3CDTF">2019-02-16T12:15:00Z</dcterms:created>
  <dcterms:modified xsi:type="dcterms:W3CDTF">2019-02-16T12:15:00Z</dcterms:modified>
</cp:coreProperties>
</file>