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F48" w:rsidRPr="00B56DAA" w:rsidRDefault="00E172D9" w:rsidP="00E172D9">
      <w:pPr>
        <w:pStyle w:val="NeniTitull"/>
        <w:rPr>
          <w:lang w:val="sq-AL"/>
        </w:rPr>
      </w:pPr>
      <w:r w:rsidRPr="00B56DAA">
        <w:rPr>
          <w:lang w:val="sq-AL"/>
        </w:rPr>
        <w:t>UDHËZIM</w:t>
      </w:r>
    </w:p>
    <w:p w:rsidR="00AB3F48" w:rsidRPr="00B56DAA" w:rsidRDefault="0046105A" w:rsidP="00E172D9">
      <w:pPr>
        <w:pStyle w:val="NeniTitull"/>
        <w:rPr>
          <w:lang w:val="sq-AL"/>
        </w:rPr>
      </w:pPr>
      <w:r>
        <w:rPr>
          <w:lang w:val="sq-AL"/>
        </w:rPr>
        <w:t xml:space="preserve">Nr. </w:t>
      </w:r>
      <w:r w:rsidR="007A7F17" w:rsidRPr="00B56DAA">
        <w:rPr>
          <w:lang w:val="sq-AL"/>
        </w:rPr>
        <w:t>5</w:t>
      </w:r>
      <w:r w:rsidR="00AB3F48" w:rsidRPr="00B56DAA">
        <w:rPr>
          <w:lang w:val="sq-AL"/>
        </w:rPr>
        <w:t xml:space="preserve">, datë </w:t>
      </w:r>
      <w:r w:rsidR="007A7F17" w:rsidRPr="00B56DAA">
        <w:rPr>
          <w:lang w:val="sq-AL"/>
        </w:rPr>
        <w:t>7.4.2016</w:t>
      </w:r>
    </w:p>
    <w:p w:rsidR="00AB3F48" w:rsidRPr="00B56DAA" w:rsidRDefault="00AB3F48" w:rsidP="00B06E9F">
      <w:pPr>
        <w:pStyle w:val="Hapesira7"/>
        <w:rPr>
          <w:lang w:val="sq-AL"/>
        </w:rPr>
      </w:pPr>
    </w:p>
    <w:p w:rsidR="009560D3" w:rsidRDefault="00AB3F48" w:rsidP="00E172D9">
      <w:pPr>
        <w:pStyle w:val="NeniTitull"/>
        <w:rPr>
          <w:lang w:val="sq-AL"/>
        </w:rPr>
      </w:pPr>
      <w:r w:rsidRPr="00B56DAA">
        <w:rPr>
          <w:lang w:val="sq-AL"/>
        </w:rPr>
        <w:t xml:space="preserve">PËR </w:t>
      </w:r>
      <w:r w:rsidR="00B56DAA" w:rsidRPr="00B56DAA">
        <w:rPr>
          <w:lang w:val="sq-AL"/>
        </w:rPr>
        <w:t>NDRYSHIMIN</w:t>
      </w:r>
      <w:r w:rsidRPr="00B56DAA">
        <w:rPr>
          <w:lang w:val="sq-AL"/>
        </w:rPr>
        <w:t xml:space="preserve"> E UDHËZIMIT </w:t>
      </w:r>
    </w:p>
    <w:p w:rsidR="00AB3F48" w:rsidRPr="00B56DAA" w:rsidRDefault="0046105A" w:rsidP="00E172D9">
      <w:pPr>
        <w:pStyle w:val="NeniTitull"/>
        <w:rPr>
          <w:lang w:val="sq-AL"/>
        </w:rPr>
      </w:pPr>
      <w:r>
        <w:rPr>
          <w:lang w:val="sq-AL"/>
        </w:rPr>
        <w:t xml:space="preserve">NR. </w:t>
      </w:r>
      <w:r w:rsidR="00AB3F48" w:rsidRPr="00B56DAA">
        <w:rPr>
          <w:lang w:val="sq-AL"/>
        </w:rPr>
        <w:t>5</w:t>
      </w:r>
      <w:r w:rsidR="00BA66CF">
        <w:rPr>
          <w:lang w:val="sq-AL"/>
        </w:rPr>
        <w:t>,</w:t>
      </w:r>
      <w:r w:rsidR="00AB3F48" w:rsidRPr="00B56DAA">
        <w:rPr>
          <w:lang w:val="sq-AL"/>
        </w:rPr>
        <w:t xml:space="preserve"> DATË 12.2.2012</w:t>
      </w:r>
      <w:r w:rsidR="00B56DAA">
        <w:rPr>
          <w:lang w:val="sq-AL"/>
        </w:rPr>
        <w:t>,</w:t>
      </w:r>
      <w:r w:rsidR="00AB3F48" w:rsidRPr="00B56DAA">
        <w:rPr>
          <w:lang w:val="sq-AL"/>
        </w:rPr>
        <w:t xml:space="preserve"> “PËR SASITË E TREGTUESHME TË MATERIALIT MBJELLËS DHE SHUMËZUES BIMOR, VARIETETI I TË CILIT ËSHTË NË PROCES REGJISTRIMI NË KATALOGUN KOMBËTAR, SI DHE PËR FORMËN DHE PËRMBAJTJEN E KËRKESËS PËR AUTORIZIMIN E IMPORTIT TË MATERIALIT MBJELLËS DHE SHUMËZUES BIMOR TË CERTIFIKUAR JO PËRFUNDIMISHT OSE NË PROCES REGJISTRIMI NË KATALOGUN KOMBËTAR”</w:t>
      </w:r>
    </w:p>
    <w:p w:rsidR="00E172D9" w:rsidRPr="00B56DAA" w:rsidRDefault="00E172D9" w:rsidP="00B06E9F">
      <w:pPr>
        <w:pStyle w:val="Hapesira7"/>
        <w:rPr>
          <w:lang w:val="sq-AL"/>
        </w:rPr>
      </w:pPr>
    </w:p>
    <w:p w:rsidR="00AB3F48" w:rsidRPr="00B56DAA" w:rsidRDefault="00AB3F48" w:rsidP="00E172D9">
      <w:pPr>
        <w:pStyle w:val="Paragrafi"/>
        <w:rPr>
          <w:lang w:val="sq-AL"/>
        </w:rPr>
      </w:pPr>
      <w:r w:rsidRPr="00B56DAA">
        <w:rPr>
          <w:lang w:val="sq-AL"/>
        </w:rPr>
        <w:t>Në mbështetje të nenit 102</w:t>
      </w:r>
      <w:r w:rsidR="00B56DAA">
        <w:rPr>
          <w:lang w:val="sq-AL"/>
        </w:rPr>
        <w:t>,</w:t>
      </w:r>
      <w:r w:rsidRPr="00B56DAA">
        <w:rPr>
          <w:lang w:val="sq-AL"/>
        </w:rPr>
        <w:t xml:space="preserve"> pika 4</w:t>
      </w:r>
      <w:r w:rsidR="00B56DAA">
        <w:rPr>
          <w:lang w:val="sq-AL"/>
        </w:rPr>
        <w:t>,</w:t>
      </w:r>
      <w:r w:rsidRPr="00B56DAA">
        <w:rPr>
          <w:lang w:val="sq-AL"/>
        </w:rPr>
        <w:t xml:space="preserve"> të Kushtetutës, pikës 3 të nenit 6, pikës 4 të nenit 10</w:t>
      </w:r>
      <w:r w:rsidR="00B56DAA">
        <w:rPr>
          <w:lang w:val="sq-AL"/>
        </w:rPr>
        <w:t>,</w:t>
      </w:r>
      <w:r w:rsidRPr="00B56DAA">
        <w:rPr>
          <w:lang w:val="sq-AL"/>
        </w:rPr>
        <w:t xml:space="preserve"> dhe pikës 4 të nenit 26</w:t>
      </w:r>
      <w:r w:rsidR="00B56DAA">
        <w:rPr>
          <w:lang w:val="sq-AL"/>
        </w:rPr>
        <w:t>,</w:t>
      </w:r>
      <w:r w:rsidRPr="00B56DAA">
        <w:rPr>
          <w:lang w:val="sq-AL"/>
        </w:rPr>
        <w:t xml:space="preserve"> të ligjit </w:t>
      </w:r>
      <w:r w:rsidR="0046105A">
        <w:rPr>
          <w:lang w:val="sq-AL"/>
        </w:rPr>
        <w:t xml:space="preserve">nr. </w:t>
      </w:r>
      <w:r w:rsidRPr="00B56DAA">
        <w:rPr>
          <w:lang w:val="sq-AL"/>
        </w:rPr>
        <w:t>10 416, datë 7.4.2011</w:t>
      </w:r>
      <w:r w:rsidR="00B56DAA">
        <w:rPr>
          <w:lang w:val="sq-AL"/>
        </w:rPr>
        <w:t>,</w:t>
      </w:r>
      <w:r w:rsidRPr="00B56DAA">
        <w:rPr>
          <w:lang w:val="sq-AL"/>
        </w:rPr>
        <w:t xml:space="preserve"> “Për materialin mbjellës dhe shumëzues bimor”, me propozim të Drejtorisë së Prodhimit Bujqësor e </w:t>
      </w:r>
      <w:r w:rsidR="00B56DAA" w:rsidRPr="00B56DAA">
        <w:rPr>
          <w:lang w:val="sq-AL"/>
        </w:rPr>
        <w:t>Blegtoral</w:t>
      </w:r>
      <w:r w:rsidRPr="00B56DAA">
        <w:rPr>
          <w:lang w:val="sq-AL"/>
        </w:rPr>
        <w:t xml:space="preserve"> dhe Entit Shtetëror të Farave dhe Fidanëve,</w:t>
      </w:r>
    </w:p>
    <w:p w:rsidR="00B06E9F" w:rsidRPr="00B56DAA" w:rsidRDefault="00B06E9F" w:rsidP="00B06E9F">
      <w:pPr>
        <w:pStyle w:val="Hapesira7"/>
        <w:rPr>
          <w:lang w:val="sq-AL"/>
        </w:rPr>
      </w:pPr>
    </w:p>
    <w:p w:rsidR="00AB3F48" w:rsidRPr="00B56DAA" w:rsidRDefault="00AB3F48" w:rsidP="00E172D9">
      <w:pPr>
        <w:pStyle w:val="NeniNr"/>
        <w:rPr>
          <w:lang w:val="sq-AL"/>
        </w:rPr>
      </w:pPr>
      <w:r w:rsidRPr="00B56DAA">
        <w:rPr>
          <w:lang w:val="sq-AL"/>
        </w:rPr>
        <w:t>UDHËZOJ:</w:t>
      </w:r>
    </w:p>
    <w:p w:rsidR="00AB3F48" w:rsidRPr="00B56DAA" w:rsidRDefault="00AB3F48" w:rsidP="00B06E9F">
      <w:pPr>
        <w:pStyle w:val="Hapesira7"/>
        <w:rPr>
          <w:lang w:val="sq-AL"/>
        </w:rPr>
      </w:pPr>
    </w:p>
    <w:p w:rsidR="00AB3F48" w:rsidRPr="00B56DAA" w:rsidRDefault="00AB3F48" w:rsidP="00E172D9">
      <w:pPr>
        <w:pStyle w:val="Paragrafi"/>
        <w:rPr>
          <w:lang w:val="sq-AL"/>
        </w:rPr>
      </w:pPr>
      <w:r w:rsidRPr="00B56DAA">
        <w:rPr>
          <w:lang w:val="sq-AL"/>
        </w:rPr>
        <w:t xml:space="preserve">Në </w:t>
      </w:r>
      <w:r w:rsidR="00E172D9" w:rsidRPr="00B56DAA">
        <w:rPr>
          <w:lang w:val="sq-AL"/>
        </w:rPr>
        <w:t>u</w:t>
      </w:r>
      <w:r w:rsidRPr="00B56DAA">
        <w:rPr>
          <w:lang w:val="sq-AL"/>
        </w:rPr>
        <w:t xml:space="preserve">dhëzimin </w:t>
      </w:r>
      <w:r w:rsidR="0046105A">
        <w:rPr>
          <w:lang w:val="sq-AL"/>
        </w:rPr>
        <w:t xml:space="preserve">nr. </w:t>
      </w:r>
      <w:r w:rsidRPr="00B56DAA">
        <w:rPr>
          <w:lang w:val="sq-AL"/>
        </w:rPr>
        <w:t>5</w:t>
      </w:r>
      <w:r w:rsidR="009560D3">
        <w:rPr>
          <w:lang w:val="sq-AL"/>
        </w:rPr>
        <w:t>,</w:t>
      </w:r>
      <w:r w:rsidRPr="00B56DAA">
        <w:rPr>
          <w:lang w:val="sq-AL"/>
        </w:rPr>
        <w:t xml:space="preserve"> datë 12.2.2012</w:t>
      </w:r>
      <w:r w:rsidR="00B56DAA">
        <w:rPr>
          <w:lang w:val="sq-AL"/>
        </w:rPr>
        <w:t>,</w:t>
      </w:r>
      <w:r w:rsidRPr="00B56DAA">
        <w:rPr>
          <w:lang w:val="sq-AL"/>
        </w:rPr>
        <w:t xml:space="preserve"> “Për sasitë e tregtueshme të materialit mbjellës dhe shumëzues bimor, varieteti i të cilit është në proces regjistrimi në katalogun kombëtar, si dhe për formën dhe përmbajtjen e kërkesës për </w:t>
      </w:r>
      <w:r w:rsidRPr="00B56DAA">
        <w:rPr>
          <w:lang w:val="sq-AL"/>
        </w:rPr>
        <w:lastRenderedPageBreak/>
        <w:t>autorizimin e importit të materialit mbjellës dhe shumëzues bimor të certifikuar jo përfundimisht ose në proces regjistrimi në katalogun kombëtar”, bëhen ndryshime</w:t>
      </w:r>
      <w:r w:rsidR="009560D3">
        <w:rPr>
          <w:lang w:val="sq-AL"/>
        </w:rPr>
        <w:t>t</w:t>
      </w:r>
      <w:r w:rsidRPr="00B56DAA">
        <w:rPr>
          <w:lang w:val="sq-AL"/>
        </w:rPr>
        <w:t xml:space="preserve"> e shtesa</w:t>
      </w:r>
      <w:r w:rsidR="009560D3">
        <w:rPr>
          <w:lang w:val="sq-AL"/>
        </w:rPr>
        <w:t>t</w:t>
      </w:r>
      <w:r w:rsidRPr="00B56DAA">
        <w:rPr>
          <w:lang w:val="sq-AL"/>
        </w:rPr>
        <w:t xml:space="preserve"> si vijon:</w:t>
      </w:r>
    </w:p>
    <w:p w:rsidR="00AB3F48" w:rsidRPr="00B56DAA" w:rsidRDefault="00E172D9" w:rsidP="00E172D9">
      <w:pPr>
        <w:pStyle w:val="Paragrafi"/>
        <w:rPr>
          <w:lang w:val="sq-AL"/>
        </w:rPr>
      </w:pPr>
      <w:r w:rsidRPr="00B56DAA">
        <w:rPr>
          <w:lang w:val="sq-AL"/>
        </w:rPr>
        <w:t xml:space="preserve">1. </w:t>
      </w:r>
      <w:r w:rsidR="00AB3F48" w:rsidRPr="00B56DAA">
        <w:rPr>
          <w:lang w:val="sq-AL"/>
        </w:rPr>
        <w:t>Sasia maksimale e materialit mbjellës dhe shumëzues bimor të varieteteve të bimëve bujqësore</w:t>
      </w:r>
      <w:r w:rsidR="00867DDC">
        <w:rPr>
          <w:lang w:val="sq-AL"/>
        </w:rPr>
        <w:t>,</w:t>
      </w:r>
      <w:r w:rsidR="00AB3F48" w:rsidRPr="00B56DAA">
        <w:rPr>
          <w:lang w:val="sq-AL"/>
        </w:rPr>
        <w:t xml:space="preserve"> që konsiderohet mostër për kontrolle zyrtare mbikëqyrëse, për qëllime shkencore, për punë seleksionuese varietore dhe për ruajtjen e materialit gjenetik është dhënë në tabelën e aneksit 1 bashkëlidhur këtij udhëzimi.</w:t>
      </w:r>
    </w:p>
    <w:p w:rsidR="00AB3F48" w:rsidRPr="00B56DAA" w:rsidRDefault="00E172D9" w:rsidP="00E172D9">
      <w:pPr>
        <w:pStyle w:val="Paragrafi"/>
        <w:rPr>
          <w:lang w:val="sq-AL"/>
        </w:rPr>
      </w:pPr>
      <w:r w:rsidRPr="00B56DAA">
        <w:rPr>
          <w:lang w:val="sq-AL"/>
        </w:rPr>
        <w:t xml:space="preserve">2. </w:t>
      </w:r>
      <w:r w:rsidR="00AB3F48" w:rsidRPr="00B56DAA">
        <w:rPr>
          <w:lang w:val="sq-AL"/>
        </w:rPr>
        <w:t xml:space="preserve">Aneksi </w:t>
      </w:r>
      <w:r w:rsidR="0046105A">
        <w:rPr>
          <w:lang w:val="sq-AL"/>
        </w:rPr>
        <w:t xml:space="preserve">nr. </w:t>
      </w:r>
      <w:r w:rsidR="00AB3F48" w:rsidRPr="00B56DAA">
        <w:rPr>
          <w:lang w:val="sq-AL"/>
        </w:rPr>
        <w:t xml:space="preserve">1 i </w:t>
      </w:r>
      <w:r w:rsidRPr="00B56DAA">
        <w:rPr>
          <w:lang w:val="sq-AL"/>
        </w:rPr>
        <w:t>u</w:t>
      </w:r>
      <w:r w:rsidR="00AB3F48" w:rsidRPr="00B56DAA">
        <w:rPr>
          <w:lang w:val="sq-AL"/>
        </w:rPr>
        <w:t xml:space="preserve">dhëzimit </w:t>
      </w:r>
      <w:r w:rsidR="0046105A">
        <w:rPr>
          <w:lang w:val="sq-AL"/>
        </w:rPr>
        <w:t xml:space="preserve">nr. </w:t>
      </w:r>
      <w:r w:rsidR="00AB3F48" w:rsidRPr="00B56DAA">
        <w:rPr>
          <w:lang w:val="sq-AL"/>
        </w:rPr>
        <w:t>5</w:t>
      </w:r>
      <w:r w:rsidR="00867DDC">
        <w:rPr>
          <w:lang w:val="sq-AL"/>
        </w:rPr>
        <w:t>,</w:t>
      </w:r>
      <w:r w:rsidR="00AB3F48" w:rsidRPr="00B56DAA">
        <w:rPr>
          <w:lang w:val="sq-AL"/>
        </w:rPr>
        <w:t xml:space="preserve"> datë</w:t>
      </w:r>
      <w:r w:rsidRPr="00B56DAA">
        <w:rPr>
          <w:lang w:val="sq-AL"/>
        </w:rPr>
        <w:t xml:space="preserve"> 16.</w:t>
      </w:r>
      <w:r w:rsidR="00AB3F48" w:rsidRPr="00B56DAA">
        <w:rPr>
          <w:lang w:val="sq-AL"/>
        </w:rPr>
        <w:t>2.2012</w:t>
      </w:r>
      <w:r w:rsidR="00B56DAA">
        <w:rPr>
          <w:lang w:val="sq-AL"/>
        </w:rPr>
        <w:t>,</w:t>
      </w:r>
      <w:r w:rsidR="00AB3F48" w:rsidRPr="00B56DAA">
        <w:rPr>
          <w:lang w:val="sq-AL"/>
        </w:rPr>
        <w:t xml:space="preserve"> “Për sasitë e tregtueshme të materialit mbjellës dhe shumëzues bimor, varieteti i të cilit është në proces regjistrimi në katalogun kombëtar, si dhe për formën dhe përmbajtjen e kërkesës për autorizimin e importit të materialit mbjellës dhe shumëzues bimor të certifikuar jo përfundimisht ose në proces regjistrimi në Katalogun Kombëtar”</w:t>
      </w:r>
      <w:r w:rsidR="00867DDC">
        <w:rPr>
          <w:lang w:val="sq-AL"/>
        </w:rPr>
        <w:t>,</w:t>
      </w:r>
      <w:r w:rsidR="00AB3F48" w:rsidRPr="00B56DAA">
        <w:rPr>
          <w:lang w:val="sq-AL"/>
        </w:rPr>
        <w:t xml:space="preserve"> shfuqizohet.</w:t>
      </w:r>
    </w:p>
    <w:p w:rsidR="00AB3F48" w:rsidRPr="00B56DAA" w:rsidRDefault="00E172D9" w:rsidP="00E172D9">
      <w:pPr>
        <w:pStyle w:val="Paragrafi"/>
        <w:rPr>
          <w:lang w:val="sq-AL"/>
        </w:rPr>
      </w:pPr>
      <w:r w:rsidRPr="00B56DAA">
        <w:rPr>
          <w:lang w:val="sq-AL"/>
        </w:rPr>
        <w:t xml:space="preserve">3. </w:t>
      </w:r>
      <w:r w:rsidR="00AB3F48" w:rsidRPr="00B56DAA">
        <w:rPr>
          <w:lang w:val="sq-AL"/>
        </w:rPr>
        <w:t>Për zbatimin e këtij udhëzimi ngarkohen Enti Shtetëror i Farave dhe Fidanëve, si dhe Autoriteti Kombëtarë i Ushqimit.</w:t>
      </w:r>
    </w:p>
    <w:p w:rsidR="00AB3F48" w:rsidRPr="00B56DAA" w:rsidRDefault="00AB3F48" w:rsidP="00837CE6">
      <w:pPr>
        <w:pStyle w:val="Paragrafi"/>
        <w:rPr>
          <w:lang w:val="sq-AL"/>
        </w:rPr>
      </w:pPr>
      <w:r w:rsidRPr="00B56DAA">
        <w:rPr>
          <w:lang w:val="sq-AL"/>
        </w:rPr>
        <w:t>Ky udhëzim hyn në fuqi me botimin në Fletoren Zyrtare.</w:t>
      </w:r>
    </w:p>
    <w:p w:rsidR="00E172D9" w:rsidRPr="00B56DAA" w:rsidRDefault="00E172D9" w:rsidP="00B06E9F">
      <w:pPr>
        <w:pStyle w:val="Hapesira7"/>
        <w:rPr>
          <w:lang w:val="sq-AL"/>
        </w:rPr>
      </w:pPr>
    </w:p>
    <w:p w:rsidR="00F308FA" w:rsidRDefault="00E172D9" w:rsidP="00E172D9">
      <w:pPr>
        <w:pStyle w:val="Paragrafi"/>
        <w:jc w:val="right"/>
        <w:rPr>
          <w:lang w:val="sq-AL"/>
        </w:rPr>
      </w:pPr>
      <w:r w:rsidRPr="00B56DAA">
        <w:rPr>
          <w:lang w:val="sq-AL"/>
        </w:rPr>
        <w:t>MINISTRI I BUJQËSISË,</w:t>
      </w:r>
    </w:p>
    <w:p w:rsidR="00E172D9" w:rsidRPr="00B56DAA" w:rsidRDefault="00E172D9" w:rsidP="00E172D9">
      <w:pPr>
        <w:pStyle w:val="Paragrafi"/>
        <w:jc w:val="right"/>
        <w:rPr>
          <w:lang w:val="sq-AL"/>
        </w:rPr>
      </w:pPr>
      <w:r w:rsidRPr="00B56DAA">
        <w:rPr>
          <w:lang w:val="sq-AL"/>
        </w:rPr>
        <w:t xml:space="preserve"> ZHVILLIMIT RURAL </w:t>
      </w:r>
    </w:p>
    <w:p w:rsidR="00E172D9" w:rsidRPr="00B56DAA" w:rsidRDefault="00E172D9" w:rsidP="00E172D9">
      <w:pPr>
        <w:pStyle w:val="Paragrafi"/>
        <w:jc w:val="right"/>
        <w:rPr>
          <w:lang w:val="sq-AL"/>
        </w:rPr>
      </w:pPr>
      <w:r w:rsidRPr="00B56DAA">
        <w:rPr>
          <w:lang w:val="sq-AL"/>
        </w:rPr>
        <w:t>DHE ADMINISTRIMIT TË UJËRAVE</w:t>
      </w:r>
    </w:p>
    <w:p w:rsidR="00E172D9" w:rsidRPr="00B56DAA" w:rsidRDefault="00E172D9" w:rsidP="00E172D9">
      <w:pPr>
        <w:pStyle w:val="Paragrafi"/>
        <w:jc w:val="right"/>
        <w:rPr>
          <w:b/>
          <w:lang w:val="sq-AL"/>
        </w:rPr>
      </w:pPr>
      <w:r w:rsidRPr="00B56DAA">
        <w:rPr>
          <w:b/>
          <w:lang w:val="sq-AL"/>
        </w:rPr>
        <w:t>Edmond Panariti</w:t>
      </w:r>
    </w:p>
    <w:p w:rsidR="00F308FA" w:rsidRDefault="00F308FA" w:rsidP="00E172D9">
      <w:pPr>
        <w:pStyle w:val="Paragrafi"/>
        <w:ind w:firstLine="0"/>
        <w:rPr>
          <w:lang w:val="sq-AL"/>
        </w:rPr>
        <w:sectPr w:rsidR="00F308FA" w:rsidSect="002456E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185"/>
          <w:cols w:num="2" w:space="488"/>
          <w:docGrid w:linePitch="360"/>
        </w:sectPr>
      </w:pPr>
    </w:p>
    <w:p w:rsidR="00AB3F48" w:rsidRPr="00B56DAA" w:rsidRDefault="00AB3F48" w:rsidP="00E172D9">
      <w:pPr>
        <w:pStyle w:val="Paragrafi"/>
        <w:ind w:firstLine="0"/>
        <w:rPr>
          <w:lang w:val="sq-AL"/>
        </w:rPr>
      </w:pPr>
    </w:p>
    <w:p w:rsidR="00AB3F48" w:rsidRPr="00C277DC" w:rsidRDefault="00AB3F48" w:rsidP="00E172D9">
      <w:pPr>
        <w:pStyle w:val="Paragrafi"/>
        <w:jc w:val="center"/>
        <w:rPr>
          <w:lang w:val="sq-AL"/>
        </w:rPr>
      </w:pPr>
      <w:r w:rsidRPr="00C277DC">
        <w:rPr>
          <w:lang w:val="sq-AL"/>
        </w:rPr>
        <w:t>ANEKSI I</w:t>
      </w:r>
    </w:p>
    <w:p w:rsidR="00AB3F48" w:rsidRPr="00C277DC" w:rsidRDefault="00AB3F48" w:rsidP="00E172D9">
      <w:pPr>
        <w:pStyle w:val="Paragrafi"/>
        <w:jc w:val="center"/>
        <w:rPr>
          <w:lang w:val="sq-AL"/>
        </w:rPr>
      </w:pPr>
      <w:r w:rsidRPr="00C277DC">
        <w:rPr>
          <w:lang w:val="sq-AL"/>
        </w:rPr>
        <w:t>SASITË E MATERIALIT MBJELLËS SIPAS SPECIEVE</w:t>
      </w:r>
    </w:p>
    <w:tbl>
      <w:tblPr>
        <w:tblW w:w="9426" w:type="dxa"/>
        <w:tblInd w:w="96" w:type="dxa"/>
        <w:tblLook w:val="04A0" w:firstRow="1" w:lastRow="0" w:firstColumn="1" w:lastColumn="0" w:noHBand="0" w:noVBand="1"/>
      </w:tblPr>
      <w:tblGrid>
        <w:gridCol w:w="680"/>
        <w:gridCol w:w="3202"/>
        <w:gridCol w:w="1710"/>
        <w:gridCol w:w="990"/>
        <w:gridCol w:w="842"/>
        <w:gridCol w:w="1104"/>
        <w:gridCol w:w="1081"/>
      </w:tblGrid>
      <w:tr w:rsidR="00AB3F48" w:rsidRPr="00B56DAA" w:rsidTr="00B06E9F">
        <w:trPr>
          <w:trHeight w:val="1592"/>
        </w:trPr>
        <w:tc>
          <w:tcPr>
            <w:tcW w:w="6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B3F48" w:rsidRPr="00B56DAA" w:rsidRDefault="0046105A" w:rsidP="00E92A28">
            <w:pPr>
              <w:pStyle w:val="Paragrafi"/>
              <w:ind w:firstLine="0"/>
              <w:jc w:val="center"/>
              <w:rPr>
                <w:b/>
                <w:sz w:val="20"/>
                <w:szCs w:val="20"/>
                <w:lang w:val="sq-AL"/>
              </w:rPr>
            </w:pPr>
            <w:r>
              <w:rPr>
                <w:b/>
                <w:sz w:val="20"/>
                <w:szCs w:val="20"/>
                <w:lang w:val="sq-AL"/>
              </w:rPr>
              <w:t xml:space="preserve">Nr. </w:t>
            </w:r>
          </w:p>
        </w:tc>
        <w:tc>
          <w:tcPr>
            <w:tcW w:w="320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B3F48" w:rsidRPr="00B56DAA" w:rsidRDefault="00AB3F48" w:rsidP="00E92A28">
            <w:pPr>
              <w:pStyle w:val="Paragrafi"/>
              <w:ind w:firstLine="0"/>
              <w:jc w:val="center"/>
              <w:rPr>
                <w:b/>
                <w:sz w:val="20"/>
                <w:szCs w:val="20"/>
                <w:lang w:val="sq-AL"/>
              </w:rPr>
            </w:pPr>
            <w:r w:rsidRPr="00B56DAA">
              <w:rPr>
                <w:b/>
                <w:sz w:val="20"/>
                <w:szCs w:val="20"/>
                <w:lang w:val="sq-AL"/>
              </w:rPr>
              <w:t xml:space="preserve">Emri </w:t>
            </w:r>
            <w:r w:rsidR="00B56DAA" w:rsidRPr="00B56DAA">
              <w:rPr>
                <w:b/>
                <w:sz w:val="20"/>
                <w:szCs w:val="20"/>
                <w:lang w:val="sq-AL"/>
              </w:rPr>
              <w:t>latinisht</w:t>
            </w:r>
          </w:p>
        </w:tc>
        <w:tc>
          <w:tcPr>
            <w:tcW w:w="17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B3F48" w:rsidRPr="00B56DAA" w:rsidRDefault="00AB3F48" w:rsidP="00E92A28">
            <w:pPr>
              <w:pStyle w:val="Paragrafi"/>
              <w:ind w:firstLine="0"/>
              <w:jc w:val="center"/>
              <w:rPr>
                <w:b/>
                <w:sz w:val="20"/>
                <w:szCs w:val="20"/>
                <w:lang w:val="sq-AL"/>
              </w:rPr>
            </w:pPr>
            <w:r w:rsidRPr="00B56DAA">
              <w:rPr>
                <w:b/>
                <w:sz w:val="20"/>
                <w:szCs w:val="20"/>
                <w:lang w:val="sq-AL"/>
              </w:rPr>
              <w:t xml:space="preserve">Emri </w:t>
            </w:r>
            <w:r w:rsidR="00B56DAA" w:rsidRPr="00B56DAA">
              <w:rPr>
                <w:b/>
                <w:sz w:val="20"/>
                <w:szCs w:val="20"/>
                <w:lang w:val="sq-AL"/>
              </w:rPr>
              <w:t>shqip</w:t>
            </w:r>
          </w:p>
        </w:tc>
        <w:tc>
          <w:tcPr>
            <w:tcW w:w="1832" w:type="dxa"/>
            <w:gridSpan w:val="2"/>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center"/>
              <w:rPr>
                <w:b/>
                <w:sz w:val="20"/>
                <w:szCs w:val="20"/>
                <w:lang w:val="sq-AL"/>
              </w:rPr>
            </w:pPr>
            <w:r w:rsidRPr="00B56DAA">
              <w:rPr>
                <w:b/>
                <w:sz w:val="20"/>
                <w:szCs w:val="20"/>
                <w:lang w:val="sq-AL"/>
              </w:rPr>
              <w:t>Tregtimi i materialit mbjellës, varieteti i të cilit është në proces për regjistrim në katalog kg</w:t>
            </w:r>
          </w:p>
        </w:tc>
        <w:tc>
          <w:tcPr>
            <w:tcW w:w="10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3F48" w:rsidRPr="00B56DAA" w:rsidRDefault="00AB3F48" w:rsidP="00E92A28">
            <w:pPr>
              <w:pStyle w:val="Paragrafi"/>
              <w:ind w:firstLine="0"/>
              <w:jc w:val="center"/>
              <w:rPr>
                <w:b/>
                <w:sz w:val="20"/>
                <w:szCs w:val="20"/>
                <w:lang w:val="sq-AL"/>
              </w:rPr>
            </w:pPr>
            <w:r w:rsidRPr="00B56DAA">
              <w:rPr>
                <w:b/>
                <w:sz w:val="20"/>
                <w:szCs w:val="20"/>
                <w:lang w:val="sq-AL"/>
              </w:rPr>
              <w:t>Mostrat e destinuara për testim varietor</w:t>
            </w:r>
            <w:r w:rsidR="00B56DAA">
              <w:rPr>
                <w:b/>
                <w:sz w:val="20"/>
                <w:szCs w:val="20"/>
                <w:lang w:val="sq-AL"/>
              </w:rPr>
              <w:t>,</w:t>
            </w:r>
            <w:r w:rsidRPr="00B56DAA">
              <w:rPr>
                <w:b/>
                <w:sz w:val="20"/>
                <w:szCs w:val="20"/>
                <w:lang w:val="sq-AL"/>
              </w:rPr>
              <w:t xml:space="preserve"> kg</w:t>
            </w:r>
          </w:p>
        </w:tc>
        <w:tc>
          <w:tcPr>
            <w:tcW w:w="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3F48" w:rsidRPr="00B56DAA" w:rsidRDefault="00AB3F48" w:rsidP="00E92A28">
            <w:pPr>
              <w:pStyle w:val="Paragrafi"/>
              <w:ind w:firstLine="0"/>
              <w:jc w:val="center"/>
              <w:rPr>
                <w:b/>
                <w:sz w:val="20"/>
                <w:szCs w:val="20"/>
                <w:lang w:val="sq-AL"/>
              </w:rPr>
            </w:pPr>
            <w:r w:rsidRPr="00B56DAA">
              <w:rPr>
                <w:b/>
                <w:sz w:val="20"/>
                <w:szCs w:val="20"/>
                <w:lang w:val="sq-AL"/>
              </w:rPr>
              <w:t>Mostrat për qëllime shkencore dhe për ruajtjen e materialit gjenetik fara</w:t>
            </w:r>
          </w:p>
        </w:tc>
      </w:tr>
      <w:tr w:rsidR="00AB3F48" w:rsidRPr="00B56DAA" w:rsidTr="008E62D8">
        <w:trPr>
          <w:trHeight w:val="240"/>
        </w:trPr>
        <w:tc>
          <w:tcPr>
            <w:tcW w:w="680" w:type="dxa"/>
            <w:vMerge/>
            <w:tcBorders>
              <w:top w:val="single" w:sz="4" w:space="0" w:color="auto"/>
              <w:left w:val="single" w:sz="4" w:space="0" w:color="auto"/>
              <w:bottom w:val="single" w:sz="4" w:space="0" w:color="000000"/>
              <w:right w:val="single" w:sz="4" w:space="0" w:color="auto"/>
            </w:tcBorders>
            <w:vAlign w:val="center"/>
            <w:hideMark/>
          </w:tcPr>
          <w:p w:rsidR="00AB3F48" w:rsidRPr="00B56DAA" w:rsidRDefault="00AB3F48" w:rsidP="00E172D9">
            <w:pPr>
              <w:pStyle w:val="Paragrafi"/>
              <w:ind w:firstLine="0"/>
              <w:rPr>
                <w:sz w:val="20"/>
                <w:szCs w:val="20"/>
                <w:lang w:val="sq-AL"/>
              </w:rPr>
            </w:pPr>
          </w:p>
        </w:tc>
        <w:tc>
          <w:tcPr>
            <w:tcW w:w="3202" w:type="dxa"/>
            <w:vMerge/>
            <w:tcBorders>
              <w:top w:val="single" w:sz="4" w:space="0" w:color="auto"/>
              <w:left w:val="single" w:sz="4" w:space="0" w:color="auto"/>
              <w:bottom w:val="single" w:sz="4" w:space="0" w:color="000000"/>
              <w:right w:val="single" w:sz="4" w:space="0" w:color="auto"/>
            </w:tcBorders>
            <w:vAlign w:val="center"/>
            <w:hideMark/>
          </w:tcPr>
          <w:p w:rsidR="00AB3F48" w:rsidRPr="00B56DAA" w:rsidRDefault="00AB3F48" w:rsidP="00B56DAA">
            <w:pPr>
              <w:pStyle w:val="Paragrafi"/>
              <w:ind w:firstLine="0"/>
              <w:jc w:val="left"/>
              <w:rPr>
                <w:sz w:val="20"/>
                <w:szCs w:val="20"/>
                <w:lang w:val="sq-AL"/>
              </w:rPr>
            </w:pPr>
          </w:p>
        </w:tc>
        <w:tc>
          <w:tcPr>
            <w:tcW w:w="1710" w:type="dxa"/>
            <w:vMerge/>
            <w:tcBorders>
              <w:top w:val="single" w:sz="4" w:space="0" w:color="auto"/>
              <w:left w:val="single" w:sz="4" w:space="0" w:color="auto"/>
              <w:bottom w:val="single" w:sz="4" w:space="0" w:color="000000"/>
              <w:right w:val="single" w:sz="4" w:space="0" w:color="auto"/>
            </w:tcBorders>
            <w:vAlign w:val="center"/>
            <w:hideMark/>
          </w:tcPr>
          <w:p w:rsidR="00AB3F48" w:rsidRPr="00B56DAA" w:rsidRDefault="00AB3F48" w:rsidP="00E92A28">
            <w:pPr>
              <w:pStyle w:val="Paragrafi"/>
              <w:ind w:firstLine="0"/>
              <w:jc w:val="lef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AB3F48" w:rsidRPr="00B56DAA" w:rsidRDefault="00AB3F48" w:rsidP="00E172D9">
            <w:pPr>
              <w:pStyle w:val="Paragrafi"/>
              <w:ind w:firstLine="0"/>
              <w:rPr>
                <w:b/>
                <w:sz w:val="20"/>
                <w:szCs w:val="20"/>
                <w:lang w:val="sq-AL"/>
              </w:rPr>
            </w:pPr>
            <w:r w:rsidRPr="00B56DAA">
              <w:rPr>
                <w:b/>
                <w:sz w:val="20"/>
                <w:szCs w:val="20"/>
                <w:lang w:val="sq-AL"/>
              </w:rPr>
              <w:t xml:space="preserve">Njësia </w:t>
            </w:r>
          </w:p>
        </w:tc>
        <w:tc>
          <w:tcPr>
            <w:tcW w:w="842" w:type="dxa"/>
            <w:tcBorders>
              <w:top w:val="nil"/>
              <w:left w:val="nil"/>
              <w:bottom w:val="single" w:sz="4" w:space="0" w:color="auto"/>
              <w:right w:val="single" w:sz="4" w:space="0" w:color="auto"/>
            </w:tcBorders>
            <w:shd w:val="clear" w:color="auto" w:fill="auto"/>
            <w:noWrap/>
            <w:vAlign w:val="bottom"/>
            <w:hideMark/>
          </w:tcPr>
          <w:p w:rsidR="00AB3F48" w:rsidRPr="00B56DAA" w:rsidRDefault="00AB3F48" w:rsidP="00E172D9">
            <w:pPr>
              <w:pStyle w:val="Paragrafi"/>
              <w:ind w:firstLine="0"/>
              <w:rPr>
                <w:b/>
                <w:sz w:val="20"/>
                <w:szCs w:val="20"/>
                <w:lang w:val="sq-AL"/>
              </w:rPr>
            </w:pPr>
            <w:r w:rsidRPr="00B56DAA">
              <w:rPr>
                <w:b/>
                <w:sz w:val="20"/>
                <w:szCs w:val="20"/>
                <w:lang w:val="sq-AL"/>
              </w:rPr>
              <w:t>Sasia</w:t>
            </w:r>
          </w:p>
        </w:tc>
        <w:tc>
          <w:tcPr>
            <w:tcW w:w="1017" w:type="dxa"/>
            <w:vMerge/>
            <w:tcBorders>
              <w:top w:val="single" w:sz="4" w:space="0" w:color="auto"/>
              <w:left w:val="single" w:sz="4" w:space="0" w:color="auto"/>
              <w:bottom w:val="single" w:sz="4" w:space="0" w:color="000000"/>
              <w:right w:val="single" w:sz="4" w:space="0" w:color="auto"/>
            </w:tcBorders>
            <w:vAlign w:val="center"/>
            <w:hideMark/>
          </w:tcPr>
          <w:p w:rsidR="00AB3F48" w:rsidRPr="00B56DAA" w:rsidRDefault="00AB3F48" w:rsidP="00E172D9">
            <w:pPr>
              <w:pStyle w:val="Paragrafi"/>
              <w:ind w:firstLine="0"/>
              <w:rPr>
                <w:sz w:val="20"/>
                <w:szCs w:val="20"/>
                <w:lang w:val="sq-AL"/>
              </w:rPr>
            </w:pPr>
          </w:p>
        </w:tc>
        <w:tc>
          <w:tcPr>
            <w:tcW w:w="985" w:type="dxa"/>
            <w:vMerge/>
            <w:tcBorders>
              <w:top w:val="single" w:sz="4" w:space="0" w:color="auto"/>
              <w:left w:val="single" w:sz="4" w:space="0" w:color="auto"/>
              <w:bottom w:val="single" w:sz="4" w:space="0" w:color="000000"/>
              <w:right w:val="single" w:sz="4" w:space="0" w:color="auto"/>
            </w:tcBorders>
            <w:vAlign w:val="center"/>
            <w:hideMark/>
          </w:tcPr>
          <w:p w:rsidR="00AB3F48" w:rsidRPr="00B56DAA" w:rsidRDefault="00AB3F48" w:rsidP="00E172D9">
            <w:pPr>
              <w:pStyle w:val="Paragrafi"/>
              <w:ind w:firstLine="0"/>
              <w:rPr>
                <w:sz w:val="20"/>
                <w:szCs w:val="20"/>
                <w:lang w:val="sq-AL"/>
              </w:rPr>
            </w:pP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center"/>
              <w:rPr>
                <w:b/>
                <w:sz w:val="20"/>
                <w:szCs w:val="20"/>
                <w:lang w:val="sq-AL"/>
              </w:rPr>
            </w:pPr>
          </w:p>
        </w:tc>
        <w:tc>
          <w:tcPr>
            <w:tcW w:w="3202" w:type="dxa"/>
            <w:tcBorders>
              <w:top w:val="nil"/>
              <w:left w:val="nil"/>
              <w:bottom w:val="nil"/>
              <w:right w:val="single" w:sz="4" w:space="0" w:color="auto"/>
            </w:tcBorders>
            <w:shd w:val="clear" w:color="auto" w:fill="auto"/>
            <w:vAlign w:val="bottom"/>
            <w:hideMark/>
          </w:tcPr>
          <w:p w:rsidR="00AB3F48" w:rsidRPr="00B56DAA" w:rsidRDefault="00AB3F48" w:rsidP="00E92A28">
            <w:pPr>
              <w:pStyle w:val="Paragrafi"/>
              <w:ind w:firstLine="0"/>
              <w:jc w:val="center"/>
              <w:rPr>
                <w:b/>
                <w:sz w:val="20"/>
                <w:szCs w:val="20"/>
                <w:lang w:val="sq-AL"/>
              </w:rPr>
            </w:pPr>
            <w:r w:rsidRPr="00B56DAA">
              <w:rPr>
                <w:b/>
                <w:sz w:val="20"/>
                <w:szCs w:val="20"/>
                <w:lang w:val="sq-AL"/>
              </w:rPr>
              <w:t>1</w:t>
            </w:r>
          </w:p>
        </w:tc>
        <w:tc>
          <w:tcPr>
            <w:tcW w:w="1710" w:type="dxa"/>
            <w:tcBorders>
              <w:top w:val="nil"/>
              <w:left w:val="nil"/>
              <w:bottom w:val="nil"/>
              <w:right w:val="single" w:sz="4" w:space="0" w:color="auto"/>
            </w:tcBorders>
            <w:shd w:val="clear" w:color="auto" w:fill="auto"/>
            <w:vAlign w:val="bottom"/>
            <w:hideMark/>
          </w:tcPr>
          <w:p w:rsidR="00AB3F48" w:rsidRPr="00B56DAA" w:rsidRDefault="00AB3F48" w:rsidP="00E92A28">
            <w:pPr>
              <w:pStyle w:val="Paragrafi"/>
              <w:ind w:firstLine="0"/>
              <w:jc w:val="center"/>
              <w:rPr>
                <w:b/>
                <w:sz w:val="20"/>
                <w:szCs w:val="20"/>
                <w:lang w:val="sq-AL"/>
              </w:rPr>
            </w:pPr>
            <w:r w:rsidRPr="00B56DAA">
              <w:rPr>
                <w:b/>
                <w:sz w:val="20"/>
                <w:szCs w:val="20"/>
                <w:lang w:val="sq-AL"/>
              </w:rPr>
              <w:t>2</w:t>
            </w:r>
          </w:p>
        </w:tc>
        <w:tc>
          <w:tcPr>
            <w:tcW w:w="990" w:type="dxa"/>
            <w:tcBorders>
              <w:top w:val="nil"/>
              <w:left w:val="nil"/>
              <w:bottom w:val="nil"/>
              <w:right w:val="single" w:sz="4" w:space="0" w:color="auto"/>
            </w:tcBorders>
            <w:shd w:val="clear" w:color="auto" w:fill="auto"/>
            <w:vAlign w:val="bottom"/>
            <w:hideMark/>
          </w:tcPr>
          <w:p w:rsidR="00AB3F48" w:rsidRPr="00B56DAA" w:rsidRDefault="00AB3F48" w:rsidP="00E92A28">
            <w:pPr>
              <w:pStyle w:val="Paragrafi"/>
              <w:ind w:firstLine="0"/>
              <w:jc w:val="center"/>
              <w:rPr>
                <w:b/>
                <w:sz w:val="20"/>
                <w:szCs w:val="20"/>
                <w:lang w:val="sq-AL"/>
              </w:rPr>
            </w:pPr>
            <w:r w:rsidRPr="00B56DAA">
              <w:rPr>
                <w:b/>
                <w:sz w:val="20"/>
                <w:szCs w:val="20"/>
                <w:lang w:val="sq-AL"/>
              </w:rPr>
              <w:t>3</w:t>
            </w:r>
          </w:p>
        </w:tc>
        <w:tc>
          <w:tcPr>
            <w:tcW w:w="842" w:type="dxa"/>
            <w:tcBorders>
              <w:top w:val="nil"/>
              <w:left w:val="nil"/>
              <w:bottom w:val="nil"/>
              <w:right w:val="single" w:sz="4" w:space="0" w:color="auto"/>
            </w:tcBorders>
            <w:shd w:val="clear" w:color="auto" w:fill="auto"/>
            <w:vAlign w:val="bottom"/>
            <w:hideMark/>
          </w:tcPr>
          <w:p w:rsidR="00AB3F48" w:rsidRPr="00B56DAA" w:rsidRDefault="00AB3F48" w:rsidP="00E92A28">
            <w:pPr>
              <w:pStyle w:val="Paragrafi"/>
              <w:ind w:firstLine="0"/>
              <w:jc w:val="center"/>
              <w:rPr>
                <w:b/>
                <w:sz w:val="20"/>
                <w:szCs w:val="20"/>
                <w:lang w:val="sq-AL"/>
              </w:rPr>
            </w:pPr>
            <w:r w:rsidRPr="00B56DAA">
              <w:rPr>
                <w:b/>
                <w:sz w:val="20"/>
                <w:szCs w:val="20"/>
                <w:lang w:val="sq-AL"/>
              </w:rPr>
              <w:t>4</w:t>
            </w:r>
          </w:p>
        </w:tc>
        <w:tc>
          <w:tcPr>
            <w:tcW w:w="1017" w:type="dxa"/>
            <w:tcBorders>
              <w:top w:val="nil"/>
              <w:left w:val="nil"/>
              <w:bottom w:val="nil"/>
              <w:right w:val="single" w:sz="4" w:space="0" w:color="auto"/>
            </w:tcBorders>
            <w:shd w:val="clear" w:color="auto" w:fill="auto"/>
            <w:vAlign w:val="bottom"/>
            <w:hideMark/>
          </w:tcPr>
          <w:p w:rsidR="00AB3F48" w:rsidRPr="00B56DAA" w:rsidRDefault="00AB3F48" w:rsidP="00E92A28">
            <w:pPr>
              <w:pStyle w:val="Paragrafi"/>
              <w:ind w:firstLine="0"/>
              <w:jc w:val="center"/>
              <w:rPr>
                <w:b/>
                <w:sz w:val="20"/>
                <w:szCs w:val="20"/>
                <w:lang w:val="sq-AL"/>
              </w:rPr>
            </w:pPr>
            <w:r w:rsidRPr="00B56DAA">
              <w:rPr>
                <w:b/>
                <w:sz w:val="20"/>
                <w:szCs w:val="20"/>
                <w:lang w:val="sq-AL"/>
              </w:rPr>
              <w:t>5</w:t>
            </w:r>
          </w:p>
        </w:tc>
        <w:tc>
          <w:tcPr>
            <w:tcW w:w="985" w:type="dxa"/>
            <w:tcBorders>
              <w:top w:val="nil"/>
              <w:left w:val="nil"/>
              <w:bottom w:val="nil"/>
              <w:right w:val="single" w:sz="4" w:space="0" w:color="auto"/>
            </w:tcBorders>
            <w:shd w:val="clear" w:color="auto" w:fill="auto"/>
            <w:vAlign w:val="bottom"/>
            <w:hideMark/>
          </w:tcPr>
          <w:p w:rsidR="00AB3F48" w:rsidRPr="00B56DAA" w:rsidRDefault="00AB3F48" w:rsidP="00E92A28">
            <w:pPr>
              <w:pStyle w:val="Paragrafi"/>
              <w:ind w:firstLine="0"/>
              <w:jc w:val="center"/>
              <w:rPr>
                <w:b/>
                <w:sz w:val="20"/>
                <w:szCs w:val="20"/>
                <w:lang w:val="sq-AL"/>
              </w:rPr>
            </w:pPr>
            <w:r w:rsidRPr="00B56DAA">
              <w:rPr>
                <w:b/>
                <w:sz w:val="20"/>
                <w:szCs w:val="20"/>
                <w:lang w:val="sq-AL"/>
              </w:rPr>
              <w:t>6</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I.</w:t>
            </w:r>
          </w:p>
        </w:tc>
        <w:tc>
          <w:tcPr>
            <w:tcW w:w="3202" w:type="dxa"/>
            <w:tcBorders>
              <w:top w:val="single" w:sz="4" w:space="0" w:color="auto"/>
              <w:left w:val="nil"/>
              <w:bottom w:val="single" w:sz="4" w:space="0" w:color="auto"/>
              <w:right w:val="single" w:sz="4" w:space="0" w:color="auto"/>
            </w:tcBorders>
            <w:shd w:val="clear" w:color="000000" w:fill="C5BE97"/>
            <w:vAlign w:val="bottom"/>
            <w:hideMark/>
          </w:tcPr>
          <w:p w:rsidR="00AB3F48" w:rsidRPr="00B56DAA" w:rsidRDefault="00AB3F48" w:rsidP="00B56DAA">
            <w:pPr>
              <w:pStyle w:val="Paragrafi"/>
              <w:ind w:firstLine="0"/>
              <w:jc w:val="left"/>
              <w:rPr>
                <w:sz w:val="20"/>
                <w:szCs w:val="20"/>
                <w:lang w:val="sq-AL"/>
              </w:rPr>
            </w:pPr>
            <w:r w:rsidRPr="00B56DAA">
              <w:rPr>
                <w:sz w:val="20"/>
                <w:szCs w:val="20"/>
                <w:lang w:val="sq-AL"/>
              </w:rPr>
              <w:t>Cerealet</w:t>
            </w:r>
          </w:p>
        </w:tc>
        <w:tc>
          <w:tcPr>
            <w:tcW w:w="1710" w:type="dxa"/>
            <w:tcBorders>
              <w:top w:val="single" w:sz="4" w:space="0" w:color="auto"/>
              <w:left w:val="nil"/>
              <w:bottom w:val="single" w:sz="4" w:space="0" w:color="auto"/>
              <w:right w:val="single" w:sz="4" w:space="0" w:color="auto"/>
            </w:tcBorders>
            <w:shd w:val="clear" w:color="000000" w:fill="C5BE97"/>
            <w:vAlign w:val="bottom"/>
            <w:hideMark/>
          </w:tcPr>
          <w:p w:rsidR="00AB3F48" w:rsidRPr="00B56DAA" w:rsidRDefault="00AB3F48" w:rsidP="00E92A28">
            <w:pPr>
              <w:pStyle w:val="Paragrafi"/>
              <w:ind w:firstLine="0"/>
              <w:jc w:val="left"/>
              <w:rPr>
                <w:sz w:val="20"/>
                <w:szCs w:val="20"/>
                <w:lang w:val="sq-AL"/>
              </w:rPr>
            </w:pPr>
            <w:r w:rsidRPr="00B56DAA">
              <w:rPr>
                <w:sz w:val="20"/>
                <w:szCs w:val="20"/>
                <w:lang w:val="sq-AL"/>
              </w:rPr>
              <w:t> </w:t>
            </w:r>
          </w:p>
        </w:tc>
        <w:tc>
          <w:tcPr>
            <w:tcW w:w="990" w:type="dxa"/>
            <w:tcBorders>
              <w:top w:val="single" w:sz="4" w:space="0" w:color="auto"/>
              <w:left w:val="nil"/>
              <w:bottom w:val="single" w:sz="4" w:space="0" w:color="auto"/>
              <w:right w:val="single" w:sz="4" w:space="0" w:color="auto"/>
            </w:tcBorders>
            <w:shd w:val="clear" w:color="000000" w:fill="C5BE97"/>
            <w:vAlign w:val="bottom"/>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842" w:type="dxa"/>
            <w:tcBorders>
              <w:top w:val="single" w:sz="4" w:space="0" w:color="auto"/>
              <w:left w:val="nil"/>
              <w:bottom w:val="single" w:sz="4" w:space="0" w:color="auto"/>
              <w:right w:val="single" w:sz="4" w:space="0" w:color="auto"/>
            </w:tcBorders>
            <w:shd w:val="clear" w:color="000000" w:fill="C5BE97"/>
            <w:vAlign w:val="bottom"/>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1017" w:type="dxa"/>
            <w:tcBorders>
              <w:top w:val="single" w:sz="4" w:space="0" w:color="auto"/>
              <w:left w:val="nil"/>
              <w:bottom w:val="single" w:sz="4" w:space="0" w:color="auto"/>
              <w:right w:val="single" w:sz="4" w:space="0" w:color="auto"/>
            </w:tcBorders>
            <w:shd w:val="clear" w:color="000000" w:fill="C5BE97"/>
            <w:vAlign w:val="bottom"/>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985" w:type="dxa"/>
            <w:tcBorders>
              <w:top w:val="single" w:sz="4" w:space="0" w:color="auto"/>
              <w:left w:val="nil"/>
              <w:bottom w:val="single" w:sz="4" w:space="0" w:color="auto"/>
              <w:right w:val="single" w:sz="4" w:space="0" w:color="auto"/>
            </w:tcBorders>
            <w:shd w:val="clear" w:color="000000" w:fill="C5BE97"/>
            <w:vAlign w:val="bottom"/>
            <w:hideMark/>
          </w:tcPr>
          <w:p w:rsidR="00AB3F48" w:rsidRPr="00B56DAA" w:rsidRDefault="00AB3F48" w:rsidP="00E172D9">
            <w:pPr>
              <w:pStyle w:val="Paragrafi"/>
              <w:ind w:firstLine="0"/>
              <w:rPr>
                <w:sz w:val="20"/>
                <w:szCs w:val="20"/>
                <w:lang w:val="sq-AL"/>
              </w:rPr>
            </w:pPr>
            <w:r w:rsidRPr="00B56DAA">
              <w:rPr>
                <w:sz w:val="20"/>
                <w:szCs w:val="20"/>
                <w:lang w:val="sq-AL"/>
              </w:rPr>
              <w:t> </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A vena sativa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Tërshëra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E172D9">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Hordeum vulgare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Elbi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E172D9">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Panicum miliaceum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Meli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E172D9">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Secale cereale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Thekra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Sorghum bicolor (L.) Moench</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B56DAA" w:rsidP="00E92A28">
            <w:pPr>
              <w:pStyle w:val="Paragrafi"/>
              <w:ind w:firstLine="0"/>
              <w:jc w:val="left"/>
              <w:rPr>
                <w:sz w:val="20"/>
                <w:szCs w:val="20"/>
                <w:lang w:val="sq-AL"/>
              </w:rPr>
            </w:pPr>
            <w:r w:rsidRPr="00B56DAA">
              <w:rPr>
                <w:sz w:val="20"/>
                <w:szCs w:val="20"/>
                <w:lang w:val="sq-AL"/>
              </w:rPr>
              <w:t>Melekuqja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2456ED">
        <w:trPr>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6</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Sorghum bicolor (L.) Moench. X Sorghum sudanense Stapf.</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Sorgumi sudanez</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2456ED">
        <w:trPr>
          <w:trHeight w:val="24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lastRenderedPageBreak/>
              <w:t>7</w:t>
            </w:r>
          </w:p>
        </w:tc>
        <w:tc>
          <w:tcPr>
            <w:tcW w:w="3202"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 xml:space="preserve">X Tritico secale </w:t>
            </w:r>
            <w:r w:rsidR="00A4436C" w:rsidRPr="00B56DAA">
              <w:rPr>
                <w:sz w:val="20"/>
                <w:szCs w:val="20"/>
                <w:lang w:val="sq-AL"/>
              </w:rPr>
              <w:t>Ë</w:t>
            </w:r>
            <w:r w:rsidRPr="00B56DAA">
              <w:rPr>
                <w:sz w:val="20"/>
                <w:szCs w:val="20"/>
                <w:lang w:val="sq-AL"/>
              </w:rPr>
              <w:t>ittm.</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Tritikale</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8</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Triticum aestivum L. Emend.Fiori et Paol.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Gruri i butë</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9</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Triticum durum Desf.</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Gruri i fortë</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20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Triticum spelt 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Tepa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Zea mays L. (partim)</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Misri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12</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Oryza sativa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Orizi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II.</w:t>
            </w:r>
          </w:p>
        </w:tc>
        <w:tc>
          <w:tcPr>
            <w:tcW w:w="320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Bimët foragjere</w:t>
            </w:r>
          </w:p>
        </w:tc>
        <w:tc>
          <w:tcPr>
            <w:tcW w:w="171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 </w:t>
            </w:r>
          </w:p>
        </w:tc>
        <w:tc>
          <w:tcPr>
            <w:tcW w:w="99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84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 </w:t>
            </w:r>
          </w:p>
        </w:tc>
        <w:tc>
          <w:tcPr>
            <w:tcW w:w="1017"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 </w:t>
            </w:r>
          </w:p>
        </w:tc>
        <w:tc>
          <w:tcPr>
            <w:tcW w:w="985"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 </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II.A</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Barërat</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 </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 </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 </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 </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Agrostis sp.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Barimëza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Alopecurus pratensis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Bishtdhelpra livadhore</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Bromus catharticus Vahl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Bromusi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Bromus sitchensis Trin.</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Bromusi i Alaskës</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Cynodon dactylon (L.) Pers.</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Grami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6</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Dactylis glomerata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Telishi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7</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Festuca arundinacea Schreber</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Festuka si kallam</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8</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Festuca ovina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Festuka e deleve</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9</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Festuca pratensis Hudson</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Festuka livadhore</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Festuca rubra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Festuka e kuqe</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Lolium multijlorum Lam.</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Lolium shumëlulesh</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12</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Lolium perenne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Lolium shumëvjeçar</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13</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Phleum pratense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Fleumi livadhor</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14</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Poa annua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Flokësi njëvjeçar</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15</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Poa nemoralis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Flokësi i pyjeve</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16</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Poa palustris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Flokësi i ligatinave</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17</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Poa pratensis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Flokësi livadhor</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18</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Poa trivialis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Flokësi i zakonshëm</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19</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Trisetum flavescens (L.) P.</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Triseta e zbehtë</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II.B</w:t>
            </w:r>
          </w:p>
        </w:tc>
        <w:tc>
          <w:tcPr>
            <w:tcW w:w="320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Legominozet</w:t>
            </w:r>
          </w:p>
        </w:tc>
        <w:tc>
          <w:tcPr>
            <w:tcW w:w="171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 </w:t>
            </w:r>
          </w:p>
        </w:tc>
        <w:tc>
          <w:tcPr>
            <w:tcW w:w="99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84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 </w:t>
            </w:r>
          </w:p>
        </w:tc>
        <w:tc>
          <w:tcPr>
            <w:tcW w:w="1017"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 </w:t>
            </w:r>
          </w:p>
        </w:tc>
        <w:tc>
          <w:tcPr>
            <w:tcW w:w="985"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 </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867DDC">
            <w:pPr>
              <w:pStyle w:val="Paragrafi"/>
              <w:ind w:firstLine="0"/>
              <w:rPr>
                <w:sz w:val="20"/>
                <w:szCs w:val="20"/>
                <w:lang w:val="sq-AL"/>
              </w:rPr>
            </w:pPr>
            <w:r w:rsidRPr="00B56DAA">
              <w:rPr>
                <w:sz w:val="20"/>
                <w:szCs w:val="20"/>
                <w:lang w:val="sq-AL"/>
              </w:rPr>
              <w:t>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867DDC">
            <w:pPr>
              <w:pStyle w:val="Paragrafi"/>
              <w:ind w:firstLine="0"/>
              <w:jc w:val="left"/>
              <w:rPr>
                <w:sz w:val="20"/>
                <w:szCs w:val="20"/>
                <w:lang w:val="sq-AL"/>
              </w:rPr>
            </w:pPr>
            <w:r w:rsidRPr="00B56DAA">
              <w:rPr>
                <w:sz w:val="20"/>
                <w:szCs w:val="20"/>
                <w:lang w:val="sq-AL"/>
              </w:rPr>
              <w:t>Lotus corniculatus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Tërfili me brirë</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867DDC">
            <w:pPr>
              <w:pStyle w:val="Paragrafi"/>
              <w:ind w:firstLine="0"/>
              <w:jc w:val="right"/>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867DDC">
            <w:pPr>
              <w:pStyle w:val="Paragrafi"/>
              <w:ind w:firstLine="0"/>
              <w:jc w:val="right"/>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867DDC">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Lupinus albus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Lupini i bardhë</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Lupinus angustifolius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Lupini gjethengushtë</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Lupinus luteus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Lupini i verdhë</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Medicago lupulina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Jonxha lupulinë</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6</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Medicago sativa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Jonxha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7</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Medicago x varia T. Martyn</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Jonxha e ranishteve</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8</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Pisum sativum L. (partim)</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Bizelja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9</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Trifolium alexandrinum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Tërfili aleksandrin</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Trifolium hybridum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Tërfili hibrid</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Trifolium incarnatum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Tërfili i kuqërremtë</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12</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Trifolium pratense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Tërfili livadhor</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13</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Trifolium repens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Tërfili zvarritës</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14</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Trifolium resupinatum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Tërfili persian</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15</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Vicia faba L. (partim)</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Batha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10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right"/>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16</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Vicia pannonica Crantz</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Grashina panoneze</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17</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Vicia sativa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Koçkulla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2456ED">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18</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Vicia villosa Roth.</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Grashina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2456ED">
        <w:trPr>
          <w:trHeight w:val="240"/>
        </w:trPr>
        <w:tc>
          <w:tcPr>
            <w:tcW w:w="680" w:type="dxa"/>
            <w:tcBorders>
              <w:top w:val="single" w:sz="4" w:space="0" w:color="auto"/>
              <w:left w:val="single" w:sz="4" w:space="0" w:color="auto"/>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lastRenderedPageBreak/>
              <w:t>II.C</w:t>
            </w:r>
          </w:p>
        </w:tc>
        <w:tc>
          <w:tcPr>
            <w:tcW w:w="3202" w:type="dxa"/>
            <w:tcBorders>
              <w:top w:val="single" w:sz="4" w:space="0" w:color="auto"/>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Bimë të tjera foragjere</w:t>
            </w:r>
          </w:p>
        </w:tc>
        <w:tc>
          <w:tcPr>
            <w:tcW w:w="1710" w:type="dxa"/>
            <w:tcBorders>
              <w:top w:val="single" w:sz="4" w:space="0" w:color="auto"/>
              <w:left w:val="nil"/>
              <w:bottom w:val="single" w:sz="4" w:space="0" w:color="auto"/>
              <w:right w:val="single" w:sz="4" w:space="0" w:color="auto"/>
            </w:tcBorders>
            <w:shd w:val="clear" w:color="000000" w:fill="C5BE97"/>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 </w:t>
            </w:r>
          </w:p>
        </w:tc>
        <w:tc>
          <w:tcPr>
            <w:tcW w:w="990" w:type="dxa"/>
            <w:tcBorders>
              <w:top w:val="single" w:sz="4" w:space="0" w:color="auto"/>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842" w:type="dxa"/>
            <w:tcBorders>
              <w:top w:val="single" w:sz="4" w:space="0" w:color="auto"/>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1017" w:type="dxa"/>
            <w:tcBorders>
              <w:top w:val="single" w:sz="4" w:space="0" w:color="auto"/>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985" w:type="dxa"/>
            <w:tcBorders>
              <w:top w:val="single" w:sz="4" w:space="0" w:color="auto"/>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Brassica napus L var. Napobrassica (L) Rchb.</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Sinapi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Brassica oleracea L. convar. Acephala (DC.)</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Lakra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noWrap/>
            <w:vAlign w:val="center"/>
            <w:hideMark/>
          </w:tcPr>
          <w:p w:rsidR="00AB3F48" w:rsidRPr="00B56DAA" w:rsidRDefault="00AB3F48" w:rsidP="00E172D9">
            <w:pPr>
              <w:pStyle w:val="Paragrafi"/>
              <w:ind w:firstLine="0"/>
              <w:rPr>
                <w:sz w:val="20"/>
                <w:szCs w:val="20"/>
                <w:lang w:val="sq-AL"/>
              </w:rPr>
            </w:pPr>
            <w:r w:rsidRPr="00B56DAA">
              <w:rPr>
                <w:sz w:val="20"/>
                <w:szCs w:val="20"/>
                <w:lang w:val="sq-AL"/>
              </w:rPr>
              <w:t>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Phacelia tanacetifolia Benth.</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Këmbanorja blu</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noWrap/>
            <w:vAlign w:val="center"/>
            <w:hideMark/>
          </w:tcPr>
          <w:p w:rsidR="00AB3F48" w:rsidRPr="00B56DAA" w:rsidRDefault="00AB3F48" w:rsidP="00E172D9">
            <w:pPr>
              <w:pStyle w:val="Paragrafi"/>
              <w:ind w:firstLine="0"/>
              <w:rPr>
                <w:sz w:val="20"/>
                <w:szCs w:val="20"/>
                <w:lang w:val="sq-AL"/>
              </w:rPr>
            </w:pPr>
            <w:r w:rsidRPr="00B56DAA">
              <w:rPr>
                <w:sz w:val="20"/>
                <w:szCs w:val="20"/>
                <w:lang w:val="sq-AL"/>
              </w:rPr>
              <w:t>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Raphanus sativus L. var. Oleiformis Pers.</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Rrepa foragjere</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noWrap/>
            <w:vAlign w:val="center"/>
            <w:hideMark/>
          </w:tcPr>
          <w:p w:rsidR="00AB3F48" w:rsidRPr="00B56DAA" w:rsidRDefault="00AB3F48" w:rsidP="00E172D9">
            <w:pPr>
              <w:pStyle w:val="Paragrafi"/>
              <w:ind w:firstLine="0"/>
              <w:rPr>
                <w:sz w:val="20"/>
                <w:szCs w:val="20"/>
                <w:lang w:val="sq-AL"/>
              </w:rPr>
            </w:pPr>
            <w:r w:rsidRPr="00B56DAA">
              <w:rPr>
                <w:sz w:val="20"/>
                <w:szCs w:val="20"/>
                <w:lang w:val="sq-AL"/>
              </w:rPr>
              <w:t>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III</w:t>
            </w:r>
          </w:p>
        </w:tc>
        <w:tc>
          <w:tcPr>
            <w:tcW w:w="320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Panxhari</w:t>
            </w:r>
          </w:p>
        </w:tc>
        <w:tc>
          <w:tcPr>
            <w:tcW w:w="171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 </w:t>
            </w:r>
          </w:p>
        </w:tc>
        <w:tc>
          <w:tcPr>
            <w:tcW w:w="990" w:type="dxa"/>
            <w:tcBorders>
              <w:top w:val="nil"/>
              <w:left w:val="nil"/>
              <w:bottom w:val="single" w:sz="4" w:space="0" w:color="auto"/>
              <w:right w:val="single" w:sz="4" w:space="0" w:color="auto"/>
            </w:tcBorders>
            <w:shd w:val="clear" w:color="000000" w:fill="C5BE97"/>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1017"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985"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Beta vulgaris L. ssp. vulgaris var. alba, DC.</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Panxhari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noWrap/>
            <w:vAlign w:val="center"/>
            <w:hideMark/>
          </w:tcPr>
          <w:p w:rsidR="00AB3F48" w:rsidRPr="00B56DAA" w:rsidRDefault="00AB3F48" w:rsidP="00E172D9">
            <w:pPr>
              <w:pStyle w:val="Paragrafi"/>
              <w:ind w:firstLine="0"/>
              <w:rPr>
                <w:sz w:val="20"/>
                <w:szCs w:val="20"/>
                <w:lang w:val="sq-AL"/>
              </w:rPr>
            </w:pPr>
            <w:r w:rsidRPr="00B56DAA">
              <w:rPr>
                <w:sz w:val="20"/>
                <w:szCs w:val="20"/>
                <w:lang w:val="sq-AL"/>
              </w:rPr>
              <w:t>0.5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IV</w:t>
            </w:r>
          </w:p>
        </w:tc>
        <w:tc>
          <w:tcPr>
            <w:tcW w:w="320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Duhani</w:t>
            </w:r>
          </w:p>
        </w:tc>
        <w:tc>
          <w:tcPr>
            <w:tcW w:w="171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 </w:t>
            </w:r>
          </w:p>
        </w:tc>
        <w:tc>
          <w:tcPr>
            <w:tcW w:w="99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84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1017"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985"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Nicotiana tabacum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Duhani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w:t>
            </w:r>
          </w:p>
        </w:tc>
        <w:tc>
          <w:tcPr>
            <w:tcW w:w="1017" w:type="dxa"/>
            <w:tcBorders>
              <w:top w:val="nil"/>
              <w:left w:val="nil"/>
              <w:bottom w:val="single" w:sz="4" w:space="0" w:color="auto"/>
              <w:right w:val="single" w:sz="4" w:space="0" w:color="auto"/>
            </w:tcBorders>
            <w:shd w:val="clear" w:color="auto" w:fill="auto"/>
            <w:noWrap/>
            <w:vAlign w:val="center"/>
            <w:hideMark/>
          </w:tcPr>
          <w:p w:rsidR="00AB3F48" w:rsidRPr="00B56DAA" w:rsidRDefault="00AB3F48" w:rsidP="00E172D9">
            <w:pPr>
              <w:pStyle w:val="Paragrafi"/>
              <w:ind w:firstLine="0"/>
              <w:rPr>
                <w:sz w:val="20"/>
                <w:szCs w:val="20"/>
                <w:lang w:val="sq-AL"/>
              </w:rPr>
            </w:pPr>
            <w:r w:rsidRPr="00B56DAA">
              <w:rPr>
                <w:sz w:val="20"/>
                <w:szCs w:val="20"/>
                <w:lang w:val="sq-AL"/>
              </w:rPr>
              <w:t>0.02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V</w:t>
            </w:r>
          </w:p>
        </w:tc>
        <w:tc>
          <w:tcPr>
            <w:tcW w:w="320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Pambuku</w:t>
            </w:r>
          </w:p>
        </w:tc>
        <w:tc>
          <w:tcPr>
            <w:tcW w:w="171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 </w:t>
            </w:r>
          </w:p>
        </w:tc>
        <w:tc>
          <w:tcPr>
            <w:tcW w:w="99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84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1017"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985"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Gossypium Hirsitum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Pambuku</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VI</w:t>
            </w:r>
          </w:p>
        </w:tc>
        <w:tc>
          <w:tcPr>
            <w:tcW w:w="320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Bimët vajore dhe fibroze</w:t>
            </w:r>
          </w:p>
        </w:tc>
        <w:tc>
          <w:tcPr>
            <w:tcW w:w="171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 </w:t>
            </w:r>
          </w:p>
        </w:tc>
        <w:tc>
          <w:tcPr>
            <w:tcW w:w="99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84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1017"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985"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Brassica napus L. (partim)</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Sinapi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Brassica nigra (L.) Koch</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Lakra e zezë</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Brassica rapa L. var. (Lam.) Briggs</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Kolza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Cannabis sativa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Kërpi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Glycine max (L.) Merill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Soja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6</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Helianthus annuus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Luledielli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7</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Linum usitatissimim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Lini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8</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Arachis hypogea</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Kikiriku</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VII</w:t>
            </w:r>
          </w:p>
        </w:tc>
        <w:tc>
          <w:tcPr>
            <w:tcW w:w="320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Patatja</w:t>
            </w:r>
          </w:p>
        </w:tc>
        <w:tc>
          <w:tcPr>
            <w:tcW w:w="171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 </w:t>
            </w:r>
          </w:p>
        </w:tc>
        <w:tc>
          <w:tcPr>
            <w:tcW w:w="99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84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1017"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985"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Solarium tuberosum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Patatja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E172D9">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70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VIII</w:t>
            </w:r>
          </w:p>
        </w:tc>
        <w:tc>
          <w:tcPr>
            <w:tcW w:w="320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Perimet</w:t>
            </w:r>
          </w:p>
        </w:tc>
        <w:tc>
          <w:tcPr>
            <w:tcW w:w="171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 </w:t>
            </w:r>
          </w:p>
        </w:tc>
        <w:tc>
          <w:tcPr>
            <w:tcW w:w="99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84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1017"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985"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Allium cepa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Qepa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Allium porrum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Preshi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Allium sativum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Hudhra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Anthriscus cerefolium L. Hoffm.</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Fier moskat</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0.05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Apium graveolens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Selino</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6</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Asparagus officinalis I.</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Asparagusi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7</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Beta vulgaris L. var. vulgaris</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 xml:space="preserve">Panxhar </w:t>
            </w:r>
            <w:r w:rsidR="00E92A28">
              <w:rPr>
                <w:sz w:val="20"/>
                <w:szCs w:val="20"/>
                <w:lang w:val="sq-AL"/>
              </w:rPr>
              <w:t>i</w:t>
            </w:r>
            <w:r w:rsidRPr="00B56DAA">
              <w:rPr>
                <w:sz w:val="20"/>
                <w:szCs w:val="20"/>
                <w:lang w:val="sq-AL"/>
              </w:rPr>
              <w:t>zakonshëm</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8</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Beta vulgaris L. var conditiva</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Panxhar i kuq</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9</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Brassica oleracea L. convar. acephala (DC) Alef. var sabellica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Lakra kokë</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Brassica oleracea L. convar. botrytis (L) Alef. var. botrytis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Lulelakra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Brassica oleracea L. convar. botrytis (L.) Alef. var. cymosa</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Brokoli i hollë</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12</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Brassica oleracea L. convar. botrytis (L.) Alef. var. italica Plenck.</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Brokoli kokë</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13</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Brassica oleracea L. convar. oleracea var. gemmifera DC</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Lakra e Brukselit</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14</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Brassica oleracea L. convar capitata (L) Alef. var. subauda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Lakra e Savojës</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15</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Brassica oleracea L. convar. capitata (L.) Alef. var alba DC</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22499B">
            <w:pPr>
              <w:pStyle w:val="Paragrafi"/>
              <w:ind w:firstLine="0"/>
              <w:jc w:val="left"/>
              <w:rPr>
                <w:sz w:val="20"/>
                <w:szCs w:val="20"/>
                <w:lang w:val="sq-AL"/>
              </w:rPr>
            </w:pPr>
            <w:r w:rsidRPr="00B56DAA">
              <w:rPr>
                <w:sz w:val="20"/>
                <w:szCs w:val="20"/>
                <w:lang w:val="sq-AL"/>
              </w:rPr>
              <w:t>Lakra kokëbardhë</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16</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Brassica oleracea L. convar. capitata (L.) Alef. var rubra DC</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22499B">
            <w:pPr>
              <w:pStyle w:val="Paragrafi"/>
              <w:ind w:firstLine="0"/>
              <w:jc w:val="left"/>
              <w:rPr>
                <w:sz w:val="20"/>
                <w:szCs w:val="20"/>
                <w:lang w:val="sq-AL"/>
              </w:rPr>
            </w:pPr>
            <w:r w:rsidRPr="00B56DAA">
              <w:rPr>
                <w:sz w:val="20"/>
                <w:szCs w:val="20"/>
                <w:lang w:val="sq-AL"/>
              </w:rPr>
              <w:t>Lakra kokëkuqe</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17</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Brassica oleracea L. convar. acephala (DC) Alef. var gongylodes</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Kolrabi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0B6981">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18</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Brassica pekinensis (Lour.) Rupr.</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Lakra kineze</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0B6981">
        <w:trPr>
          <w:trHeight w:val="24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lastRenderedPageBreak/>
              <w:t>19</w:t>
            </w:r>
          </w:p>
        </w:tc>
        <w:tc>
          <w:tcPr>
            <w:tcW w:w="3202"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Brassica rapa L. var. rapa</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Rilka</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Capsicum annuum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Speci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0.04</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Cichorium endivia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Endivia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22</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Cichorium intybus L. (partim)</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Çikorja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23</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Citrullus lanatus (Thunb.) Matsum. et Nakai</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Shalqini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24</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Cucumis melo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Pjepri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25</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Cucumis sativus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Trangulli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26</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Cucurbita maxima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Kungulli i ëmbël</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27</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Cucurbit a pepo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 xml:space="preserve">Kungulli </w:t>
            </w:r>
            <w:r w:rsidR="0022499B">
              <w:rPr>
                <w:sz w:val="20"/>
                <w:szCs w:val="20"/>
                <w:lang w:val="sq-AL"/>
              </w:rPr>
              <w:t>i</w:t>
            </w:r>
            <w:r w:rsidRPr="00B56DAA">
              <w:rPr>
                <w:sz w:val="20"/>
                <w:szCs w:val="20"/>
                <w:lang w:val="sq-AL"/>
              </w:rPr>
              <w:t>zakonshëm</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28</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Cucurbita pepo L. var. Styriaca Greb</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Kungulli i verdhë</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29</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Daucus carota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Karota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30</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Foeniculum vulgare Miller.</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Finoku</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Hybiscus esculentum</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Bamja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32</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Lactuca sativa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Sallata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33</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Lycopersicon lycopersicum (L.) Karsten ex Farë.</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Domatja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34</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22499B">
            <w:pPr>
              <w:pStyle w:val="Paragrafi"/>
              <w:ind w:firstLine="0"/>
              <w:jc w:val="left"/>
              <w:rPr>
                <w:sz w:val="20"/>
                <w:szCs w:val="20"/>
                <w:lang w:val="sq-AL"/>
              </w:rPr>
            </w:pPr>
            <w:r w:rsidRPr="00B56DAA">
              <w:rPr>
                <w:sz w:val="20"/>
                <w:szCs w:val="20"/>
                <w:lang w:val="sq-AL"/>
              </w:rPr>
              <w:t>Petroselinum crispum (Miller) Nyman ex A.</w:t>
            </w:r>
            <w:r w:rsidR="0022499B">
              <w:rPr>
                <w:sz w:val="20"/>
                <w:szCs w:val="20"/>
                <w:lang w:val="sq-AL"/>
              </w:rPr>
              <w:t>w</w:t>
            </w:r>
            <w:r w:rsidRPr="00B56DAA">
              <w:rPr>
                <w:sz w:val="20"/>
                <w:szCs w:val="20"/>
                <w:lang w:val="sq-AL"/>
              </w:rPr>
              <w:t>.Hill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Majdanozi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35</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Phaseolus coccineus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Barbunja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36</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Phaseolus vulgaris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Fasulja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37</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Pisum sativum L. (fnartim)</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Bizelja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38</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Raphanus sativus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Rrepa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39</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Solarium melongena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Patëllxhani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0.05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Spinacia oleracea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Spinaqi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250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0.1</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Valerianella locusta (L) Laterr.</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Valeriana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42</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Vicia faba L. (partim)</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Batha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43</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Zea mays L. (partim)</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Misri i ëmbël</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40000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IX</w:t>
            </w:r>
          </w:p>
        </w:tc>
        <w:tc>
          <w:tcPr>
            <w:tcW w:w="320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Hardhia</w:t>
            </w:r>
          </w:p>
        </w:tc>
        <w:tc>
          <w:tcPr>
            <w:tcW w:w="171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 </w:t>
            </w:r>
          </w:p>
        </w:tc>
        <w:tc>
          <w:tcPr>
            <w:tcW w:w="99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84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1017"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985"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Vitis spp.</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Hardhia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X</w:t>
            </w:r>
          </w:p>
        </w:tc>
        <w:tc>
          <w:tcPr>
            <w:tcW w:w="320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Sumullbari (Humulusi)</w:t>
            </w:r>
          </w:p>
        </w:tc>
        <w:tc>
          <w:tcPr>
            <w:tcW w:w="171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 </w:t>
            </w:r>
          </w:p>
        </w:tc>
        <w:tc>
          <w:tcPr>
            <w:tcW w:w="99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84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1017"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985"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Humulus lupulus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Sumullbari (</w:t>
            </w:r>
            <w:r w:rsidR="0022499B" w:rsidRPr="00B56DAA">
              <w:rPr>
                <w:sz w:val="20"/>
                <w:szCs w:val="20"/>
                <w:lang w:val="sq-AL"/>
              </w:rPr>
              <w:t>humulusi</w:t>
            </w:r>
            <w:r w:rsidRPr="00B56DAA">
              <w:rPr>
                <w:sz w:val="20"/>
                <w:szCs w:val="20"/>
                <w:lang w:val="sq-AL"/>
              </w:rPr>
              <w:t>)</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 </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 </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XI</w:t>
            </w:r>
          </w:p>
        </w:tc>
        <w:tc>
          <w:tcPr>
            <w:tcW w:w="320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Bimët drufrutore</w:t>
            </w:r>
          </w:p>
        </w:tc>
        <w:tc>
          <w:tcPr>
            <w:tcW w:w="171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 </w:t>
            </w:r>
          </w:p>
        </w:tc>
        <w:tc>
          <w:tcPr>
            <w:tcW w:w="99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84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1017"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985"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Castanea sativa Mill.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Gështenja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Citrus limon (L.) Burm. f. lemon</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Limoni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Citrus reticulata Blanco</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Mandarina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Citrus sinensis (L.) Pers.</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Portokalli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Citrus x paradisi Macfad.</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Grapefruiti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6</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Citrus medica</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Qitro</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7</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22499B">
            <w:pPr>
              <w:pStyle w:val="Paragrafi"/>
              <w:ind w:firstLine="0"/>
              <w:jc w:val="left"/>
              <w:rPr>
                <w:sz w:val="20"/>
                <w:szCs w:val="20"/>
                <w:lang w:val="sq-AL"/>
              </w:rPr>
            </w:pPr>
            <w:r w:rsidRPr="00B56DAA">
              <w:rPr>
                <w:sz w:val="20"/>
                <w:szCs w:val="20"/>
                <w:lang w:val="sq-AL"/>
              </w:rPr>
              <w:t>Citrus auranifolia (Christm.) S</w:t>
            </w:r>
            <w:r w:rsidR="0022499B">
              <w:rPr>
                <w:sz w:val="20"/>
                <w:szCs w:val="20"/>
                <w:lang w:val="sq-AL"/>
              </w:rPr>
              <w:t>w</w:t>
            </w:r>
            <w:r w:rsidRPr="00B56DAA">
              <w:rPr>
                <w:sz w:val="20"/>
                <w:szCs w:val="20"/>
                <w:lang w:val="sq-AL"/>
              </w:rPr>
              <w:t>ing</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Nerënxa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8</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Cydonia spp.</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Ftoi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9</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Cornus mas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Thana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Corylus avellana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Lajthia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30000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Diospyros kaki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Hurma (</w:t>
            </w:r>
            <w:r w:rsidR="0022499B" w:rsidRPr="00B56DAA">
              <w:rPr>
                <w:sz w:val="20"/>
                <w:szCs w:val="20"/>
                <w:lang w:val="sq-AL"/>
              </w:rPr>
              <w:t>kakia</w:t>
            </w:r>
            <w:r w:rsidRPr="00B56DAA">
              <w:rPr>
                <w:sz w:val="20"/>
                <w:szCs w:val="20"/>
                <w:lang w:val="sq-AL"/>
              </w:rPr>
              <w:t>)</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12</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Fragaria x ananassa Duch.</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Luleshtrydhja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100000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13</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Ficus carica</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Fiku</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14</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Zizyphus Zizyphus</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Hidja (xinxifja)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15</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Juglans regia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Arra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16</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Actinidia sp.</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Kivi (Aktinidia)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17</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Malus Mill.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Molla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0B6981">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18</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Morus sp.</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Mani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0B6981">
        <w:trPr>
          <w:trHeight w:val="24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lastRenderedPageBreak/>
              <w:t>19</w:t>
            </w:r>
          </w:p>
        </w:tc>
        <w:tc>
          <w:tcPr>
            <w:tcW w:w="3202"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Mespilus germanica</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Mushmolla dimërore</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Eriobotrya japonica</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Nespola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Olea europaea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Ulliri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22</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Poncirus trifogliata</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Trifoljata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23</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Pistacia verra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Pistaku</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24</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Prunus amygdalus Batsch</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Bajamja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25</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Prunus armeniaca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Kajsia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26</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Prunus avium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Qershia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27</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Prunus cerasus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Vishnja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28</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Prunus domestica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Kumbulla gjatore</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29</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Prunus persica (L.) Batsch</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Pjeshka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30</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Prunus salicina Lindl.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Kumbulla japoneze</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Pyrus communis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Dardha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32</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Punica granatum</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Shega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33</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Ribes spp.</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Ribes</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34</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Rubus spp.</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Mjedra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35</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Vaccinium L.</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Boronica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fidanë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XII</w:t>
            </w:r>
          </w:p>
        </w:tc>
        <w:tc>
          <w:tcPr>
            <w:tcW w:w="320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Bimët medicinale</w:t>
            </w:r>
          </w:p>
        </w:tc>
        <w:tc>
          <w:tcPr>
            <w:tcW w:w="171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 </w:t>
            </w:r>
          </w:p>
        </w:tc>
        <w:tc>
          <w:tcPr>
            <w:tcW w:w="990"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842"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1017"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c>
          <w:tcPr>
            <w:tcW w:w="985" w:type="dxa"/>
            <w:tcBorders>
              <w:top w:val="nil"/>
              <w:left w:val="nil"/>
              <w:bottom w:val="single" w:sz="4" w:space="0" w:color="auto"/>
              <w:right w:val="single" w:sz="4" w:space="0" w:color="auto"/>
            </w:tcBorders>
            <w:shd w:val="clear" w:color="000000" w:fill="C5BE97"/>
            <w:vAlign w:val="center"/>
            <w:hideMark/>
          </w:tcPr>
          <w:p w:rsidR="00AB3F48" w:rsidRPr="00B56DAA" w:rsidRDefault="00AB3F48" w:rsidP="00E172D9">
            <w:pPr>
              <w:pStyle w:val="Paragrafi"/>
              <w:ind w:firstLine="0"/>
              <w:rPr>
                <w:sz w:val="20"/>
                <w:szCs w:val="20"/>
                <w:lang w:val="sq-AL"/>
              </w:rPr>
            </w:pPr>
            <w:r w:rsidRPr="00B56DAA">
              <w:rPr>
                <w:sz w:val="20"/>
                <w:szCs w:val="20"/>
                <w:lang w:val="sq-AL"/>
              </w:rPr>
              <w:t> </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Salvia Officinalis</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B56DAA" w:rsidP="00E92A28">
            <w:pPr>
              <w:pStyle w:val="Paragrafi"/>
              <w:ind w:firstLine="0"/>
              <w:jc w:val="left"/>
              <w:rPr>
                <w:sz w:val="20"/>
                <w:szCs w:val="20"/>
                <w:lang w:val="sq-AL"/>
              </w:rPr>
            </w:pPr>
            <w:r w:rsidRPr="00B56DAA">
              <w:rPr>
                <w:sz w:val="20"/>
                <w:szCs w:val="20"/>
                <w:lang w:val="sq-AL"/>
              </w:rPr>
              <w:t>Sherbela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EF23B2" w:rsidP="00E172D9">
            <w:pPr>
              <w:pStyle w:val="Paragrafi"/>
              <w:ind w:firstLine="0"/>
              <w:rPr>
                <w:sz w:val="20"/>
                <w:szCs w:val="20"/>
                <w:lang w:val="sq-AL"/>
              </w:rPr>
            </w:pPr>
            <w:r>
              <w:rPr>
                <w:sz w:val="20"/>
                <w:szCs w:val="20"/>
                <w:lang w:val="sq-AL"/>
              </w:rPr>
              <w:t>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0.05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x</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Thymus Vulgaris</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Timus</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0.3</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x</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3</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Lavandula officinalis</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Lavanda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EF23B2" w:rsidP="00E172D9">
            <w:pPr>
              <w:pStyle w:val="Paragrafi"/>
              <w:ind w:firstLine="0"/>
              <w:rPr>
                <w:sz w:val="20"/>
                <w:szCs w:val="20"/>
                <w:lang w:val="sq-AL"/>
              </w:rPr>
            </w:pPr>
            <w:r>
              <w:rPr>
                <w:sz w:val="20"/>
                <w:szCs w:val="20"/>
                <w:lang w:val="sq-AL"/>
              </w:rPr>
              <w:t>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0.05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x</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4</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Origanum Vulgaris</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Rigoni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x</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E97A7B" w:rsidP="00B56DAA">
            <w:pPr>
              <w:pStyle w:val="Paragrafi"/>
              <w:ind w:firstLine="0"/>
              <w:jc w:val="left"/>
              <w:rPr>
                <w:sz w:val="20"/>
                <w:szCs w:val="20"/>
                <w:lang w:val="sq-AL"/>
              </w:rPr>
            </w:pPr>
            <w:hyperlink r:id="rId15" w:history="1">
              <w:r w:rsidR="00AB3F48" w:rsidRPr="00B56DAA">
                <w:rPr>
                  <w:rStyle w:val="Hyperlink"/>
                  <w:sz w:val="20"/>
                  <w:szCs w:val="20"/>
                  <w:lang w:val="sq-AL"/>
                </w:rPr>
                <w:t>Helichrysum Italicum</w:t>
              </w:r>
            </w:hyperlink>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Helikrisium</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EF23B2" w:rsidP="00E172D9">
            <w:pPr>
              <w:pStyle w:val="Paragrafi"/>
              <w:ind w:firstLine="0"/>
              <w:rPr>
                <w:sz w:val="20"/>
                <w:szCs w:val="20"/>
                <w:lang w:val="sq-AL"/>
              </w:rPr>
            </w:pPr>
            <w:r>
              <w:rPr>
                <w:sz w:val="20"/>
                <w:szCs w:val="20"/>
                <w:lang w:val="sq-AL"/>
              </w:rPr>
              <w:t>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500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0.05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x</w:t>
            </w:r>
          </w:p>
        </w:tc>
      </w:tr>
      <w:tr w:rsidR="00AB3F48" w:rsidRPr="00B56DAA" w:rsidTr="008E62D8">
        <w:trPr>
          <w:trHeight w:val="216"/>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6</w:t>
            </w:r>
          </w:p>
        </w:tc>
        <w:tc>
          <w:tcPr>
            <w:tcW w:w="3202" w:type="dxa"/>
            <w:tcBorders>
              <w:top w:val="nil"/>
              <w:left w:val="nil"/>
              <w:bottom w:val="nil"/>
              <w:right w:val="nil"/>
            </w:tcBorders>
            <w:shd w:val="clear" w:color="auto" w:fill="auto"/>
            <w:noWrap/>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Althea Officinalis L. M.Sylvestrys</w:t>
            </w:r>
          </w:p>
        </w:tc>
        <w:tc>
          <w:tcPr>
            <w:tcW w:w="171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 xml:space="preserve">Mëllaga e bardhe e zezë </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x</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7</w:t>
            </w:r>
          </w:p>
        </w:tc>
        <w:tc>
          <w:tcPr>
            <w:tcW w:w="3202" w:type="dxa"/>
            <w:tcBorders>
              <w:top w:val="single" w:sz="4" w:space="0" w:color="auto"/>
              <w:left w:val="nil"/>
              <w:bottom w:val="single" w:sz="4" w:space="0" w:color="auto"/>
              <w:right w:val="single" w:sz="4" w:space="0" w:color="auto"/>
            </w:tcBorders>
            <w:shd w:val="clear" w:color="auto" w:fill="auto"/>
            <w:vAlign w:val="center"/>
            <w:hideMark/>
          </w:tcPr>
          <w:p w:rsidR="00AB3F48" w:rsidRPr="00B56DAA" w:rsidRDefault="00E97A7B" w:rsidP="00B56DAA">
            <w:pPr>
              <w:pStyle w:val="Paragrafi"/>
              <w:ind w:firstLine="0"/>
              <w:jc w:val="left"/>
              <w:rPr>
                <w:sz w:val="20"/>
                <w:szCs w:val="20"/>
                <w:lang w:val="sq-AL"/>
              </w:rPr>
            </w:pPr>
            <w:hyperlink r:id="rId16" w:history="1">
              <w:r w:rsidR="00AB3F48" w:rsidRPr="00B56DAA">
                <w:rPr>
                  <w:rStyle w:val="Hyperlink"/>
                  <w:sz w:val="20"/>
                  <w:szCs w:val="20"/>
                  <w:lang w:val="sq-AL"/>
                </w:rPr>
                <w:t>Valeriana officinalis</w:t>
              </w:r>
            </w:hyperlink>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Valeriana</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5</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x</w:t>
            </w:r>
          </w:p>
        </w:tc>
      </w:tr>
      <w:tr w:rsidR="00AB3F48" w:rsidRPr="00B56DAA" w:rsidTr="008E62D8">
        <w:trPr>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8</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Centaurea Cyanum</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Lule</w:t>
            </w:r>
            <w:r w:rsidR="00B56DAA">
              <w:rPr>
                <w:sz w:val="20"/>
                <w:szCs w:val="20"/>
                <w:lang w:val="sq-AL"/>
              </w:rPr>
              <w:t xml:space="preserve"> </w:t>
            </w:r>
            <w:r w:rsidRPr="00B56DAA">
              <w:rPr>
                <w:sz w:val="20"/>
                <w:szCs w:val="20"/>
                <w:lang w:val="sq-AL"/>
              </w:rPr>
              <w:t>Ciani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kg</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20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0.5</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x</w:t>
            </w:r>
          </w:p>
        </w:tc>
      </w:tr>
      <w:tr w:rsidR="00AB3F48" w:rsidRPr="00B56DAA" w:rsidTr="008E62D8">
        <w:trPr>
          <w:trHeight w:val="288"/>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9</w:t>
            </w:r>
          </w:p>
        </w:tc>
        <w:tc>
          <w:tcPr>
            <w:tcW w:w="320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B56DAA">
            <w:pPr>
              <w:pStyle w:val="Paragrafi"/>
              <w:ind w:firstLine="0"/>
              <w:jc w:val="left"/>
              <w:rPr>
                <w:sz w:val="20"/>
                <w:szCs w:val="20"/>
                <w:lang w:val="sq-AL"/>
              </w:rPr>
            </w:pPr>
            <w:r w:rsidRPr="00B56DAA">
              <w:rPr>
                <w:sz w:val="20"/>
                <w:szCs w:val="20"/>
                <w:lang w:val="sq-AL"/>
              </w:rPr>
              <w:t xml:space="preserve">crocus sativus L </w:t>
            </w:r>
          </w:p>
        </w:tc>
        <w:tc>
          <w:tcPr>
            <w:tcW w:w="1710"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92A28">
            <w:pPr>
              <w:pStyle w:val="Paragrafi"/>
              <w:ind w:firstLine="0"/>
              <w:jc w:val="left"/>
              <w:rPr>
                <w:sz w:val="20"/>
                <w:szCs w:val="20"/>
                <w:lang w:val="sq-AL"/>
              </w:rPr>
            </w:pPr>
            <w:r w:rsidRPr="00B56DAA">
              <w:rPr>
                <w:sz w:val="20"/>
                <w:szCs w:val="20"/>
                <w:lang w:val="sq-AL"/>
              </w:rPr>
              <w:t>Shafrani</w:t>
            </w:r>
          </w:p>
        </w:tc>
        <w:tc>
          <w:tcPr>
            <w:tcW w:w="990" w:type="dxa"/>
            <w:tcBorders>
              <w:top w:val="nil"/>
              <w:left w:val="nil"/>
              <w:bottom w:val="single" w:sz="4" w:space="0" w:color="auto"/>
              <w:right w:val="single" w:sz="4" w:space="0" w:color="auto"/>
            </w:tcBorders>
            <w:shd w:val="clear" w:color="auto" w:fill="auto"/>
            <w:vAlign w:val="center"/>
            <w:hideMark/>
          </w:tcPr>
          <w:p w:rsidR="00AB3F48" w:rsidRPr="00B56DAA" w:rsidRDefault="00867DDC" w:rsidP="00867DDC">
            <w:pPr>
              <w:pStyle w:val="Paragrafi"/>
              <w:ind w:firstLine="0"/>
              <w:rPr>
                <w:sz w:val="20"/>
                <w:szCs w:val="20"/>
                <w:lang w:val="sq-AL"/>
              </w:rPr>
            </w:pPr>
            <w:r w:rsidRPr="00B56DAA">
              <w:rPr>
                <w:sz w:val="20"/>
                <w:szCs w:val="20"/>
                <w:lang w:val="sq-AL"/>
              </w:rPr>
              <w:t>ton</w:t>
            </w:r>
            <w:r>
              <w:rPr>
                <w:sz w:val="20"/>
                <w:szCs w:val="20"/>
                <w:lang w:val="sq-AL"/>
              </w:rPr>
              <w:t>ë</w:t>
            </w:r>
          </w:p>
        </w:tc>
        <w:tc>
          <w:tcPr>
            <w:tcW w:w="842"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10</w:t>
            </w:r>
          </w:p>
        </w:tc>
        <w:tc>
          <w:tcPr>
            <w:tcW w:w="1017"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0.2</w:t>
            </w:r>
          </w:p>
        </w:tc>
        <w:tc>
          <w:tcPr>
            <w:tcW w:w="985" w:type="dxa"/>
            <w:tcBorders>
              <w:top w:val="nil"/>
              <w:left w:val="nil"/>
              <w:bottom w:val="single" w:sz="4" w:space="0" w:color="auto"/>
              <w:right w:val="single" w:sz="4" w:space="0" w:color="auto"/>
            </w:tcBorders>
            <w:shd w:val="clear" w:color="auto" w:fill="auto"/>
            <w:vAlign w:val="center"/>
            <w:hideMark/>
          </w:tcPr>
          <w:p w:rsidR="00AB3F48" w:rsidRPr="00B56DAA" w:rsidRDefault="00AB3F48" w:rsidP="00E172D9">
            <w:pPr>
              <w:pStyle w:val="Paragrafi"/>
              <w:ind w:firstLine="0"/>
              <w:rPr>
                <w:sz w:val="20"/>
                <w:szCs w:val="20"/>
                <w:lang w:val="sq-AL"/>
              </w:rPr>
            </w:pPr>
            <w:r w:rsidRPr="00B56DAA">
              <w:rPr>
                <w:sz w:val="20"/>
                <w:szCs w:val="20"/>
                <w:lang w:val="sq-AL"/>
              </w:rPr>
              <w:t>x</w:t>
            </w:r>
          </w:p>
        </w:tc>
      </w:tr>
    </w:tbl>
    <w:p w:rsidR="00AB3F48" w:rsidRPr="00B56DAA" w:rsidRDefault="00AB3F48" w:rsidP="00837CE6">
      <w:pPr>
        <w:pStyle w:val="Paragrafi"/>
        <w:rPr>
          <w:sz w:val="14"/>
          <w:lang w:val="sq-AL"/>
        </w:rPr>
      </w:pPr>
    </w:p>
    <w:p w:rsidR="00AB3F48" w:rsidRPr="00B56DAA" w:rsidRDefault="00AB3F48" w:rsidP="00837CE6">
      <w:pPr>
        <w:pStyle w:val="Paragrafi"/>
        <w:rPr>
          <w:lang w:val="sq-AL"/>
        </w:rPr>
      </w:pPr>
      <w:r w:rsidRPr="00B56DAA">
        <w:rPr>
          <w:lang w:val="sq-AL"/>
        </w:rPr>
        <w:t>*Sasitë e fidanëve që nevojiten për punë shkencore</w:t>
      </w:r>
      <w:r w:rsidR="005D143F">
        <w:rPr>
          <w:lang w:val="sq-AL"/>
        </w:rPr>
        <w:t>.</w:t>
      </w:r>
    </w:p>
    <w:p w:rsidR="001667EC" w:rsidRPr="00B56DAA" w:rsidRDefault="001667EC" w:rsidP="00837CE6">
      <w:pPr>
        <w:pStyle w:val="Paragrafi"/>
        <w:rPr>
          <w:lang w:val="sq-AL"/>
        </w:rPr>
      </w:pPr>
    </w:p>
    <w:p w:rsidR="00F308FA" w:rsidRDefault="00F308FA" w:rsidP="00B06E9F">
      <w:pPr>
        <w:pStyle w:val="NeniTitull"/>
        <w:rPr>
          <w:lang w:val="sq-AL"/>
        </w:rPr>
        <w:sectPr w:rsidR="00F308FA" w:rsidSect="00BE33BE">
          <w:type w:val="continuous"/>
          <w:pgSz w:w="11907" w:h="16840" w:code="9"/>
          <w:pgMar w:top="720" w:right="1134" w:bottom="720" w:left="1134" w:header="851" w:footer="851" w:gutter="0"/>
          <w:cols w:space="720"/>
          <w:docGrid w:linePitch="360"/>
        </w:sectPr>
      </w:pPr>
    </w:p>
    <w:p w:rsidR="008E62D8" w:rsidRPr="00B56DAA" w:rsidRDefault="008E62D8" w:rsidP="00B06E9F">
      <w:pPr>
        <w:pStyle w:val="NeniTitull"/>
        <w:rPr>
          <w:lang w:val="sq-AL"/>
        </w:rPr>
      </w:pPr>
      <w:r w:rsidRPr="00B56DAA">
        <w:rPr>
          <w:lang w:val="sq-AL"/>
        </w:rPr>
        <w:lastRenderedPageBreak/>
        <w:t>UDH</w:t>
      </w:r>
      <w:r w:rsidR="005F2426" w:rsidRPr="00B56DAA">
        <w:rPr>
          <w:lang w:val="sq-AL"/>
        </w:rPr>
        <w:t>Ë</w:t>
      </w:r>
      <w:r w:rsidRPr="00B56DAA">
        <w:rPr>
          <w:lang w:val="sq-AL"/>
        </w:rPr>
        <w:t>ZIM</w:t>
      </w:r>
    </w:p>
    <w:p w:rsidR="008E62D8" w:rsidRPr="00B56DAA" w:rsidRDefault="0046105A" w:rsidP="00B06E9F">
      <w:pPr>
        <w:pStyle w:val="NeniTitull"/>
        <w:rPr>
          <w:lang w:val="sq-AL"/>
        </w:rPr>
      </w:pPr>
      <w:r>
        <w:rPr>
          <w:lang w:val="sq-AL"/>
        </w:rPr>
        <w:t xml:space="preserve">Nr. </w:t>
      </w:r>
      <w:r w:rsidR="00B06E9F" w:rsidRPr="00B56DAA">
        <w:rPr>
          <w:lang w:val="sq-AL"/>
        </w:rPr>
        <w:t>6,</w:t>
      </w:r>
      <w:r w:rsidR="008E62D8" w:rsidRPr="00B56DAA">
        <w:rPr>
          <w:lang w:val="sq-AL"/>
        </w:rPr>
        <w:t xml:space="preserve"> </w:t>
      </w:r>
      <w:r w:rsidR="00B06E9F" w:rsidRPr="00B56DAA">
        <w:rPr>
          <w:lang w:val="sq-AL"/>
        </w:rPr>
        <w:t>dat</w:t>
      </w:r>
      <w:r w:rsidR="008E62D8" w:rsidRPr="00B56DAA">
        <w:rPr>
          <w:lang w:val="sq-AL"/>
        </w:rPr>
        <w:t>ë 20.4.2016</w:t>
      </w:r>
    </w:p>
    <w:p w:rsidR="008E62D8" w:rsidRPr="00B56DAA" w:rsidRDefault="008E62D8" w:rsidP="00077052">
      <w:pPr>
        <w:pStyle w:val="Hapesira7"/>
        <w:rPr>
          <w:lang w:val="sq-AL"/>
        </w:rPr>
      </w:pPr>
    </w:p>
    <w:p w:rsidR="008E62D8" w:rsidRPr="00B56DAA" w:rsidRDefault="008E62D8" w:rsidP="00B06E9F">
      <w:pPr>
        <w:pStyle w:val="NeniTitull"/>
        <w:rPr>
          <w:lang w:val="sq-AL"/>
        </w:rPr>
      </w:pPr>
      <w:r w:rsidRPr="00B56DAA">
        <w:rPr>
          <w:lang w:val="sq-AL"/>
        </w:rPr>
        <w:t>P</w:t>
      </w:r>
      <w:r w:rsidR="005F2426" w:rsidRPr="00B56DAA">
        <w:rPr>
          <w:lang w:val="sq-AL"/>
        </w:rPr>
        <w:t>Ë</w:t>
      </w:r>
      <w:r w:rsidRPr="00B56DAA">
        <w:rPr>
          <w:lang w:val="sq-AL"/>
        </w:rPr>
        <w:t>R NJ</w:t>
      </w:r>
      <w:r w:rsidR="005F2426" w:rsidRPr="00B56DAA">
        <w:rPr>
          <w:lang w:val="sq-AL"/>
        </w:rPr>
        <w:t>Ë</w:t>
      </w:r>
      <w:r w:rsidRPr="00B56DAA">
        <w:rPr>
          <w:lang w:val="sq-AL"/>
        </w:rPr>
        <w:t xml:space="preserve"> NDRYSHIM N</w:t>
      </w:r>
      <w:r w:rsidR="005F2426" w:rsidRPr="00B56DAA">
        <w:rPr>
          <w:lang w:val="sq-AL"/>
        </w:rPr>
        <w:t>Ë</w:t>
      </w:r>
      <w:r w:rsidRPr="00B56DAA">
        <w:rPr>
          <w:lang w:val="sq-AL"/>
        </w:rPr>
        <w:t xml:space="preserve"> UDH</w:t>
      </w:r>
      <w:r w:rsidR="005F2426" w:rsidRPr="00B56DAA">
        <w:rPr>
          <w:lang w:val="sq-AL"/>
        </w:rPr>
        <w:t>Ë</w:t>
      </w:r>
      <w:r w:rsidRPr="00B56DAA">
        <w:rPr>
          <w:lang w:val="sq-AL"/>
        </w:rPr>
        <w:t xml:space="preserve">ZIMIN </w:t>
      </w:r>
      <w:r w:rsidR="0046105A">
        <w:rPr>
          <w:lang w:val="sq-AL"/>
        </w:rPr>
        <w:t xml:space="preserve">NR. </w:t>
      </w:r>
      <w:r w:rsidRPr="00B56DAA">
        <w:rPr>
          <w:lang w:val="sq-AL"/>
        </w:rPr>
        <w:t>26, DAT</w:t>
      </w:r>
      <w:r w:rsidR="005F2426" w:rsidRPr="00B56DAA">
        <w:rPr>
          <w:lang w:val="sq-AL"/>
        </w:rPr>
        <w:t>Ë</w:t>
      </w:r>
      <w:r w:rsidRPr="00B56DAA">
        <w:rPr>
          <w:lang w:val="sq-AL"/>
        </w:rPr>
        <w:t xml:space="preserve"> 4.9.2008</w:t>
      </w:r>
      <w:r w:rsidR="005D143F">
        <w:rPr>
          <w:lang w:val="sq-AL"/>
        </w:rPr>
        <w:t>,</w:t>
      </w:r>
      <w:r w:rsidRPr="00B56DAA">
        <w:rPr>
          <w:lang w:val="sq-AL"/>
        </w:rPr>
        <w:t xml:space="preserve"> </w:t>
      </w:r>
      <w:r w:rsidR="005D143F">
        <w:rPr>
          <w:lang w:val="sq-AL"/>
        </w:rPr>
        <w:t>“</w:t>
      </w:r>
      <w:r w:rsidRPr="00B56DAA">
        <w:rPr>
          <w:lang w:val="sq-AL"/>
        </w:rPr>
        <w:t>P</w:t>
      </w:r>
      <w:r w:rsidR="005F2426" w:rsidRPr="00B56DAA">
        <w:rPr>
          <w:lang w:val="sq-AL"/>
        </w:rPr>
        <w:t>Ë</w:t>
      </w:r>
      <w:r w:rsidRPr="00B56DAA">
        <w:rPr>
          <w:lang w:val="sq-AL"/>
        </w:rPr>
        <w:t>R TAKSAT KOMB</w:t>
      </w:r>
      <w:r w:rsidR="005F2426" w:rsidRPr="00B56DAA">
        <w:rPr>
          <w:lang w:val="sq-AL"/>
        </w:rPr>
        <w:t>Ë</w:t>
      </w:r>
      <w:r w:rsidRPr="00B56DAA">
        <w:rPr>
          <w:lang w:val="sq-AL"/>
        </w:rPr>
        <w:t>TARE”, I NDRYSHUAR</w:t>
      </w:r>
    </w:p>
    <w:p w:rsidR="008E62D8" w:rsidRPr="00B56DAA" w:rsidRDefault="008E62D8" w:rsidP="00077052">
      <w:pPr>
        <w:pStyle w:val="Hapesira7"/>
        <w:rPr>
          <w:lang w:val="sq-AL"/>
        </w:rPr>
      </w:pPr>
    </w:p>
    <w:p w:rsidR="008E62D8" w:rsidRPr="00B56DAA" w:rsidRDefault="008E62D8" w:rsidP="00B06E9F">
      <w:pPr>
        <w:pStyle w:val="paragrafi0"/>
        <w:spacing w:before="0" w:beforeAutospacing="0" w:after="0" w:afterAutospacing="0"/>
        <w:ind w:firstLine="288"/>
        <w:jc w:val="both"/>
        <w:rPr>
          <w:rFonts w:ascii="Garamond" w:hAnsi="Garamond"/>
        </w:rPr>
      </w:pPr>
      <w:r w:rsidRPr="00B56DAA">
        <w:rPr>
          <w:rFonts w:ascii="Garamond" w:hAnsi="Garamond"/>
        </w:rPr>
        <w:t>N</w:t>
      </w:r>
      <w:r w:rsidR="005F2426" w:rsidRPr="00B56DAA">
        <w:rPr>
          <w:rFonts w:ascii="Garamond" w:hAnsi="Garamond"/>
        </w:rPr>
        <w:t>ë</w:t>
      </w:r>
      <w:r w:rsidRPr="00B56DAA">
        <w:rPr>
          <w:rFonts w:ascii="Garamond" w:hAnsi="Garamond"/>
        </w:rPr>
        <w:t xml:space="preserve"> zbatim t</w:t>
      </w:r>
      <w:r w:rsidR="005F2426" w:rsidRPr="00B56DAA">
        <w:rPr>
          <w:rFonts w:ascii="Garamond" w:hAnsi="Garamond"/>
        </w:rPr>
        <w:t>ë</w:t>
      </w:r>
      <w:r w:rsidRPr="00B56DAA">
        <w:rPr>
          <w:rFonts w:ascii="Garamond" w:hAnsi="Garamond"/>
        </w:rPr>
        <w:t xml:space="preserve"> nenit 102</w:t>
      </w:r>
      <w:r w:rsidR="00B56DAA">
        <w:rPr>
          <w:rFonts w:ascii="Garamond" w:hAnsi="Garamond"/>
        </w:rPr>
        <w:t>,</w:t>
      </w:r>
      <w:r w:rsidRPr="00B56DAA">
        <w:rPr>
          <w:rFonts w:ascii="Garamond" w:hAnsi="Garamond"/>
        </w:rPr>
        <w:t xml:space="preserve"> pika 4</w:t>
      </w:r>
      <w:r w:rsidR="00D012C9">
        <w:rPr>
          <w:rFonts w:ascii="Garamond" w:hAnsi="Garamond"/>
        </w:rPr>
        <w:t>,</w:t>
      </w:r>
      <w:r w:rsidRPr="00B56DAA">
        <w:rPr>
          <w:rFonts w:ascii="Garamond" w:hAnsi="Garamond"/>
        </w:rPr>
        <w:t xml:space="preserve"> t</w:t>
      </w:r>
      <w:r w:rsidR="005F2426" w:rsidRPr="00B56DAA">
        <w:rPr>
          <w:rFonts w:ascii="Garamond" w:hAnsi="Garamond"/>
        </w:rPr>
        <w:t>ë</w:t>
      </w:r>
      <w:r w:rsidRPr="00B56DAA">
        <w:rPr>
          <w:rFonts w:ascii="Garamond" w:hAnsi="Garamond"/>
        </w:rPr>
        <w:t xml:space="preserve"> Kushtetut</w:t>
      </w:r>
      <w:r w:rsidR="005F2426" w:rsidRPr="00B56DAA">
        <w:rPr>
          <w:rFonts w:ascii="Garamond" w:hAnsi="Garamond"/>
        </w:rPr>
        <w:t>ë</w:t>
      </w:r>
      <w:r w:rsidRPr="00B56DAA">
        <w:rPr>
          <w:rFonts w:ascii="Garamond" w:hAnsi="Garamond"/>
        </w:rPr>
        <w:t>s s</w:t>
      </w:r>
      <w:r w:rsidR="005F2426" w:rsidRPr="00B56DAA">
        <w:rPr>
          <w:rFonts w:ascii="Garamond" w:hAnsi="Garamond"/>
        </w:rPr>
        <w:t>ë</w:t>
      </w:r>
      <w:r w:rsidRPr="00B56DAA">
        <w:rPr>
          <w:rFonts w:ascii="Garamond" w:hAnsi="Garamond"/>
        </w:rPr>
        <w:t xml:space="preserve"> Republik</w:t>
      </w:r>
      <w:r w:rsidR="005F2426" w:rsidRPr="00B56DAA">
        <w:rPr>
          <w:rFonts w:ascii="Garamond" w:hAnsi="Garamond"/>
        </w:rPr>
        <w:t>ë</w:t>
      </w:r>
      <w:r w:rsidRPr="00B56DAA">
        <w:rPr>
          <w:rFonts w:ascii="Garamond" w:hAnsi="Garamond"/>
        </w:rPr>
        <w:t>s s</w:t>
      </w:r>
      <w:r w:rsidR="005F2426" w:rsidRPr="00B56DAA">
        <w:rPr>
          <w:rFonts w:ascii="Garamond" w:hAnsi="Garamond"/>
        </w:rPr>
        <w:t>ë</w:t>
      </w:r>
      <w:r w:rsidRPr="00B56DAA">
        <w:rPr>
          <w:rFonts w:ascii="Garamond" w:hAnsi="Garamond"/>
        </w:rPr>
        <w:t xml:space="preserve"> Shqip</w:t>
      </w:r>
      <w:r w:rsidR="005F2426" w:rsidRPr="00B56DAA">
        <w:rPr>
          <w:rFonts w:ascii="Garamond" w:hAnsi="Garamond"/>
        </w:rPr>
        <w:t>ë</w:t>
      </w:r>
      <w:r w:rsidRPr="00B56DAA">
        <w:rPr>
          <w:rFonts w:ascii="Garamond" w:hAnsi="Garamond"/>
        </w:rPr>
        <w:t>ris</w:t>
      </w:r>
      <w:r w:rsidR="005F2426" w:rsidRPr="00B56DAA">
        <w:rPr>
          <w:rFonts w:ascii="Garamond" w:hAnsi="Garamond"/>
        </w:rPr>
        <w:t>ë</w:t>
      </w:r>
      <w:r w:rsidRPr="00B56DAA">
        <w:rPr>
          <w:rFonts w:ascii="Garamond" w:hAnsi="Garamond"/>
        </w:rPr>
        <w:t>, si dhe n</w:t>
      </w:r>
      <w:r w:rsidR="005F2426" w:rsidRPr="00B56DAA">
        <w:rPr>
          <w:rFonts w:ascii="Garamond" w:hAnsi="Garamond"/>
        </w:rPr>
        <w:t>ë</w:t>
      </w:r>
      <w:r w:rsidRPr="00B56DAA">
        <w:rPr>
          <w:rFonts w:ascii="Garamond" w:hAnsi="Garamond"/>
        </w:rPr>
        <w:t xml:space="preserve"> zbatim t</w:t>
      </w:r>
      <w:r w:rsidR="005F2426" w:rsidRPr="00B56DAA">
        <w:rPr>
          <w:rFonts w:ascii="Garamond" w:hAnsi="Garamond"/>
        </w:rPr>
        <w:t>ë</w:t>
      </w:r>
      <w:r w:rsidRPr="00B56DAA">
        <w:rPr>
          <w:rFonts w:ascii="Garamond" w:hAnsi="Garamond"/>
        </w:rPr>
        <w:t xml:space="preserve"> ligjit </w:t>
      </w:r>
      <w:r w:rsidR="0046105A">
        <w:rPr>
          <w:rFonts w:ascii="Garamond" w:hAnsi="Garamond"/>
        </w:rPr>
        <w:t xml:space="preserve">nr. </w:t>
      </w:r>
      <w:r w:rsidRPr="00B56DAA">
        <w:rPr>
          <w:rFonts w:ascii="Garamond" w:hAnsi="Garamond"/>
        </w:rPr>
        <w:t>9975, dat</w:t>
      </w:r>
      <w:r w:rsidR="005F2426" w:rsidRPr="00B56DAA">
        <w:rPr>
          <w:rFonts w:ascii="Garamond" w:hAnsi="Garamond"/>
        </w:rPr>
        <w:t>ë</w:t>
      </w:r>
      <w:r w:rsidRPr="00B56DAA">
        <w:rPr>
          <w:rFonts w:ascii="Garamond" w:hAnsi="Garamond"/>
        </w:rPr>
        <w:t xml:space="preserve"> 28.7.2008</w:t>
      </w:r>
      <w:r w:rsidR="00B56DAA">
        <w:rPr>
          <w:rFonts w:ascii="Garamond" w:hAnsi="Garamond"/>
        </w:rPr>
        <w:t>,</w:t>
      </w:r>
      <w:r w:rsidRPr="00B56DAA">
        <w:rPr>
          <w:rFonts w:ascii="Garamond" w:hAnsi="Garamond"/>
        </w:rPr>
        <w:t xml:space="preserve"> “P</w:t>
      </w:r>
      <w:r w:rsidR="005F2426" w:rsidRPr="00B56DAA">
        <w:rPr>
          <w:rFonts w:ascii="Garamond" w:hAnsi="Garamond"/>
        </w:rPr>
        <w:t>ë</w:t>
      </w:r>
      <w:r w:rsidRPr="00B56DAA">
        <w:rPr>
          <w:rFonts w:ascii="Garamond" w:hAnsi="Garamond"/>
        </w:rPr>
        <w:t xml:space="preserve">r </w:t>
      </w:r>
      <w:r w:rsidR="00B56DAA" w:rsidRPr="00B56DAA">
        <w:rPr>
          <w:rFonts w:ascii="Garamond" w:hAnsi="Garamond"/>
        </w:rPr>
        <w:t>taksat kombëtare</w:t>
      </w:r>
      <w:r w:rsidRPr="00B56DAA">
        <w:rPr>
          <w:rFonts w:ascii="Garamond" w:hAnsi="Garamond"/>
        </w:rPr>
        <w:t xml:space="preserve">”, i ndryshuar, </w:t>
      </w:r>
      <w:r w:rsidR="00B56DAA" w:rsidRPr="00B56DAA">
        <w:rPr>
          <w:rFonts w:ascii="Garamond" w:hAnsi="Garamond"/>
        </w:rPr>
        <w:t xml:space="preserve">ministri </w:t>
      </w:r>
      <w:r w:rsidRPr="00B56DAA">
        <w:rPr>
          <w:rFonts w:ascii="Garamond" w:hAnsi="Garamond"/>
        </w:rPr>
        <w:t>i Financave,</w:t>
      </w:r>
    </w:p>
    <w:p w:rsidR="008E62D8" w:rsidRPr="00B56DAA" w:rsidRDefault="008E62D8" w:rsidP="00077052">
      <w:pPr>
        <w:pStyle w:val="Hapesira7"/>
        <w:rPr>
          <w:lang w:val="sq-AL"/>
        </w:rPr>
      </w:pPr>
    </w:p>
    <w:p w:rsidR="008E62D8" w:rsidRPr="00B56DAA" w:rsidRDefault="008E62D8" w:rsidP="00B06E9F">
      <w:pPr>
        <w:pStyle w:val="NeniNr"/>
        <w:rPr>
          <w:lang w:val="sq-AL"/>
        </w:rPr>
      </w:pPr>
      <w:r w:rsidRPr="00B56DAA">
        <w:rPr>
          <w:lang w:val="sq-AL"/>
        </w:rPr>
        <w:t>UDH</w:t>
      </w:r>
      <w:r w:rsidR="005F2426" w:rsidRPr="00B56DAA">
        <w:rPr>
          <w:lang w:val="sq-AL"/>
        </w:rPr>
        <w:t>Ë</w:t>
      </w:r>
      <w:r w:rsidRPr="00B56DAA">
        <w:rPr>
          <w:lang w:val="sq-AL"/>
        </w:rPr>
        <w:t>ZON:</w:t>
      </w:r>
    </w:p>
    <w:p w:rsidR="008E62D8" w:rsidRPr="00B56DAA" w:rsidRDefault="008E62D8" w:rsidP="00077052">
      <w:pPr>
        <w:pStyle w:val="Hapesira7"/>
        <w:rPr>
          <w:lang w:val="sq-AL"/>
        </w:rPr>
      </w:pPr>
    </w:p>
    <w:p w:rsidR="008E62D8" w:rsidRPr="00B56DAA" w:rsidRDefault="008E62D8" w:rsidP="00B06E9F">
      <w:pPr>
        <w:pStyle w:val="paragrafi0"/>
        <w:spacing w:before="0" w:beforeAutospacing="0" w:after="0" w:afterAutospacing="0"/>
        <w:ind w:firstLine="288"/>
        <w:jc w:val="both"/>
        <w:rPr>
          <w:rFonts w:ascii="Garamond" w:hAnsi="Garamond"/>
        </w:rPr>
      </w:pPr>
      <w:r w:rsidRPr="00B56DAA">
        <w:rPr>
          <w:rFonts w:ascii="Garamond" w:hAnsi="Garamond"/>
        </w:rPr>
        <w:t>N</w:t>
      </w:r>
      <w:r w:rsidR="005F2426" w:rsidRPr="00B56DAA">
        <w:rPr>
          <w:rFonts w:ascii="Garamond" w:hAnsi="Garamond"/>
        </w:rPr>
        <w:t>ë</w:t>
      </w:r>
      <w:r w:rsidRPr="00B56DAA">
        <w:rPr>
          <w:rFonts w:ascii="Garamond" w:hAnsi="Garamond"/>
        </w:rPr>
        <w:t xml:space="preserve"> udh</w:t>
      </w:r>
      <w:r w:rsidR="005F2426" w:rsidRPr="00B56DAA">
        <w:rPr>
          <w:rFonts w:ascii="Garamond" w:hAnsi="Garamond"/>
        </w:rPr>
        <w:t>ë</w:t>
      </w:r>
      <w:r w:rsidRPr="00B56DAA">
        <w:rPr>
          <w:rFonts w:ascii="Garamond" w:hAnsi="Garamond"/>
        </w:rPr>
        <w:t xml:space="preserve">zimin </w:t>
      </w:r>
      <w:r w:rsidR="0046105A">
        <w:rPr>
          <w:rFonts w:ascii="Garamond" w:hAnsi="Garamond"/>
        </w:rPr>
        <w:t xml:space="preserve">nr. </w:t>
      </w:r>
      <w:r w:rsidRPr="00B56DAA">
        <w:rPr>
          <w:rFonts w:ascii="Garamond" w:hAnsi="Garamond"/>
        </w:rPr>
        <w:t>26, dat</w:t>
      </w:r>
      <w:r w:rsidR="005F2426" w:rsidRPr="00B56DAA">
        <w:rPr>
          <w:rFonts w:ascii="Garamond" w:hAnsi="Garamond"/>
        </w:rPr>
        <w:t>ë</w:t>
      </w:r>
      <w:r w:rsidRPr="00B56DAA">
        <w:rPr>
          <w:rFonts w:ascii="Garamond" w:hAnsi="Garamond"/>
        </w:rPr>
        <w:t xml:space="preserve"> 4.9.2008</w:t>
      </w:r>
      <w:r w:rsidR="00B56DAA">
        <w:rPr>
          <w:rFonts w:ascii="Garamond" w:hAnsi="Garamond"/>
        </w:rPr>
        <w:t>,</w:t>
      </w:r>
      <w:r w:rsidRPr="00B56DAA">
        <w:rPr>
          <w:rFonts w:ascii="Garamond" w:hAnsi="Garamond"/>
        </w:rPr>
        <w:t xml:space="preserve"> “P</w:t>
      </w:r>
      <w:r w:rsidR="005F2426" w:rsidRPr="00B56DAA">
        <w:rPr>
          <w:rFonts w:ascii="Garamond" w:hAnsi="Garamond"/>
        </w:rPr>
        <w:t>ë</w:t>
      </w:r>
      <w:r w:rsidRPr="00B56DAA">
        <w:rPr>
          <w:rFonts w:ascii="Garamond" w:hAnsi="Garamond"/>
        </w:rPr>
        <w:t xml:space="preserve">r </w:t>
      </w:r>
      <w:r w:rsidR="00B56DAA" w:rsidRPr="00B56DAA">
        <w:rPr>
          <w:rFonts w:ascii="Garamond" w:hAnsi="Garamond"/>
        </w:rPr>
        <w:t>taksat k</w:t>
      </w:r>
      <w:r w:rsidRPr="00B56DAA">
        <w:rPr>
          <w:rFonts w:ascii="Garamond" w:hAnsi="Garamond"/>
        </w:rPr>
        <w:t>omb</w:t>
      </w:r>
      <w:r w:rsidR="005F2426" w:rsidRPr="00B56DAA">
        <w:rPr>
          <w:rFonts w:ascii="Garamond" w:hAnsi="Garamond"/>
        </w:rPr>
        <w:t>ë</w:t>
      </w:r>
      <w:r w:rsidRPr="00B56DAA">
        <w:rPr>
          <w:rFonts w:ascii="Garamond" w:hAnsi="Garamond"/>
        </w:rPr>
        <w:t>tare”, i ndryshuar, b</w:t>
      </w:r>
      <w:r w:rsidR="005F2426" w:rsidRPr="00B56DAA">
        <w:rPr>
          <w:rFonts w:ascii="Garamond" w:hAnsi="Garamond"/>
        </w:rPr>
        <w:t>ë</w:t>
      </w:r>
      <w:r w:rsidRPr="00B56DAA">
        <w:rPr>
          <w:rFonts w:ascii="Garamond" w:hAnsi="Garamond"/>
        </w:rPr>
        <w:t>het ky ndryshim:</w:t>
      </w:r>
    </w:p>
    <w:p w:rsidR="008E62D8" w:rsidRPr="00B56DAA" w:rsidRDefault="008E62D8" w:rsidP="00B06E9F">
      <w:pPr>
        <w:pStyle w:val="paragrafi0"/>
        <w:spacing w:before="0" w:beforeAutospacing="0" w:after="0" w:afterAutospacing="0"/>
        <w:ind w:firstLine="288"/>
        <w:jc w:val="both"/>
        <w:rPr>
          <w:rFonts w:ascii="Garamond" w:hAnsi="Garamond"/>
        </w:rPr>
      </w:pPr>
      <w:r w:rsidRPr="00B56DAA">
        <w:rPr>
          <w:rFonts w:ascii="Garamond" w:hAnsi="Garamond"/>
        </w:rPr>
        <w:t>N</w:t>
      </w:r>
      <w:r w:rsidR="005F2426" w:rsidRPr="00B56DAA">
        <w:rPr>
          <w:rFonts w:ascii="Garamond" w:hAnsi="Garamond"/>
        </w:rPr>
        <w:t>ë</w:t>
      </w:r>
      <w:r w:rsidRPr="00B56DAA">
        <w:rPr>
          <w:rFonts w:ascii="Garamond" w:hAnsi="Garamond"/>
        </w:rPr>
        <w:t xml:space="preserve"> pik</w:t>
      </w:r>
      <w:r w:rsidR="005F2426" w:rsidRPr="00B56DAA">
        <w:rPr>
          <w:rFonts w:ascii="Garamond" w:hAnsi="Garamond"/>
        </w:rPr>
        <w:t>ë</w:t>
      </w:r>
      <w:r w:rsidRPr="00B56DAA">
        <w:rPr>
          <w:rFonts w:ascii="Garamond" w:hAnsi="Garamond"/>
        </w:rPr>
        <w:t>n 2.3, fjalia me p</w:t>
      </w:r>
      <w:r w:rsidR="005F2426" w:rsidRPr="00B56DAA">
        <w:rPr>
          <w:rFonts w:ascii="Garamond" w:hAnsi="Garamond"/>
        </w:rPr>
        <w:t>ë</w:t>
      </w:r>
      <w:r w:rsidRPr="00B56DAA">
        <w:rPr>
          <w:rFonts w:ascii="Garamond" w:hAnsi="Garamond"/>
        </w:rPr>
        <w:t>rmbajtje: “Drejtorit</w:t>
      </w:r>
      <w:r w:rsidR="005F2426" w:rsidRPr="00B56DAA">
        <w:rPr>
          <w:rFonts w:ascii="Garamond" w:hAnsi="Garamond"/>
        </w:rPr>
        <w:t>ë</w:t>
      </w:r>
      <w:r w:rsidRPr="00B56DAA">
        <w:rPr>
          <w:rFonts w:ascii="Garamond" w:hAnsi="Garamond"/>
        </w:rPr>
        <w:t xml:space="preserve"> rajonale tatimore q</w:t>
      </w:r>
      <w:r w:rsidR="005F2426" w:rsidRPr="00B56DAA">
        <w:rPr>
          <w:rFonts w:ascii="Garamond" w:hAnsi="Garamond"/>
        </w:rPr>
        <w:t>ë</w:t>
      </w:r>
      <w:r w:rsidRPr="00B56DAA">
        <w:rPr>
          <w:rFonts w:ascii="Garamond" w:hAnsi="Garamond"/>
        </w:rPr>
        <w:t xml:space="preserve"> t</w:t>
      </w:r>
      <w:r w:rsidR="005F2426" w:rsidRPr="00B56DAA">
        <w:rPr>
          <w:rFonts w:ascii="Garamond" w:hAnsi="Garamond"/>
        </w:rPr>
        <w:t>ë</w:t>
      </w:r>
      <w:r w:rsidRPr="00B56DAA">
        <w:rPr>
          <w:rFonts w:ascii="Garamond" w:hAnsi="Garamond"/>
        </w:rPr>
        <w:t xml:space="preserve"> l</w:t>
      </w:r>
      <w:r w:rsidR="005F2426" w:rsidRPr="00B56DAA">
        <w:rPr>
          <w:rFonts w:ascii="Garamond" w:hAnsi="Garamond"/>
        </w:rPr>
        <w:t>ë</w:t>
      </w:r>
      <w:r w:rsidRPr="00B56DAA">
        <w:rPr>
          <w:rFonts w:ascii="Garamond" w:hAnsi="Garamond"/>
        </w:rPr>
        <w:t>shojn</w:t>
      </w:r>
      <w:r w:rsidR="005F2426" w:rsidRPr="00B56DAA">
        <w:rPr>
          <w:rFonts w:ascii="Garamond" w:hAnsi="Garamond"/>
        </w:rPr>
        <w:t>ë</w:t>
      </w:r>
      <w:r w:rsidRPr="00B56DAA">
        <w:rPr>
          <w:rFonts w:ascii="Garamond" w:hAnsi="Garamond"/>
        </w:rPr>
        <w:t xml:space="preserve"> v</w:t>
      </w:r>
      <w:r w:rsidR="005F2426" w:rsidRPr="00B56DAA">
        <w:rPr>
          <w:rFonts w:ascii="Garamond" w:hAnsi="Garamond"/>
        </w:rPr>
        <w:t>ë</w:t>
      </w:r>
      <w:r w:rsidRPr="00B56DAA">
        <w:rPr>
          <w:rFonts w:ascii="Garamond" w:hAnsi="Garamond"/>
        </w:rPr>
        <w:t>rtetim</w:t>
      </w:r>
      <w:r w:rsidR="00B56DAA">
        <w:rPr>
          <w:rFonts w:ascii="Garamond" w:hAnsi="Garamond"/>
        </w:rPr>
        <w:t>,</w:t>
      </w:r>
      <w:r w:rsidRPr="00B56DAA">
        <w:rPr>
          <w:rFonts w:ascii="Garamond" w:hAnsi="Garamond"/>
        </w:rPr>
        <w:t xml:space="preserve"> “P</w:t>
      </w:r>
      <w:r w:rsidR="005F2426" w:rsidRPr="00B56DAA">
        <w:rPr>
          <w:rFonts w:ascii="Garamond" w:hAnsi="Garamond"/>
        </w:rPr>
        <w:t>ë</w:t>
      </w:r>
      <w:r w:rsidRPr="00B56DAA">
        <w:rPr>
          <w:rFonts w:ascii="Garamond" w:hAnsi="Garamond"/>
        </w:rPr>
        <w:t>r shlyerjen e detyrimeve tatimore”</w:t>
      </w:r>
      <w:r w:rsidR="00B56DAA">
        <w:rPr>
          <w:rFonts w:ascii="Garamond" w:hAnsi="Garamond"/>
        </w:rPr>
        <w:t>,</w:t>
      </w:r>
      <w:r w:rsidRPr="00B56DAA">
        <w:rPr>
          <w:rFonts w:ascii="Garamond" w:hAnsi="Garamond"/>
        </w:rPr>
        <w:t xml:space="preserve"> p</w:t>
      </w:r>
      <w:r w:rsidR="005F2426" w:rsidRPr="00B56DAA">
        <w:rPr>
          <w:rFonts w:ascii="Garamond" w:hAnsi="Garamond"/>
        </w:rPr>
        <w:t>ë</w:t>
      </w:r>
      <w:r w:rsidRPr="00B56DAA">
        <w:rPr>
          <w:rFonts w:ascii="Garamond" w:hAnsi="Garamond"/>
        </w:rPr>
        <w:t>r çdo tatimpagues duhet t</w:t>
      </w:r>
      <w:r w:rsidR="005F2426" w:rsidRPr="00B56DAA">
        <w:rPr>
          <w:rFonts w:ascii="Garamond" w:hAnsi="Garamond"/>
        </w:rPr>
        <w:t>ë</w:t>
      </w:r>
      <w:r w:rsidRPr="00B56DAA">
        <w:rPr>
          <w:rFonts w:ascii="Garamond" w:hAnsi="Garamond"/>
        </w:rPr>
        <w:t xml:space="preserve"> k</w:t>
      </w:r>
      <w:r w:rsidR="005F2426" w:rsidRPr="00B56DAA">
        <w:rPr>
          <w:rFonts w:ascii="Garamond" w:hAnsi="Garamond"/>
        </w:rPr>
        <w:t>ë</w:t>
      </w:r>
      <w:r w:rsidRPr="00B56DAA">
        <w:rPr>
          <w:rFonts w:ascii="Garamond" w:hAnsi="Garamond"/>
        </w:rPr>
        <w:t>rkojn</w:t>
      </w:r>
      <w:r w:rsidR="005F2426" w:rsidRPr="00B56DAA">
        <w:rPr>
          <w:rFonts w:ascii="Garamond" w:hAnsi="Garamond"/>
        </w:rPr>
        <w:t>ë</w:t>
      </w:r>
      <w:r w:rsidRPr="00B56DAA">
        <w:rPr>
          <w:rFonts w:ascii="Garamond" w:hAnsi="Garamond"/>
        </w:rPr>
        <w:t xml:space="preserve"> m</w:t>
      </w:r>
      <w:r w:rsidR="005F2426" w:rsidRPr="00B56DAA">
        <w:rPr>
          <w:rFonts w:ascii="Garamond" w:hAnsi="Garamond"/>
        </w:rPr>
        <w:t>ë</w:t>
      </w:r>
      <w:r w:rsidRPr="00B56DAA">
        <w:rPr>
          <w:rFonts w:ascii="Garamond" w:hAnsi="Garamond"/>
        </w:rPr>
        <w:t xml:space="preserve"> par</w:t>
      </w:r>
      <w:r w:rsidR="005F2426" w:rsidRPr="00B56DAA">
        <w:rPr>
          <w:rFonts w:ascii="Garamond" w:hAnsi="Garamond"/>
        </w:rPr>
        <w:t>ë</w:t>
      </w:r>
      <w:r w:rsidRPr="00B56DAA">
        <w:rPr>
          <w:rFonts w:ascii="Garamond" w:hAnsi="Garamond"/>
        </w:rPr>
        <w:t xml:space="preserve"> v</w:t>
      </w:r>
      <w:r w:rsidR="005F2426" w:rsidRPr="00B56DAA">
        <w:rPr>
          <w:rFonts w:ascii="Garamond" w:hAnsi="Garamond"/>
        </w:rPr>
        <w:t>ë</w:t>
      </w:r>
      <w:r w:rsidRPr="00B56DAA">
        <w:rPr>
          <w:rFonts w:ascii="Garamond" w:hAnsi="Garamond"/>
        </w:rPr>
        <w:t xml:space="preserve">rtetim </w:t>
      </w:r>
      <w:r w:rsidRPr="00B56DAA">
        <w:rPr>
          <w:rFonts w:ascii="Garamond" w:hAnsi="Garamond"/>
        </w:rPr>
        <w:lastRenderedPageBreak/>
        <w:t>nga drejtorit</w:t>
      </w:r>
      <w:r w:rsidR="005F2426" w:rsidRPr="00B56DAA">
        <w:rPr>
          <w:rFonts w:ascii="Garamond" w:hAnsi="Garamond"/>
        </w:rPr>
        <w:t>ë</w:t>
      </w:r>
      <w:r w:rsidRPr="00B56DAA">
        <w:rPr>
          <w:rFonts w:ascii="Garamond" w:hAnsi="Garamond"/>
        </w:rPr>
        <w:t xml:space="preserve"> rajonale t</w:t>
      </w:r>
      <w:r w:rsidR="005F2426" w:rsidRPr="00B56DAA">
        <w:rPr>
          <w:rFonts w:ascii="Garamond" w:hAnsi="Garamond"/>
        </w:rPr>
        <w:t>ë</w:t>
      </w:r>
      <w:r w:rsidRPr="00B56DAA">
        <w:rPr>
          <w:rFonts w:ascii="Garamond" w:hAnsi="Garamond"/>
        </w:rPr>
        <w:t xml:space="preserve"> sh</w:t>
      </w:r>
      <w:r w:rsidR="005F2426" w:rsidRPr="00B56DAA">
        <w:rPr>
          <w:rFonts w:ascii="Garamond" w:hAnsi="Garamond"/>
        </w:rPr>
        <w:t>ë</w:t>
      </w:r>
      <w:r w:rsidRPr="00B56DAA">
        <w:rPr>
          <w:rFonts w:ascii="Garamond" w:hAnsi="Garamond"/>
        </w:rPr>
        <w:t>rbimeve t</w:t>
      </w:r>
      <w:r w:rsidR="005F2426" w:rsidRPr="00B56DAA">
        <w:rPr>
          <w:rFonts w:ascii="Garamond" w:hAnsi="Garamond"/>
        </w:rPr>
        <w:t>ë</w:t>
      </w:r>
      <w:r w:rsidRPr="00B56DAA">
        <w:rPr>
          <w:rFonts w:ascii="Garamond" w:hAnsi="Garamond"/>
        </w:rPr>
        <w:t xml:space="preserve"> transportit rrugor p</w:t>
      </w:r>
      <w:r w:rsidR="005F2426" w:rsidRPr="00B56DAA">
        <w:rPr>
          <w:rFonts w:ascii="Garamond" w:hAnsi="Garamond"/>
        </w:rPr>
        <w:t>ë</w:t>
      </w:r>
      <w:r w:rsidRPr="00B56DAA">
        <w:rPr>
          <w:rFonts w:ascii="Garamond" w:hAnsi="Garamond"/>
        </w:rPr>
        <w:t>r shlyerjen e “Taks</w:t>
      </w:r>
      <w:r w:rsidR="005F2426" w:rsidRPr="00B56DAA">
        <w:rPr>
          <w:rFonts w:ascii="Garamond" w:hAnsi="Garamond"/>
        </w:rPr>
        <w:t>ë</w:t>
      </w:r>
      <w:r w:rsidRPr="00B56DAA">
        <w:rPr>
          <w:rFonts w:ascii="Garamond" w:hAnsi="Garamond"/>
        </w:rPr>
        <w:t>s vjetore t</w:t>
      </w:r>
      <w:r w:rsidR="005F2426" w:rsidRPr="00B56DAA">
        <w:rPr>
          <w:rFonts w:ascii="Garamond" w:hAnsi="Garamond"/>
        </w:rPr>
        <w:t>ë</w:t>
      </w:r>
      <w:r w:rsidRPr="00B56DAA">
        <w:rPr>
          <w:rFonts w:ascii="Garamond" w:hAnsi="Garamond"/>
        </w:rPr>
        <w:t xml:space="preserve"> mjeteve t</w:t>
      </w:r>
      <w:r w:rsidR="005F2426" w:rsidRPr="00B56DAA">
        <w:rPr>
          <w:rFonts w:ascii="Garamond" w:hAnsi="Garamond"/>
        </w:rPr>
        <w:t>ë</w:t>
      </w:r>
      <w:r w:rsidRPr="00B56DAA">
        <w:rPr>
          <w:rFonts w:ascii="Garamond" w:hAnsi="Garamond"/>
        </w:rPr>
        <w:t xml:space="preserve"> p</w:t>
      </w:r>
      <w:r w:rsidR="005F2426" w:rsidRPr="00B56DAA">
        <w:rPr>
          <w:rFonts w:ascii="Garamond" w:hAnsi="Garamond"/>
        </w:rPr>
        <w:t>ë</w:t>
      </w:r>
      <w:r w:rsidRPr="00B56DAA">
        <w:rPr>
          <w:rFonts w:ascii="Garamond" w:hAnsi="Garamond"/>
        </w:rPr>
        <w:t>rdorura”, t</w:t>
      </w:r>
      <w:r w:rsidR="005F2426" w:rsidRPr="00B56DAA">
        <w:rPr>
          <w:rFonts w:ascii="Garamond" w:hAnsi="Garamond"/>
        </w:rPr>
        <w:t>ë</w:t>
      </w:r>
      <w:r w:rsidRPr="00B56DAA">
        <w:rPr>
          <w:rFonts w:ascii="Garamond" w:hAnsi="Garamond"/>
        </w:rPr>
        <w:t xml:space="preserve"> mjeteve n</w:t>
      </w:r>
      <w:r w:rsidR="005F2426" w:rsidRPr="00B56DAA">
        <w:rPr>
          <w:rFonts w:ascii="Garamond" w:hAnsi="Garamond"/>
        </w:rPr>
        <w:t>ë</w:t>
      </w:r>
      <w:r w:rsidRPr="00B56DAA">
        <w:rPr>
          <w:rFonts w:ascii="Garamond" w:hAnsi="Garamond"/>
        </w:rPr>
        <w:t xml:space="preserve"> pron</w:t>
      </w:r>
      <w:r w:rsidR="005F2426" w:rsidRPr="00B56DAA">
        <w:rPr>
          <w:rFonts w:ascii="Garamond" w:hAnsi="Garamond"/>
        </w:rPr>
        <w:t>ë</w:t>
      </w:r>
      <w:r w:rsidRPr="00B56DAA">
        <w:rPr>
          <w:rFonts w:ascii="Garamond" w:hAnsi="Garamond"/>
        </w:rPr>
        <w:t>si t</w:t>
      </w:r>
      <w:r w:rsidR="005F2426" w:rsidRPr="00B56DAA">
        <w:rPr>
          <w:rFonts w:ascii="Garamond" w:hAnsi="Garamond"/>
        </w:rPr>
        <w:t>ë</w:t>
      </w:r>
      <w:r w:rsidR="00D012C9">
        <w:rPr>
          <w:rFonts w:ascii="Garamond" w:hAnsi="Garamond"/>
        </w:rPr>
        <w:t xml:space="preserve"> tatimpaguesit</w:t>
      </w:r>
      <w:r w:rsidRPr="00B56DAA">
        <w:rPr>
          <w:rFonts w:ascii="Garamond" w:hAnsi="Garamond"/>
        </w:rPr>
        <w:t>”</w:t>
      </w:r>
      <w:r w:rsidR="00B56DAA">
        <w:rPr>
          <w:rFonts w:ascii="Garamond" w:hAnsi="Garamond"/>
        </w:rPr>
        <w:t>,</w:t>
      </w:r>
      <w:r w:rsidRPr="00B56DAA">
        <w:rPr>
          <w:rFonts w:ascii="Garamond" w:hAnsi="Garamond"/>
        </w:rPr>
        <w:t xml:space="preserve"> shfuqizohet.</w:t>
      </w:r>
    </w:p>
    <w:p w:rsidR="008E62D8" w:rsidRPr="00B56DAA" w:rsidRDefault="008E62D8" w:rsidP="00B06E9F">
      <w:pPr>
        <w:pStyle w:val="paragrafi0"/>
        <w:spacing w:before="0" w:beforeAutospacing="0" w:after="0" w:afterAutospacing="0"/>
        <w:ind w:firstLine="288"/>
        <w:jc w:val="both"/>
        <w:rPr>
          <w:rFonts w:ascii="Garamond" w:hAnsi="Garamond"/>
        </w:rPr>
      </w:pPr>
      <w:r w:rsidRPr="00B56DAA">
        <w:rPr>
          <w:rFonts w:ascii="Garamond" w:hAnsi="Garamond"/>
        </w:rPr>
        <w:t>Ky udh</w:t>
      </w:r>
      <w:r w:rsidR="005F2426" w:rsidRPr="00B56DAA">
        <w:rPr>
          <w:rFonts w:ascii="Garamond" w:hAnsi="Garamond"/>
        </w:rPr>
        <w:t>ë</w:t>
      </w:r>
      <w:r w:rsidRPr="00B56DAA">
        <w:rPr>
          <w:rFonts w:ascii="Garamond" w:hAnsi="Garamond"/>
        </w:rPr>
        <w:t>zim</w:t>
      </w:r>
      <w:r w:rsidR="000F0697" w:rsidRPr="00B56DAA">
        <w:rPr>
          <w:rFonts w:ascii="Garamond" w:hAnsi="Garamond"/>
        </w:rPr>
        <w:t xml:space="preserve"> hyn n</w:t>
      </w:r>
      <w:r w:rsidR="005F2426" w:rsidRPr="00B56DAA">
        <w:rPr>
          <w:rFonts w:ascii="Garamond" w:hAnsi="Garamond"/>
        </w:rPr>
        <w:t>ë</w:t>
      </w:r>
      <w:r w:rsidR="000F0697" w:rsidRPr="00B56DAA">
        <w:rPr>
          <w:rFonts w:ascii="Garamond" w:hAnsi="Garamond"/>
        </w:rPr>
        <w:t xml:space="preserve"> fuqi pas botimit n</w:t>
      </w:r>
      <w:r w:rsidR="005F2426" w:rsidRPr="00B56DAA">
        <w:rPr>
          <w:rFonts w:ascii="Garamond" w:hAnsi="Garamond"/>
        </w:rPr>
        <w:t>ë</w:t>
      </w:r>
      <w:r w:rsidR="000F0697" w:rsidRPr="00B56DAA">
        <w:rPr>
          <w:rFonts w:ascii="Garamond" w:hAnsi="Garamond"/>
        </w:rPr>
        <w:t xml:space="preserve"> Fletoren Zyrtare.</w:t>
      </w:r>
    </w:p>
    <w:p w:rsidR="000F0697" w:rsidRPr="00B56DAA" w:rsidRDefault="000F0697" w:rsidP="00B06E9F">
      <w:pPr>
        <w:pStyle w:val="paragrafi0"/>
        <w:spacing w:before="0" w:beforeAutospacing="0" w:after="0" w:afterAutospacing="0"/>
        <w:ind w:firstLine="288"/>
        <w:jc w:val="right"/>
        <w:rPr>
          <w:rFonts w:ascii="Garamond" w:hAnsi="Garamond"/>
        </w:rPr>
      </w:pPr>
      <w:r w:rsidRPr="00B56DAA">
        <w:rPr>
          <w:rFonts w:ascii="Garamond" w:hAnsi="Garamond"/>
        </w:rPr>
        <w:t>MINISTRI I FINANCAVE</w:t>
      </w:r>
    </w:p>
    <w:p w:rsidR="000F0697" w:rsidRPr="00B56DAA" w:rsidRDefault="000F0697" w:rsidP="00B06E9F">
      <w:pPr>
        <w:pStyle w:val="paragrafi0"/>
        <w:spacing w:before="0" w:beforeAutospacing="0" w:after="0" w:afterAutospacing="0"/>
        <w:ind w:firstLine="288"/>
        <w:jc w:val="right"/>
        <w:rPr>
          <w:rFonts w:ascii="Garamond" w:hAnsi="Garamond"/>
          <w:b/>
        </w:rPr>
      </w:pPr>
      <w:r w:rsidRPr="00B56DAA">
        <w:rPr>
          <w:rFonts w:ascii="Garamond" w:hAnsi="Garamond"/>
          <w:b/>
        </w:rPr>
        <w:t>Arben Ahmetaj</w:t>
      </w:r>
    </w:p>
    <w:p w:rsidR="00BA2379" w:rsidRPr="00B56DAA" w:rsidRDefault="00BA2379" w:rsidP="00B06E9F">
      <w:pPr>
        <w:pStyle w:val="paragrafi0"/>
        <w:spacing w:before="0" w:beforeAutospacing="0" w:after="0" w:afterAutospacing="0"/>
        <w:ind w:firstLine="288"/>
        <w:jc w:val="both"/>
        <w:rPr>
          <w:rFonts w:ascii="Garamond" w:hAnsi="Garamond"/>
        </w:rPr>
      </w:pPr>
    </w:p>
    <w:p w:rsidR="005F2426" w:rsidRPr="00B56DAA" w:rsidRDefault="005F2426" w:rsidP="00B06E9F">
      <w:pPr>
        <w:pStyle w:val="NeniTitull"/>
        <w:rPr>
          <w:lang w:val="sq-AL"/>
        </w:rPr>
      </w:pPr>
      <w:r w:rsidRPr="00B56DAA">
        <w:rPr>
          <w:lang w:val="sq-AL"/>
        </w:rPr>
        <w:t xml:space="preserve">URDHËR </w:t>
      </w:r>
    </w:p>
    <w:p w:rsidR="005F2426" w:rsidRPr="00B56DAA" w:rsidRDefault="0046105A" w:rsidP="00B06E9F">
      <w:pPr>
        <w:pStyle w:val="NeniTitull"/>
        <w:rPr>
          <w:lang w:val="sq-AL"/>
        </w:rPr>
      </w:pPr>
      <w:r>
        <w:rPr>
          <w:lang w:val="sq-AL"/>
        </w:rPr>
        <w:t xml:space="preserve">Nr. </w:t>
      </w:r>
      <w:r w:rsidR="005F2426" w:rsidRPr="00B56DAA">
        <w:rPr>
          <w:lang w:val="sq-AL"/>
        </w:rPr>
        <w:t>62, datë 4.4.2016</w:t>
      </w:r>
    </w:p>
    <w:p w:rsidR="005F2426" w:rsidRPr="00B56DAA" w:rsidRDefault="005F2426" w:rsidP="00077052">
      <w:pPr>
        <w:pStyle w:val="Hapesira7"/>
        <w:rPr>
          <w:lang w:val="sq-AL"/>
        </w:rPr>
      </w:pPr>
    </w:p>
    <w:p w:rsidR="005F2426" w:rsidRPr="00B56DAA" w:rsidRDefault="005F2426" w:rsidP="00B06E9F">
      <w:pPr>
        <w:pStyle w:val="NeniTitull"/>
        <w:rPr>
          <w:lang w:val="sq-AL"/>
        </w:rPr>
      </w:pPr>
      <w:r w:rsidRPr="00B56DAA">
        <w:rPr>
          <w:lang w:val="sq-AL"/>
        </w:rPr>
        <w:t xml:space="preserve">PËR MIRATIMIN E LISTËS SË LLOJEVE TË SHPENDËVE TË EGËR, VEÇANËRISHT VULNERABËL </w:t>
      </w:r>
    </w:p>
    <w:p w:rsidR="005F2426" w:rsidRPr="00B56DAA" w:rsidRDefault="005F2426" w:rsidP="00077052">
      <w:pPr>
        <w:pStyle w:val="Hapesira7"/>
        <w:rPr>
          <w:lang w:val="sq-AL"/>
        </w:rPr>
      </w:pPr>
    </w:p>
    <w:p w:rsidR="005F2426" w:rsidRPr="00B56DAA" w:rsidRDefault="005F2426" w:rsidP="00B06E9F">
      <w:pPr>
        <w:pStyle w:val="paragrafi0"/>
        <w:spacing w:before="0" w:beforeAutospacing="0" w:after="0" w:afterAutospacing="0"/>
        <w:ind w:firstLine="288"/>
        <w:jc w:val="both"/>
        <w:rPr>
          <w:rFonts w:ascii="Garamond" w:hAnsi="Garamond"/>
        </w:rPr>
      </w:pPr>
      <w:r w:rsidRPr="00B56DAA">
        <w:rPr>
          <w:rFonts w:ascii="Garamond" w:hAnsi="Garamond"/>
        </w:rPr>
        <w:t>Në bazë të nenit 102 të Kushtetutës dhe të pikës 2</w:t>
      </w:r>
      <w:r w:rsidR="00B56DAA">
        <w:rPr>
          <w:rFonts w:ascii="Garamond" w:hAnsi="Garamond"/>
        </w:rPr>
        <w:t>,</w:t>
      </w:r>
      <w:r w:rsidRPr="00B56DAA">
        <w:rPr>
          <w:rFonts w:ascii="Garamond" w:hAnsi="Garamond"/>
        </w:rPr>
        <w:t xml:space="preserve"> të nenit 14</w:t>
      </w:r>
      <w:r w:rsidR="00B56DAA">
        <w:rPr>
          <w:rFonts w:ascii="Garamond" w:hAnsi="Garamond"/>
        </w:rPr>
        <w:t>,</w:t>
      </w:r>
      <w:r w:rsidRPr="00B56DAA">
        <w:rPr>
          <w:rFonts w:ascii="Garamond" w:hAnsi="Garamond"/>
        </w:rPr>
        <w:t xml:space="preserve"> të ligjit </w:t>
      </w:r>
      <w:r w:rsidR="0046105A">
        <w:rPr>
          <w:rFonts w:ascii="Garamond" w:hAnsi="Garamond"/>
        </w:rPr>
        <w:t xml:space="preserve">nr. </w:t>
      </w:r>
      <w:r w:rsidRPr="00B56DAA">
        <w:rPr>
          <w:rFonts w:ascii="Garamond" w:hAnsi="Garamond"/>
        </w:rPr>
        <w:t>10006, datë 23.10.2008</w:t>
      </w:r>
      <w:r w:rsidR="00B56DAA">
        <w:rPr>
          <w:rFonts w:ascii="Garamond" w:hAnsi="Garamond"/>
        </w:rPr>
        <w:t>,</w:t>
      </w:r>
      <w:r w:rsidRPr="00B56DAA">
        <w:rPr>
          <w:rFonts w:ascii="Garamond" w:hAnsi="Garamond"/>
        </w:rPr>
        <w:t xml:space="preserve"> “Për mbrojtjen e faunës së egër”,</w:t>
      </w:r>
    </w:p>
    <w:p w:rsidR="005F2426" w:rsidRPr="00B56DAA" w:rsidRDefault="005F2426" w:rsidP="00077052">
      <w:pPr>
        <w:pStyle w:val="Hapesira7"/>
        <w:rPr>
          <w:lang w:val="sq-AL"/>
        </w:rPr>
      </w:pPr>
    </w:p>
    <w:p w:rsidR="005F2426" w:rsidRPr="00B56DAA" w:rsidRDefault="005F2426" w:rsidP="00B06E9F">
      <w:pPr>
        <w:pStyle w:val="NeniNr"/>
        <w:rPr>
          <w:lang w:val="sq-AL"/>
        </w:rPr>
      </w:pPr>
      <w:r w:rsidRPr="00B56DAA">
        <w:rPr>
          <w:lang w:val="sq-AL"/>
        </w:rPr>
        <w:lastRenderedPageBreak/>
        <w:t>URDHËROJ:</w:t>
      </w:r>
    </w:p>
    <w:p w:rsidR="005F2426" w:rsidRPr="00B56DAA" w:rsidRDefault="005F2426" w:rsidP="00077052">
      <w:pPr>
        <w:pStyle w:val="Hapesira7"/>
        <w:rPr>
          <w:lang w:val="sq-AL"/>
        </w:rPr>
      </w:pPr>
    </w:p>
    <w:p w:rsidR="005F2426" w:rsidRPr="00B56DAA" w:rsidRDefault="005F2426" w:rsidP="00B06E9F">
      <w:pPr>
        <w:pStyle w:val="paragrafi0"/>
        <w:spacing w:before="0" w:beforeAutospacing="0" w:after="0" w:afterAutospacing="0"/>
        <w:ind w:firstLine="288"/>
        <w:jc w:val="both"/>
        <w:rPr>
          <w:rFonts w:ascii="Garamond" w:hAnsi="Garamond"/>
        </w:rPr>
      </w:pPr>
      <w:r w:rsidRPr="00B56DAA">
        <w:rPr>
          <w:rFonts w:ascii="Garamond" w:hAnsi="Garamond"/>
        </w:rPr>
        <w:t xml:space="preserve">1. Miratimin e listës së </w:t>
      </w:r>
      <w:r w:rsidR="00B56DAA" w:rsidRPr="00B56DAA">
        <w:rPr>
          <w:rFonts w:ascii="Garamond" w:hAnsi="Garamond"/>
        </w:rPr>
        <w:t>llojeve</w:t>
      </w:r>
      <w:r w:rsidRPr="00B56DAA">
        <w:rPr>
          <w:rFonts w:ascii="Garamond" w:hAnsi="Garamond"/>
        </w:rPr>
        <w:t xml:space="preserve"> të shpendëve të egër, veçanërisht vulnerabël, sipas shtojcës 1 bashkëlidhur këtij </w:t>
      </w:r>
      <w:r w:rsidR="00B56DAA" w:rsidRPr="00B56DAA">
        <w:rPr>
          <w:rFonts w:ascii="Garamond" w:hAnsi="Garamond"/>
        </w:rPr>
        <w:t>urdhri</w:t>
      </w:r>
      <w:r w:rsidR="00B56DAA">
        <w:rPr>
          <w:rFonts w:ascii="Garamond" w:hAnsi="Garamond"/>
        </w:rPr>
        <w:t>,</w:t>
      </w:r>
      <w:r w:rsidR="00B56DAA" w:rsidRPr="00B56DAA">
        <w:rPr>
          <w:rFonts w:ascii="Garamond" w:hAnsi="Garamond"/>
        </w:rPr>
        <w:t xml:space="preserve"> </w:t>
      </w:r>
      <w:r w:rsidRPr="00B56DAA">
        <w:rPr>
          <w:rFonts w:ascii="Garamond" w:hAnsi="Garamond"/>
        </w:rPr>
        <w:t>si pjesë e tij.</w:t>
      </w:r>
      <w:r w:rsidR="0046105A">
        <w:rPr>
          <w:rFonts w:ascii="Garamond" w:hAnsi="Garamond"/>
        </w:rPr>
        <w:t xml:space="preserve"> </w:t>
      </w:r>
    </w:p>
    <w:p w:rsidR="005F2426" w:rsidRPr="00B56DAA" w:rsidRDefault="005F2426" w:rsidP="00B06E9F">
      <w:pPr>
        <w:pStyle w:val="paragrafi0"/>
        <w:spacing w:before="0" w:beforeAutospacing="0" w:after="0" w:afterAutospacing="0"/>
        <w:ind w:firstLine="288"/>
        <w:jc w:val="both"/>
        <w:rPr>
          <w:rFonts w:ascii="Garamond" w:hAnsi="Garamond"/>
        </w:rPr>
      </w:pPr>
      <w:r w:rsidRPr="00B56DAA">
        <w:rPr>
          <w:rFonts w:ascii="Garamond" w:hAnsi="Garamond"/>
        </w:rPr>
        <w:t xml:space="preserve">2. Për zbatimin e këtij </w:t>
      </w:r>
      <w:r w:rsidR="00B56DAA" w:rsidRPr="00B56DAA">
        <w:rPr>
          <w:rFonts w:ascii="Garamond" w:hAnsi="Garamond"/>
        </w:rPr>
        <w:t xml:space="preserve">urdhri </w:t>
      </w:r>
      <w:r w:rsidRPr="00B56DAA">
        <w:rPr>
          <w:rFonts w:ascii="Garamond" w:hAnsi="Garamond"/>
        </w:rPr>
        <w:t xml:space="preserve">ngarkohet Drejtoria e Biodiversitetit dhe Zonave të Mbrojtura, Agjencia Kombëtare e Zonave të </w:t>
      </w:r>
      <w:r w:rsidRPr="00B56DAA">
        <w:rPr>
          <w:rFonts w:ascii="Garamond" w:hAnsi="Garamond"/>
        </w:rPr>
        <w:lastRenderedPageBreak/>
        <w:t xml:space="preserve">Mbrojtura, Agjencia Kombëtare e Mjedisit, </w:t>
      </w:r>
      <w:r w:rsidR="00B56DAA" w:rsidRPr="00B56DAA">
        <w:rPr>
          <w:rFonts w:ascii="Garamond" w:hAnsi="Garamond"/>
        </w:rPr>
        <w:t>Inspektorati</w:t>
      </w:r>
      <w:r w:rsidRPr="00B56DAA">
        <w:rPr>
          <w:rFonts w:ascii="Garamond" w:hAnsi="Garamond"/>
        </w:rPr>
        <w:t xml:space="preserve"> Shtetëror i Mjedisit dhe Pyjeve. </w:t>
      </w:r>
    </w:p>
    <w:p w:rsidR="005F2426" w:rsidRPr="00B56DAA" w:rsidRDefault="005F2426" w:rsidP="00B06E9F">
      <w:pPr>
        <w:pStyle w:val="paragrafi0"/>
        <w:spacing w:before="0" w:beforeAutospacing="0" w:after="0" w:afterAutospacing="0"/>
        <w:ind w:firstLine="288"/>
        <w:jc w:val="both"/>
        <w:rPr>
          <w:rFonts w:ascii="Garamond" w:hAnsi="Garamond"/>
        </w:rPr>
      </w:pPr>
      <w:r w:rsidRPr="00B56DAA">
        <w:rPr>
          <w:rFonts w:ascii="Garamond" w:hAnsi="Garamond"/>
        </w:rPr>
        <w:t>3. Ngarkohet Sektori i Komunikimit dhe</w:t>
      </w:r>
      <w:r w:rsidR="001B3832">
        <w:rPr>
          <w:rFonts w:ascii="Garamond" w:hAnsi="Garamond"/>
        </w:rPr>
        <w:t xml:space="preserve"> i </w:t>
      </w:r>
      <w:r w:rsidRPr="00B56DAA">
        <w:rPr>
          <w:rFonts w:ascii="Garamond" w:hAnsi="Garamond"/>
        </w:rPr>
        <w:t>Transparencës për publikimin e listës së bashku me ilustrimin për secilin lloj.</w:t>
      </w:r>
    </w:p>
    <w:p w:rsidR="005F2426" w:rsidRPr="00B56DAA" w:rsidRDefault="005F2426" w:rsidP="00B06E9F">
      <w:pPr>
        <w:pStyle w:val="paragrafi0"/>
        <w:spacing w:before="0" w:beforeAutospacing="0" w:after="0" w:afterAutospacing="0"/>
        <w:ind w:firstLine="288"/>
        <w:jc w:val="both"/>
        <w:rPr>
          <w:rFonts w:ascii="Garamond" w:hAnsi="Garamond"/>
        </w:rPr>
      </w:pPr>
      <w:r w:rsidRPr="00B56DAA">
        <w:rPr>
          <w:rFonts w:ascii="Garamond" w:hAnsi="Garamond"/>
        </w:rPr>
        <w:t>Ky urdhër hyn në fuqi pas botimit në Fletoren Zyrtare.</w:t>
      </w:r>
    </w:p>
    <w:p w:rsidR="005F2426" w:rsidRPr="00B56DAA" w:rsidRDefault="005F2426" w:rsidP="00B06E9F">
      <w:pPr>
        <w:spacing w:after="0" w:line="240" w:lineRule="auto"/>
        <w:ind w:firstLine="288"/>
        <w:jc w:val="right"/>
        <w:rPr>
          <w:rFonts w:ascii="Garamond" w:hAnsi="Garamond"/>
          <w:sz w:val="24"/>
          <w:szCs w:val="24"/>
          <w:lang w:val="sq-AL"/>
        </w:rPr>
      </w:pPr>
      <w:r w:rsidRPr="00B56DAA">
        <w:rPr>
          <w:rFonts w:ascii="Garamond" w:hAnsi="Garamond"/>
          <w:sz w:val="24"/>
          <w:szCs w:val="24"/>
          <w:lang w:val="sq-AL"/>
        </w:rPr>
        <w:t>MINISTRI I MJEDISIT</w:t>
      </w:r>
    </w:p>
    <w:p w:rsidR="005F2426" w:rsidRPr="00B56DAA" w:rsidRDefault="005F2426" w:rsidP="00B06E9F">
      <w:pPr>
        <w:spacing w:after="0" w:line="240" w:lineRule="auto"/>
        <w:ind w:firstLine="288"/>
        <w:jc w:val="right"/>
        <w:rPr>
          <w:rFonts w:ascii="Garamond" w:hAnsi="Garamond"/>
          <w:b/>
          <w:sz w:val="24"/>
          <w:szCs w:val="24"/>
          <w:lang w:val="sq-AL"/>
        </w:rPr>
      </w:pPr>
      <w:r w:rsidRPr="00B56DAA">
        <w:rPr>
          <w:rFonts w:ascii="Garamond" w:hAnsi="Garamond"/>
          <w:b/>
          <w:sz w:val="24"/>
          <w:szCs w:val="24"/>
          <w:lang w:val="sq-AL"/>
        </w:rPr>
        <w:t>Lefter Koka</w:t>
      </w:r>
    </w:p>
    <w:p w:rsidR="00F308FA" w:rsidRDefault="00F308FA" w:rsidP="00077052">
      <w:pPr>
        <w:spacing w:after="0" w:line="240" w:lineRule="auto"/>
        <w:ind w:firstLine="0"/>
        <w:jc w:val="left"/>
        <w:rPr>
          <w:rFonts w:ascii="Book Antiqua" w:hAnsi="Book Antiqua"/>
          <w:b/>
          <w:sz w:val="24"/>
          <w:szCs w:val="24"/>
          <w:lang w:val="sq-AL"/>
        </w:rPr>
        <w:sectPr w:rsidR="00F308FA" w:rsidSect="00F308FA">
          <w:type w:val="continuous"/>
          <w:pgSz w:w="11907" w:h="16840" w:code="9"/>
          <w:pgMar w:top="720" w:right="1134" w:bottom="720" w:left="1134" w:header="851" w:footer="851" w:gutter="0"/>
          <w:cols w:num="2" w:space="454"/>
          <w:docGrid w:linePitch="360"/>
        </w:sectPr>
      </w:pPr>
    </w:p>
    <w:p w:rsidR="005F2426" w:rsidRPr="00B56DAA" w:rsidRDefault="005F2426" w:rsidP="00077052">
      <w:pPr>
        <w:spacing w:after="0" w:line="240" w:lineRule="auto"/>
        <w:ind w:firstLine="0"/>
        <w:jc w:val="left"/>
        <w:rPr>
          <w:rFonts w:ascii="Book Antiqua" w:hAnsi="Book Antiqua"/>
          <w:b/>
          <w:sz w:val="24"/>
          <w:szCs w:val="24"/>
          <w:lang w:val="sq-AL"/>
        </w:rPr>
      </w:pPr>
    </w:p>
    <w:p w:rsidR="005F2426" w:rsidRPr="00B56DAA" w:rsidRDefault="005F2426" w:rsidP="005F2426">
      <w:pPr>
        <w:spacing w:after="0" w:line="240" w:lineRule="auto"/>
        <w:ind w:firstLine="288"/>
        <w:jc w:val="center"/>
        <w:rPr>
          <w:rFonts w:ascii="Garamond" w:hAnsi="Garamond"/>
          <w:caps/>
          <w:sz w:val="24"/>
          <w:szCs w:val="24"/>
          <w:lang w:val="sq-AL"/>
        </w:rPr>
      </w:pPr>
      <w:r w:rsidRPr="00B56DAA">
        <w:rPr>
          <w:rFonts w:ascii="Garamond" w:hAnsi="Garamond"/>
          <w:caps/>
          <w:sz w:val="24"/>
          <w:szCs w:val="24"/>
          <w:lang w:val="sq-AL"/>
        </w:rPr>
        <w:t>Shtojc</w:t>
      </w:r>
      <w:r w:rsidR="00B15811">
        <w:rPr>
          <w:rFonts w:ascii="Garamond" w:hAnsi="Garamond"/>
          <w:caps/>
          <w:sz w:val="24"/>
          <w:szCs w:val="24"/>
          <w:lang w:val="sq-AL"/>
        </w:rPr>
        <w:t>Ë</w:t>
      </w:r>
    </w:p>
    <w:p w:rsidR="005F2426" w:rsidRPr="00B56DAA" w:rsidRDefault="005F2426" w:rsidP="005F2426">
      <w:pPr>
        <w:spacing w:after="0" w:line="240" w:lineRule="auto"/>
        <w:ind w:firstLine="288"/>
        <w:jc w:val="center"/>
        <w:rPr>
          <w:rFonts w:ascii="Garamond" w:hAnsi="Garamond"/>
          <w:caps/>
          <w:sz w:val="24"/>
          <w:szCs w:val="24"/>
          <w:lang w:val="sq-AL"/>
        </w:rPr>
      </w:pPr>
      <w:r w:rsidRPr="00B56DAA">
        <w:rPr>
          <w:rFonts w:ascii="Garamond" w:hAnsi="Garamond"/>
          <w:caps/>
          <w:sz w:val="24"/>
          <w:szCs w:val="24"/>
          <w:lang w:val="sq-AL"/>
        </w:rPr>
        <w:t>Lista e shpendëve</w:t>
      </w:r>
      <w:r w:rsidR="0046105A">
        <w:rPr>
          <w:rFonts w:ascii="Garamond" w:hAnsi="Garamond"/>
          <w:caps/>
          <w:sz w:val="24"/>
          <w:szCs w:val="24"/>
          <w:lang w:val="sq-AL"/>
        </w:rPr>
        <w:t xml:space="preserve"> </w:t>
      </w:r>
      <w:r w:rsidRPr="00B56DAA">
        <w:rPr>
          <w:rFonts w:ascii="Garamond" w:hAnsi="Garamond"/>
          <w:caps/>
          <w:sz w:val="24"/>
          <w:szCs w:val="24"/>
          <w:lang w:val="sq-AL"/>
        </w:rPr>
        <w:t>të egër</w:t>
      </w:r>
      <w:r w:rsidR="00B56DAA">
        <w:rPr>
          <w:rFonts w:ascii="Garamond" w:hAnsi="Garamond"/>
          <w:caps/>
          <w:sz w:val="24"/>
          <w:szCs w:val="24"/>
          <w:lang w:val="sq-AL"/>
        </w:rPr>
        <w:t>,</w:t>
      </w:r>
      <w:r w:rsidRPr="00B56DAA">
        <w:rPr>
          <w:rFonts w:ascii="Garamond" w:hAnsi="Garamond"/>
          <w:caps/>
          <w:sz w:val="24"/>
          <w:szCs w:val="24"/>
          <w:lang w:val="sq-AL"/>
        </w:rPr>
        <w:t xml:space="preserve"> veçanërisht vulnerabël, të cilët janë subjekt i masave ruajtëse të veçanta të habitateve të tyre</w:t>
      </w:r>
    </w:p>
    <w:p w:rsidR="005F2426" w:rsidRPr="00B56DAA" w:rsidRDefault="005F2426" w:rsidP="005F2426">
      <w:pPr>
        <w:spacing w:after="0" w:line="240" w:lineRule="auto"/>
        <w:ind w:firstLine="288"/>
        <w:jc w:val="center"/>
        <w:rPr>
          <w:rFonts w:ascii="Garamond" w:hAnsi="Garamond"/>
          <w:caps/>
          <w:sz w:val="24"/>
          <w:szCs w:val="24"/>
          <w:lang w:val="sq-AL"/>
        </w:rPr>
      </w:pPr>
      <w:r w:rsidRPr="00B56DAA">
        <w:rPr>
          <w:rFonts w:ascii="Garamond" w:hAnsi="Garamond"/>
          <w:caps/>
          <w:sz w:val="24"/>
          <w:szCs w:val="24"/>
          <w:lang w:val="sq-AL"/>
        </w:rPr>
        <w:t>(Aneksi I i Direktivës s</w:t>
      </w:r>
      <w:r w:rsidR="00B56DAA">
        <w:rPr>
          <w:rFonts w:ascii="Garamond" w:hAnsi="Garamond"/>
          <w:caps/>
          <w:sz w:val="24"/>
          <w:szCs w:val="24"/>
          <w:lang w:val="sq-AL"/>
        </w:rPr>
        <w:t>Ë</w:t>
      </w:r>
      <w:r w:rsidRPr="00B56DAA">
        <w:rPr>
          <w:rFonts w:ascii="Garamond" w:hAnsi="Garamond"/>
          <w:caps/>
          <w:sz w:val="24"/>
          <w:szCs w:val="24"/>
          <w:lang w:val="sq-AL"/>
        </w:rPr>
        <w:t xml:space="preserve"> Shpendëve 2009/147/EC)*</w:t>
      </w:r>
    </w:p>
    <w:p w:rsidR="005F2426" w:rsidRPr="00B56DAA" w:rsidRDefault="005F2426" w:rsidP="005F2426">
      <w:pPr>
        <w:spacing w:after="0" w:line="360" w:lineRule="auto"/>
        <w:jc w:val="center"/>
        <w:rPr>
          <w:rFonts w:ascii="Garamond" w:hAnsi="Garamond"/>
          <w:b/>
          <w:caps/>
          <w:sz w:val="8"/>
          <w:szCs w:val="24"/>
          <w:lang w:val="sq-AL"/>
        </w:rPr>
      </w:pPr>
    </w:p>
    <w:tbl>
      <w:tblPr>
        <w:tblW w:w="900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1980"/>
        <w:gridCol w:w="1710"/>
        <w:gridCol w:w="1080"/>
        <w:gridCol w:w="1080"/>
      </w:tblGrid>
      <w:tr w:rsidR="005F2426" w:rsidRPr="00B56DAA" w:rsidTr="005F2426">
        <w:trPr>
          <w:trHeight w:val="144"/>
        </w:trPr>
        <w:tc>
          <w:tcPr>
            <w:tcW w:w="3150" w:type="dxa"/>
            <w:shd w:val="clear" w:color="auto" w:fill="A6A6A6" w:themeFill="background1" w:themeFillShade="A6"/>
            <w:noWrap/>
            <w:vAlign w:val="center"/>
            <w:hideMark/>
          </w:tcPr>
          <w:p w:rsidR="005F2426" w:rsidRPr="00B56DAA" w:rsidRDefault="005F2426" w:rsidP="000E27EF">
            <w:pPr>
              <w:spacing w:after="0" w:line="240" w:lineRule="auto"/>
              <w:ind w:firstLine="0"/>
              <w:jc w:val="center"/>
              <w:rPr>
                <w:rFonts w:ascii="Garamond" w:eastAsia="Times New Roman" w:hAnsi="Garamond"/>
                <w:b/>
                <w:color w:val="000000"/>
                <w:sz w:val="20"/>
                <w:szCs w:val="20"/>
                <w:lang w:val="sq-AL" w:eastAsia="en-GB"/>
              </w:rPr>
            </w:pPr>
            <w:r w:rsidRPr="00B56DAA">
              <w:rPr>
                <w:rFonts w:ascii="Garamond" w:eastAsia="Times New Roman" w:hAnsi="Garamond"/>
                <w:b/>
                <w:bCs/>
                <w:color w:val="000000"/>
                <w:sz w:val="20"/>
                <w:szCs w:val="20"/>
                <w:lang w:val="sq-AL" w:eastAsia="en-GB"/>
              </w:rPr>
              <w:t>KLASA/RENDI</w:t>
            </w:r>
            <w:r w:rsidRPr="00B56DAA">
              <w:rPr>
                <w:rFonts w:ascii="Garamond" w:eastAsia="Times New Roman" w:hAnsi="Garamond"/>
                <w:b/>
                <w:color w:val="000000"/>
                <w:sz w:val="20"/>
                <w:szCs w:val="20"/>
                <w:lang w:val="sq-AL" w:eastAsia="en-GB"/>
              </w:rPr>
              <w:t>/FAMILJA</w:t>
            </w:r>
          </w:p>
          <w:p w:rsidR="005F2426" w:rsidRPr="00B56DAA" w:rsidRDefault="005F2426" w:rsidP="000E27EF">
            <w:pPr>
              <w:spacing w:after="0" w:line="240" w:lineRule="auto"/>
              <w:ind w:firstLine="0"/>
              <w:jc w:val="center"/>
              <w:rPr>
                <w:rFonts w:ascii="Garamond" w:eastAsia="Times New Roman" w:hAnsi="Garamond"/>
                <w:b/>
                <w:color w:val="000000"/>
                <w:sz w:val="20"/>
                <w:szCs w:val="20"/>
                <w:lang w:val="sq-AL" w:eastAsia="en-GB"/>
              </w:rPr>
            </w:pPr>
            <w:r w:rsidRPr="00B56DAA">
              <w:rPr>
                <w:rFonts w:ascii="Garamond" w:eastAsia="Times New Roman" w:hAnsi="Garamond"/>
                <w:b/>
                <w:i/>
                <w:iCs/>
                <w:color w:val="000000"/>
                <w:sz w:val="20"/>
                <w:szCs w:val="20"/>
                <w:lang w:val="sq-AL" w:eastAsia="en-GB"/>
              </w:rPr>
              <w:t>Llojet</w:t>
            </w:r>
          </w:p>
        </w:tc>
        <w:tc>
          <w:tcPr>
            <w:tcW w:w="1980" w:type="dxa"/>
            <w:shd w:val="clear" w:color="auto" w:fill="A6A6A6" w:themeFill="background1" w:themeFillShade="A6"/>
            <w:noWrap/>
            <w:vAlign w:val="center"/>
            <w:hideMark/>
          </w:tcPr>
          <w:p w:rsidR="005F2426" w:rsidRPr="00B56DAA" w:rsidRDefault="005F2426" w:rsidP="000E27EF">
            <w:pPr>
              <w:spacing w:after="0" w:line="240" w:lineRule="auto"/>
              <w:ind w:firstLine="0"/>
              <w:jc w:val="center"/>
              <w:rPr>
                <w:rFonts w:ascii="Garamond" w:eastAsia="Times New Roman" w:hAnsi="Garamond"/>
                <w:b/>
                <w:color w:val="000000"/>
                <w:sz w:val="20"/>
                <w:szCs w:val="20"/>
                <w:lang w:val="sq-AL" w:eastAsia="en-GB"/>
              </w:rPr>
            </w:pPr>
            <w:r w:rsidRPr="00B56DAA">
              <w:rPr>
                <w:rFonts w:ascii="Garamond" w:eastAsia="Times New Roman" w:hAnsi="Garamond"/>
                <w:b/>
                <w:color w:val="000000"/>
                <w:sz w:val="20"/>
                <w:szCs w:val="20"/>
                <w:lang w:val="sq-AL" w:eastAsia="en-GB"/>
              </w:rPr>
              <w:t>Emri anglisht</w:t>
            </w:r>
          </w:p>
        </w:tc>
        <w:tc>
          <w:tcPr>
            <w:tcW w:w="1710" w:type="dxa"/>
            <w:shd w:val="clear" w:color="auto" w:fill="A6A6A6" w:themeFill="background1" w:themeFillShade="A6"/>
            <w:noWrap/>
            <w:vAlign w:val="center"/>
            <w:hideMark/>
          </w:tcPr>
          <w:p w:rsidR="005F2426" w:rsidRPr="00B56DAA" w:rsidRDefault="005F2426" w:rsidP="000E27EF">
            <w:pPr>
              <w:spacing w:after="0" w:line="240" w:lineRule="auto"/>
              <w:ind w:firstLine="0"/>
              <w:jc w:val="center"/>
              <w:rPr>
                <w:rFonts w:ascii="Garamond" w:eastAsia="Times New Roman" w:hAnsi="Garamond"/>
                <w:b/>
                <w:color w:val="000000"/>
                <w:sz w:val="20"/>
                <w:szCs w:val="20"/>
                <w:lang w:val="sq-AL" w:eastAsia="en-GB"/>
              </w:rPr>
            </w:pPr>
            <w:r w:rsidRPr="00B56DAA">
              <w:rPr>
                <w:rFonts w:ascii="Garamond" w:eastAsia="Times New Roman" w:hAnsi="Garamond"/>
                <w:b/>
                <w:color w:val="000000"/>
                <w:sz w:val="20"/>
                <w:szCs w:val="20"/>
                <w:lang w:val="sq-AL" w:eastAsia="en-GB"/>
              </w:rPr>
              <w:t>Emri shqip</w:t>
            </w:r>
          </w:p>
        </w:tc>
        <w:tc>
          <w:tcPr>
            <w:tcW w:w="1080" w:type="dxa"/>
            <w:shd w:val="clear" w:color="auto" w:fill="A6A6A6" w:themeFill="background1" w:themeFillShade="A6"/>
            <w:noWrap/>
            <w:vAlign w:val="center"/>
            <w:hideMark/>
          </w:tcPr>
          <w:p w:rsidR="005F2426" w:rsidRPr="00B56DAA" w:rsidRDefault="005F2426" w:rsidP="000E27EF">
            <w:pPr>
              <w:spacing w:after="0" w:line="240" w:lineRule="auto"/>
              <w:ind w:firstLine="0"/>
              <w:jc w:val="center"/>
              <w:rPr>
                <w:rFonts w:ascii="Garamond" w:eastAsia="Times New Roman" w:hAnsi="Garamond"/>
                <w:b/>
                <w:color w:val="000000"/>
                <w:sz w:val="20"/>
                <w:szCs w:val="20"/>
                <w:lang w:val="sq-AL" w:eastAsia="en-GB"/>
              </w:rPr>
            </w:pPr>
            <w:r w:rsidRPr="00B56DAA">
              <w:rPr>
                <w:rFonts w:ascii="Garamond" w:eastAsia="Times New Roman" w:hAnsi="Garamond"/>
                <w:b/>
                <w:color w:val="000000"/>
                <w:sz w:val="20"/>
                <w:szCs w:val="20"/>
                <w:lang w:val="sq-AL" w:eastAsia="en-GB"/>
              </w:rPr>
              <w:t>Prezenca n</w:t>
            </w:r>
            <w:r w:rsidR="00196627" w:rsidRPr="00B56DAA">
              <w:rPr>
                <w:rFonts w:ascii="Garamond" w:eastAsia="Times New Roman" w:hAnsi="Garamond"/>
                <w:b/>
                <w:color w:val="000000"/>
                <w:sz w:val="20"/>
                <w:szCs w:val="20"/>
                <w:lang w:val="sq-AL" w:eastAsia="en-GB"/>
              </w:rPr>
              <w:t>ë</w:t>
            </w:r>
            <w:r w:rsidRPr="00B56DAA">
              <w:rPr>
                <w:rFonts w:ascii="Garamond" w:eastAsia="Times New Roman" w:hAnsi="Garamond"/>
                <w:b/>
                <w:color w:val="000000"/>
                <w:sz w:val="20"/>
                <w:szCs w:val="20"/>
                <w:lang w:val="sq-AL" w:eastAsia="en-GB"/>
              </w:rPr>
              <w:t xml:space="preserve"> Shqip</w:t>
            </w:r>
            <w:r w:rsidR="00196627" w:rsidRPr="00B56DAA">
              <w:rPr>
                <w:rFonts w:ascii="Garamond" w:eastAsia="Times New Roman" w:hAnsi="Garamond"/>
                <w:b/>
                <w:color w:val="000000"/>
                <w:sz w:val="20"/>
                <w:szCs w:val="20"/>
                <w:lang w:val="sq-AL" w:eastAsia="en-GB"/>
              </w:rPr>
              <w:t>ë</w:t>
            </w:r>
            <w:r w:rsidRPr="00B56DAA">
              <w:rPr>
                <w:rFonts w:ascii="Garamond" w:eastAsia="Times New Roman" w:hAnsi="Garamond"/>
                <w:b/>
                <w:color w:val="000000"/>
                <w:sz w:val="20"/>
                <w:szCs w:val="20"/>
                <w:lang w:val="sq-AL" w:eastAsia="en-GB"/>
              </w:rPr>
              <w:t>ri</w:t>
            </w:r>
          </w:p>
        </w:tc>
        <w:tc>
          <w:tcPr>
            <w:tcW w:w="1080" w:type="dxa"/>
            <w:shd w:val="clear" w:color="auto" w:fill="A6A6A6" w:themeFill="background1" w:themeFillShade="A6"/>
            <w:noWrap/>
            <w:vAlign w:val="center"/>
            <w:hideMark/>
          </w:tcPr>
          <w:p w:rsidR="005F2426" w:rsidRPr="00B56DAA" w:rsidRDefault="005F2426" w:rsidP="000E27EF">
            <w:pPr>
              <w:spacing w:after="0" w:line="240" w:lineRule="auto"/>
              <w:ind w:firstLine="0"/>
              <w:jc w:val="center"/>
              <w:rPr>
                <w:rFonts w:ascii="Garamond" w:eastAsia="Times New Roman" w:hAnsi="Garamond"/>
                <w:b/>
                <w:color w:val="000000"/>
                <w:sz w:val="20"/>
                <w:szCs w:val="20"/>
                <w:lang w:val="sq-AL" w:eastAsia="en-GB"/>
              </w:rPr>
            </w:pPr>
            <w:r w:rsidRPr="00B56DAA">
              <w:rPr>
                <w:rFonts w:ascii="Garamond" w:eastAsia="Times New Roman" w:hAnsi="Garamond"/>
                <w:b/>
                <w:color w:val="000000"/>
                <w:sz w:val="20"/>
                <w:szCs w:val="20"/>
                <w:lang w:val="sq-AL" w:eastAsia="en-GB"/>
              </w:rPr>
              <w:t>Statusi sipas IUCN</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RENDI GAVIIFORMES</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Familja Gaviidae</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Gavia stellata</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Red-throated Diver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Nori gushëkuq</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Gavia arctica</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Black-throated Diver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Nori gushëzi</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Gavia immer</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Great Northern Diver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Nori polar</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RENDI PODICIPEDIFORMES</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Familja Podicipedidae</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Podiceps auritus</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Slavonian Grebe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Kredharaku me veshë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RENDI PROCELLARIIFORMES</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Familja Procellariidae</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Pterodroma madeira</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Zino's Petrel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Zgalemi i Madeirës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EN</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Pterodroma feae</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Fea's Petrel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 xml:space="preserve">Zgalemi </w:t>
            </w:r>
          </w:p>
          <w:p w:rsidR="005F2426" w:rsidRPr="00B56DAA" w:rsidRDefault="00B56DAA"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krah</w:t>
            </w:r>
            <w:r>
              <w:rPr>
                <w:rFonts w:ascii="Garamond" w:eastAsia="Times New Roman" w:hAnsi="Garamond"/>
                <w:color w:val="000000"/>
                <w:sz w:val="20"/>
                <w:szCs w:val="20"/>
                <w:lang w:val="sq-AL" w:eastAsia="en-GB"/>
              </w:rPr>
              <w:t>ë</w:t>
            </w:r>
            <w:r w:rsidRPr="00B56DAA">
              <w:rPr>
                <w:rFonts w:ascii="Garamond" w:eastAsia="Times New Roman" w:hAnsi="Garamond"/>
                <w:color w:val="000000"/>
                <w:sz w:val="20"/>
                <w:szCs w:val="20"/>
                <w:lang w:val="sq-AL" w:eastAsia="en-GB"/>
              </w:rPr>
              <w:t>zi</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NT</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Bulëeria bulëerii</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Bul</w:t>
            </w:r>
            <w:r w:rsidR="001B3832">
              <w:rPr>
                <w:rFonts w:ascii="Garamond" w:eastAsia="Times New Roman" w:hAnsi="Garamond"/>
                <w:color w:val="000000"/>
                <w:sz w:val="20"/>
                <w:szCs w:val="20"/>
                <w:lang w:val="sq-AL" w:eastAsia="en-GB"/>
              </w:rPr>
              <w:t>w</w:t>
            </w:r>
            <w:r w:rsidRPr="00B56DAA">
              <w:rPr>
                <w:rFonts w:ascii="Garamond" w:eastAsia="Times New Roman" w:hAnsi="Garamond"/>
                <w:color w:val="000000"/>
                <w:sz w:val="20"/>
                <w:szCs w:val="20"/>
                <w:lang w:val="sq-AL" w:eastAsia="en-GB"/>
              </w:rPr>
              <w:t>er's Petrel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Lajmëtarja krah</w:t>
            </w:r>
            <w:r w:rsidR="00B56DAA">
              <w:rPr>
                <w:rFonts w:ascii="Garamond" w:eastAsia="Times New Roman" w:hAnsi="Garamond"/>
                <w:color w:val="000000"/>
                <w:sz w:val="20"/>
                <w:szCs w:val="20"/>
                <w:lang w:val="sq-AL" w:eastAsia="en-GB"/>
              </w:rPr>
              <w:t>ë</w:t>
            </w:r>
            <w:r w:rsidRPr="00B56DAA">
              <w:rPr>
                <w:rFonts w:ascii="Garamond" w:eastAsia="Times New Roman" w:hAnsi="Garamond"/>
                <w:color w:val="000000"/>
                <w:sz w:val="20"/>
                <w:szCs w:val="20"/>
                <w:lang w:val="sq-AL" w:eastAsia="en-GB"/>
              </w:rPr>
              <w:t>zez</w:t>
            </w:r>
            <w:r w:rsidR="00B56DAA">
              <w:rPr>
                <w:rFonts w:ascii="Garamond" w:eastAsia="Times New Roman" w:hAnsi="Garamond"/>
                <w:color w:val="000000"/>
                <w:sz w:val="20"/>
                <w:szCs w:val="20"/>
                <w:lang w:val="sq-AL" w:eastAsia="en-GB"/>
              </w:rPr>
              <w:t>ë</w:t>
            </w:r>
            <w:r w:rsidRPr="00B56DAA">
              <w:rPr>
                <w:rFonts w:ascii="Garamond" w:eastAsia="Times New Roman" w:hAnsi="Garamond"/>
                <w:color w:val="000000"/>
                <w:sz w:val="20"/>
                <w:szCs w:val="20"/>
                <w:lang w:val="sq-AL" w:eastAsia="en-GB"/>
              </w:rPr>
              <w:t xml:space="preserve"> bishtgjat</w:t>
            </w:r>
            <w:r w:rsidR="001B3832">
              <w:rPr>
                <w:rFonts w:ascii="Garamond" w:eastAsia="Times New Roman" w:hAnsi="Garamond"/>
                <w:color w:val="000000"/>
                <w:sz w:val="20"/>
                <w:szCs w:val="20"/>
                <w:lang w:val="sq-AL" w:eastAsia="en-GB"/>
              </w:rPr>
              <w:t>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Calonectris diomedea</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Cory's Shear</w:t>
            </w:r>
            <w:r w:rsidR="00F26FBF">
              <w:rPr>
                <w:rFonts w:ascii="Garamond" w:eastAsia="Times New Roman" w:hAnsi="Garamond"/>
                <w:sz w:val="20"/>
                <w:szCs w:val="20"/>
                <w:lang w:val="sq-AL" w:eastAsia="en-GB"/>
              </w:rPr>
              <w:t>’</w:t>
            </w:r>
            <w:r w:rsidR="001B3832">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ater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Lajmëtari i madh i furtunës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Puffinus puffinus mauretanicus</w:t>
            </w:r>
          </w:p>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(Puffinus mauretanicus)</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Manx Shear</w:t>
            </w:r>
            <w:r w:rsidR="001B3832">
              <w:rPr>
                <w:rFonts w:ascii="Garamond" w:eastAsia="Times New Roman" w:hAnsi="Garamond"/>
                <w:color w:val="000000"/>
                <w:sz w:val="20"/>
                <w:szCs w:val="20"/>
                <w:lang w:val="sq-AL" w:eastAsia="en-GB"/>
              </w:rPr>
              <w:t>w</w:t>
            </w:r>
            <w:r w:rsidRPr="00B56DAA">
              <w:rPr>
                <w:rFonts w:ascii="Garamond" w:eastAsia="Times New Roman" w:hAnsi="Garamond"/>
                <w:color w:val="000000"/>
                <w:sz w:val="20"/>
                <w:szCs w:val="20"/>
                <w:lang w:val="sq-AL" w:eastAsia="en-GB"/>
              </w:rPr>
              <w:t>ater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Lajmëtari i vogël i Mauritanisë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Puffinus yelkouan</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Mediterranean Shear</w:t>
            </w:r>
            <w:r w:rsidR="001B3832">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ater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Lajmëtari i vogël i furtunës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VU</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Puffinus assimilis</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Little Shear</w:t>
            </w:r>
            <w:r w:rsidR="001B3832">
              <w:rPr>
                <w:rFonts w:ascii="Garamond" w:eastAsia="Times New Roman" w:hAnsi="Garamond"/>
                <w:color w:val="000000"/>
                <w:sz w:val="20"/>
                <w:szCs w:val="20"/>
                <w:lang w:val="sq-AL" w:eastAsia="en-GB"/>
              </w:rPr>
              <w:t>w</w:t>
            </w:r>
            <w:r w:rsidRPr="00B56DAA">
              <w:rPr>
                <w:rFonts w:ascii="Garamond" w:eastAsia="Times New Roman" w:hAnsi="Garamond"/>
                <w:color w:val="000000"/>
                <w:sz w:val="20"/>
                <w:szCs w:val="20"/>
                <w:lang w:val="sq-AL" w:eastAsia="en-GB"/>
              </w:rPr>
              <w:t>ater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Lajmëtari i vogël</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Familja Hydrobatidae</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Pelagodroma marina</w:t>
            </w:r>
          </w:p>
        </w:tc>
        <w:tc>
          <w:tcPr>
            <w:tcW w:w="1980" w:type="dxa"/>
            <w:shd w:val="clear" w:color="auto" w:fill="auto"/>
            <w:noWrap/>
            <w:vAlign w:val="bottom"/>
            <w:hideMark/>
          </w:tcPr>
          <w:p w:rsidR="005F2426" w:rsidRPr="00B56DAA" w:rsidRDefault="001B3832" w:rsidP="000E27EF">
            <w:pPr>
              <w:spacing w:after="0" w:line="240" w:lineRule="auto"/>
              <w:ind w:firstLine="0"/>
              <w:jc w:val="left"/>
              <w:rPr>
                <w:rFonts w:ascii="Garamond" w:eastAsia="Times New Roman" w:hAnsi="Garamond"/>
                <w:color w:val="000000"/>
                <w:sz w:val="20"/>
                <w:szCs w:val="20"/>
                <w:lang w:val="sq-AL" w:eastAsia="en-GB"/>
              </w:rPr>
            </w:pPr>
            <w:r>
              <w:rPr>
                <w:rFonts w:ascii="Garamond" w:eastAsia="Times New Roman" w:hAnsi="Garamond"/>
                <w:color w:val="000000"/>
                <w:sz w:val="20"/>
                <w:szCs w:val="20"/>
                <w:lang w:val="sq-AL" w:eastAsia="en-GB"/>
              </w:rPr>
              <w:t>W</w:t>
            </w:r>
            <w:r w:rsidR="005F2426" w:rsidRPr="00B56DAA">
              <w:rPr>
                <w:rFonts w:ascii="Garamond" w:eastAsia="Times New Roman" w:hAnsi="Garamond"/>
                <w:color w:val="000000"/>
                <w:sz w:val="20"/>
                <w:szCs w:val="20"/>
                <w:lang w:val="sq-AL" w:eastAsia="en-GB"/>
              </w:rPr>
              <w:t>hite-faced Storm-petrel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Zgalemi i vogël faqebardhë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Hydrobates pelagicus</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Storm-petrel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Zgalemi i vogël</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Oceanodroma leucorhoa</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Leach's Storm-petrel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Zgalemi kërbishtbardhë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tabs>
                <w:tab w:val="left" w:pos="2502"/>
              </w:tabs>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Oceanodroma castro</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Madeiran Storm-petrel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Zgalemi i vogël i Madeirës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lastRenderedPageBreak/>
              <w:t>RENDI PELECANIFORMES</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Familja Pelecanidae</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Pelecanus onocrotalus</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 xml:space="preserve">Great </w:t>
            </w:r>
            <w:r w:rsidR="001E23C7">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hite Pelican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Pelikani rozë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Pelecanus crispus</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Dalmatian Pelican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Pelikani ka</w:t>
            </w:r>
            <w:r w:rsidR="001E23C7">
              <w:rPr>
                <w:rFonts w:ascii="Garamond" w:eastAsia="Times New Roman" w:hAnsi="Garamond"/>
                <w:color w:val="000000"/>
                <w:sz w:val="20"/>
                <w:szCs w:val="20"/>
                <w:lang w:val="sq-AL" w:eastAsia="en-GB"/>
              </w:rPr>
              <w:t>ç</w:t>
            </w:r>
            <w:r w:rsidRPr="00B56DAA">
              <w:rPr>
                <w:rFonts w:ascii="Garamond" w:eastAsia="Times New Roman" w:hAnsi="Garamond"/>
                <w:color w:val="000000"/>
                <w:sz w:val="20"/>
                <w:szCs w:val="20"/>
                <w:lang w:val="sq-AL" w:eastAsia="en-GB"/>
              </w:rPr>
              <w:t>urrel</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VU</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Familja Phalacrocoracidae</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Phalacrocorax aristotelis desmarestii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Shag</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Karabullaku me çafkë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Phalacrocorax pygmeus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Pygmy Cormorant</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Karabullaku i vogël</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RENDI CICONIIFORMES</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Familja Ardeidae</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Botaurus stellaris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Bittern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Gakthi</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Ixobrychus minutus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Little Bittern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Gakthi i vogël</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Nycticorax nycticorax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Night Heron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Çafka e natës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Ardeola ralloides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Squaco Heron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Çafka e verdhë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Egretta garzetta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Little Egret</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Çafka e vogël e bardhë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Egretta alba (Ardea alba)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 xml:space="preserve">Great </w:t>
            </w:r>
            <w:r w:rsidR="000E27EF">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hite Egret</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Çafka e madhe e bardhë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Ardea purpurea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Purple Heron</w:t>
            </w:r>
          </w:p>
        </w:tc>
        <w:tc>
          <w:tcPr>
            <w:tcW w:w="1710" w:type="dxa"/>
            <w:shd w:val="clear" w:color="auto" w:fill="auto"/>
            <w:noWrap/>
            <w:vAlign w:val="bottom"/>
            <w:hideMark/>
          </w:tcPr>
          <w:p w:rsidR="005F2426" w:rsidRPr="00B56DAA" w:rsidRDefault="00B56DAA" w:rsidP="000E27EF">
            <w:pPr>
              <w:spacing w:after="0" w:line="240" w:lineRule="auto"/>
              <w:ind w:firstLine="0"/>
              <w:jc w:val="left"/>
              <w:rPr>
                <w:rFonts w:ascii="Garamond" w:eastAsia="Times New Roman" w:hAnsi="Garamond"/>
                <w:color w:val="000000"/>
                <w:sz w:val="20"/>
                <w:szCs w:val="20"/>
                <w:lang w:val="sq-AL" w:eastAsia="en-GB"/>
              </w:rPr>
            </w:pPr>
            <w:r>
              <w:rPr>
                <w:rFonts w:ascii="Garamond" w:eastAsia="Times New Roman" w:hAnsi="Garamond"/>
                <w:color w:val="000000"/>
                <w:sz w:val="20"/>
                <w:szCs w:val="20"/>
                <w:lang w:val="sq-AL" w:eastAsia="en-GB"/>
              </w:rPr>
              <w:t>Çafka e purpurt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Familja Ciconiidae</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Ciconia nigra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Black Stork</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Lejleku i zi</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Ciconia ciconia </w:t>
            </w:r>
          </w:p>
        </w:tc>
        <w:tc>
          <w:tcPr>
            <w:tcW w:w="1980" w:type="dxa"/>
            <w:shd w:val="clear" w:color="auto" w:fill="auto"/>
            <w:noWrap/>
            <w:vAlign w:val="bottom"/>
            <w:hideMark/>
          </w:tcPr>
          <w:p w:rsidR="005F2426" w:rsidRPr="00B56DAA" w:rsidRDefault="000E27EF" w:rsidP="000E27EF">
            <w:pPr>
              <w:spacing w:after="0" w:line="240" w:lineRule="auto"/>
              <w:ind w:firstLine="0"/>
              <w:jc w:val="left"/>
              <w:rPr>
                <w:rFonts w:ascii="Garamond" w:eastAsia="Times New Roman" w:hAnsi="Garamond"/>
                <w:sz w:val="20"/>
                <w:szCs w:val="20"/>
                <w:lang w:val="sq-AL" w:eastAsia="en-GB"/>
              </w:rPr>
            </w:pPr>
            <w:r>
              <w:rPr>
                <w:rFonts w:ascii="Garamond" w:eastAsia="Times New Roman" w:hAnsi="Garamond"/>
                <w:sz w:val="20"/>
                <w:szCs w:val="20"/>
                <w:lang w:val="sq-AL" w:eastAsia="en-GB"/>
              </w:rPr>
              <w:t>W</w:t>
            </w:r>
            <w:r w:rsidR="005F2426" w:rsidRPr="00B56DAA">
              <w:rPr>
                <w:rFonts w:ascii="Garamond" w:eastAsia="Times New Roman" w:hAnsi="Garamond"/>
                <w:sz w:val="20"/>
                <w:szCs w:val="20"/>
                <w:lang w:val="sq-AL" w:eastAsia="en-GB"/>
              </w:rPr>
              <w:t>hite Stork</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Lejleku i bardhë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Threskiornithidae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Plegadis falcinellus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Ibis</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Kojliku i zi</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Platalea leucorodia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Spoonbill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Çafka sqeplugë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RENDI PHOENICOPTERIFORMES</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Phoenicopteridae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Phoenicopterus ruber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Flamingo</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Lejleku krahëkuq</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RENDI ANSERIFORMES </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Anatidae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Cygnus beëickii </w:t>
            </w:r>
          </w:p>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(Cygnus columbianus beëickii)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Be</w:t>
            </w:r>
            <w:r w:rsidR="000E27EF">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ick's S</w:t>
            </w:r>
            <w:r w:rsidR="000E27EF">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an</w:t>
            </w:r>
          </w:p>
        </w:tc>
        <w:tc>
          <w:tcPr>
            <w:tcW w:w="1710" w:type="dxa"/>
            <w:shd w:val="clear" w:color="auto" w:fill="auto"/>
            <w:noWrap/>
            <w:vAlign w:val="bottom"/>
            <w:hideMark/>
          </w:tcPr>
          <w:p w:rsidR="005F2426" w:rsidRPr="00B56DAA" w:rsidRDefault="00B56DAA"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Mjellma</w:t>
            </w:r>
            <w:r w:rsidR="005F2426" w:rsidRPr="00B56DAA">
              <w:rPr>
                <w:rFonts w:ascii="Garamond" w:eastAsia="Times New Roman" w:hAnsi="Garamond"/>
                <w:color w:val="000000"/>
                <w:sz w:val="20"/>
                <w:szCs w:val="20"/>
                <w:lang w:val="sq-AL" w:eastAsia="en-GB"/>
              </w:rPr>
              <w:t xml:space="preserve"> e vogël</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Cygnus cygnus </w:t>
            </w:r>
          </w:p>
        </w:tc>
        <w:tc>
          <w:tcPr>
            <w:tcW w:w="1980" w:type="dxa"/>
            <w:shd w:val="clear" w:color="auto" w:fill="auto"/>
            <w:noWrap/>
            <w:vAlign w:val="bottom"/>
            <w:hideMark/>
          </w:tcPr>
          <w:p w:rsidR="005F2426" w:rsidRPr="00B56DAA" w:rsidRDefault="000E27EF" w:rsidP="000E27EF">
            <w:pPr>
              <w:spacing w:after="0" w:line="240" w:lineRule="auto"/>
              <w:ind w:firstLine="0"/>
              <w:jc w:val="left"/>
              <w:rPr>
                <w:rFonts w:ascii="Garamond" w:eastAsia="Times New Roman" w:hAnsi="Garamond"/>
                <w:sz w:val="20"/>
                <w:szCs w:val="20"/>
                <w:lang w:val="sq-AL" w:eastAsia="en-GB"/>
              </w:rPr>
            </w:pPr>
            <w:r>
              <w:rPr>
                <w:rFonts w:ascii="Garamond" w:eastAsia="Times New Roman" w:hAnsi="Garamond"/>
                <w:sz w:val="20"/>
                <w:szCs w:val="20"/>
                <w:lang w:val="sq-AL" w:eastAsia="en-GB"/>
              </w:rPr>
              <w:t>W</w:t>
            </w:r>
            <w:r w:rsidR="005F2426" w:rsidRPr="00B56DAA">
              <w:rPr>
                <w:rFonts w:ascii="Garamond" w:eastAsia="Times New Roman" w:hAnsi="Garamond"/>
                <w:sz w:val="20"/>
                <w:szCs w:val="20"/>
                <w:lang w:val="sq-AL" w:eastAsia="en-GB"/>
              </w:rPr>
              <w:t>hooper S</w:t>
            </w:r>
            <w:r>
              <w:rPr>
                <w:rFonts w:ascii="Garamond" w:eastAsia="Times New Roman" w:hAnsi="Garamond"/>
                <w:sz w:val="20"/>
                <w:szCs w:val="20"/>
                <w:lang w:val="sq-AL" w:eastAsia="en-GB"/>
              </w:rPr>
              <w:t>w</w:t>
            </w:r>
            <w:r w:rsidR="005F2426" w:rsidRPr="00B56DAA">
              <w:rPr>
                <w:rFonts w:ascii="Garamond" w:eastAsia="Times New Roman" w:hAnsi="Garamond"/>
                <w:sz w:val="20"/>
                <w:szCs w:val="20"/>
                <w:lang w:val="sq-AL" w:eastAsia="en-GB"/>
              </w:rPr>
              <w:t>an</w:t>
            </w:r>
          </w:p>
        </w:tc>
        <w:tc>
          <w:tcPr>
            <w:tcW w:w="1710" w:type="dxa"/>
            <w:shd w:val="clear" w:color="auto" w:fill="auto"/>
            <w:noWrap/>
            <w:vAlign w:val="bottom"/>
            <w:hideMark/>
          </w:tcPr>
          <w:p w:rsidR="005F2426" w:rsidRPr="00B56DAA" w:rsidRDefault="00B56DAA"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Mjellma</w:t>
            </w:r>
            <w:r w:rsidR="005F2426" w:rsidRPr="00B56DAA">
              <w:rPr>
                <w:rFonts w:ascii="Garamond" w:eastAsia="Times New Roman" w:hAnsi="Garamond"/>
                <w:color w:val="000000"/>
                <w:sz w:val="20"/>
                <w:szCs w:val="20"/>
                <w:lang w:val="sq-AL" w:eastAsia="en-GB"/>
              </w:rPr>
              <w:t xml:space="preserve"> qaf</w:t>
            </w:r>
            <w:r>
              <w:rPr>
                <w:rFonts w:ascii="Garamond" w:eastAsia="Times New Roman" w:hAnsi="Garamond"/>
                <w:color w:val="000000"/>
                <w:sz w:val="20"/>
                <w:szCs w:val="20"/>
                <w:lang w:val="sq-AL" w:eastAsia="en-GB"/>
              </w:rPr>
              <w:t>ë</w:t>
            </w:r>
            <w:r w:rsidR="005F2426" w:rsidRPr="00B56DAA">
              <w:rPr>
                <w:rFonts w:ascii="Garamond" w:eastAsia="Times New Roman" w:hAnsi="Garamond"/>
                <w:color w:val="000000"/>
                <w:sz w:val="20"/>
                <w:szCs w:val="20"/>
                <w:lang w:val="sq-AL" w:eastAsia="en-GB"/>
              </w:rPr>
              <w:t>drejtë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Anser albifrons flavirostris </w:t>
            </w:r>
          </w:p>
        </w:tc>
        <w:tc>
          <w:tcPr>
            <w:tcW w:w="1980" w:type="dxa"/>
            <w:shd w:val="clear" w:color="auto" w:fill="auto"/>
            <w:noWrap/>
            <w:vAlign w:val="bottom"/>
            <w:hideMark/>
          </w:tcPr>
          <w:p w:rsidR="005F2426" w:rsidRPr="00B56DAA" w:rsidRDefault="000E27EF" w:rsidP="000E27EF">
            <w:pPr>
              <w:spacing w:after="0" w:line="240" w:lineRule="auto"/>
              <w:ind w:firstLine="0"/>
              <w:jc w:val="left"/>
              <w:rPr>
                <w:rFonts w:ascii="Garamond" w:eastAsia="Times New Roman" w:hAnsi="Garamond"/>
                <w:sz w:val="20"/>
                <w:szCs w:val="20"/>
                <w:lang w:val="sq-AL" w:eastAsia="en-GB"/>
              </w:rPr>
            </w:pPr>
            <w:r>
              <w:rPr>
                <w:rFonts w:ascii="Garamond" w:eastAsia="Times New Roman" w:hAnsi="Garamond"/>
                <w:sz w:val="20"/>
                <w:szCs w:val="20"/>
                <w:lang w:val="sq-AL" w:eastAsia="en-GB"/>
              </w:rPr>
              <w:t>W</w:t>
            </w:r>
            <w:r w:rsidR="005F2426" w:rsidRPr="00B56DAA">
              <w:rPr>
                <w:rFonts w:ascii="Garamond" w:eastAsia="Times New Roman" w:hAnsi="Garamond"/>
                <w:sz w:val="20"/>
                <w:szCs w:val="20"/>
                <w:lang w:val="sq-AL" w:eastAsia="en-GB"/>
              </w:rPr>
              <w:t>hite-fronted Goose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Pata ballëbardhë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Anser erythropus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 xml:space="preserve">Lesser </w:t>
            </w:r>
            <w:r w:rsidR="000E27EF">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hite-fronted Goose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Pata këmbëkuqe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VU</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Branta leucopsis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Barnacle Goose</w:t>
            </w:r>
          </w:p>
        </w:tc>
        <w:tc>
          <w:tcPr>
            <w:tcW w:w="1710" w:type="dxa"/>
            <w:shd w:val="clear" w:color="auto" w:fill="auto"/>
            <w:noWrap/>
            <w:vAlign w:val="bottom"/>
            <w:hideMark/>
          </w:tcPr>
          <w:p w:rsidR="005F2426" w:rsidRPr="00B56DAA" w:rsidRDefault="005F2426" w:rsidP="00534749">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Pata e vogël e përhim</w:t>
            </w:r>
            <w:r w:rsidR="00534749">
              <w:rPr>
                <w:rFonts w:ascii="Garamond" w:eastAsia="Times New Roman" w:hAnsi="Garamond"/>
                <w:color w:val="000000"/>
                <w:sz w:val="20"/>
                <w:szCs w:val="20"/>
                <w:lang w:val="sq-AL" w:eastAsia="en-GB"/>
              </w:rPr>
              <w:t>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Branta ruficollis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Red-breasted Goose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Pata e vogël laramane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EN</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Tadorna ferruginea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Ruddy Shelduck</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Kuqaloshja</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Marmaronetta angustirostris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Marbled Teal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Rosa pikaloshe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VU</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Aythya nyroca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Feruginous Duck</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Kryekuqja e vogël</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NT</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Polysticta stelleri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Steller's Eider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Pata laramane e detit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VU</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Mergus albellus </w:t>
            </w:r>
          </w:p>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(Mergellus albellus)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Sme</w:t>
            </w:r>
            <w:r w:rsidR="000E27EF">
              <w:rPr>
                <w:rFonts w:ascii="Garamond" w:eastAsia="Times New Roman" w:hAnsi="Garamond"/>
                <w:sz w:val="20"/>
                <w:szCs w:val="20"/>
                <w:lang w:val="sq-AL" w:eastAsia="en-GB"/>
              </w:rPr>
              <w:t>w</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Zhytësi i vogël laraman</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Oxyura leucocephala </w:t>
            </w:r>
          </w:p>
        </w:tc>
        <w:tc>
          <w:tcPr>
            <w:tcW w:w="1980" w:type="dxa"/>
            <w:shd w:val="clear" w:color="auto" w:fill="auto"/>
            <w:noWrap/>
            <w:vAlign w:val="bottom"/>
            <w:hideMark/>
          </w:tcPr>
          <w:p w:rsidR="005F2426" w:rsidRPr="00B56DAA" w:rsidRDefault="000E27EF" w:rsidP="000E27EF">
            <w:pPr>
              <w:spacing w:after="0" w:line="240" w:lineRule="auto"/>
              <w:ind w:firstLine="0"/>
              <w:jc w:val="left"/>
              <w:rPr>
                <w:rFonts w:ascii="Garamond" w:eastAsia="Times New Roman" w:hAnsi="Garamond"/>
                <w:sz w:val="20"/>
                <w:szCs w:val="20"/>
                <w:lang w:val="sq-AL" w:eastAsia="en-GB"/>
              </w:rPr>
            </w:pPr>
            <w:r>
              <w:rPr>
                <w:rFonts w:ascii="Garamond" w:eastAsia="Times New Roman" w:hAnsi="Garamond"/>
                <w:sz w:val="20"/>
                <w:szCs w:val="20"/>
                <w:lang w:val="sq-AL" w:eastAsia="en-GB"/>
              </w:rPr>
              <w:t>W</w:t>
            </w:r>
            <w:r w:rsidR="005F2426" w:rsidRPr="00B56DAA">
              <w:rPr>
                <w:rFonts w:ascii="Garamond" w:eastAsia="Times New Roman" w:hAnsi="Garamond"/>
                <w:sz w:val="20"/>
                <w:szCs w:val="20"/>
                <w:lang w:val="sq-AL" w:eastAsia="en-GB"/>
              </w:rPr>
              <w:t>hite-headed Duck</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Rosa kokëbardhë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EN</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lastRenderedPageBreak/>
              <w:t xml:space="preserve">RENDI FALCONIFORMES </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Pandionidae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Pandion haliaetus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Osprey</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Shqiponja peshkngrënëse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Accipitridae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Pernis apivorus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Honey Buzzard</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Huta grenxangrënëse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Elanus caeruleus </w:t>
            </w:r>
          </w:p>
        </w:tc>
        <w:tc>
          <w:tcPr>
            <w:tcW w:w="1980" w:type="dxa"/>
            <w:shd w:val="clear" w:color="auto" w:fill="auto"/>
            <w:noWrap/>
            <w:vAlign w:val="bottom"/>
            <w:hideMark/>
          </w:tcPr>
          <w:p w:rsidR="005F2426" w:rsidRPr="00B56DAA" w:rsidRDefault="005F2426" w:rsidP="0000714D">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Black-</w:t>
            </w:r>
            <w:r w:rsidR="0000714D">
              <w:rPr>
                <w:rFonts w:ascii="Garamond" w:eastAsia="Times New Roman" w:hAnsi="Garamond"/>
                <w:color w:val="000000"/>
                <w:sz w:val="20"/>
                <w:szCs w:val="20"/>
                <w:lang w:val="sq-AL" w:eastAsia="en-GB"/>
              </w:rPr>
              <w:t>w</w:t>
            </w:r>
            <w:r w:rsidRPr="00B56DAA">
              <w:rPr>
                <w:rFonts w:ascii="Garamond" w:eastAsia="Times New Roman" w:hAnsi="Garamond"/>
                <w:color w:val="000000"/>
                <w:sz w:val="20"/>
                <w:szCs w:val="20"/>
                <w:lang w:val="sq-AL" w:eastAsia="en-GB"/>
              </w:rPr>
              <w:t>inged Kite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Huta krahëzezë bishtgërshërë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Milvus migrans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Black Kite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Huta e zezë bishtgërshërë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Milvus milvus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Red Kite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Huta bishtgërshërë e kuqerreme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NT</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Haliaeetus albicilla </w:t>
            </w:r>
          </w:p>
        </w:tc>
        <w:tc>
          <w:tcPr>
            <w:tcW w:w="1980" w:type="dxa"/>
            <w:shd w:val="clear" w:color="auto" w:fill="auto"/>
            <w:noWrap/>
            <w:vAlign w:val="bottom"/>
            <w:hideMark/>
          </w:tcPr>
          <w:p w:rsidR="005F2426" w:rsidRPr="00B56DAA" w:rsidRDefault="0000714D" w:rsidP="000E27EF">
            <w:pPr>
              <w:spacing w:after="0" w:line="240" w:lineRule="auto"/>
              <w:ind w:firstLine="0"/>
              <w:jc w:val="left"/>
              <w:rPr>
                <w:rFonts w:ascii="Garamond" w:eastAsia="Times New Roman" w:hAnsi="Garamond"/>
                <w:sz w:val="20"/>
                <w:szCs w:val="20"/>
                <w:lang w:val="sq-AL" w:eastAsia="en-GB"/>
              </w:rPr>
            </w:pPr>
            <w:r>
              <w:rPr>
                <w:rFonts w:ascii="Garamond" w:eastAsia="Times New Roman" w:hAnsi="Garamond"/>
                <w:sz w:val="20"/>
                <w:szCs w:val="20"/>
                <w:lang w:val="sq-AL" w:eastAsia="en-GB"/>
              </w:rPr>
              <w:t>W</w:t>
            </w:r>
            <w:r w:rsidR="005F2426" w:rsidRPr="00B56DAA">
              <w:rPr>
                <w:rFonts w:ascii="Garamond" w:eastAsia="Times New Roman" w:hAnsi="Garamond"/>
                <w:sz w:val="20"/>
                <w:szCs w:val="20"/>
                <w:lang w:val="sq-AL" w:eastAsia="en-GB"/>
              </w:rPr>
              <w:t>hite-tailed Eagle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Shqiponja e detit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Gypaetus barbatus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Lammegeijer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Shkaba mjekroshe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Neophron percnopterus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Egyptian Vulture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Kali i qyqes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EN</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Gyps fulvus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Griffon Vulture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Shkaba</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Aegypius monachus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Black Vulture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Shkaba e zezë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NT</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Circaetus gallicus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Short-toed Eagle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Shqiponja gjarpërngrënëse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Circus aeruginosus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Marsh Harrier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Shqipja e kënetës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Circus cyaneus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Hen Harrier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Shqipja e fushës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Circus macrourus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Pallid Harrier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Shqipja e stepave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Circus pygargus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Montagu's Harrier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Shqipja e balltaqeve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Accipiter gentilis arrigonii </w:t>
            </w:r>
          </w:p>
        </w:tc>
        <w:tc>
          <w:tcPr>
            <w:tcW w:w="1980" w:type="dxa"/>
            <w:shd w:val="clear" w:color="auto" w:fill="auto"/>
            <w:noWrap/>
            <w:vAlign w:val="bottom"/>
            <w:hideMark/>
          </w:tcPr>
          <w:p w:rsidR="005F2426" w:rsidRPr="00B56DAA" w:rsidRDefault="005F2426" w:rsidP="0000714D">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Gossha</w:t>
            </w:r>
            <w:r w:rsidR="0000714D">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k</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Gjeraqina</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Accipiter nisus granti </w:t>
            </w:r>
          </w:p>
        </w:tc>
        <w:tc>
          <w:tcPr>
            <w:tcW w:w="1980" w:type="dxa"/>
            <w:shd w:val="clear" w:color="auto" w:fill="auto"/>
            <w:noWrap/>
            <w:vAlign w:val="bottom"/>
            <w:hideMark/>
          </w:tcPr>
          <w:p w:rsidR="005F2426" w:rsidRPr="00B56DAA" w:rsidRDefault="005F2426" w:rsidP="0000714D">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Sparro</w:t>
            </w:r>
            <w:r w:rsidR="0000714D">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ha</w:t>
            </w:r>
            <w:r w:rsidR="0000714D">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k</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Gjeraqina e shkurtës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Accipiter brevipes </w:t>
            </w:r>
          </w:p>
        </w:tc>
        <w:tc>
          <w:tcPr>
            <w:tcW w:w="1980" w:type="dxa"/>
            <w:shd w:val="clear" w:color="auto" w:fill="auto"/>
            <w:noWrap/>
            <w:vAlign w:val="bottom"/>
            <w:hideMark/>
          </w:tcPr>
          <w:p w:rsidR="005F2426" w:rsidRPr="00B56DAA" w:rsidRDefault="005F2426" w:rsidP="0000714D">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Levant Sparro</w:t>
            </w:r>
            <w:r w:rsidR="0000714D">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ha</w:t>
            </w:r>
            <w:r w:rsidR="0000714D">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k</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Gjeraqina këmbëshkurtër</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Buteo rufinus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Long-legged Buzzard</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Huta bishtbardhë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Aquila pomarina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Lesser Spotted Eagle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Shqiponja e vogël e rosave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Aquila clanga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Spotted Eagle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Shqiponja e madhe e rosave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VU</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Aquila heliaca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Imperial Eagle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Shqiponja perandorake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VU</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Aquila adalberti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Spanish Imperial Eagle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Shqiponja spanjolle perandorake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VU</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Aquila chrysaetos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Golden Eagle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Shqiponja e maleve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Hieraaetus pennatus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Booted Eagle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Shqiponja e vogël</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Hieraaetus fasciatus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Bonelli's Eagle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Shqiponja bishtvijëzuar</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Falconidae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Falco naumanni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Lesser Kestrel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Skifteri kthetraverdhë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Falco vespertinus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Red-footed Falcon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Skifteri këmbëkuq</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NT</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Falco columbarius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Merlin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Skifteri</w:t>
            </w:r>
            <w:r w:rsidR="0046105A">
              <w:rPr>
                <w:rFonts w:ascii="Garamond" w:eastAsia="Times New Roman" w:hAnsi="Garamond"/>
                <w:color w:val="000000"/>
                <w:sz w:val="20"/>
                <w:szCs w:val="20"/>
                <w:lang w:val="sq-AL" w:eastAsia="en-GB"/>
              </w:rPr>
              <w:t xml:space="preserve"> </w:t>
            </w:r>
            <w:r w:rsidRPr="00B56DAA">
              <w:rPr>
                <w:rFonts w:ascii="Garamond" w:eastAsia="Times New Roman" w:hAnsi="Garamond"/>
                <w:color w:val="000000"/>
                <w:sz w:val="20"/>
                <w:szCs w:val="20"/>
                <w:lang w:val="sq-AL" w:eastAsia="en-GB"/>
              </w:rPr>
              <w:t>i vogël</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Falco eleonorae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Eleonora's Falcon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Skifteri mbretëror</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Falco biarmicus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Lanner Falcon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Skifteri i Mesdheut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lastRenderedPageBreak/>
              <w:t xml:space="preserve">Falco cherrug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Saker Falcon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Skifteri i gjuetisë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EN</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Falco rusticolus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Gyr Falcon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Skifteri i madh</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332"/>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Falco peregrinus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Peregrine Falcon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Krahëthati</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RENDI GALLIFORMES </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Tetraonidae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Bonasa bonasia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Hazel Grouse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Pula me çafkë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Lagopus mutus pyrenaicus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Rock Ptarmigan (Alpine subspecies)</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Pula alpine e Pireneve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Lagopus mutus helveticus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Rock Ptarmigan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Pula alpine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Tetrao tetrix tetrix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Black Grouse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Gjeli i egër bishtlirë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Tetrao urogallus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Capercaillie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Gjeli i egër</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Phasianidae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Alectoris graeca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Patridge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Thëllëza e malit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Alectoris barbara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Barbary Patridge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Thëllëza e Arabisë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Perdix perdix italica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Grey Partridge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Thëllëza italiane e fushës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Perdix perdix hispaniensis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Grey Partridge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Thëllëza spanjolle e fushës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RENDI GRUIFORMES </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Turnicidae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Turnix sylvatica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Small Button-quail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Shkurtëza krahëzezë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Gruidae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Grus grus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Crane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Krilla</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Rallidae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Porzana porzana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Spotted Crake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Pulëza pikaloshe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Porzana parva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Little Crake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Pulëza zogëz</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Porzana pusilla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Baillon's Crake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Pulëza e vogël</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Crex crex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Corncrake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Mbreti i shkurtëzës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Porphyrio porphyrio </w:t>
            </w:r>
          </w:p>
        </w:tc>
        <w:tc>
          <w:tcPr>
            <w:tcW w:w="1980" w:type="dxa"/>
            <w:shd w:val="clear" w:color="auto" w:fill="auto"/>
            <w:noWrap/>
            <w:vAlign w:val="bottom"/>
            <w:hideMark/>
          </w:tcPr>
          <w:p w:rsidR="005F2426" w:rsidRPr="00B56DAA" w:rsidRDefault="005F2426" w:rsidP="0000714D">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Purple S</w:t>
            </w:r>
            <w:r w:rsidR="0000714D">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amp-hen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Pula sultan</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Fulica cristata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Red-knobbed Coot</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Bajza me gungë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Otididae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Tetrax tetrax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Little Bustard</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Pula e livadheve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NT</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Chlamydotis undulata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Houbara Bustard</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Pula e Hubarës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VU</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Otis tarda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Great Bustard</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Pula me mjekër</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VU</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RENDI CHARADRIIFORMES </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Recurvirostridae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Himantopus himantopus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Oystercatsher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Kalorësi</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Recurvirostra avosetta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Avocet</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Sqepbiza</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Burhinidae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Burhinus oedicnemus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Stone-curleë</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Gjelaci symadh</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Glareolidae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Cursorius cursor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Cream-coloured Courser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Gjelaci vrapues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Glareola pratincola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Pratincole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Dallëndyshe deti</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lastRenderedPageBreak/>
              <w:t xml:space="preserve">Familja Charadriidae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lastRenderedPageBreak/>
              <w:t xml:space="preserve">Charadrius alexandrinus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Kentish Plover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Vraponjësi gushëbardhë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Charadrius morinellus </w:t>
            </w:r>
          </w:p>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(Eudromias morinellus)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Eurasian Dotterel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Vraponjësi me bark të kuq</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Pluvialis apricaria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Goden Plover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Gjelaci pikalosh ngjyrë ari</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Hoplopterus spinosus </w:t>
            </w:r>
          </w:p>
        </w:tc>
        <w:tc>
          <w:tcPr>
            <w:tcW w:w="198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Spur-</w:t>
            </w:r>
            <w:r w:rsidR="00FA637E">
              <w:rPr>
                <w:rFonts w:ascii="Garamond" w:eastAsia="Times New Roman" w:hAnsi="Garamond"/>
                <w:color w:val="000000"/>
                <w:sz w:val="20"/>
                <w:szCs w:val="20"/>
                <w:lang w:val="sq-AL" w:eastAsia="en-GB"/>
              </w:rPr>
              <w:t>w</w:t>
            </w:r>
            <w:r w:rsidRPr="00B56DAA">
              <w:rPr>
                <w:rFonts w:ascii="Garamond" w:eastAsia="Times New Roman" w:hAnsi="Garamond"/>
                <w:color w:val="000000"/>
                <w:sz w:val="20"/>
                <w:szCs w:val="20"/>
                <w:lang w:val="sq-AL" w:eastAsia="en-GB"/>
              </w:rPr>
              <w:t>inged Lap</w:t>
            </w:r>
            <w:r w:rsidR="00FA637E">
              <w:rPr>
                <w:rFonts w:ascii="Garamond" w:eastAsia="Times New Roman" w:hAnsi="Garamond"/>
                <w:color w:val="000000"/>
                <w:sz w:val="20"/>
                <w:szCs w:val="20"/>
                <w:lang w:val="sq-AL" w:eastAsia="en-GB"/>
              </w:rPr>
              <w:t>w</w:t>
            </w:r>
            <w:r w:rsidRPr="00B56DAA">
              <w:rPr>
                <w:rFonts w:ascii="Garamond" w:eastAsia="Times New Roman" w:hAnsi="Garamond"/>
                <w:color w:val="000000"/>
                <w:sz w:val="20"/>
                <w:szCs w:val="20"/>
                <w:lang w:val="sq-AL" w:eastAsia="en-GB"/>
              </w:rPr>
              <w:t>ing</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Çajme me mamuze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Scolopacidae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Calidris alpina schinzii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Short-billed Dunlin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Gjelza gushëzezë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Philomachus pugnax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Ruff</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Luftëtari</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Gallinago media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Great Snipe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Shapka e madhe e ujit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NT</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Limosa lapponica </w:t>
            </w:r>
          </w:p>
        </w:tc>
        <w:tc>
          <w:tcPr>
            <w:tcW w:w="198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Red-tailed God</w:t>
            </w:r>
            <w:r w:rsidR="00FA637E">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it</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Gjelza e vogël bishtvijëzuar</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Numenius tenuirostris </w:t>
            </w:r>
          </w:p>
        </w:tc>
        <w:tc>
          <w:tcPr>
            <w:tcW w:w="198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Slender-billed Curle</w:t>
            </w:r>
            <w:r w:rsidR="00FA637E">
              <w:rPr>
                <w:rFonts w:ascii="Garamond" w:eastAsia="Times New Roman" w:hAnsi="Garamond"/>
                <w:sz w:val="20"/>
                <w:szCs w:val="20"/>
                <w:lang w:val="sq-AL" w:eastAsia="en-GB"/>
              </w:rPr>
              <w:t>w</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Kojliku sqephollë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CR</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Tringa glareola </w:t>
            </w:r>
          </w:p>
        </w:tc>
        <w:tc>
          <w:tcPr>
            <w:tcW w:w="1980" w:type="dxa"/>
            <w:shd w:val="clear" w:color="auto" w:fill="auto"/>
            <w:noWrap/>
            <w:vAlign w:val="bottom"/>
            <w:hideMark/>
          </w:tcPr>
          <w:p w:rsidR="005F2426" w:rsidRPr="00B56DAA" w:rsidRDefault="00FA637E" w:rsidP="000E27EF">
            <w:pPr>
              <w:spacing w:after="0" w:line="240" w:lineRule="auto"/>
              <w:ind w:firstLine="0"/>
              <w:jc w:val="left"/>
              <w:rPr>
                <w:rFonts w:ascii="Garamond" w:eastAsia="Times New Roman" w:hAnsi="Garamond"/>
                <w:sz w:val="20"/>
                <w:szCs w:val="20"/>
                <w:lang w:val="sq-AL" w:eastAsia="en-GB"/>
              </w:rPr>
            </w:pPr>
            <w:r>
              <w:rPr>
                <w:rFonts w:ascii="Garamond" w:eastAsia="Times New Roman" w:hAnsi="Garamond"/>
                <w:sz w:val="20"/>
                <w:szCs w:val="20"/>
                <w:lang w:val="sq-AL" w:eastAsia="en-GB"/>
              </w:rPr>
              <w:t>W</w:t>
            </w:r>
            <w:r w:rsidR="005F2426" w:rsidRPr="00B56DAA">
              <w:rPr>
                <w:rFonts w:ascii="Garamond" w:eastAsia="Times New Roman" w:hAnsi="Garamond"/>
                <w:sz w:val="20"/>
                <w:szCs w:val="20"/>
                <w:lang w:val="sq-AL" w:eastAsia="en-GB"/>
              </w:rPr>
              <w:t>ood Sandpiper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Qyrylyku i zallit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Xenus cinereus </w:t>
            </w:r>
          </w:p>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(Tringa cinerea)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Terek Sandpiper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Këmbëqirithi i përhimë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Phalaropus lobatus</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Red-necked Phalarope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Gjelza e kuqe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Laridae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Larus melanocephalus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Mediterranean Gull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Pulbardha kokëzezë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Larus genei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Slender-billed Gull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 xml:space="preserve">Pulbardha rozë </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Larus audouinii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Audouin's Gull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Pulbardha e kepit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NT</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Larus minutus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Little Gull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Pulbardha e vogël</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Sternidae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Gelochelidon nilotica</w:t>
            </w:r>
          </w:p>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 (Sterna nilotica)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Gull-billed Tern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Dallëndyshe deti këmbëzezë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Sterna caspia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Caspian Tern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Dallëndyshe e madhe deti</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Sterna sandvicensis </w:t>
            </w:r>
          </w:p>
        </w:tc>
        <w:tc>
          <w:tcPr>
            <w:tcW w:w="198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San</w:t>
            </w:r>
            <w:r w:rsidR="00FA637E">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ich Tern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Dallëndyshe deti dimërore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Sterna dougallii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Roseate Tern</w:t>
            </w:r>
          </w:p>
        </w:tc>
        <w:tc>
          <w:tcPr>
            <w:tcW w:w="171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Dallëndyshja roz</w:t>
            </w:r>
            <w:r w:rsidR="00FA637E">
              <w:rPr>
                <w:rFonts w:ascii="Garamond" w:eastAsia="Times New Roman" w:hAnsi="Garamond"/>
                <w:color w:val="000000"/>
                <w:sz w:val="20"/>
                <w:szCs w:val="20"/>
                <w:lang w:val="sq-AL" w:eastAsia="en-GB"/>
              </w:rPr>
              <w:t>ë</w:t>
            </w:r>
            <w:r w:rsidRPr="00B56DAA">
              <w:rPr>
                <w:rFonts w:ascii="Garamond" w:eastAsia="Times New Roman" w:hAnsi="Garamond"/>
                <w:color w:val="000000"/>
                <w:sz w:val="20"/>
                <w:szCs w:val="20"/>
                <w:lang w:val="sq-AL" w:eastAsia="en-GB"/>
              </w:rPr>
              <w:t xml:space="preserve"> e detit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Sterna hirundo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Common Tern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Dallëndyshe deti e zakonshme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Sterna paradisaea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Arctic Tern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Dallëndyshe deti e Arktikut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Sterna albifrons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Little Tern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Dallëndyshe deti ballëbardhë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Chlidonias hybridus </w:t>
            </w:r>
          </w:p>
        </w:tc>
        <w:tc>
          <w:tcPr>
            <w:tcW w:w="1980" w:type="dxa"/>
            <w:shd w:val="clear" w:color="auto" w:fill="auto"/>
            <w:noWrap/>
            <w:vAlign w:val="bottom"/>
            <w:hideMark/>
          </w:tcPr>
          <w:p w:rsidR="005F2426" w:rsidRPr="00B56DAA" w:rsidRDefault="00FA637E" w:rsidP="000E27EF">
            <w:pPr>
              <w:spacing w:after="0" w:line="240" w:lineRule="auto"/>
              <w:ind w:firstLine="0"/>
              <w:jc w:val="left"/>
              <w:rPr>
                <w:rFonts w:ascii="Garamond" w:eastAsia="Times New Roman" w:hAnsi="Garamond"/>
                <w:sz w:val="20"/>
                <w:szCs w:val="20"/>
                <w:lang w:val="sq-AL" w:eastAsia="en-GB"/>
              </w:rPr>
            </w:pPr>
            <w:r>
              <w:rPr>
                <w:rFonts w:ascii="Garamond" w:eastAsia="Times New Roman" w:hAnsi="Garamond"/>
                <w:sz w:val="20"/>
                <w:szCs w:val="20"/>
                <w:lang w:val="sq-AL" w:eastAsia="en-GB"/>
              </w:rPr>
              <w:t>W</w:t>
            </w:r>
            <w:r w:rsidR="005F2426" w:rsidRPr="00B56DAA">
              <w:rPr>
                <w:rFonts w:ascii="Garamond" w:eastAsia="Times New Roman" w:hAnsi="Garamond"/>
                <w:sz w:val="20"/>
                <w:szCs w:val="20"/>
                <w:lang w:val="sq-AL" w:eastAsia="en-GB"/>
              </w:rPr>
              <w:t>hiskered Tern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Dallëndyshe deti faqebardhë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Chlidonias niger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Black Tern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Dallëndyshe deti e zezë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 Familja Alcidae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Uria aalge ibericus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Iberian Guillemot</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Laramani i detit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RENDI PTEROCLIFORMES </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Pteroclididae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Pterocles orientalis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Black-bellied Sandgrouse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Pëllumbi barkzi i shkretëtirës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Pterocles alchata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Pin-tailed Sandgrouse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Pëllumbi bishtgjatë i shkretëtirës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lastRenderedPageBreak/>
              <w:t xml:space="preserve">RENDI COLUMBIFORMES </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Columbidae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Columba palumbus azorica </w:t>
            </w:r>
          </w:p>
        </w:tc>
        <w:tc>
          <w:tcPr>
            <w:tcW w:w="198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 xml:space="preserve">Azores </w:t>
            </w:r>
            <w:r w:rsidR="00FA637E">
              <w:rPr>
                <w:rFonts w:ascii="Garamond" w:eastAsia="Times New Roman" w:hAnsi="Garamond"/>
                <w:color w:val="000000"/>
                <w:sz w:val="20"/>
                <w:szCs w:val="20"/>
                <w:lang w:val="sq-AL" w:eastAsia="en-GB"/>
              </w:rPr>
              <w:t>W</w:t>
            </w:r>
            <w:r w:rsidRPr="00B56DAA">
              <w:rPr>
                <w:rFonts w:ascii="Garamond" w:eastAsia="Times New Roman" w:hAnsi="Garamond"/>
                <w:color w:val="000000"/>
                <w:sz w:val="20"/>
                <w:szCs w:val="20"/>
                <w:lang w:val="sq-AL" w:eastAsia="en-GB"/>
              </w:rPr>
              <w:t>ood Pigeon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Gugashi i Azoreve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Columba trocaz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Trocaz Pigeon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Pëllumbi i Madeirës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Columba bollii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Bolle's Pigeon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Pëllumbi krahëzi</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Columba junoniae</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Laurel Pigeon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Pëllumbi i dafinave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NT</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RENDI STRIGIFORMES </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Strigidae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Bubo bubo </w:t>
            </w:r>
          </w:p>
        </w:tc>
        <w:tc>
          <w:tcPr>
            <w:tcW w:w="198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Eagle O</w:t>
            </w:r>
            <w:r w:rsidR="00FA637E">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Bufi i madh</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Nyctea scandiaca </w:t>
            </w:r>
          </w:p>
        </w:tc>
        <w:tc>
          <w:tcPr>
            <w:tcW w:w="198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Sno</w:t>
            </w:r>
            <w:r w:rsidR="00FA637E">
              <w:rPr>
                <w:rFonts w:ascii="Garamond" w:eastAsia="Times New Roman" w:hAnsi="Garamond"/>
                <w:color w:val="000000"/>
                <w:sz w:val="20"/>
                <w:szCs w:val="20"/>
                <w:lang w:val="sq-AL" w:eastAsia="en-GB"/>
              </w:rPr>
              <w:t>w</w:t>
            </w:r>
            <w:r w:rsidRPr="00B56DAA">
              <w:rPr>
                <w:rFonts w:ascii="Garamond" w:eastAsia="Times New Roman" w:hAnsi="Garamond"/>
                <w:color w:val="000000"/>
                <w:sz w:val="20"/>
                <w:szCs w:val="20"/>
                <w:lang w:val="sq-AL" w:eastAsia="en-GB"/>
              </w:rPr>
              <w:t>y O</w:t>
            </w:r>
            <w:r w:rsidR="00FA637E">
              <w:rPr>
                <w:rFonts w:ascii="Garamond" w:eastAsia="Times New Roman" w:hAnsi="Garamond"/>
                <w:color w:val="000000"/>
                <w:sz w:val="20"/>
                <w:szCs w:val="20"/>
                <w:lang w:val="sq-AL" w:eastAsia="en-GB"/>
              </w:rPr>
              <w:t>w</w:t>
            </w:r>
            <w:r w:rsidRPr="00B56DAA">
              <w:rPr>
                <w:rFonts w:ascii="Garamond" w:eastAsia="Times New Roman" w:hAnsi="Garamond"/>
                <w:color w:val="000000"/>
                <w:sz w:val="20"/>
                <w:szCs w:val="20"/>
                <w:lang w:val="sq-AL" w:eastAsia="en-GB"/>
              </w:rPr>
              <w:t>l</w:t>
            </w:r>
          </w:p>
        </w:tc>
        <w:tc>
          <w:tcPr>
            <w:tcW w:w="1710" w:type="dxa"/>
            <w:shd w:val="clear" w:color="auto" w:fill="auto"/>
            <w:noWrap/>
            <w:vAlign w:val="bottom"/>
            <w:hideMark/>
          </w:tcPr>
          <w:p w:rsidR="005F2426" w:rsidRPr="00B56DAA" w:rsidRDefault="005F2426" w:rsidP="0031747C">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Bufi i bor</w:t>
            </w:r>
            <w:r w:rsidR="0031747C">
              <w:rPr>
                <w:rFonts w:ascii="Garamond" w:eastAsia="Times New Roman" w:hAnsi="Garamond"/>
                <w:color w:val="000000"/>
                <w:sz w:val="20"/>
                <w:szCs w:val="20"/>
                <w:lang w:val="sq-AL" w:eastAsia="en-GB"/>
              </w:rPr>
              <w:t>ë</w:t>
            </w:r>
            <w:r w:rsidRPr="00B56DAA">
              <w:rPr>
                <w:rFonts w:ascii="Garamond" w:eastAsia="Times New Roman" w:hAnsi="Garamond"/>
                <w:color w:val="000000"/>
                <w:sz w:val="20"/>
                <w:szCs w:val="20"/>
                <w:lang w:val="sq-AL" w:eastAsia="en-GB"/>
              </w:rPr>
              <w:t>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na</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Surnia ulula </w:t>
            </w:r>
          </w:p>
        </w:tc>
        <w:tc>
          <w:tcPr>
            <w:tcW w:w="198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Ha</w:t>
            </w:r>
            <w:r w:rsidR="00FA637E">
              <w:rPr>
                <w:rFonts w:ascii="Garamond" w:eastAsia="Times New Roman" w:hAnsi="Garamond"/>
                <w:color w:val="000000"/>
                <w:sz w:val="20"/>
                <w:szCs w:val="20"/>
                <w:lang w:val="sq-AL" w:eastAsia="en-GB"/>
              </w:rPr>
              <w:t>w</w:t>
            </w:r>
            <w:r w:rsidRPr="00B56DAA">
              <w:rPr>
                <w:rFonts w:ascii="Garamond" w:eastAsia="Times New Roman" w:hAnsi="Garamond"/>
                <w:color w:val="000000"/>
                <w:sz w:val="20"/>
                <w:szCs w:val="20"/>
                <w:lang w:val="sq-AL" w:eastAsia="en-GB"/>
              </w:rPr>
              <w:t>k O</w:t>
            </w:r>
            <w:r w:rsidR="00FA637E">
              <w:rPr>
                <w:rFonts w:ascii="Garamond" w:eastAsia="Times New Roman" w:hAnsi="Garamond"/>
                <w:color w:val="000000"/>
                <w:sz w:val="20"/>
                <w:szCs w:val="20"/>
                <w:lang w:val="sq-AL" w:eastAsia="en-GB"/>
              </w:rPr>
              <w:t>w</w:t>
            </w:r>
            <w:r w:rsidRPr="00B56DAA">
              <w:rPr>
                <w:rFonts w:ascii="Garamond" w:eastAsia="Times New Roman" w:hAnsi="Garamond"/>
                <w:color w:val="000000"/>
                <w:sz w:val="20"/>
                <w:szCs w:val="20"/>
                <w:lang w:val="sq-AL" w:eastAsia="en-GB"/>
              </w:rPr>
              <w:t>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K</w:t>
            </w:r>
            <w:r w:rsidR="0031747C">
              <w:rPr>
                <w:rFonts w:ascii="Garamond" w:eastAsia="Times New Roman" w:hAnsi="Garamond"/>
                <w:color w:val="000000"/>
                <w:sz w:val="20"/>
                <w:szCs w:val="20"/>
                <w:lang w:val="sq-AL" w:eastAsia="en-GB"/>
              </w:rPr>
              <w:t>ukuvajka-</w:t>
            </w:r>
            <w:r w:rsidRPr="00B56DAA">
              <w:rPr>
                <w:rFonts w:ascii="Garamond" w:eastAsia="Times New Roman" w:hAnsi="Garamond"/>
                <w:color w:val="000000"/>
                <w:sz w:val="20"/>
                <w:szCs w:val="20"/>
                <w:lang w:val="sq-AL" w:eastAsia="en-GB"/>
              </w:rPr>
              <w:t>skifter</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Glaucidium passerinum </w:t>
            </w:r>
          </w:p>
        </w:tc>
        <w:tc>
          <w:tcPr>
            <w:tcW w:w="198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Pygmy O</w:t>
            </w:r>
            <w:r w:rsidR="00FA637E">
              <w:rPr>
                <w:rFonts w:ascii="Garamond" w:eastAsia="Times New Roman" w:hAnsi="Garamond"/>
                <w:color w:val="000000"/>
                <w:sz w:val="20"/>
                <w:szCs w:val="20"/>
                <w:lang w:val="sq-AL" w:eastAsia="en-GB"/>
              </w:rPr>
              <w:t>w</w:t>
            </w:r>
            <w:r w:rsidRPr="00B56DAA">
              <w:rPr>
                <w:rFonts w:ascii="Garamond" w:eastAsia="Times New Roman" w:hAnsi="Garamond"/>
                <w:color w:val="000000"/>
                <w:sz w:val="20"/>
                <w:szCs w:val="20"/>
                <w:lang w:val="sq-AL" w:eastAsia="en-GB"/>
              </w:rPr>
              <w:t>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Kukuvajka e vogël</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Strix nebulosa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Great Grey Oël</w:t>
            </w:r>
          </w:p>
        </w:tc>
        <w:tc>
          <w:tcPr>
            <w:tcW w:w="1710" w:type="dxa"/>
            <w:shd w:val="clear" w:color="auto" w:fill="auto"/>
            <w:noWrap/>
            <w:vAlign w:val="bottom"/>
            <w:hideMark/>
          </w:tcPr>
          <w:p w:rsidR="005F2426" w:rsidRPr="00B56DAA" w:rsidRDefault="005F2426" w:rsidP="0031747C">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Kukuvajka e përhim</w:t>
            </w:r>
            <w:r w:rsidR="0031747C">
              <w:rPr>
                <w:rFonts w:ascii="Garamond" w:eastAsia="Times New Roman" w:hAnsi="Garamond"/>
                <w:color w:val="000000"/>
                <w:sz w:val="20"/>
                <w:szCs w:val="20"/>
                <w:lang w:val="sq-AL" w:eastAsia="en-GB"/>
              </w:rPr>
              <w:t>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Strix uralensis </w:t>
            </w:r>
          </w:p>
        </w:tc>
        <w:tc>
          <w:tcPr>
            <w:tcW w:w="198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Ural O</w:t>
            </w:r>
            <w:r w:rsidR="00FA637E">
              <w:rPr>
                <w:rFonts w:ascii="Garamond" w:eastAsia="Times New Roman" w:hAnsi="Garamond"/>
                <w:color w:val="000000"/>
                <w:sz w:val="20"/>
                <w:szCs w:val="20"/>
                <w:lang w:val="sq-AL" w:eastAsia="en-GB"/>
              </w:rPr>
              <w:t>w</w:t>
            </w:r>
            <w:r w:rsidRPr="00B56DAA">
              <w:rPr>
                <w:rFonts w:ascii="Garamond" w:eastAsia="Times New Roman" w:hAnsi="Garamond"/>
                <w:color w:val="000000"/>
                <w:sz w:val="20"/>
                <w:szCs w:val="20"/>
                <w:lang w:val="sq-AL" w:eastAsia="en-GB"/>
              </w:rPr>
              <w:t>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Kukuvajka e Uraleve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Asio flammeus </w:t>
            </w:r>
          </w:p>
        </w:tc>
        <w:tc>
          <w:tcPr>
            <w:tcW w:w="198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Short-eared O</w:t>
            </w:r>
            <w:r w:rsidR="00FA637E">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Bufi veshëshkurtër</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Aegolius funereus </w:t>
            </w:r>
          </w:p>
        </w:tc>
        <w:tc>
          <w:tcPr>
            <w:tcW w:w="198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Tengmalm's O</w:t>
            </w:r>
            <w:r w:rsidR="00FA637E">
              <w:rPr>
                <w:rFonts w:ascii="Garamond" w:eastAsia="Times New Roman" w:hAnsi="Garamond"/>
                <w:color w:val="000000"/>
                <w:sz w:val="20"/>
                <w:szCs w:val="20"/>
                <w:lang w:val="sq-AL" w:eastAsia="en-GB"/>
              </w:rPr>
              <w:t>w</w:t>
            </w:r>
            <w:r w:rsidRPr="00B56DAA">
              <w:rPr>
                <w:rFonts w:ascii="Garamond" w:eastAsia="Times New Roman" w:hAnsi="Garamond"/>
                <w:color w:val="000000"/>
                <w:sz w:val="20"/>
                <w:szCs w:val="20"/>
                <w:lang w:val="sq-AL" w:eastAsia="en-GB"/>
              </w:rPr>
              <w:t>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Kukuvajka e vogel kokemadhe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RENDI CAPRIMULGIFORMES </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Caprimulgidae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Caprimulgus europaeus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Nightjar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Dallëndyshe nate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RENDI APODIFORMES </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Apodidae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Apus caffer</w:t>
            </w:r>
          </w:p>
        </w:tc>
        <w:tc>
          <w:tcPr>
            <w:tcW w:w="1980" w:type="dxa"/>
            <w:shd w:val="clear" w:color="auto" w:fill="auto"/>
            <w:noWrap/>
            <w:vAlign w:val="bottom"/>
            <w:hideMark/>
          </w:tcPr>
          <w:p w:rsidR="005F2426" w:rsidRPr="00B56DAA" w:rsidRDefault="00FA637E" w:rsidP="000E27EF">
            <w:pPr>
              <w:spacing w:after="0" w:line="240" w:lineRule="auto"/>
              <w:ind w:firstLine="0"/>
              <w:jc w:val="left"/>
              <w:rPr>
                <w:rFonts w:ascii="Garamond" w:eastAsia="Times New Roman" w:hAnsi="Garamond"/>
                <w:color w:val="000000"/>
                <w:sz w:val="20"/>
                <w:szCs w:val="20"/>
                <w:lang w:val="sq-AL" w:eastAsia="en-GB"/>
              </w:rPr>
            </w:pPr>
            <w:r>
              <w:rPr>
                <w:rFonts w:ascii="Garamond" w:eastAsia="Times New Roman" w:hAnsi="Garamond"/>
                <w:color w:val="000000"/>
                <w:sz w:val="20"/>
                <w:szCs w:val="20"/>
                <w:lang w:val="sq-AL" w:eastAsia="en-GB"/>
              </w:rPr>
              <w:t>W</w:t>
            </w:r>
            <w:r w:rsidR="005F2426" w:rsidRPr="00B56DAA">
              <w:rPr>
                <w:rFonts w:ascii="Garamond" w:eastAsia="Times New Roman" w:hAnsi="Garamond"/>
                <w:color w:val="000000"/>
                <w:sz w:val="20"/>
                <w:szCs w:val="20"/>
                <w:lang w:val="sq-AL" w:eastAsia="en-GB"/>
              </w:rPr>
              <w:t>hite-rumped Sëift</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Dejka kërbishtbardhë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RENDI CORACIIFORMES </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Alcedinidae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Alcedo atthis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Kingfisher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Bilbili peshkatar</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Coraciidae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Coracias garrulus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Roller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Grifsha e detit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NT</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RENDI PICIFORMES </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Picidae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Picus canus </w:t>
            </w:r>
          </w:p>
        </w:tc>
        <w:tc>
          <w:tcPr>
            <w:tcW w:w="198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 xml:space="preserve">Grey-headed </w:t>
            </w:r>
            <w:r w:rsidR="00FA637E">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oodpecker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Qukapiku i përhimë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Dryocopus martius </w:t>
            </w:r>
          </w:p>
        </w:tc>
        <w:tc>
          <w:tcPr>
            <w:tcW w:w="198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 xml:space="preserve">Black </w:t>
            </w:r>
            <w:r w:rsidR="00FA637E">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oodpecker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Qukapiku i zi</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Dendrocopos major canariensis </w:t>
            </w:r>
          </w:p>
        </w:tc>
        <w:tc>
          <w:tcPr>
            <w:tcW w:w="198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 xml:space="preserve">Great Spotted </w:t>
            </w:r>
            <w:r w:rsidR="00FA637E">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odpecker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Qukapiku larosh i Kanarieve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Dendrocopos major thanneri </w:t>
            </w:r>
          </w:p>
        </w:tc>
        <w:tc>
          <w:tcPr>
            <w:tcW w:w="198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 xml:space="preserve">Great Spotted </w:t>
            </w:r>
            <w:r w:rsidR="00FA637E">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odpecker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Qukapiku larosh</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Dendrocopos syriacus </w:t>
            </w:r>
          </w:p>
        </w:tc>
        <w:tc>
          <w:tcPr>
            <w:tcW w:w="198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 xml:space="preserve">Syrian </w:t>
            </w:r>
            <w:r w:rsidR="00FA637E">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oodpecker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Qukapiku i zakonshëm larosh</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Dendrocopos medius </w:t>
            </w:r>
          </w:p>
        </w:tc>
        <w:tc>
          <w:tcPr>
            <w:tcW w:w="1980" w:type="dxa"/>
            <w:shd w:val="clear" w:color="auto" w:fill="auto"/>
            <w:noWrap/>
            <w:vAlign w:val="bottom"/>
            <w:hideMark/>
          </w:tcPr>
          <w:p w:rsidR="005F2426" w:rsidRPr="00B56DAA" w:rsidRDefault="005F2426" w:rsidP="00FA637E">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 xml:space="preserve">Middle Spotted </w:t>
            </w:r>
            <w:r w:rsidR="00FA637E">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oodpecker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Qukapiku i mesëm larosh</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Dendrocopos leucotos </w:t>
            </w:r>
          </w:p>
        </w:tc>
        <w:tc>
          <w:tcPr>
            <w:tcW w:w="1980" w:type="dxa"/>
            <w:shd w:val="clear" w:color="auto" w:fill="auto"/>
            <w:noWrap/>
            <w:vAlign w:val="bottom"/>
            <w:hideMark/>
          </w:tcPr>
          <w:p w:rsidR="005F2426" w:rsidRPr="00B56DAA" w:rsidRDefault="00FA637E" w:rsidP="00FA637E">
            <w:pPr>
              <w:spacing w:after="0" w:line="240" w:lineRule="auto"/>
              <w:ind w:firstLine="0"/>
              <w:jc w:val="left"/>
              <w:rPr>
                <w:rFonts w:ascii="Garamond" w:eastAsia="Times New Roman" w:hAnsi="Garamond"/>
                <w:sz w:val="20"/>
                <w:szCs w:val="20"/>
                <w:lang w:val="sq-AL" w:eastAsia="en-GB"/>
              </w:rPr>
            </w:pPr>
            <w:r>
              <w:rPr>
                <w:rFonts w:ascii="Garamond" w:eastAsia="Times New Roman" w:hAnsi="Garamond"/>
                <w:sz w:val="20"/>
                <w:szCs w:val="20"/>
                <w:lang w:val="sq-AL" w:eastAsia="en-GB"/>
              </w:rPr>
              <w:t>W</w:t>
            </w:r>
            <w:r w:rsidR="005F2426" w:rsidRPr="00B56DAA">
              <w:rPr>
                <w:rFonts w:ascii="Garamond" w:eastAsia="Times New Roman" w:hAnsi="Garamond"/>
                <w:sz w:val="20"/>
                <w:szCs w:val="20"/>
                <w:lang w:val="sq-AL" w:eastAsia="en-GB"/>
              </w:rPr>
              <w:t xml:space="preserve">hite-backed </w:t>
            </w:r>
            <w:r>
              <w:rPr>
                <w:rFonts w:ascii="Garamond" w:eastAsia="Times New Roman" w:hAnsi="Garamond"/>
                <w:sz w:val="20"/>
                <w:szCs w:val="20"/>
                <w:lang w:val="sq-AL" w:eastAsia="en-GB"/>
              </w:rPr>
              <w:t>W</w:t>
            </w:r>
            <w:r w:rsidR="005F2426" w:rsidRPr="00B56DAA">
              <w:rPr>
                <w:rFonts w:ascii="Garamond" w:eastAsia="Times New Roman" w:hAnsi="Garamond"/>
                <w:sz w:val="20"/>
                <w:szCs w:val="20"/>
                <w:lang w:val="sq-AL" w:eastAsia="en-GB"/>
              </w:rPr>
              <w:t>oodpecker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Qukapiku larosh kurrizbardhë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Picoides tridactylus </w:t>
            </w:r>
          </w:p>
        </w:tc>
        <w:tc>
          <w:tcPr>
            <w:tcW w:w="1980" w:type="dxa"/>
            <w:shd w:val="clear" w:color="auto" w:fill="auto"/>
            <w:noWrap/>
            <w:vAlign w:val="bottom"/>
            <w:hideMark/>
          </w:tcPr>
          <w:p w:rsidR="005F2426" w:rsidRPr="00B56DAA" w:rsidRDefault="005F2426" w:rsidP="0031747C">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 xml:space="preserve">Three-toed </w:t>
            </w:r>
            <w:r w:rsidR="0031747C">
              <w:rPr>
                <w:rFonts w:ascii="Garamond" w:eastAsia="Times New Roman" w:hAnsi="Garamond"/>
                <w:sz w:val="20"/>
                <w:szCs w:val="20"/>
                <w:lang w:val="sq-AL" w:eastAsia="en-GB"/>
              </w:rPr>
              <w:lastRenderedPageBreak/>
              <w:t>W</w:t>
            </w:r>
            <w:r w:rsidRPr="00B56DAA">
              <w:rPr>
                <w:rFonts w:ascii="Garamond" w:eastAsia="Times New Roman" w:hAnsi="Garamond"/>
                <w:sz w:val="20"/>
                <w:szCs w:val="20"/>
                <w:lang w:val="sq-AL" w:eastAsia="en-GB"/>
              </w:rPr>
              <w:t>oodpecker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lastRenderedPageBreak/>
              <w:t xml:space="preserve">Qukapiku me tri </w:t>
            </w:r>
            <w:r w:rsidRPr="00B56DAA">
              <w:rPr>
                <w:rFonts w:ascii="Garamond" w:eastAsia="Times New Roman" w:hAnsi="Garamond"/>
                <w:color w:val="000000"/>
                <w:sz w:val="20"/>
                <w:szCs w:val="20"/>
                <w:lang w:val="sq-AL" w:eastAsia="en-GB"/>
              </w:rPr>
              <w:lastRenderedPageBreak/>
              <w:t>gishta</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RENDI PASSERIFORMES </w:t>
            </w:r>
          </w:p>
        </w:tc>
        <w:tc>
          <w:tcPr>
            <w:tcW w:w="198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D9D9D9" w:themeFill="background1" w:themeFillShade="D9"/>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D9D9D9" w:themeFill="background1" w:themeFillShade="D9"/>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Alaudidae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Chersophilus duponti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Dupont's Lark</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Drenja sqepgjatë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NT</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Melanocorypha calandra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Calandra Lark</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Drenja e madhe qafëzezë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Calandrella brachydactyla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Short-toed Lark</w:t>
            </w:r>
          </w:p>
        </w:tc>
        <w:tc>
          <w:tcPr>
            <w:tcW w:w="1710" w:type="dxa"/>
            <w:shd w:val="clear" w:color="auto" w:fill="auto"/>
            <w:noWrap/>
            <w:vAlign w:val="bottom"/>
            <w:hideMark/>
          </w:tcPr>
          <w:p w:rsidR="005F2426" w:rsidRPr="00B56DAA" w:rsidRDefault="005F2426" w:rsidP="00534749">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Drenja e përhim</w:t>
            </w:r>
            <w:r w:rsidR="00534749">
              <w:rPr>
                <w:rFonts w:ascii="Garamond" w:eastAsia="Times New Roman" w:hAnsi="Garamond"/>
                <w:color w:val="000000"/>
                <w:sz w:val="20"/>
                <w:szCs w:val="20"/>
                <w:lang w:val="sq-AL" w:eastAsia="en-GB"/>
              </w:rPr>
              <w:t>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Galerida theklae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Thekla Lark</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Dervishi i vogel</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Lullula arborea </w:t>
            </w:r>
          </w:p>
        </w:tc>
        <w:tc>
          <w:tcPr>
            <w:tcW w:w="1980" w:type="dxa"/>
            <w:shd w:val="clear" w:color="auto" w:fill="auto"/>
            <w:noWrap/>
            <w:vAlign w:val="bottom"/>
            <w:hideMark/>
          </w:tcPr>
          <w:p w:rsidR="005F2426" w:rsidRPr="00B56DAA" w:rsidRDefault="0031747C" w:rsidP="000E27EF">
            <w:pPr>
              <w:spacing w:after="0" w:line="240" w:lineRule="auto"/>
              <w:ind w:firstLine="0"/>
              <w:jc w:val="left"/>
              <w:rPr>
                <w:rFonts w:ascii="Garamond" w:eastAsia="Times New Roman" w:hAnsi="Garamond"/>
                <w:sz w:val="20"/>
                <w:szCs w:val="20"/>
                <w:lang w:val="sq-AL" w:eastAsia="en-GB"/>
              </w:rPr>
            </w:pPr>
            <w:r>
              <w:rPr>
                <w:rFonts w:ascii="Garamond" w:eastAsia="Times New Roman" w:hAnsi="Garamond"/>
                <w:sz w:val="20"/>
                <w:szCs w:val="20"/>
                <w:lang w:val="sq-AL" w:eastAsia="en-GB"/>
              </w:rPr>
              <w:t>W</w:t>
            </w:r>
            <w:r w:rsidR="005F2426" w:rsidRPr="00B56DAA">
              <w:rPr>
                <w:rFonts w:ascii="Garamond" w:eastAsia="Times New Roman" w:hAnsi="Garamond"/>
                <w:sz w:val="20"/>
                <w:szCs w:val="20"/>
                <w:lang w:val="sq-AL" w:eastAsia="en-GB"/>
              </w:rPr>
              <w:t>oodlark</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Drenja</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Motacillidae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Anthus campestris </w:t>
            </w:r>
          </w:p>
        </w:tc>
        <w:tc>
          <w:tcPr>
            <w:tcW w:w="1980" w:type="dxa"/>
            <w:shd w:val="clear" w:color="auto" w:fill="auto"/>
            <w:noWrap/>
            <w:vAlign w:val="bottom"/>
            <w:hideMark/>
          </w:tcPr>
          <w:p w:rsidR="005F2426" w:rsidRPr="00B56DAA" w:rsidRDefault="005F2426" w:rsidP="0031747C">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Ta</w:t>
            </w:r>
            <w:r w:rsidR="0031747C">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ny Pipit</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Drenja e fushës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Troglodytidae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Troglodytes troglodytes fridariensis </w:t>
            </w:r>
          </w:p>
        </w:tc>
        <w:tc>
          <w:tcPr>
            <w:tcW w:w="1980" w:type="dxa"/>
            <w:shd w:val="clear" w:color="auto" w:fill="auto"/>
            <w:noWrap/>
            <w:vAlign w:val="bottom"/>
            <w:hideMark/>
          </w:tcPr>
          <w:p w:rsidR="005F2426" w:rsidRPr="00B56DAA" w:rsidRDefault="0031747C" w:rsidP="000E27EF">
            <w:pPr>
              <w:spacing w:after="0" w:line="240" w:lineRule="auto"/>
              <w:ind w:firstLine="0"/>
              <w:jc w:val="left"/>
              <w:rPr>
                <w:rFonts w:ascii="Garamond" w:eastAsia="Times New Roman" w:hAnsi="Garamond"/>
                <w:sz w:val="20"/>
                <w:szCs w:val="20"/>
                <w:lang w:val="sq-AL" w:eastAsia="en-GB"/>
              </w:rPr>
            </w:pPr>
            <w:r>
              <w:rPr>
                <w:rFonts w:ascii="Garamond" w:eastAsia="Times New Roman" w:hAnsi="Garamond"/>
                <w:sz w:val="20"/>
                <w:szCs w:val="20"/>
                <w:lang w:val="sq-AL" w:eastAsia="en-GB"/>
              </w:rPr>
              <w:t>W</w:t>
            </w:r>
            <w:r w:rsidR="005F2426" w:rsidRPr="00B56DAA">
              <w:rPr>
                <w:rFonts w:ascii="Garamond" w:eastAsia="Times New Roman" w:hAnsi="Garamond"/>
                <w:sz w:val="20"/>
                <w:szCs w:val="20"/>
                <w:lang w:val="sq-AL" w:eastAsia="en-GB"/>
              </w:rPr>
              <w:t>ren</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Çerri</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Muscicapidae (Turdinae)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Luscinia svecica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Bluethroat</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Bilbili gjokskaltër</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Saxicola dacotiae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Fuerteventura Stonechat</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Çeku gushebardhe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NT</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Oenanthe leucura </w:t>
            </w:r>
          </w:p>
        </w:tc>
        <w:tc>
          <w:tcPr>
            <w:tcW w:w="1980" w:type="dxa"/>
            <w:shd w:val="clear" w:color="auto" w:fill="auto"/>
            <w:noWrap/>
            <w:vAlign w:val="bottom"/>
            <w:hideMark/>
          </w:tcPr>
          <w:p w:rsidR="005F2426" w:rsidRPr="00B56DAA" w:rsidRDefault="005F2426" w:rsidP="00537775">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 xml:space="preserve">Black </w:t>
            </w:r>
            <w:r w:rsidR="00537775">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heatear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Bishtbardha e zezë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Oenanthe cypriaca </w:t>
            </w:r>
          </w:p>
        </w:tc>
        <w:tc>
          <w:tcPr>
            <w:tcW w:w="1980" w:type="dxa"/>
            <w:shd w:val="clear" w:color="auto" w:fill="auto"/>
            <w:noWrap/>
            <w:vAlign w:val="bottom"/>
            <w:hideMark/>
          </w:tcPr>
          <w:p w:rsidR="005F2426" w:rsidRPr="00B56DAA" w:rsidRDefault="005F2426" w:rsidP="00537775">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 xml:space="preserve">Cyprus </w:t>
            </w:r>
            <w:r w:rsidR="00537775">
              <w:rPr>
                <w:rFonts w:ascii="Garamond" w:eastAsia="Times New Roman" w:hAnsi="Garamond"/>
                <w:color w:val="000000"/>
                <w:sz w:val="20"/>
                <w:szCs w:val="20"/>
                <w:lang w:val="sq-AL" w:eastAsia="en-GB"/>
              </w:rPr>
              <w:t>W</w:t>
            </w:r>
            <w:r w:rsidRPr="00B56DAA">
              <w:rPr>
                <w:rFonts w:ascii="Garamond" w:eastAsia="Times New Roman" w:hAnsi="Garamond"/>
                <w:color w:val="000000"/>
                <w:sz w:val="20"/>
                <w:szCs w:val="20"/>
                <w:lang w:val="sq-AL" w:eastAsia="en-GB"/>
              </w:rPr>
              <w:t>heatear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Bishtbardha e Qipros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Oenanthe pleschanka </w:t>
            </w:r>
          </w:p>
        </w:tc>
        <w:tc>
          <w:tcPr>
            <w:tcW w:w="1980" w:type="dxa"/>
            <w:shd w:val="clear" w:color="auto" w:fill="auto"/>
            <w:noWrap/>
            <w:vAlign w:val="bottom"/>
            <w:hideMark/>
          </w:tcPr>
          <w:p w:rsidR="005F2426" w:rsidRPr="00B56DAA" w:rsidRDefault="005F2426" w:rsidP="00537775">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 xml:space="preserve">Pied </w:t>
            </w:r>
            <w:r w:rsidR="00537775">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heatear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Bishtbardha e zbehtë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Muscicapidae (Sylviinae)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Acrocephalus melanopogon </w:t>
            </w:r>
          </w:p>
        </w:tc>
        <w:tc>
          <w:tcPr>
            <w:tcW w:w="1980" w:type="dxa"/>
            <w:shd w:val="clear" w:color="auto" w:fill="auto"/>
            <w:noWrap/>
            <w:vAlign w:val="bottom"/>
            <w:hideMark/>
          </w:tcPr>
          <w:p w:rsidR="005F2426" w:rsidRPr="00B56DAA" w:rsidRDefault="005F2426" w:rsidP="00537775">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 xml:space="preserve">Moustached </w:t>
            </w:r>
            <w:r w:rsidR="00537775">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arbler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Bilbilthi me mustaqe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Acrocephalus paludicola </w:t>
            </w:r>
          </w:p>
        </w:tc>
        <w:tc>
          <w:tcPr>
            <w:tcW w:w="1980" w:type="dxa"/>
            <w:shd w:val="clear" w:color="auto" w:fill="auto"/>
            <w:noWrap/>
            <w:vAlign w:val="bottom"/>
            <w:hideMark/>
          </w:tcPr>
          <w:p w:rsidR="005F2426" w:rsidRPr="00B56DAA" w:rsidRDefault="005F2426" w:rsidP="00537775">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 xml:space="preserve">Aquatic </w:t>
            </w:r>
            <w:r w:rsidR="00537775">
              <w:rPr>
                <w:rFonts w:ascii="Garamond" w:eastAsia="Times New Roman" w:hAnsi="Garamond"/>
                <w:color w:val="000000"/>
                <w:sz w:val="20"/>
                <w:szCs w:val="20"/>
                <w:lang w:val="sq-AL" w:eastAsia="en-GB"/>
              </w:rPr>
              <w:t>W</w:t>
            </w:r>
            <w:r w:rsidRPr="00B56DAA">
              <w:rPr>
                <w:rFonts w:ascii="Garamond" w:eastAsia="Times New Roman" w:hAnsi="Garamond"/>
                <w:color w:val="000000"/>
                <w:sz w:val="20"/>
                <w:szCs w:val="20"/>
                <w:lang w:val="sq-AL" w:eastAsia="en-GB"/>
              </w:rPr>
              <w:t>arbler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Bilbilthi i kënetave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Hippolais olivetorum </w:t>
            </w:r>
          </w:p>
        </w:tc>
        <w:tc>
          <w:tcPr>
            <w:tcW w:w="1980" w:type="dxa"/>
            <w:shd w:val="clear" w:color="auto" w:fill="auto"/>
            <w:noWrap/>
            <w:vAlign w:val="bottom"/>
            <w:hideMark/>
          </w:tcPr>
          <w:p w:rsidR="005F2426" w:rsidRPr="00B56DAA" w:rsidRDefault="005F2426" w:rsidP="00537775">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 xml:space="preserve">Olive-tree </w:t>
            </w:r>
            <w:r w:rsidR="00537775">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arbler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Përqeshësi i madh i ullinjve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Sylvia sarda </w:t>
            </w:r>
          </w:p>
        </w:tc>
        <w:tc>
          <w:tcPr>
            <w:tcW w:w="1980" w:type="dxa"/>
            <w:shd w:val="clear" w:color="auto" w:fill="auto"/>
            <w:noWrap/>
            <w:vAlign w:val="bottom"/>
            <w:hideMark/>
          </w:tcPr>
          <w:p w:rsidR="005F2426" w:rsidRPr="00B56DAA" w:rsidRDefault="005F2426" w:rsidP="00537775">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 xml:space="preserve">Marmora's </w:t>
            </w:r>
            <w:r w:rsidR="00537775">
              <w:rPr>
                <w:rFonts w:ascii="Garamond" w:eastAsia="Times New Roman" w:hAnsi="Garamond"/>
                <w:color w:val="000000"/>
                <w:sz w:val="20"/>
                <w:szCs w:val="20"/>
                <w:lang w:val="sq-AL" w:eastAsia="en-GB"/>
              </w:rPr>
              <w:t>W</w:t>
            </w:r>
            <w:r w:rsidRPr="00B56DAA">
              <w:rPr>
                <w:rFonts w:ascii="Garamond" w:eastAsia="Times New Roman" w:hAnsi="Garamond"/>
                <w:color w:val="000000"/>
                <w:sz w:val="20"/>
                <w:szCs w:val="20"/>
                <w:lang w:val="sq-AL" w:eastAsia="en-GB"/>
              </w:rPr>
              <w:t>arbler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Bilbilthi i Sardenjës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Sylvia undata </w:t>
            </w:r>
          </w:p>
        </w:tc>
        <w:tc>
          <w:tcPr>
            <w:tcW w:w="1980" w:type="dxa"/>
            <w:shd w:val="clear" w:color="auto" w:fill="auto"/>
            <w:noWrap/>
            <w:vAlign w:val="bottom"/>
            <w:hideMark/>
          </w:tcPr>
          <w:p w:rsidR="005F2426" w:rsidRPr="00B56DAA" w:rsidRDefault="005F2426" w:rsidP="00537775">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 xml:space="preserve">Dartford </w:t>
            </w:r>
            <w:r w:rsidR="00537775">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arbler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Bilbilthi shpinëmurrmë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NT</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Sylvia melanothorax </w:t>
            </w:r>
          </w:p>
        </w:tc>
        <w:tc>
          <w:tcPr>
            <w:tcW w:w="1980" w:type="dxa"/>
            <w:shd w:val="clear" w:color="auto" w:fill="auto"/>
            <w:noWrap/>
            <w:vAlign w:val="bottom"/>
            <w:hideMark/>
          </w:tcPr>
          <w:p w:rsidR="005F2426" w:rsidRPr="00B56DAA" w:rsidRDefault="005F2426" w:rsidP="00537775">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 xml:space="preserve">Ciprus </w:t>
            </w:r>
            <w:r w:rsidR="00537775">
              <w:rPr>
                <w:rFonts w:ascii="Garamond" w:eastAsia="Times New Roman" w:hAnsi="Garamond"/>
                <w:color w:val="000000"/>
                <w:sz w:val="20"/>
                <w:szCs w:val="20"/>
                <w:lang w:val="sq-AL" w:eastAsia="en-GB"/>
              </w:rPr>
              <w:t>W</w:t>
            </w:r>
            <w:r w:rsidRPr="00B56DAA">
              <w:rPr>
                <w:rFonts w:ascii="Garamond" w:eastAsia="Times New Roman" w:hAnsi="Garamond"/>
                <w:color w:val="000000"/>
                <w:sz w:val="20"/>
                <w:szCs w:val="20"/>
                <w:lang w:val="sq-AL" w:eastAsia="en-GB"/>
              </w:rPr>
              <w:t>arbler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Bilbilthi pikalosh</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Sylvia rueppelli </w:t>
            </w:r>
          </w:p>
        </w:tc>
        <w:tc>
          <w:tcPr>
            <w:tcW w:w="1980" w:type="dxa"/>
            <w:shd w:val="clear" w:color="auto" w:fill="auto"/>
            <w:noWrap/>
            <w:vAlign w:val="bottom"/>
            <w:hideMark/>
          </w:tcPr>
          <w:p w:rsidR="005F2426" w:rsidRPr="00B56DAA" w:rsidRDefault="005F2426" w:rsidP="00537775">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 xml:space="preserve">Ruppell's </w:t>
            </w:r>
            <w:r w:rsidR="00537775">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arbler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Bilbilthi gushëzi</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Sylvia nisoria </w:t>
            </w:r>
          </w:p>
        </w:tc>
        <w:tc>
          <w:tcPr>
            <w:tcW w:w="1980" w:type="dxa"/>
            <w:shd w:val="clear" w:color="auto" w:fill="auto"/>
            <w:noWrap/>
            <w:vAlign w:val="bottom"/>
            <w:hideMark/>
          </w:tcPr>
          <w:p w:rsidR="005F2426" w:rsidRPr="00B56DAA" w:rsidRDefault="005F2426" w:rsidP="00537775">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 xml:space="preserve">Barred </w:t>
            </w:r>
            <w:r w:rsidR="00537775">
              <w:rPr>
                <w:rFonts w:ascii="Garamond" w:eastAsia="Times New Roman" w:hAnsi="Garamond"/>
                <w:sz w:val="20"/>
                <w:szCs w:val="20"/>
                <w:lang w:val="sq-AL" w:eastAsia="en-GB"/>
              </w:rPr>
              <w:t>W</w:t>
            </w:r>
            <w:r w:rsidRPr="00B56DAA">
              <w:rPr>
                <w:rFonts w:ascii="Garamond" w:eastAsia="Times New Roman" w:hAnsi="Garamond"/>
                <w:sz w:val="20"/>
                <w:szCs w:val="20"/>
                <w:lang w:val="sq-AL" w:eastAsia="en-GB"/>
              </w:rPr>
              <w:t>arbler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Bilbilthi gjoksvizuar</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Muscicapidae (Muscicapinae)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Ficedula parva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Red-throated Flycatcher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Mizakapësi gushëkuq</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Ficedula semitorquata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Semi-collared Flycatcher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Mizakapësi krahëvizuar</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NT</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Ficedula albicollis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Collared Flycatcher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Mizakapësi qafëbardhë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Paridae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Parus ater cypriotes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Coal Tit</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Trishtili i zi i Qipros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Sittidae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Sitta krueperi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Kruper's Nuthatch</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 xml:space="preserve">Zvarritësi gushëkuq </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NT</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Sitta ëhiteheadi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Corsican Nuthatch</w:t>
            </w:r>
          </w:p>
        </w:tc>
        <w:tc>
          <w:tcPr>
            <w:tcW w:w="1710" w:type="dxa"/>
            <w:shd w:val="clear" w:color="auto" w:fill="auto"/>
            <w:noWrap/>
            <w:vAlign w:val="bottom"/>
            <w:hideMark/>
          </w:tcPr>
          <w:p w:rsidR="005F2426" w:rsidRPr="00B56DAA" w:rsidRDefault="005F2426" w:rsidP="00B25E8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Zvarritësi vetullbardh</w:t>
            </w:r>
            <w:r w:rsidR="00B25E8F">
              <w:rPr>
                <w:rFonts w:ascii="Garamond" w:eastAsia="Times New Roman" w:hAnsi="Garamond"/>
                <w:color w:val="000000"/>
                <w:sz w:val="20"/>
                <w:szCs w:val="20"/>
                <w:lang w:val="sq-AL" w:eastAsia="en-GB"/>
              </w:rPr>
              <w:t>ë</w:t>
            </w:r>
            <w:r w:rsidRPr="00B56DAA">
              <w:rPr>
                <w:rFonts w:ascii="Garamond" w:eastAsia="Times New Roman" w:hAnsi="Garamond"/>
                <w:color w:val="000000"/>
                <w:sz w:val="20"/>
                <w:szCs w:val="20"/>
                <w:lang w:val="sq-AL" w:eastAsia="en-GB"/>
              </w:rPr>
              <w:t xml:space="preserve"> i Korsikës</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VU</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Certhiidae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Certhia brachydactyla dorotheae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Short-toed Treecreeper</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Rrotulluesi gishtshkurtër</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Laniidae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Lanius collurio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Red-backed Shrike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Larashi kurrizkuq</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Lanius minor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Lesser Grey Shrike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Larashi i vogël ballzi</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Lanius nubicus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Masked Shrike</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Larashi ballëbardhë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Corvidae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Pyrrhocorax pyrrhocorax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Cough</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Stërqoka sqepkuqe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p>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Fringillidae (Fringillinae)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Fringilla coelebs ombriosa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sz w:val="20"/>
                <w:szCs w:val="20"/>
                <w:lang w:val="sq-AL" w:eastAsia="en-GB"/>
              </w:rPr>
            </w:pPr>
            <w:r w:rsidRPr="00B56DAA">
              <w:rPr>
                <w:rFonts w:ascii="Garamond" w:eastAsia="Times New Roman" w:hAnsi="Garamond"/>
                <w:sz w:val="20"/>
                <w:szCs w:val="20"/>
                <w:lang w:val="sq-AL" w:eastAsia="en-GB"/>
              </w:rPr>
              <w:t>Chaffinch</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Zboraksi</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Fringilla teydea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Blue Chaffinch</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Zboraksi blu</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NT</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Fringillidae (Carduelinae)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Loxia scotica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Scottish Crossbill</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Sqepkryqi i Skocisë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Bucanetes githagineus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Trumpeter Finch</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Zboraksi sqepkuq</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Pyrrhula murina </w:t>
            </w:r>
          </w:p>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(Pyrrhula pyrrhula murina)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Azores Bullfinch</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Sqeptrashi i murrmë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r w:rsidR="005F2426" w:rsidRPr="00B56DAA" w:rsidTr="005F2426">
        <w:trPr>
          <w:trHeight w:val="144"/>
        </w:trPr>
        <w:tc>
          <w:tcPr>
            <w:tcW w:w="315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bCs/>
                <w:color w:val="000000"/>
                <w:sz w:val="20"/>
                <w:szCs w:val="20"/>
                <w:lang w:val="sq-AL" w:eastAsia="en-GB"/>
              </w:rPr>
            </w:pPr>
            <w:r w:rsidRPr="00B56DAA">
              <w:rPr>
                <w:rFonts w:ascii="Garamond" w:eastAsia="Times New Roman" w:hAnsi="Garamond"/>
                <w:b/>
                <w:bCs/>
                <w:color w:val="000000"/>
                <w:sz w:val="20"/>
                <w:szCs w:val="20"/>
                <w:lang w:val="sq-AL" w:eastAsia="en-GB"/>
              </w:rPr>
              <w:t xml:space="preserve">Familja Emberizidae (Emberizinae) </w:t>
            </w:r>
          </w:p>
        </w:tc>
        <w:tc>
          <w:tcPr>
            <w:tcW w:w="198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710" w:type="dxa"/>
            <w:shd w:val="clear" w:color="auto" w:fill="F2F2F2" w:themeFill="background1" w:themeFillShade="F2"/>
            <w:noWrap/>
            <w:vAlign w:val="bottom"/>
            <w:hideMark/>
          </w:tcPr>
          <w:p w:rsidR="005F2426" w:rsidRPr="00B56DAA" w:rsidRDefault="005F2426" w:rsidP="000E27EF">
            <w:pPr>
              <w:spacing w:after="0" w:line="240" w:lineRule="auto"/>
              <w:ind w:firstLine="0"/>
              <w:jc w:val="left"/>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c>
          <w:tcPr>
            <w:tcW w:w="1080" w:type="dxa"/>
            <w:shd w:val="clear" w:color="auto" w:fill="F2F2F2" w:themeFill="background1" w:themeFillShade="F2"/>
            <w:noWrap/>
            <w:vAlign w:val="bottom"/>
            <w:hideMark/>
          </w:tcPr>
          <w:p w:rsidR="005F2426" w:rsidRPr="00B56DAA" w:rsidRDefault="005F2426" w:rsidP="005F2426">
            <w:pPr>
              <w:spacing w:after="0" w:line="240" w:lineRule="auto"/>
              <w:ind w:firstLine="0"/>
              <w:jc w:val="center"/>
              <w:rPr>
                <w:rFonts w:ascii="Garamond" w:eastAsia="Times New Roman" w:hAnsi="Garamond"/>
                <w:b/>
                <w:color w:val="000000"/>
                <w:sz w:val="20"/>
                <w:szCs w:val="20"/>
                <w:lang w:val="sq-AL" w:eastAsia="en-GB"/>
              </w:rPr>
            </w:pP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Emberiza cineracea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Cinereous Bunting</w:t>
            </w:r>
          </w:p>
        </w:tc>
        <w:tc>
          <w:tcPr>
            <w:tcW w:w="1710" w:type="dxa"/>
            <w:shd w:val="clear" w:color="auto" w:fill="auto"/>
            <w:noWrap/>
            <w:vAlign w:val="bottom"/>
            <w:hideMark/>
          </w:tcPr>
          <w:p w:rsidR="005F2426" w:rsidRPr="00B56DAA" w:rsidRDefault="005F2426" w:rsidP="00534749">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Cërla e përhim</w:t>
            </w:r>
            <w:r w:rsidR="00534749">
              <w:rPr>
                <w:rFonts w:ascii="Garamond" w:eastAsia="Times New Roman" w:hAnsi="Garamond"/>
                <w:color w:val="000000"/>
                <w:sz w:val="20"/>
                <w:szCs w:val="20"/>
                <w:lang w:val="sq-AL" w:eastAsia="en-GB"/>
              </w:rPr>
              <w:t>ë</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NT</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Emberiza hortulana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Ortolan Bunting</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Cërla e kopshtit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NT</w:t>
            </w:r>
          </w:p>
        </w:tc>
      </w:tr>
      <w:tr w:rsidR="005F2426" w:rsidRPr="00B56DAA" w:rsidTr="005F2426">
        <w:trPr>
          <w:trHeight w:val="144"/>
        </w:trPr>
        <w:tc>
          <w:tcPr>
            <w:tcW w:w="315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i/>
                <w:iCs/>
                <w:color w:val="000000"/>
                <w:sz w:val="20"/>
                <w:szCs w:val="20"/>
                <w:lang w:val="sq-AL" w:eastAsia="en-GB"/>
              </w:rPr>
            </w:pPr>
            <w:r w:rsidRPr="00B56DAA">
              <w:rPr>
                <w:rFonts w:ascii="Garamond" w:eastAsia="Times New Roman" w:hAnsi="Garamond"/>
                <w:i/>
                <w:iCs/>
                <w:color w:val="000000"/>
                <w:sz w:val="20"/>
                <w:szCs w:val="20"/>
                <w:lang w:val="sq-AL" w:eastAsia="en-GB"/>
              </w:rPr>
              <w:t xml:space="preserve">Emberiza caesia </w:t>
            </w:r>
          </w:p>
        </w:tc>
        <w:tc>
          <w:tcPr>
            <w:tcW w:w="198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Cretzschmar's Bunting</w:t>
            </w:r>
          </w:p>
        </w:tc>
        <w:tc>
          <w:tcPr>
            <w:tcW w:w="1710" w:type="dxa"/>
            <w:shd w:val="clear" w:color="auto" w:fill="auto"/>
            <w:noWrap/>
            <w:vAlign w:val="bottom"/>
            <w:hideMark/>
          </w:tcPr>
          <w:p w:rsidR="005F2426" w:rsidRPr="00B56DAA" w:rsidRDefault="005F2426" w:rsidP="000E27EF">
            <w:pPr>
              <w:spacing w:after="0" w:line="240" w:lineRule="auto"/>
              <w:ind w:firstLine="0"/>
              <w:jc w:val="left"/>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Cërla gushëkuqe</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w:t>
            </w:r>
          </w:p>
        </w:tc>
        <w:tc>
          <w:tcPr>
            <w:tcW w:w="1080" w:type="dxa"/>
            <w:shd w:val="clear" w:color="auto" w:fill="auto"/>
            <w:noWrap/>
            <w:vAlign w:val="bottom"/>
            <w:hideMark/>
          </w:tcPr>
          <w:p w:rsidR="005F2426" w:rsidRPr="00B56DAA" w:rsidRDefault="005F2426" w:rsidP="005F2426">
            <w:pPr>
              <w:spacing w:after="0" w:line="240" w:lineRule="auto"/>
              <w:ind w:firstLine="0"/>
              <w:jc w:val="center"/>
              <w:rPr>
                <w:rFonts w:ascii="Garamond" w:eastAsia="Times New Roman" w:hAnsi="Garamond"/>
                <w:color w:val="000000"/>
                <w:sz w:val="20"/>
                <w:szCs w:val="20"/>
                <w:lang w:val="sq-AL" w:eastAsia="en-GB"/>
              </w:rPr>
            </w:pPr>
            <w:r w:rsidRPr="00B56DAA">
              <w:rPr>
                <w:rFonts w:ascii="Garamond" w:eastAsia="Times New Roman" w:hAnsi="Garamond"/>
                <w:color w:val="000000"/>
                <w:sz w:val="20"/>
                <w:szCs w:val="20"/>
                <w:lang w:val="sq-AL" w:eastAsia="en-GB"/>
              </w:rPr>
              <w:t>LC</w:t>
            </w:r>
          </w:p>
        </w:tc>
      </w:tr>
    </w:tbl>
    <w:p w:rsidR="008E62D8" w:rsidRPr="00B56DAA" w:rsidRDefault="005F2426" w:rsidP="00BA6DD4">
      <w:pPr>
        <w:spacing w:before="100" w:beforeAutospacing="1" w:after="100" w:afterAutospacing="1" w:line="240" w:lineRule="auto"/>
        <w:rPr>
          <w:rFonts w:ascii="Garamond" w:eastAsia="Times New Roman" w:hAnsi="Garamond"/>
          <w:sz w:val="24"/>
          <w:szCs w:val="24"/>
          <w:lang w:val="sq-AL" w:eastAsia="en-GB"/>
        </w:rPr>
      </w:pPr>
      <w:r w:rsidRPr="00B56DAA">
        <w:rPr>
          <w:rFonts w:ascii="Garamond" w:eastAsia="Times New Roman" w:hAnsi="Garamond"/>
          <w:sz w:val="24"/>
          <w:szCs w:val="24"/>
          <w:lang w:val="sq-AL" w:eastAsia="en-GB"/>
        </w:rPr>
        <w:t xml:space="preserve">* Aneksi I i </w:t>
      </w:r>
      <w:r w:rsidR="002D2428">
        <w:rPr>
          <w:rFonts w:ascii="Garamond" w:eastAsia="Times New Roman" w:hAnsi="Garamond"/>
          <w:sz w:val="24"/>
          <w:szCs w:val="24"/>
          <w:lang w:val="sq-AL" w:eastAsia="en-GB"/>
        </w:rPr>
        <w:t>d</w:t>
      </w:r>
      <w:r w:rsidR="00B56DAA" w:rsidRPr="00B56DAA">
        <w:rPr>
          <w:rFonts w:ascii="Garamond" w:eastAsia="Times New Roman" w:hAnsi="Garamond"/>
          <w:sz w:val="24"/>
          <w:szCs w:val="24"/>
          <w:lang w:val="sq-AL" w:eastAsia="en-GB"/>
        </w:rPr>
        <w:t>irektiv</w:t>
      </w:r>
      <w:r w:rsidR="00B56DAA">
        <w:rPr>
          <w:rFonts w:ascii="Garamond" w:eastAsia="Times New Roman" w:hAnsi="Garamond"/>
          <w:sz w:val="24"/>
          <w:szCs w:val="24"/>
          <w:lang w:val="sq-AL" w:eastAsia="en-GB"/>
        </w:rPr>
        <w:t>ë</w:t>
      </w:r>
      <w:r w:rsidR="00B56DAA" w:rsidRPr="00B56DAA">
        <w:rPr>
          <w:rFonts w:ascii="Garamond" w:eastAsia="Times New Roman" w:hAnsi="Garamond"/>
          <w:sz w:val="24"/>
          <w:szCs w:val="24"/>
          <w:lang w:val="sq-AL" w:eastAsia="en-GB"/>
        </w:rPr>
        <w:t xml:space="preserve">s </w:t>
      </w:r>
      <w:r w:rsidRPr="00B56DAA">
        <w:rPr>
          <w:rFonts w:ascii="Garamond" w:eastAsia="Times New Roman" w:hAnsi="Garamond"/>
          <w:sz w:val="24"/>
          <w:szCs w:val="24"/>
          <w:lang w:val="sq-AL" w:eastAsia="en-GB"/>
        </w:rPr>
        <w:t>2009/147/EC</w:t>
      </w:r>
      <w:r w:rsidR="002D2428">
        <w:rPr>
          <w:rFonts w:ascii="Garamond" w:eastAsia="Times New Roman" w:hAnsi="Garamond"/>
          <w:sz w:val="24"/>
          <w:szCs w:val="24"/>
          <w:lang w:val="sq-AL" w:eastAsia="en-GB"/>
        </w:rPr>
        <w:t>,</w:t>
      </w:r>
      <w:r w:rsidRPr="00B56DAA">
        <w:rPr>
          <w:rFonts w:ascii="Garamond" w:eastAsia="Times New Roman" w:hAnsi="Garamond"/>
          <w:sz w:val="24"/>
          <w:szCs w:val="24"/>
          <w:lang w:val="sq-AL" w:eastAsia="en-GB"/>
        </w:rPr>
        <w:t xml:space="preserve"> t</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 xml:space="preserve"> 30 </w:t>
      </w:r>
      <w:r w:rsidR="00B56DAA" w:rsidRPr="00B56DAA">
        <w:rPr>
          <w:rFonts w:ascii="Garamond" w:eastAsia="Times New Roman" w:hAnsi="Garamond"/>
          <w:sz w:val="24"/>
          <w:szCs w:val="24"/>
          <w:lang w:val="sq-AL" w:eastAsia="en-GB"/>
        </w:rPr>
        <w:t xml:space="preserve">nëntorit </w:t>
      </w:r>
      <w:r w:rsidRPr="00B56DAA">
        <w:rPr>
          <w:rFonts w:ascii="Garamond" w:eastAsia="Times New Roman" w:hAnsi="Garamond"/>
          <w:sz w:val="24"/>
          <w:szCs w:val="24"/>
          <w:lang w:val="sq-AL" w:eastAsia="en-GB"/>
        </w:rPr>
        <w:t>2009 p</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 xml:space="preserve">r ruajtjen e </w:t>
      </w:r>
      <w:r w:rsidR="00B56DAA" w:rsidRPr="00B56DAA">
        <w:rPr>
          <w:rFonts w:ascii="Garamond" w:eastAsia="Times New Roman" w:hAnsi="Garamond"/>
          <w:sz w:val="24"/>
          <w:szCs w:val="24"/>
          <w:lang w:val="sq-AL" w:eastAsia="en-GB"/>
        </w:rPr>
        <w:t>shpendëve</w:t>
      </w:r>
      <w:r w:rsidRPr="00B56DAA">
        <w:rPr>
          <w:rFonts w:ascii="Garamond" w:eastAsia="Times New Roman" w:hAnsi="Garamond"/>
          <w:sz w:val="24"/>
          <w:szCs w:val="24"/>
          <w:lang w:val="sq-AL" w:eastAsia="en-GB"/>
        </w:rPr>
        <w:t xml:space="preserve"> t</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 xml:space="preserve"> eg</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r p</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rmban list</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n e llojeve q</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 xml:space="preserve"> do t</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 xml:space="preserve"> jen</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 xml:space="preserve"> subjekt i masave t</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 xml:space="preserve"> veçanta t</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 xml:space="preserve"> ruajtjes</w:t>
      </w:r>
      <w:r w:rsidR="00B56DAA">
        <w:rPr>
          <w:rFonts w:ascii="Garamond" w:eastAsia="Times New Roman" w:hAnsi="Garamond"/>
          <w:sz w:val="24"/>
          <w:szCs w:val="24"/>
          <w:lang w:val="sq-AL" w:eastAsia="en-GB"/>
        </w:rPr>
        <w:t>,</w:t>
      </w:r>
      <w:r w:rsidRPr="00B56DAA">
        <w:rPr>
          <w:rFonts w:ascii="Garamond" w:eastAsia="Times New Roman" w:hAnsi="Garamond"/>
          <w:sz w:val="24"/>
          <w:szCs w:val="24"/>
          <w:lang w:val="sq-AL" w:eastAsia="en-GB"/>
        </w:rPr>
        <w:t xml:space="preserve"> lidhur me habitatin e tyre n</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 xml:space="preserve"> m</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nyr</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 xml:space="preserve"> q</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 xml:space="preserve"> t</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 xml:space="preserve"> sigurohet mbijetesa e tyre dhe riprodhimi n</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 xml:space="preserve"> zon</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n e p</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rhapjes s</w:t>
      </w:r>
      <w:r w:rsidR="00B56DAA">
        <w:rPr>
          <w:rFonts w:ascii="Garamond" w:eastAsia="Times New Roman" w:hAnsi="Garamond"/>
          <w:sz w:val="24"/>
          <w:szCs w:val="24"/>
          <w:lang w:val="sq-AL" w:eastAsia="en-GB"/>
        </w:rPr>
        <w:t>ë</w:t>
      </w:r>
      <w:r w:rsidRPr="00B56DAA">
        <w:rPr>
          <w:rFonts w:ascii="Garamond" w:eastAsia="Times New Roman" w:hAnsi="Garamond"/>
          <w:sz w:val="24"/>
          <w:szCs w:val="24"/>
          <w:lang w:val="sq-AL" w:eastAsia="en-GB"/>
        </w:rPr>
        <w:t xml:space="preserve"> tyre. </w:t>
      </w:r>
    </w:p>
    <w:p w:rsidR="00586810" w:rsidRDefault="00586810" w:rsidP="00C37C84">
      <w:pPr>
        <w:pStyle w:val="NeniTitull"/>
        <w:rPr>
          <w:lang w:val="sq-AL"/>
        </w:rPr>
        <w:sectPr w:rsidR="00586810" w:rsidSect="00BE33BE">
          <w:type w:val="continuous"/>
          <w:pgSz w:w="11907" w:h="16840" w:code="9"/>
          <w:pgMar w:top="720" w:right="1134" w:bottom="720" w:left="1134" w:header="851" w:footer="851" w:gutter="0"/>
          <w:cols w:space="720"/>
          <w:docGrid w:linePitch="360"/>
        </w:sectPr>
      </w:pPr>
    </w:p>
    <w:p w:rsidR="0067648B" w:rsidRPr="00B56DAA" w:rsidRDefault="0067648B" w:rsidP="00C37C84">
      <w:pPr>
        <w:pStyle w:val="NeniTitull"/>
        <w:rPr>
          <w:lang w:val="sq-AL"/>
        </w:rPr>
      </w:pPr>
      <w:r w:rsidRPr="00B56DAA">
        <w:rPr>
          <w:lang w:val="sq-AL"/>
        </w:rPr>
        <w:lastRenderedPageBreak/>
        <w:t>VENDIM</w:t>
      </w:r>
    </w:p>
    <w:p w:rsidR="00C9609E" w:rsidRPr="00B56DAA" w:rsidRDefault="0046105A" w:rsidP="00C37C84">
      <w:pPr>
        <w:pStyle w:val="NeniTitull"/>
        <w:rPr>
          <w:lang w:val="sq-AL"/>
        </w:rPr>
      </w:pPr>
      <w:r>
        <w:rPr>
          <w:lang w:val="sq-AL"/>
        </w:rPr>
        <w:t xml:space="preserve">Nr. </w:t>
      </w:r>
      <w:r w:rsidR="00C9609E" w:rsidRPr="00B56DAA">
        <w:rPr>
          <w:lang w:val="sq-AL"/>
        </w:rPr>
        <w:t>22, datë 11.4.2016</w:t>
      </w:r>
    </w:p>
    <w:p w:rsidR="008F6FB9" w:rsidRPr="00B56DAA" w:rsidRDefault="008F6FB9" w:rsidP="00BA6DD4">
      <w:pPr>
        <w:pStyle w:val="Hapesira7"/>
        <w:rPr>
          <w:lang w:val="sq-AL"/>
        </w:rPr>
      </w:pPr>
    </w:p>
    <w:p w:rsidR="0067648B" w:rsidRPr="00B56DAA" w:rsidRDefault="0067648B" w:rsidP="00C37C84">
      <w:pPr>
        <w:pStyle w:val="NeniTitull"/>
        <w:rPr>
          <w:lang w:val="sq-AL"/>
        </w:rPr>
      </w:pPr>
      <w:r w:rsidRPr="00B56DAA">
        <w:rPr>
          <w:lang w:val="sq-AL"/>
        </w:rPr>
        <w:t>NË EMËR TË REPUBLIKËS SË SHQIPËRISË</w:t>
      </w:r>
    </w:p>
    <w:p w:rsidR="0067648B" w:rsidRPr="00B56DAA" w:rsidRDefault="0067648B" w:rsidP="00C37C84">
      <w:pPr>
        <w:pStyle w:val="paragrafi0"/>
        <w:spacing w:before="0" w:beforeAutospacing="0" w:after="0" w:afterAutospacing="0"/>
        <w:jc w:val="both"/>
        <w:rPr>
          <w:rFonts w:ascii="Garamond" w:hAnsi="Garamond"/>
          <w:sz w:val="14"/>
        </w:rPr>
      </w:pP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Gjykata Kushtetuese e Republikës së Shqipërisë, e përbërë nga:</w:t>
      </w:r>
    </w:p>
    <w:p w:rsidR="0067648B" w:rsidRPr="002D2428" w:rsidRDefault="002D2428" w:rsidP="000B6981">
      <w:pPr>
        <w:pStyle w:val="paragrafi0"/>
        <w:spacing w:before="0" w:beforeAutospacing="0" w:after="0" w:afterAutospacing="0"/>
        <w:jc w:val="both"/>
        <w:rPr>
          <w:rFonts w:ascii="Garamond" w:hAnsi="Garamond"/>
          <w:sz w:val="22"/>
        </w:rPr>
      </w:pPr>
      <w:r>
        <w:rPr>
          <w:rFonts w:ascii="Garamond" w:hAnsi="Garamond"/>
          <w:sz w:val="22"/>
        </w:rPr>
        <w:t xml:space="preserve">Bashkim Dedja </w:t>
      </w:r>
      <w:r>
        <w:rPr>
          <w:rFonts w:ascii="Garamond" w:hAnsi="Garamond"/>
          <w:sz w:val="22"/>
        </w:rPr>
        <w:tab/>
      </w:r>
      <w:r w:rsidR="000B6981">
        <w:rPr>
          <w:rFonts w:ascii="Garamond" w:hAnsi="Garamond"/>
          <w:sz w:val="22"/>
        </w:rPr>
        <w:t xml:space="preserve">          </w:t>
      </w:r>
      <w:r w:rsidR="0067648B" w:rsidRPr="002D2428">
        <w:rPr>
          <w:rFonts w:ascii="Garamond" w:hAnsi="Garamond"/>
          <w:sz w:val="22"/>
        </w:rPr>
        <w:t>kryetar</w:t>
      </w:r>
      <w:r w:rsidR="0046105A">
        <w:rPr>
          <w:rFonts w:ascii="Garamond" w:hAnsi="Garamond"/>
          <w:sz w:val="22"/>
        </w:rPr>
        <w:t xml:space="preserve"> </w:t>
      </w:r>
      <w:r w:rsidR="0067648B" w:rsidRPr="002D2428">
        <w:rPr>
          <w:rFonts w:ascii="Garamond" w:hAnsi="Garamond"/>
          <w:sz w:val="22"/>
        </w:rPr>
        <w:t xml:space="preserve">i Gjykatës Kushtetuese </w:t>
      </w:r>
    </w:p>
    <w:p w:rsidR="0067648B" w:rsidRPr="002D2428" w:rsidRDefault="002D2428" w:rsidP="000B6981">
      <w:pPr>
        <w:pStyle w:val="paragrafi0"/>
        <w:spacing w:before="0" w:beforeAutospacing="0" w:after="0" w:afterAutospacing="0"/>
        <w:jc w:val="both"/>
        <w:rPr>
          <w:rFonts w:ascii="Garamond" w:hAnsi="Garamond"/>
          <w:sz w:val="22"/>
        </w:rPr>
      </w:pPr>
      <w:r>
        <w:rPr>
          <w:rFonts w:ascii="Garamond" w:hAnsi="Garamond"/>
          <w:sz w:val="22"/>
        </w:rPr>
        <w:t>Vladimir Kristo</w:t>
      </w:r>
      <w:r>
        <w:rPr>
          <w:rFonts w:ascii="Garamond" w:hAnsi="Garamond"/>
          <w:sz w:val="22"/>
        </w:rPr>
        <w:tab/>
      </w:r>
      <w:r w:rsidR="000B6981">
        <w:rPr>
          <w:rFonts w:ascii="Garamond" w:hAnsi="Garamond"/>
          <w:sz w:val="22"/>
        </w:rPr>
        <w:tab/>
      </w:r>
      <w:r w:rsidR="000B6981">
        <w:rPr>
          <w:rFonts w:ascii="Garamond" w:hAnsi="Garamond"/>
          <w:sz w:val="22"/>
        </w:rPr>
        <w:tab/>
      </w:r>
      <w:r w:rsidR="0067648B" w:rsidRPr="002D2428">
        <w:rPr>
          <w:rFonts w:ascii="Garamond" w:hAnsi="Garamond"/>
          <w:sz w:val="22"/>
        </w:rPr>
        <w:t>anëtar</w:t>
      </w:r>
      <w:r w:rsidR="0046105A">
        <w:rPr>
          <w:rFonts w:ascii="Garamond" w:hAnsi="Garamond"/>
          <w:sz w:val="22"/>
        </w:rPr>
        <w:t xml:space="preserve"> </w:t>
      </w:r>
      <w:r w:rsidR="0067648B" w:rsidRPr="002D2428">
        <w:rPr>
          <w:rFonts w:ascii="Garamond" w:hAnsi="Garamond"/>
          <w:sz w:val="22"/>
        </w:rPr>
        <w:t>i</w:t>
      </w:r>
      <w:r w:rsidR="0067648B" w:rsidRPr="002D2428">
        <w:rPr>
          <w:rFonts w:ascii="Garamond" w:hAnsi="Garamond"/>
          <w:sz w:val="22"/>
        </w:rPr>
        <w:tab/>
      </w:r>
      <w:r w:rsidR="0067648B" w:rsidRPr="002D2428">
        <w:rPr>
          <w:rFonts w:ascii="Garamond" w:hAnsi="Garamond"/>
          <w:sz w:val="22"/>
        </w:rPr>
        <w:tab/>
        <w:t>“</w:t>
      </w:r>
      <w:r w:rsidR="0067648B" w:rsidRPr="002D2428">
        <w:rPr>
          <w:rFonts w:ascii="Garamond" w:hAnsi="Garamond"/>
          <w:sz w:val="22"/>
        </w:rPr>
        <w:tab/>
      </w:r>
      <w:r w:rsidR="0067648B" w:rsidRPr="002D2428">
        <w:rPr>
          <w:rFonts w:ascii="Garamond" w:hAnsi="Garamond"/>
          <w:sz w:val="22"/>
        </w:rPr>
        <w:tab/>
        <w:t>“</w:t>
      </w:r>
    </w:p>
    <w:p w:rsidR="0067648B" w:rsidRPr="002D2428" w:rsidRDefault="002D2428" w:rsidP="000B6981">
      <w:pPr>
        <w:pStyle w:val="paragrafi0"/>
        <w:spacing w:before="0" w:beforeAutospacing="0" w:after="0" w:afterAutospacing="0"/>
        <w:jc w:val="both"/>
        <w:rPr>
          <w:rFonts w:ascii="Garamond" w:hAnsi="Garamond"/>
          <w:sz w:val="22"/>
        </w:rPr>
      </w:pPr>
      <w:r>
        <w:rPr>
          <w:rFonts w:ascii="Garamond" w:hAnsi="Garamond"/>
          <w:sz w:val="22"/>
        </w:rPr>
        <w:t>Sokol Berberi</w:t>
      </w:r>
      <w:r>
        <w:rPr>
          <w:rFonts w:ascii="Garamond" w:hAnsi="Garamond"/>
          <w:sz w:val="22"/>
        </w:rPr>
        <w:tab/>
      </w:r>
      <w:r w:rsidR="000B6981">
        <w:rPr>
          <w:rFonts w:ascii="Garamond" w:hAnsi="Garamond"/>
          <w:sz w:val="22"/>
        </w:rPr>
        <w:tab/>
      </w:r>
      <w:r w:rsidR="000B6981">
        <w:rPr>
          <w:rFonts w:ascii="Garamond" w:hAnsi="Garamond"/>
          <w:sz w:val="22"/>
        </w:rPr>
        <w:tab/>
      </w:r>
      <w:r w:rsidR="0067648B" w:rsidRPr="002D2428">
        <w:rPr>
          <w:rFonts w:ascii="Garamond" w:hAnsi="Garamond"/>
          <w:sz w:val="22"/>
        </w:rPr>
        <w:t>anëtar</w:t>
      </w:r>
      <w:r w:rsidR="0046105A">
        <w:rPr>
          <w:rFonts w:ascii="Garamond" w:hAnsi="Garamond"/>
          <w:sz w:val="22"/>
        </w:rPr>
        <w:t xml:space="preserve"> </w:t>
      </w:r>
      <w:r w:rsidR="0067648B" w:rsidRPr="002D2428">
        <w:rPr>
          <w:rFonts w:ascii="Garamond" w:hAnsi="Garamond"/>
          <w:sz w:val="22"/>
        </w:rPr>
        <w:t>i</w:t>
      </w:r>
      <w:r w:rsidR="0067648B" w:rsidRPr="002D2428">
        <w:rPr>
          <w:rFonts w:ascii="Garamond" w:hAnsi="Garamond"/>
          <w:sz w:val="22"/>
        </w:rPr>
        <w:tab/>
      </w:r>
      <w:r w:rsidR="0067648B" w:rsidRPr="002D2428">
        <w:rPr>
          <w:rFonts w:ascii="Garamond" w:hAnsi="Garamond"/>
          <w:sz w:val="22"/>
        </w:rPr>
        <w:tab/>
        <w:t>“</w:t>
      </w:r>
      <w:r w:rsidR="0067648B" w:rsidRPr="002D2428">
        <w:rPr>
          <w:rFonts w:ascii="Garamond" w:hAnsi="Garamond"/>
          <w:sz w:val="22"/>
        </w:rPr>
        <w:tab/>
      </w:r>
      <w:r w:rsidR="0067648B" w:rsidRPr="002D2428">
        <w:rPr>
          <w:rFonts w:ascii="Garamond" w:hAnsi="Garamond"/>
          <w:sz w:val="22"/>
        </w:rPr>
        <w:tab/>
        <w:t>“</w:t>
      </w:r>
    </w:p>
    <w:p w:rsidR="0067648B" w:rsidRPr="002D2428" w:rsidRDefault="002D2428" w:rsidP="000B6981">
      <w:pPr>
        <w:pStyle w:val="paragrafi0"/>
        <w:spacing w:before="0" w:beforeAutospacing="0" w:after="0" w:afterAutospacing="0"/>
        <w:jc w:val="both"/>
        <w:rPr>
          <w:rFonts w:ascii="Garamond" w:hAnsi="Garamond"/>
          <w:sz w:val="22"/>
        </w:rPr>
      </w:pPr>
      <w:r>
        <w:rPr>
          <w:rFonts w:ascii="Garamond" w:hAnsi="Garamond"/>
          <w:sz w:val="22"/>
        </w:rPr>
        <w:t>Altina Xhoxhaj</w:t>
      </w:r>
      <w:r>
        <w:rPr>
          <w:rFonts w:ascii="Garamond" w:hAnsi="Garamond"/>
          <w:sz w:val="22"/>
        </w:rPr>
        <w:tab/>
      </w:r>
      <w:r w:rsidR="000B6981">
        <w:rPr>
          <w:rFonts w:ascii="Garamond" w:hAnsi="Garamond"/>
          <w:sz w:val="22"/>
        </w:rPr>
        <w:tab/>
      </w:r>
      <w:r w:rsidR="000B6981">
        <w:rPr>
          <w:rFonts w:ascii="Garamond" w:hAnsi="Garamond"/>
          <w:sz w:val="22"/>
        </w:rPr>
        <w:tab/>
      </w:r>
      <w:r w:rsidR="0067648B" w:rsidRPr="002D2428">
        <w:rPr>
          <w:rFonts w:ascii="Garamond" w:hAnsi="Garamond"/>
          <w:sz w:val="22"/>
        </w:rPr>
        <w:t xml:space="preserve">anëtare e </w:t>
      </w:r>
      <w:r w:rsidR="0067648B" w:rsidRPr="002D2428">
        <w:rPr>
          <w:rFonts w:ascii="Garamond" w:hAnsi="Garamond"/>
          <w:sz w:val="22"/>
        </w:rPr>
        <w:tab/>
      </w:r>
      <w:r>
        <w:rPr>
          <w:rFonts w:ascii="Garamond" w:hAnsi="Garamond"/>
          <w:sz w:val="22"/>
        </w:rPr>
        <w:tab/>
      </w:r>
      <w:r w:rsidR="0067648B" w:rsidRPr="002D2428">
        <w:rPr>
          <w:rFonts w:ascii="Garamond" w:hAnsi="Garamond"/>
          <w:sz w:val="22"/>
        </w:rPr>
        <w:t>“</w:t>
      </w:r>
      <w:r w:rsidR="0067648B" w:rsidRPr="002D2428">
        <w:rPr>
          <w:rFonts w:ascii="Garamond" w:hAnsi="Garamond"/>
          <w:sz w:val="22"/>
        </w:rPr>
        <w:tab/>
      </w:r>
      <w:r w:rsidR="0067648B" w:rsidRPr="002D2428">
        <w:rPr>
          <w:rFonts w:ascii="Garamond" w:hAnsi="Garamond"/>
          <w:sz w:val="22"/>
        </w:rPr>
        <w:tab/>
        <w:t>“</w:t>
      </w:r>
    </w:p>
    <w:p w:rsidR="0067648B" w:rsidRPr="002D2428" w:rsidRDefault="002D2428" w:rsidP="000B6981">
      <w:pPr>
        <w:pStyle w:val="paragrafi0"/>
        <w:spacing w:before="0" w:beforeAutospacing="0" w:after="0" w:afterAutospacing="0"/>
        <w:jc w:val="both"/>
        <w:rPr>
          <w:rFonts w:ascii="Garamond" w:hAnsi="Garamond"/>
          <w:sz w:val="22"/>
        </w:rPr>
      </w:pPr>
      <w:r>
        <w:rPr>
          <w:rFonts w:ascii="Garamond" w:hAnsi="Garamond"/>
          <w:sz w:val="22"/>
        </w:rPr>
        <w:t>Fatmir Hoxha</w:t>
      </w:r>
      <w:r>
        <w:rPr>
          <w:rFonts w:ascii="Garamond" w:hAnsi="Garamond"/>
          <w:sz w:val="22"/>
        </w:rPr>
        <w:tab/>
      </w:r>
      <w:r w:rsidR="000B6981">
        <w:rPr>
          <w:rFonts w:ascii="Garamond" w:hAnsi="Garamond"/>
          <w:sz w:val="22"/>
        </w:rPr>
        <w:tab/>
      </w:r>
      <w:r w:rsidR="000B6981">
        <w:rPr>
          <w:rFonts w:ascii="Garamond" w:hAnsi="Garamond"/>
          <w:sz w:val="22"/>
        </w:rPr>
        <w:tab/>
      </w:r>
      <w:r w:rsidR="0067648B" w:rsidRPr="002D2428">
        <w:rPr>
          <w:rFonts w:ascii="Garamond" w:hAnsi="Garamond"/>
          <w:sz w:val="22"/>
        </w:rPr>
        <w:t>anëtar</w:t>
      </w:r>
      <w:r w:rsidR="0046105A">
        <w:rPr>
          <w:rFonts w:ascii="Garamond" w:hAnsi="Garamond"/>
          <w:sz w:val="22"/>
        </w:rPr>
        <w:t xml:space="preserve"> </w:t>
      </w:r>
      <w:r w:rsidR="0067648B" w:rsidRPr="002D2428">
        <w:rPr>
          <w:rFonts w:ascii="Garamond" w:hAnsi="Garamond"/>
          <w:sz w:val="22"/>
        </w:rPr>
        <w:t>i</w:t>
      </w:r>
      <w:r w:rsidR="0067648B" w:rsidRPr="002D2428">
        <w:rPr>
          <w:rFonts w:ascii="Garamond" w:hAnsi="Garamond"/>
          <w:sz w:val="22"/>
        </w:rPr>
        <w:tab/>
      </w:r>
      <w:r w:rsidR="0067648B" w:rsidRPr="002D2428">
        <w:rPr>
          <w:rFonts w:ascii="Garamond" w:hAnsi="Garamond"/>
          <w:sz w:val="22"/>
        </w:rPr>
        <w:tab/>
        <w:t>“</w:t>
      </w:r>
      <w:r w:rsidR="0067648B" w:rsidRPr="002D2428">
        <w:rPr>
          <w:rFonts w:ascii="Garamond" w:hAnsi="Garamond"/>
          <w:sz w:val="22"/>
        </w:rPr>
        <w:tab/>
      </w:r>
      <w:r w:rsidR="0067648B" w:rsidRPr="002D2428">
        <w:rPr>
          <w:rFonts w:ascii="Garamond" w:hAnsi="Garamond"/>
          <w:sz w:val="22"/>
        </w:rPr>
        <w:tab/>
        <w:t>“</w:t>
      </w:r>
    </w:p>
    <w:p w:rsidR="0067648B" w:rsidRPr="002D2428" w:rsidRDefault="002D2428" w:rsidP="000B6981">
      <w:pPr>
        <w:pStyle w:val="paragrafi0"/>
        <w:spacing w:before="0" w:beforeAutospacing="0" w:after="0" w:afterAutospacing="0"/>
        <w:jc w:val="both"/>
        <w:rPr>
          <w:rFonts w:ascii="Garamond" w:hAnsi="Garamond"/>
          <w:sz w:val="22"/>
        </w:rPr>
      </w:pPr>
      <w:r>
        <w:rPr>
          <w:rFonts w:ascii="Garamond" w:hAnsi="Garamond"/>
          <w:sz w:val="22"/>
        </w:rPr>
        <w:t>Gani Dizdari</w:t>
      </w:r>
      <w:r>
        <w:rPr>
          <w:rFonts w:ascii="Garamond" w:hAnsi="Garamond"/>
          <w:sz w:val="22"/>
        </w:rPr>
        <w:tab/>
      </w:r>
      <w:r>
        <w:rPr>
          <w:rFonts w:ascii="Garamond" w:hAnsi="Garamond"/>
          <w:sz w:val="22"/>
        </w:rPr>
        <w:tab/>
      </w:r>
      <w:r w:rsidR="000B6981">
        <w:rPr>
          <w:rFonts w:ascii="Garamond" w:hAnsi="Garamond"/>
          <w:sz w:val="22"/>
        </w:rPr>
        <w:tab/>
      </w:r>
      <w:r w:rsidR="000B6981">
        <w:rPr>
          <w:rFonts w:ascii="Garamond" w:hAnsi="Garamond"/>
          <w:sz w:val="22"/>
        </w:rPr>
        <w:tab/>
      </w:r>
      <w:r w:rsidR="0067648B" w:rsidRPr="002D2428">
        <w:rPr>
          <w:rFonts w:ascii="Garamond" w:hAnsi="Garamond"/>
          <w:sz w:val="22"/>
        </w:rPr>
        <w:t>anëtar</w:t>
      </w:r>
      <w:r w:rsidR="0046105A">
        <w:rPr>
          <w:rFonts w:ascii="Garamond" w:hAnsi="Garamond"/>
          <w:sz w:val="22"/>
        </w:rPr>
        <w:t xml:space="preserve"> </w:t>
      </w:r>
      <w:r w:rsidR="0067648B" w:rsidRPr="002D2428">
        <w:rPr>
          <w:rFonts w:ascii="Garamond" w:hAnsi="Garamond"/>
          <w:sz w:val="22"/>
        </w:rPr>
        <w:t>i</w:t>
      </w:r>
      <w:r w:rsidR="0067648B" w:rsidRPr="002D2428">
        <w:rPr>
          <w:rFonts w:ascii="Garamond" w:hAnsi="Garamond"/>
          <w:sz w:val="22"/>
        </w:rPr>
        <w:tab/>
      </w:r>
      <w:r w:rsidR="0067648B" w:rsidRPr="002D2428">
        <w:rPr>
          <w:rFonts w:ascii="Garamond" w:hAnsi="Garamond"/>
          <w:sz w:val="22"/>
        </w:rPr>
        <w:tab/>
        <w:t>“</w:t>
      </w:r>
      <w:r w:rsidR="0067648B" w:rsidRPr="002D2428">
        <w:rPr>
          <w:rFonts w:ascii="Garamond" w:hAnsi="Garamond"/>
          <w:sz w:val="22"/>
        </w:rPr>
        <w:tab/>
      </w:r>
      <w:r w:rsidR="0067648B" w:rsidRPr="002D2428">
        <w:rPr>
          <w:rFonts w:ascii="Garamond" w:hAnsi="Garamond"/>
          <w:sz w:val="22"/>
        </w:rPr>
        <w:tab/>
        <w:t>“</w:t>
      </w:r>
    </w:p>
    <w:p w:rsidR="0067648B" w:rsidRPr="002D2428" w:rsidRDefault="002D2428" w:rsidP="000B6981">
      <w:pPr>
        <w:pStyle w:val="paragrafi0"/>
        <w:spacing w:before="0" w:beforeAutospacing="0" w:after="0" w:afterAutospacing="0"/>
        <w:jc w:val="both"/>
        <w:rPr>
          <w:rFonts w:ascii="Garamond" w:hAnsi="Garamond"/>
          <w:sz w:val="22"/>
        </w:rPr>
      </w:pPr>
      <w:r>
        <w:rPr>
          <w:rFonts w:ascii="Garamond" w:hAnsi="Garamond"/>
          <w:sz w:val="22"/>
        </w:rPr>
        <w:t>Besnik Imeraj</w:t>
      </w:r>
      <w:r>
        <w:rPr>
          <w:rFonts w:ascii="Garamond" w:hAnsi="Garamond"/>
          <w:sz w:val="22"/>
        </w:rPr>
        <w:tab/>
      </w:r>
      <w:r w:rsidR="000B6981">
        <w:rPr>
          <w:rFonts w:ascii="Garamond" w:hAnsi="Garamond"/>
          <w:sz w:val="22"/>
        </w:rPr>
        <w:tab/>
      </w:r>
      <w:r w:rsidR="000B6981">
        <w:rPr>
          <w:rFonts w:ascii="Garamond" w:hAnsi="Garamond"/>
          <w:sz w:val="22"/>
        </w:rPr>
        <w:tab/>
      </w:r>
      <w:r w:rsidR="0067648B" w:rsidRPr="002D2428">
        <w:rPr>
          <w:rFonts w:ascii="Garamond" w:hAnsi="Garamond"/>
          <w:sz w:val="22"/>
        </w:rPr>
        <w:t>anëtar</w:t>
      </w:r>
      <w:r w:rsidR="0046105A">
        <w:rPr>
          <w:rFonts w:ascii="Garamond" w:hAnsi="Garamond"/>
          <w:sz w:val="22"/>
        </w:rPr>
        <w:t xml:space="preserve"> </w:t>
      </w:r>
      <w:r w:rsidR="0067648B" w:rsidRPr="002D2428">
        <w:rPr>
          <w:rFonts w:ascii="Garamond" w:hAnsi="Garamond"/>
          <w:sz w:val="22"/>
        </w:rPr>
        <w:t xml:space="preserve">i </w:t>
      </w:r>
      <w:r w:rsidR="0067648B" w:rsidRPr="002D2428">
        <w:rPr>
          <w:rFonts w:ascii="Garamond" w:hAnsi="Garamond"/>
          <w:sz w:val="22"/>
        </w:rPr>
        <w:tab/>
      </w:r>
      <w:r w:rsidR="0067648B" w:rsidRPr="002D2428">
        <w:rPr>
          <w:rFonts w:ascii="Garamond" w:hAnsi="Garamond"/>
          <w:sz w:val="22"/>
        </w:rPr>
        <w:tab/>
        <w:t>“</w:t>
      </w:r>
      <w:r w:rsidR="0067648B" w:rsidRPr="002D2428">
        <w:rPr>
          <w:rFonts w:ascii="Garamond" w:hAnsi="Garamond"/>
          <w:sz w:val="22"/>
        </w:rPr>
        <w:tab/>
      </w:r>
      <w:r w:rsidR="0067648B" w:rsidRPr="002D2428">
        <w:rPr>
          <w:rFonts w:ascii="Garamond" w:hAnsi="Garamond"/>
          <w:sz w:val="22"/>
        </w:rPr>
        <w:tab/>
        <w:t>“</w:t>
      </w:r>
    </w:p>
    <w:p w:rsidR="0067648B" w:rsidRPr="002D2428" w:rsidRDefault="002D2428" w:rsidP="000B6981">
      <w:pPr>
        <w:pStyle w:val="paragrafi0"/>
        <w:spacing w:before="0" w:beforeAutospacing="0" w:after="0" w:afterAutospacing="0"/>
        <w:jc w:val="both"/>
        <w:rPr>
          <w:rFonts w:ascii="Garamond" w:hAnsi="Garamond"/>
          <w:sz w:val="22"/>
        </w:rPr>
      </w:pPr>
      <w:r>
        <w:rPr>
          <w:rFonts w:ascii="Garamond" w:hAnsi="Garamond"/>
          <w:sz w:val="22"/>
        </w:rPr>
        <w:t>Fatos Lulo</w:t>
      </w:r>
      <w:r>
        <w:rPr>
          <w:rFonts w:ascii="Garamond" w:hAnsi="Garamond"/>
          <w:sz w:val="22"/>
        </w:rPr>
        <w:tab/>
      </w:r>
      <w:r>
        <w:rPr>
          <w:rFonts w:ascii="Garamond" w:hAnsi="Garamond"/>
          <w:sz w:val="22"/>
        </w:rPr>
        <w:tab/>
      </w:r>
      <w:r w:rsidR="000B6981">
        <w:rPr>
          <w:rFonts w:ascii="Garamond" w:hAnsi="Garamond"/>
          <w:sz w:val="22"/>
        </w:rPr>
        <w:tab/>
      </w:r>
      <w:r w:rsidR="000B6981">
        <w:rPr>
          <w:rFonts w:ascii="Garamond" w:hAnsi="Garamond"/>
          <w:sz w:val="22"/>
        </w:rPr>
        <w:tab/>
      </w:r>
      <w:r w:rsidR="0067648B" w:rsidRPr="002D2428">
        <w:rPr>
          <w:rFonts w:ascii="Garamond" w:hAnsi="Garamond"/>
          <w:sz w:val="22"/>
        </w:rPr>
        <w:t>anëtar</w:t>
      </w:r>
      <w:r w:rsidR="0046105A">
        <w:rPr>
          <w:rFonts w:ascii="Garamond" w:hAnsi="Garamond"/>
          <w:sz w:val="22"/>
        </w:rPr>
        <w:t xml:space="preserve"> </w:t>
      </w:r>
      <w:r w:rsidR="0067648B" w:rsidRPr="002D2428">
        <w:rPr>
          <w:rFonts w:ascii="Garamond" w:hAnsi="Garamond"/>
          <w:sz w:val="22"/>
        </w:rPr>
        <w:t xml:space="preserve">i </w:t>
      </w:r>
      <w:r w:rsidR="0067648B" w:rsidRPr="002D2428">
        <w:rPr>
          <w:rFonts w:ascii="Garamond" w:hAnsi="Garamond"/>
          <w:sz w:val="22"/>
        </w:rPr>
        <w:tab/>
      </w:r>
      <w:r w:rsidR="0067648B" w:rsidRPr="002D2428">
        <w:rPr>
          <w:rFonts w:ascii="Garamond" w:hAnsi="Garamond"/>
          <w:sz w:val="22"/>
        </w:rPr>
        <w:tab/>
        <w:t>“</w:t>
      </w:r>
      <w:r w:rsidR="0067648B" w:rsidRPr="002D2428">
        <w:rPr>
          <w:rFonts w:ascii="Garamond" w:hAnsi="Garamond"/>
          <w:sz w:val="22"/>
        </w:rPr>
        <w:tab/>
      </w:r>
      <w:r w:rsidR="0067648B" w:rsidRPr="002D2428">
        <w:rPr>
          <w:rFonts w:ascii="Garamond" w:hAnsi="Garamond"/>
          <w:sz w:val="22"/>
        </w:rPr>
        <w:tab/>
        <w:t>“</w:t>
      </w:r>
    </w:p>
    <w:p w:rsidR="0067648B" w:rsidRPr="002D2428" w:rsidRDefault="002D2428" w:rsidP="000B6981">
      <w:pPr>
        <w:pStyle w:val="paragrafi0"/>
        <w:spacing w:before="0" w:beforeAutospacing="0" w:after="0" w:afterAutospacing="0"/>
        <w:jc w:val="both"/>
        <w:rPr>
          <w:rFonts w:ascii="Garamond" w:hAnsi="Garamond"/>
          <w:sz w:val="22"/>
        </w:rPr>
      </w:pPr>
      <w:r>
        <w:rPr>
          <w:rFonts w:ascii="Garamond" w:hAnsi="Garamond"/>
          <w:sz w:val="22"/>
        </w:rPr>
        <w:t>Vitore Tusha</w:t>
      </w:r>
      <w:r>
        <w:rPr>
          <w:rFonts w:ascii="Garamond" w:hAnsi="Garamond"/>
          <w:sz w:val="22"/>
        </w:rPr>
        <w:tab/>
      </w:r>
      <w:r>
        <w:rPr>
          <w:rFonts w:ascii="Garamond" w:hAnsi="Garamond"/>
          <w:sz w:val="22"/>
        </w:rPr>
        <w:tab/>
      </w:r>
      <w:r w:rsidR="000B6981">
        <w:rPr>
          <w:rFonts w:ascii="Garamond" w:hAnsi="Garamond"/>
          <w:sz w:val="22"/>
        </w:rPr>
        <w:tab/>
      </w:r>
      <w:r w:rsidR="000B6981">
        <w:rPr>
          <w:rFonts w:ascii="Garamond" w:hAnsi="Garamond"/>
          <w:sz w:val="22"/>
        </w:rPr>
        <w:tab/>
      </w:r>
      <w:r w:rsidR="0067648B" w:rsidRPr="002D2428">
        <w:rPr>
          <w:rFonts w:ascii="Garamond" w:hAnsi="Garamond"/>
          <w:sz w:val="22"/>
        </w:rPr>
        <w:t xml:space="preserve">anëtare e </w:t>
      </w:r>
      <w:r w:rsidR="0067648B" w:rsidRPr="002D2428">
        <w:rPr>
          <w:rFonts w:ascii="Garamond" w:hAnsi="Garamond"/>
          <w:sz w:val="22"/>
        </w:rPr>
        <w:tab/>
      </w:r>
      <w:r>
        <w:rPr>
          <w:rFonts w:ascii="Garamond" w:hAnsi="Garamond"/>
          <w:sz w:val="22"/>
        </w:rPr>
        <w:tab/>
      </w:r>
      <w:r w:rsidR="0067648B" w:rsidRPr="002D2428">
        <w:rPr>
          <w:rFonts w:ascii="Garamond" w:hAnsi="Garamond"/>
          <w:sz w:val="22"/>
        </w:rPr>
        <w:t>“</w:t>
      </w:r>
      <w:r w:rsidR="0067648B" w:rsidRPr="002D2428">
        <w:rPr>
          <w:rFonts w:ascii="Garamond" w:hAnsi="Garamond"/>
          <w:sz w:val="22"/>
        </w:rPr>
        <w:tab/>
      </w:r>
      <w:r w:rsidR="0067648B" w:rsidRPr="002D2428">
        <w:rPr>
          <w:rFonts w:ascii="Garamond" w:hAnsi="Garamond"/>
          <w:sz w:val="22"/>
        </w:rPr>
        <w:tab/>
      </w:r>
      <w:r w:rsidR="008F6FB9" w:rsidRPr="002D2428">
        <w:rPr>
          <w:rFonts w:ascii="Garamond" w:hAnsi="Garamond"/>
          <w:sz w:val="22"/>
        </w:rPr>
        <w:t>“</w:t>
      </w: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me se</w:t>
      </w:r>
      <w:r w:rsidR="00B56DAA">
        <w:rPr>
          <w:rFonts w:ascii="Garamond" w:hAnsi="Garamond"/>
        </w:rPr>
        <w:t xml:space="preserve">kretare Edmira Babaj, në datën </w:t>
      </w:r>
      <w:r w:rsidRPr="00B56DAA">
        <w:rPr>
          <w:rFonts w:ascii="Garamond" w:hAnsi="Garamond"/>
        </w:rPr>
        <w:t xml:space="preserve">9.12.2015 mori në shqyrtim, mbi bazë dokumentesh, çështjen me </w:t>
      </w:r>
      <w:r w:rsidR="0046105A">
        <w:rPr>
          <w:rFonts w:ascii="Garamond" w:hAnsi="Garamond"/>
        </w:rPr>
        <w:t xml:space="preserve">nr. </w:t>
      </w:r>
      <w:r w:rsidRPr="00B56DAA">
        <w:rPr>
          <w:rFonts w:ascii="Garamond" w:hAnsi="Garamond"/>
        </w:rPr>
        <w:t>66/21</w:t>
      </w:r>
      <w:r w:rsidR="002D2428">
        <w:rPr>
          <w:rFonts w:ascii="Garamond" w:hAnsi="Garamond"/>
        </w:rPr>
        <w:t>,</w:t>
      </w:r>
      <w:r w:rsidRPr="00B56DAA">
        <w:rPr>
          <w:rFonts w:ascii="Garamond" w:hAnsi="Garamond"/>
        </w:rPr>
        <w:t xml:space="preserve"> </w:t>
      </w:r>
      <w:r w:rsidR="008F6FB9" w:rsidRPr="00B56DAA">
        <w:rPr>
          <w:rFonts w:ascii="Garamond" w:hAnsi="Garamond"/>
        </w:rPr>
        <w:t>Akti që i përket</w:t>
      </w: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lastRenderedPageBreak/>
        <w:t xml:space="preserve">KËRKUESE: </w:t>
      </w:r>
      <w:r w:rsidRPr="00B56DAA">
        <w:rPr>
          <w:rFonts w:ascii="Garamond" w:hAnsi="Garamond"/>
        </w:rPr>
        <w:tab/>
      </w:r>
      <w:r w:rsidR="008F6FB9" w:rsidRPr="00B56DAA">
        <w:rPr>
          <w:rFonts w:ascii="Garamond" w:hAnsi="Garamond"/>
        </w:rPr>
        <w:t>Gjykata e Rrethit Gjyqësor Vlorë</w:t>
      </w:r>
    </w:p>
    <w:p w:rsidR="008F6FB9"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SUBJEKTE TË</w:t>
      </w:r>
      <w:r w:rsidR="008F6FB9" w:rsidRPr="00B56DAA">
        <w:rPr>
          <w:rFonts w:ascii="Garamond" w:hAnsi="Garamond"/>
        </w:rPr>
        <w:t xml:space="preserve"> INTERESUARA: Kuvendi i Republikës së Shqipërisë, Ministria e Drejtësisë</w:t>
      </w: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OBJEKTI: </w:t>
      </w:r>
      <w:r w:rsidRPr="00B56DAA">
        <w:rPr>
          <w:rFonts w:ascii="Garamond" w:hAnsi="Garamond"/>
        </w:rPr>
        <w:tab/>
        <w:t>Shfuqizimi si antikushtetuese i pjesës së fundit të fjalisë së parë të nenit 458 të Kodit të Procedurës Civile, ku disponohet “përpara g</w:t>
      </w:r>
      <w:r w:rsidR="008F6FB9" w:rsidRPr="00B56DAA">
        <w:rPr>
          <w:rFonts w:ascii="Garamond" w:hAnsi="Garamond"/>
        </w:rPr>
        <w:t xml:space="preserve">jykatës që ka dhënë vendimin”. </w:t>
      </w: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BAZA LIGJORE:</w:t>
      </w:r>
      <w:r w:rsidR="007A0B3D">
        <w:rPr>
          <w:rFonts w:ascii="Garamond" w:hAnsi="Garamond"/>
        </w:rPr>
        <w:t xml:space="preserve"> </w:t>
      </w:r>
      <w:r w:rsidRPr="00B56DAA">
        <w:rPr>
          <w:rFonts w:ascii="Garamond" w:hAnsi="Garamond"/>
        </w:rPr>
        <w:t>Nenet 42/2, 135 dhe 145/2 të Kushtetutës së Republikës së Shqip</w:t>
      </w:r>
      <w:r w:rsidR="00FE5246">
        <w:rPr>
          <w:rFonts w:ascii="Garamond" w:hAnsi="Garamond"/>
        </w:rPr>
        <w:t xml:space="preserve">ërisë; ligji </w:t>
      </w:r>
      <w:r w:rsidR="0046105A">
        <w:rPr>
          <w:rFonts w:ascii="Garamond" w:hAnsi="Garamond"/>
        </w:rPr>
        <w:t xml:space="preserve">nr. </w:t>
      </w:r>
      <w:r w:rsidR="00FE5246">
        <w:rPr>
          <w:rFonts w:ascii="Garamond" w:hAnsi="Garamond"/>
        </w:rPr>
        <w:t>8577, datë 10.</w:t>
      </w:r>
      <w:r w:rsidRPr="00B56DAA">
        <w:rPr>
          <w:rFonts w:ascii="Garamond" w:hAnsi="Garamond"/>
        </w:rPr>
        <w:t>2.2000</w:t>
      </w:r>
      <w:r w:rsidR="00FE5246">
        <w:rPr>
          <w:rFonts w:ascii="Garamond" w:hAnsi="Garamond"/>
        </w:rPr>
        <w:t>,</w:t>
      </w:r>
      <w:r w:rsidRPr="00B56DAA">
        <w:rPr>
          <w:rFonts w:ascii="Garamond" w:hAnsi="Garamond"/>
        </w:rPr>
        <w:t xml:space="preserve"> Për organizimin dhe funksionimin e Gjykatës Kushtetuese të Republikës së Shqipërisë”.</w:t>
      </w:r>
    </w:p>
    <w:p w:rsidR="0067648B" w:rsidRPr="00B56DAA" w:rsidRDefault="0067648B" w:rsidP="00BA6DD4">
      <w:pPr>
        <w:pStyle w:val="Hapesira7"/>
        <w:rPr>
          <w:lang w:val="sq-AL"/>
        </w:rPr>
      </w:pPr>
    </w:p>
    <w:p w:rsidR="0067648B" w:rsidRPr="00FE5246" w:rsidRDefault="008E62D8" w:rsidP="008E62D8">
      <w:pPr>
        <w:pStyle w:val="NeniTitull"/>
        <w:rPr>
          <w:b w:val="0"/>
          <w:lang w:val="sq-AL"/>
        </w:rPr>
      </w:pPr>
      <w:r w:rsidRPr="00FE5246">
        <w:rPr>
          <w:b w:val="0"/>
          <w:lang w:val="sq-AL"/>
        </w:rPr>
        <w:t>GJYKATA KUSHTETUESE</w:t>
      </w:r>
    </w:p>
    <w:p w:rsidR="008F6FB9" w:rsidRPr="00B56DAA" w:rsidRDefault="008F6FB9" w:rsidP="00BA6DD4">
      <w:pPr>
        <w:pStyle w:val="Hapesira7"/>
        <w:rPr>
          <w:lang w:val="sq-AL"/>
        </w:rPr>
      </w:pP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pasi dëgjoi relatoren e çështjes Vitore Tusha, mori në shqyrtim pretendimet me shkrim të kërkueses, Gjykatës së Rrethit Gjyqësor Vlorë, që kërkoi pranimin e kërkesës, prapësimet me </w:t>
      </w:r>
      <w:r w:rsidRPr="00B56DAA">
        <w:rPr>
          <w:rFonts w:ascii="Garamond" w:hAnsi="Garamond"/>
        </w:rPr>
        <w:lastRenderedPageBreak/>
        <w:t>shkrim të subjektit të interesuar, Ministrisë së Drejtësisë, që kërkoi rrëzimin e kërkesës, si dhe diskutoi çështjen në tërësi,</w:t>
      </w:r>
    </w:p>
    <w:p w:rsidR="0067648B" w:rsidRPr="00B56DAA" w:rsidRDefault="0067648B" w:rsidP="00BA6DD4">
      <w:pPr>
        <w:pStyle w:val="Hapesira7"/>
        <w:rPr>
          <w:lang w:val="sq-AL"/>
        </w:rPr>
      </w:pPr>
    </w:p>
    <w:p w:rsidR="0067648B" w:rsidRPr="00B56DAA" w:rsidRDefault="0067648B" w:rsidP="00C37C84">
      <w:pPr>
        <w:pStyle w:val="NeniNr"/>
        <w:rPr>
          <w:lang w:val="sq-AL"/>
        </w:rPr>
      </w:pPr>
      <w:r w:rsidRPr="00B56DAA">
        <w:rPr>
          <w:lang w:val="sq-AL"/>
        </w:rPr>
        <w:t>VËREN:</w:t>
      </w:r>
    </w:p>
    <w:p w:rsidR="0067648B" w:rsidRPr="00B56DAA" w:rsidRDefault="0067648B" w:rsidP="00C37C84">
      <w:pPr>
        <w:pStyle w:val="NeniNr"/>
        <w:rPr>
          <w:b/>
          <w:lang w:val="sq-AL"/>
        </w:rPr>
      </w:pPr>
      <w:r w:rsidRPr="00B56DAA">
        <w:rPr>
          <w:b/>
          <w:lang w:val="sq-AL"/>
        </w:rPr>
        <w:t>I</w:t>
      </w:r>
    </w:p>
    <w:p w:rsidR="008F6FB9" w:rsidRPr="00B56DAA" w:rsidRDefault="008F6FB9" w:rsidP="00BA6DD4">
      <w:pPr>
        <w:pStyle w:val="Hapesira7"/>
        <w:rPr>
          <w:lang w:val="sq-AL"/>
        </w:rPr>
      </w:pPr>
    </w:p>
    <w:p w:rsidR="0067648B" w:rsidRPr="00B56DAA" w:rsidRDefault="008F6FB9"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1. </w:t>
      </w:r>
      <w:r w:rsidR="0067648B" w:rsidRPr="00B56DAA">
        <w:rPr>
          <w:rFonts w:ascii="Garamond" w:hAnsi="Garamond"/>
        </w:rPr>
        <w:t>Gjykata e Rrethit Gjyqësor Vlorë, pasi ka marrë në shqyrtim çështjen civile me palë paditëse Degën Rajonale të Entit Kombëtar të Banesave (EKB) kundër disa të paditurve</w:t>
      </w:r>
      <w:r w:rsidR="00FE5246">
        <w:rPr>
          <w:rFonts w:ascii="Garamond" w:hAnsi="Garamond"/>
        </w:rPr>
        <w:t xml:space="preserve">, me vendimin </w:t>
      </w:r>
      <w:r w:rsidR="0046105A">
        <w:rPr>
          <w:rFonts w:ascii="Garamond" w:hAnsi="Garamond"/>
        </w:rPr>
        <w:t xml:space="preserve">nr. </w:t>
      </w:r>
      <w:r w:rsidR="00FE5246">
        <w:rPr>
          <w:rFonts w:ascii="Garamond" w:hAnsi="Garamond"/>
        </w:rPr>
        <w:t>1610, datë 25.</w:t>
      </w:r>
      <w:r w:rsidR="0067648B" w:rsidRPr="00B56DAA">
        <w:rPr>
          <w:rFonts w:ascii="Garamond" w:hAnsi="Garamond"/>
        </w:rPr>
        <w:t xml:space="preserve">5.2012, ka vendosur pranimin e padisë duke zgjidhur kontratën e shitjes me </w:t>
      </w:r>
      <w:r w:rsidR="0046105A">
        <w:rPr>
          <w:rFonts w:ascii="Garamond" w:hAnsi="Garamond"/>
        </w:rPr>
        <w:t xml:space="preserve">nr. </w:t>
      </w:r>
      <w:r w:rsidR="0067648B" w:rsidRPr="00B56DAA">
        <w:rPr>
          <w:rFonts w:ascii="Garamond" w:hAnsi="Garamond"/>
        </w:rPr>
        <w:t>2519rep., datë 15.12.2000 dhe duke kthyer palët në gjendjen e mëparshme. Ky gjykim është zhvilluar në mungesë të së paditurës K.K., e cila, me pretendimin se administrata gjyqësore nuk ka respektuar kërkesat ligjore për njoftimin e vendimit të dhënë në mungesë të palëve, ka paraqitur një kërkesëpadi me objekt pavlefsh</w:t>
      </w:r>
      <w:r w:rsidR="00390D2E">
        <w:rPr>
          <w:rFonts w:ascii="Garamond" w:hAnsi="Garamond"/>
        </w:rPr>
        <w:t>-</w:t>
      </w:r>
      <w:r w:rsidR="0067648B" w:rsidRPr="00B56DAA">
        <w:rPr>
          <w:rFonts w:ascii="Garamond" w:hAnsi="Garamond"/>
        </w:rPr>
        <w:t>mërinë e aktit të njoftimit të vendimit përfundimtar. Kërkesëpadia është pra</w:t>
      </w:r>
      <w:r w:rsidR="00B56DAA">
        <w:rPr>
          <w:rFonts w:ascii="Garamond" w:hAnsi="Garamond"/>
        </w:rPr>
        <w:t xml:space="preserve">nuar me vendimin </w:t>
      </w:r>
      <w:r w:rsidR="0046105A">
        <w:rPr>
          <w:rFonts w:ascii="Garamond" w:hAnsi="Garamond"/>
        </w:rPr>
        <w:t xml:space="preserve">nr. </w:t>
      </w:r>
      <w:r w:rsidR="00B56DAA">
        <w:rPr>
          <w:rFonts w:ascii="Garamond" w:hAnsi="Garamond"/>
        </w:rPr>
        <w:t xml:space="preserve">2195, datë </w:t>
      </w:r>
      <w:r w:rsidR="0067648B" w:rsidRPr="00B56DAA">
        <w:rPr>
          <w:rFonts w:ascii="Garamond" w:hAnsi="Garamond"/>
        </w:rPr>
        <w:t>4.10.2013</w:t>
      </w:r>
      <w:r w:rsidR="00390D2E">
        <w:rPr>
          <w:rFonts w:ascii="Garamond" w:hAnsi="Garamond"/>
        </w:rPr>
        <w:t>,</w:t>
      </w:r>
      <w:r w:rsidR="0067648B" w:rsidRPr="00B56DAA">
        <w:rPr>
          <w:rFonts w:ascii="Garamond" w:hAnsi="Garamond"/>
        </w:rPr>
        <w:t xml:space="preserve"> të Gjykatës së Rrethit Gjyqësor Vlorë, e cila ka vendosur edhe konstatimin e pavlefshmërisë së njoftimit.</w:t>
      </w: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 </w:t>
      </w:r>
      <w:r w:rsidR="008F6FB9" w:rsidRPr="00B56DAA">
        <w:rPr>
          <w:rFonts w:ascii="Garamond" w:hAnsi="Garamond"/>
        </w:rPr>
        <w:t xml:space="preserve">2. </w:t>
      </w:r>
      <w:r w:rsidRPr="00B56DAA">
        <w:rPr>
          <w:rFonts w:ascii="Garamond" w:hAnsi="Garamond"/>
        </w:rPr>
        <w:t>Gjykata e Apelit Vlorë, pasi ka marrë në shqyrtim ankimin</w:t>
      </w:r>
      <w:r w:rsidR="00B56DAA">
        <w:rPr>
          <w:rFonts w:ascii="Garamond" w:hAnsi="Garamond"/>
        </w:rPr>
        <w:t xml:space="preserve"> kundër vendimit </w:t>
      </w:r>
      <w:r w:rsidR="0046105A">
        <w:rPr>
          <w:rFonts w:ascii="Garamond" w:hAnsi="Garamond"/>
        </w:rPr>
        <w:t xml:space="preserve">nr. </w:t>
      </w:r>
      <w:r w:rsidR="00B56DAA">
        <w:rPr>
          <w:rFonts w:ascii="Garamond" w:hAnsi="Garamond"/>
        </w:rPr>
        <w:t xml:space="preserve">2195, datë </w:t>
      </w:r>
      <w:r w:rsidRPr="00B56DAA">
        <w:rPr>
          <w:rFonts w:ascii="Garamond" w:hAnsi="Garamond"/>
        </w:rPr>
        <w:t>4.10.2013, ka vendosur prishjen e tij dhe kthimin e çështjes për rigjykim, duke caktuar si detyra rregullimin e ndërgjyqësisë, marrjen e provave shtesë për një hetim më të plotë për të provuar marrjen dijeni nga e paditura K.K.</w:t>
      </w:r>
      <w:r w:rsidR="00B56DAA">
        <w:rPr>
          <w:rFonts w:ascii="Garamond" w:hAnsi="Garamond"/>
        </w:rPr>
        <w:t xml:space="preserve"> mbi vendimin </w:t>
      </w:r>
      <w:r w:rsidR="0046105A">
        <w:rPr>
          <w:rFonts w:ascii="Garamond" w:hAnsi="Garamond"/>
        </w:rPr>
        <w:t xml:space="preserve">nr. </w:t>
      </w:r>
      <w:r w:rsidR="00B56DAA">
        <w:rPr>
          <w:rFonts w:ascii="Garamond" w:hAnsi="Garamond"/>
        </w:rPr>
        <w:t>1610, datë 25.</w:t>
      </w:r>
      <w:r w:rsidRPr="00B56DAA">
        <w:rPr>
          <w:rFonts w:ascii="Garamond" w:hAnsi="Garamond"/>
        </w:rPr>
        <w:t xml:space="preserve">5.2012, si dhe vlerësimin nëse pala paditëse legjitimohej në ngritjen e kërkesës për rivendosje në afat. </w:t>
      </w:r>
    </w:p>
    <w:p w:rsidR="0067648B" w:rsidRPr="00B56DAA" w:rsidRDefault="008F6FB9"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3. </w:t>
      </w:r>
      <w:r w:rsidR="0067648B" w:rsidRPr="00B56DAA">
        <w:rPr>
          <w:rFonts w:ascii="Garamond" w:hAnsi="Garamond"/>
        </w:rPr>
        <w:t xml:space="preserve">Në procesin e rigjykimit të çështjes, Gjykata e Rrethit Gjyqësor Vlorë gjatë fazës përgatitore ka vlerësuar kompetencën funksionale mbi kërkimin e shtuar në objektin e padisë mbi rivendosjen në afat të ankimit para gjykatës që ka dhënë vendimin, në kuptim të nenit 458 të KPC-së, që parashikon se </w:t>
      </w:r>
      <w:r w:rsidR="0067648B" w:rsidRPr="00B56DAA">
        <w:rPr>
          <w:rFonts w:ascii="Garamond" w:hAnsi="Garamond"/>
          <w:i/>
        </w:rPr>
        <w:t>“Kur palët kanë humbur të drejtën e ankimit për shkaqe të arsyeshme mund të paraqesin kërkesë për rivendosje në afat përpara gjykatës që ka dhënë vendimin. Kjo kërkesë shqyrtohet nga gjykata dhe kundër vendimit të saj mund të bëhet ankim i veçantë”.</w:t>
      </w:r>
      <w:r w:rsidR="0067648B" w:rsidRPr="00B56DAA">
        <w:rPr>
          <w:rFonts w:ascii="Garamond" w:hAnsi="Garamond"/>
        </w:rPr>
        <w:t xml:space="preserve"> </w:t>
      </w:r>
    </w:p>
    <w:p w:rsidR="0067648B" w:rsidRPr="00B56DAA" w:rsidRDefault="008F6FB9" w:rsidP="00BA6DD4">
      <w:pPr>
        <w:pStyle w:val="paragrafi0"/>
        <w:spacing w:before="0" w:beforeAutospacing="0" w:after="0" w:afterAutospacing="0"/>
        <w:ind w:firstLine="288"/>
        <w:jc w:val="both"/>
        <w:rPr>
          <w:rFonts w:ascii="Garamond" w:hAnsi="Garamond"/>
        </w:rPr>
      </w:pPr>
      <w:r w:rsidRPr="00B56DAA">
        <w:rPr>
          <w:rFonts w:ascii="Garamond" w:hAnsi="Garamond"/>
        </w:rPr>
        <w:t xml:space="preserve">4. </w:t>
      </w:r>
      <w:r w:rsidR="0067648B" w:rsidRPr="00B56DAA">
        <w:rPr>
          <w:rFonts w:ascii="Garamond" w:hAnsi="Garamond"/>
        </w:rPr>
        <w:t>Gjykata referuese</w:t>
      </w:r>
      <w:r w:rsidR="00390D2E">
        <w:rPr>
          <w:rFonts w:ascii="Garamond" w:hAnsi="Garamond"/>
        </w:rPr>
        <w:t>,</w:t>
      </w:r>
      <w:r w:rsidR="0067648B" w:rsidRPr="00B56DAA">
        <w:rPr>
          <w:rFonts w:ascii="Garamond" w:hAnsi="Garamond"/>
        </w:rPr>
        <w:t xml:space="preserve"> duke vlerësuar se togfjalëshi </w:t>
      </w:r>
      <w:r w:rsidR="0067648B" w:rsidRPr="00B56DAA">
        <w:rPr>
          <w:rFonts w:ascii="Garamond" w:hAnsi="Garamond"/>
          <w:i/>
        </w:rPr>
        <w:t>“përpara gjykatës që ka dhënë vendimin”</w:t>
      </w:r>
      <w:r w:rsidR="0067648B" w:rsidRPr="00B56DAA">
        <w:rPr>
          <w:rFonts w:ascii="Garamond" w:hAnsi="Garamond"/>
        </w:rPr>
        <w:t xml:space="preserve"> bie ndesh me nenet 42/2 dhe 135 të Kushtetutës, ka vendosur pezullimin e gjykimit të çështjes, si </w:t>
      </w:r>
      <w:r w:rsidR="0067648B" w:rsidRPr="00B56DAA">
        <w:rPr>
          <w:rFonts w:ascii="Garamond" w:hAnsi="Garamond"/>
        </w:rPr>
        <w:lastRenderedPageBreak/>
        <w:t>dhe e ka referuar atë në Gjykatën Kushtetuese për kontrollin e pajtueshmërisë me Kusht</w:t>
      </w:r>
      <w:r w:rsidR="00BA6DD4" w:rsidRPr="00B56DAA">
        <w:rPr>
          <w:rFonts w:ascii="Garamond" w:hAnsi="Garamond"/>
        </w:rPr>
        <w:t xml:space="preserve">etutën të nenit 458 të KPC-së. </w:t>
      </w:r>
    </w:p>
    <w:p w:rsidR="0067648B" w:rsidRPr="00B56DAA" w:rsidRDefault="0067648B" w:rsidP="00C37C84">
      <w:pPr>
        <w:pStyle w:val="NeniTitull"/>
        <w:rPr>
          <w:lang w:val="sq-AL"/>
        </w:rPr>
      </w:pPr>
      <w:r w:rsidRPr="00B56DAA">
        <w:rPr>
          <w:lang w:val="sq-AL"/>
        </w:rPr>
        <w:t>II</w:t>
      </w:r>
    </w:p>
    <w:p w:rsidR="0067648B" w:rsidRPr="00B56DAA" w:rsidRDefault="0067648B" w:rsidP="00BA6DD4">
      <w:pPr>
        <w:pStyle w:val="Hapesira7"/>
        <w:rPr>
          <w:lang w:val="sq-AL"/>
        </w:rPr>
      </w:pPr>
    </w:p>
    <w:p w:rsidR="0067648B" w:rsidRPr="00B56DAA" w:rsidRDefault="008F6FB9"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5. </w:t>
      </w:r>
      <w:r w:rsidR="0067648B" w:rsidRPr="00B56DAA">
        <w:rPr>
          <w:rFonts w:ascii="Garamond" w:hAnsi="Garamond"/>
          <w:i/>
        </w:rPr>
        <w:t>Gjykata referuese</w:t>
      </w:r>
      <w:r w:rsidR="0067648B" w:rsidRPr="00B56DAA">
        <w:rPr>
          <w:rFonts w:ascii="Garamond" w:hAnsi="Garamond"/>
        </w:rPr>
        <w:t xml:space="preserve"> pretendon se togfjalëshi “</w:t>
      </w:r>
      <w:r w:rsidR="0067648B" w:rsidRPr="00B56DAA">
        <w:rPr>
          <w:rFonts w:ascii="Garamond" w:hAnsi="Garamond"/>
          <w:i/>
        </w:rPr>
        <w:t>përpara gjykatës që ka dhënë vendimin</w:t>
      </w:r>
      <w:r w:rsidR="0067648B" w:rsidRPr="00B56DAA">
        <w:rPr>
          <w:rFonts w:ascii="Garamond" w:hAnsi="Garamond"/>
        </w:rPr>
        <w:t>”, i parashikuar në pjesën e fundit të fjalisë së parë të nenit 458 i KPC-së, cenon parimin e gjykatës së caktuar me ligj, atë të shqyrtimit gjyqësor sipas shkallëve të gjykimit, të shqyrtimit të ankimit brenda afatit të arsyeshëm dhe të sigurisë juridike. Argumentet në mënyrë të përmbledhur janë si vijon:</w:t>
      </w:r>
    </w:p>
    <w:p w:rsidR="0067648B" w:rsidRPr="00B56DAA" w:rsidRDefault="008F6FB9"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5.1 </w:t>
      </w:r>
      <w:r w:rsidR="0067648B" w:rsidRPr="00B56DAA">
        <w:rPr>
          <w:rFonts w:ascii="Garamond" w:hAnsi="Garamond"/>
        </w:rPr>
        <w:t xml:space="preserve">Gjykata e Rrethit Gjyqësor Vlorë legjitimohet për vënien në lëvizje të juridiksionit kushtetues, pasi jurisprudenca kushtetuese, duke e interpretuar gjerësisht kuptimin e nenit 145/2 të Kushtetutës, i ka shtrirë efektet e tij edhe për çështjet e ndërmjetme me natyrë procedurale, të cilat mund të kenë ndikim në gjithë vijimësinë e procesit. Sipas gjykatës referuese, dispozitës së kundërshtuar nuk mund t’i jepet kuptim bazuar në metodën e interpretimit pajtues me Kushtetutën dhe jurisprudencën kushtetuese, por as mund ta shfuqizojë atë, pasi kjo bie ndesh me nenet 7, 131/a dhe 145/1 të Kushtetutës. </w:t>
      </w:r>
    </w:p>
    <w:p w:rsidR="0067648B" w:rsidRPr="00B56DAA" w:rsidRDefault="008F6FB9"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5.2 </w:t>
      </w:r>
      <w:r w:rsidR="0067648B" w:rsidRPr="00B56DAA">
        <w:rPr>
          <w:rFonts w:ascii="Garamond" w:hAnsi="Garamond"/>
        </w:rPr>
        <w:t>Togfjalëshi “</w:t>
      </w:r>
      <w:r w:rsidR="0067648B" w:rsidRPr="00B56DAA">
        <w:rPr>
          <w:rFonts w:ascii="Garamond" w:hAnsi="Garamond"/>
          <w:i/>
        </w:rPr>
        <w:t>përpara gjykatës që ka dhënë vendimin</w:t>
      </w:r>
      <w:r w:rsidR="0067648B" w:rsidRPr="00B56DAA">
        <w:rPr>
          <w:rFonts w:ascii="Garamond" w:hAnsi="Garamond"/>
        </w:rPr>
        <w:t>” i nenit 458 të KPC-së është në kundërshtim me nenet 42/2 dhe 135 të Kushtetutës, pasi bazuar në qëndrimin e mbajtur nga Gjykata Kushtetu</w:t>
      </w:r>
      <w:r w:rsidR="00B56DAA">
        <w:rPr>
          <w:rFonts w:ascii="Garamond" w:hAnsi="Garamond"/>
        </w:rPr>
        <w:t xml:space="preserve">ese në vendimin </w:t>
      </w:r>
      <w:r w:rsidR="0046105A">
        <w:rPr>
          <w:rFonts w:ascii="Garamond" w:hAnsi="Garamond"/>
        </w:rPr>
        <w:t xml:space="preserve">nr. </w:t>
      </w:r>
      <w:r w:rsidR="00B56DAA">
        <w:rPr>
          <w:rFonts w:ascii="Garamond" w:hAnsi="Garamond"/>
        </w:rPr>
        <w:t>31, datë 17.</w:t>
      </w:r>
      <w:r w:rsidR="0067648B" w:rsidRPr="00B56DAA">
        <w:rPr>
          <w:rFonts w:ascii="Garamond" w:hAnsi="Garamond"/>
        </w:rPr>
        <w:t>5.2012</w:t>
      </w:r>
      <w:r w:rsidR="00390D2E">
        <w:rPr>
          <w:rFonts w:ascii="Garamond" w:hAnsi="Garamond"/>
        </w:rPr>
        <w:t>,</w:t>
      </w:r>
      <w:r w:rsidR="0067648B" w:rsidRPr="00B56DAA">
        <w:rPr>
          <w:rFonts w:ascii="Garamond" w:hAnsi="Garamond"/>
        </w:rPr>
        <w:t xml:space="preserve"> mbi kuptimin e nenit 147 të KPP-së, kompetente për shqyrtimin e kërkesës për rivendosje në afat është gjykata ku do të shqyrtohet ankimi dhe jo gjykata që ka dhënë vendimin. </w:t>
      </w:r>
    </w:p>
    <w:p w:rsidR="0067648B" w:rsidRPr="00B56DAA" w:rsidRDefault="008F6FB9"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5.3 </w:t>
      </w:r>
      <w:r w:rsidR="0067648B" w:rsidRPr="00B56DAA">
        <w:rPr>
          <w:rFonts w:ascii="Garamond" w:hAnsi="Garamond"/>
        </w:rPr>
        <w:t xml:space="preserve">Po ashtu, togfjalëshi i kundërshtuar cenon parimin e gjykatës së caktuar me ligj, sepse i jep gjykatës më të ulët autoritetin juridiksional dhe kushtetues të gjykatës së apelit ose të Gjykatës së Lartë, pasi vlerëson veprimtarinë e tyre procedurale dhe, për rrjedhojë, edhe të ligjshmërisë së vendimit apo të procedimit gjyqësor në tërësi. </w:t>
      </w:r>
    </w:p>
    <w:p w:rsidR="0067648B" w:rsidRPr="00B56DAA" w:rsidRDefault="008F6FB9"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5.4 </w:t>
      </w:r>
      <w:r w:rsidR="0067648B" w:rsidRPr="00B56DAA">
        <w:rPr>
          <w:rFonts w:ascii="Garamond" w:hAnsi="Garamond"/>
        </w:rPr>
        <w:t>Shfuqizimi i togfjalëshit “</w:t>
      </w:r>
      <w:r w:rsidR="0067648B" w:rsidRPr="00B56DAA">
        <w:rPr>
          <w:rFonts w:ascii="Garamond" w:hAnsi="Garamond"/>
          <w:i/>
        </w:rPr>
        <w:t>përpara gjykatës që ka dhënë vendimin</w:t>
      </w:r>
      <w:r w:rsidR="0067648B" w:rsidRPr="00B56DAA">
        <w:rPr>
          <w:rFonts w:ascii="Garamond" w:hAnsi="Garamond"/>
        </w:rPr>
        <w:t xml:space="preserve">” do të riparojë qëndrimin jokushtetues të vendimit unifikues penal </w:t>
      </w:r>
      <w:r w:rsidR="0046105A">
        <w:rPr>
          <w:rFonts w:ascii="Garamond" w:hAnsi="Garamond"/>
        </w:rPr>
        <w:t xml:space="preserve">nr. </w:t>
      </w:r>
      <w:r w:rsidR="0067648B" w:rsidRPr="00B56DAA">
        <w:rPr>
          <w:rFonts w:ascii="Garamond" w:hAnsi="Garamond"/>
        </w:rPr>
        <w:t xml:space="preserve">1/2013 dhe do të evitojë mundësinë që një gjykatë e shkallës më të ulët t’i imponojë </w:t>
      </w:r>
      <w:r w:rsidR="0067648B" w:rsidRPr="00B56DAA">
        <w:rPr>
          <w:rFonts w:ascii="Garamond" w:hAnsi="Garamond"/>
        </w:rPr>
        <w:lastRenderedPageBreak/>
        <w:t xml:space="preserve">vendimmarrjen një gjykate të një shkallë më të lartë për sa i takon interpretimit të ligjit, por edhe mënyrës së vlerësimit të provave. </w:t>
      </w:r>
    </w:p>
    <w:p w:rsidR="0067648B" w:rsidRPr="00B56DAA" w:rsidRDefault="008F6FB9"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5.5 </w:t>
      </w:r>
      <w:r w:rsidR="0067648B" w:rsidRPr="00B56DAA">
        <w:rPr>
          <w:rFonts w:ascii="Garamond" w:hAnsi="Garamond"/>
        </w:rPr>
        <w:t>Zgjidhja kushtetuese mbi nenin 458 të KPC-së do të ndreqë edhe situatën tjetër procedurale që lidhet me njëkohshmërinë e paraqitjes dhe të shqyrtimit të ankimit e të kërkesës për rivendosje në afat në gjykatën që ka dhënë vendimin. Në këtë kuptim rivendosja në afat të ankimit proceduralisht përbën një çështje paragjykimore brenda çështjes së themelit dhe për</w:t>
      </w:r>
      <w:r w:rsidR="0046105A">
        <w:rPr>
          <w:rFonts w:ascii="Garamond" w:hAnsi="Garamond"/>
        </w:rPr>
        <w:t xml:space="preserve"> </w:t>
      </w:r>
      <w:r w:rsidR="0067648B" w:rsidRPr="00B56DAA">
        <w:rPr>
          <w:rFonts w:ascii="Garamond" w:hAnsi="Garamond"/>
        </w:rPr>
        <w:t xml:space="preserve">nga ana vendimmarrëse përbën një vendim të ndërmjetëm të gjykatës së apelit ose të Gjykatës së Lartë. </w:t>
      </w:r>
    </w:p>
    <w:p w:rsidR="0067648B" w:rsidRPr="00B56DAA" w:rsidRDefault="008F6FB9"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5.6 </w:t>
      </w:r>
      <w:r w:rsidR="0067648B" w:rsidRPr="00B56DAA">
        <w:rPr>
          <w:rFonts w:ascii="Garamond" w:hAnsi="Garamond"/>
        </w:rPr>
        <w:t xml:space="preserve">Gjithashtu, si pasojë e shfuqizimit të togfjalëshit të kundërshtuar do të respektohen edhe dy standarde të tjera kushtetuese, konkretisht afati prekluziv i ankimit, që implikon sigurinë juridike të ndërgjygjësve, si dhe afati i arsyeshëm, në referim të nenit 42 të Kushtetutës dhe nenit 6 të Konventës Evropiane për të Drejtat e Njeriut. </w:t>
      </w:r>
    </w:p>
    <w:p w:rsidR="0067648B" w:rsidRPr="00B56DAA" w:rsidRDefault="008F6FB9"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6. </w:t>
      </w:r>
      <w:r w:rsidR="0067648B" w:rsidRPr="00B56DAA">
        <w:rPr>
          <w:rFonts w:ascii="Garamond" w:hAnsi="Garamond"/>
          <w:i/>
        </w:rPr>
        <w:t>Subjekti i interesuar, Kuvendi i Republikës së Shqipërisë (Kuvendi</w:t>
      </w:r>
      <w:r w:rsidR="0067648B" w:rsidRPr="00B56DAA">
        <w:rPr>
          <w:rFonts w:ascii="Garamond" w:hAnsi="Garamond"/>
        </w:rPr>
        <w:t xml:space="preserve">) nuk ka paraqitur prapësime me shkrim lidhur me çështjen, megjithëse ka pasur dijeni për kohën e zhvillimit të gjykimit kushtetues. </w:t>
      </w:r>
    </w:p>
    <w:p w:rsidR="0067648B" w:rsidRPr="00B56DAA" w:rsidRDefault="008F6FB9"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7. </w:t>
      </w:r>
      <w:r w:rsidR="0067648B" w:rsidRPr="00B56DAA">
        <w:rPr>
          <w:rFonts w:ascii="Garamond" w:hAnsi="Garamond"/>
          <w:i/>
        </w:rPr>
        <w:t>Subjekti i interesuar, Ministria e Drejtësisë</w:t>
      </w:r>
      <w:r w:rsidR="0067648B" w:rsidRPr="00B56DAA">
        <w:rPr>
          <w:rFonts w:ascii="Garamond" w:hAnsi="Garamond"/>
        </w:rPr>
        <w:t>, ka prapësuar me shkrim si vijon:</w:t>
      </w:r>
    </w:p>
    <w:p w:rsidR="0067648B" w:rsidRPr="00B56DAA" w:rsidRDefault="008F6FB9"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7.1 </w:t>
      </w:r>
      <w:r w:rsidR="0067648B" w:rsidRPr="00B56DAA">
        <w:rPr>
          <w:rFonts w:ascii="Garamond" w:hAnsi="Garamond"/>
        </w:rPr>
        <w:t xml:space="preserve">Gjykata referuese nuk ka përcaktuar mjaftueshmërisht objektin e </w:t>
      </w:r>
      <w:r w:rsidR="00B56DAA" w:rsidRPr="00B56DAA">
        <w:rPr>
          <w:rFonts w:ascii="Garamond" w:hAnsi="Garamond"/>
        </w:rPr>
        <w:t>çështjes</w:t>
      </w:r>
      <w:r w:rsidR="0067648B" w:rsidRPr="00B56DAA">
        <w:rPr>
          <w:rFonts w:ascii="Garamond" w:hAnsi="Garamond"/>
        </w:rPr>
        <w:t>, nuk ka identifikuar në terma ligjorë objektin e çështjes dhe nuk ka parashtruar shkaqet për të cilat kërkohet shfuqizimi i pjesës së fundit të fjalisë së parë të nenit 458 të KPC-së. Argumentet e parashtruara nga gjykata referuese lidhen me çështje të interpretimit dhe unifikimit të ligjit dhe nuk provojnë</w:t>
      </w:r>
      <w:r w:rsidR="0046105A">
        <w:rPr>
          <w:rFonts w:ascii="Garamond" w:hAnsi="Garamond"/>
        </w:rPr>
        <w:t xml:space="preserve"> </w:t>
      </w:r>
      <w:r w:rsidR="0067648B" w:rsidRPr="00B56DAA">
        <w:rPr>
          <w:rFonts w:ascii="Garamond" w:hAnsi="Garamond"/>
        </w:rPr>
        <w:t>lidhjen e drejtpërdrejtë të normës së kundërshtuar me zgjidhjen e çështjes nga gjykata referuese.</w:t>
      </w:r>
    </w:p>
    <w:p w:rsidR="0067648B" w:rsidRPr="00B56DAA" w:rsidRDefault="008F6FB9"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7.2 </w:t>
      </w:r>
      <w:r w:rsidR="0067648B" w:rsidRPr="00B56DAA">
        <w:rPr>
          <w:rFonts w:ascii="Garamond" w:hAnsi="Garamond"/>
        </w:rPr>
        <w:t xml:space="preserve">Pretendimi i gjykatës referuese se neni 458 i KPC-së e detyron gjykatën më të lartë t’i bindet vlerësimit dhe zbatimit të ligjit nga gjykata më e ulët është i pabazuar, për faktin se vendimi i dhënë nga kjo e fundit i nënshtrohet kontrollit gjyqësor hierarkik. Togfjalëshi “gjykata që ka dhënë vendimin” duhet të nënkuptojë gjykatën që është caktuar nga sistemi gjyqësor për përfundimin e akteve përkatëse të nevojshme për përfundimin e fazës që gjendet para saj. Kur </w:t>
      </w:r>
      <w:r w:rsidR="0067648B" w:rsidRPr="00B56DAA">
        <w:rPr>
          <w:rFonts w:ascii="Garamond" w:hAnsi="Garamond"/>
        </w:rPr>
        <w:lastRenderedPageBreak/>
        <w:t>kërkesa për rivendosje në afat refuzohet në gjykatën e shkallës së parë, ankimi kundër këtij vendimi paraqitet në gjykatën e apelit, dhe më pas, në Gjykatën e Lartë.</w:t>
      </w:r>
    </w:p>
    <w:p w:rsidR="0067648B" w:rsidRPr="00B56DAA" w:rsidRDefault="008F6FB9"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7.3 </w:t>
      </w:r>
      <w:r w:rsidR="0067648B" w:rsidRPr="00B56DAA">
        <w:rPr>
          <w:rFonts w:ascii="Garamond" w:hAnsi="Garamond"/>
        </w:rPr>
        <w:t xml:space="preserve">Gjykata referuese në rastin konkret e keqinterpreton nenin 458 të KPC-së, pasi ky nen nuk përcakton që kërkesa për rivendosje në afat të së drejtës së ankimit paraqitet në gjykatën e shkallës së parë, sepse kompetenca përcaktohet sipas rastit. </w:t>
      </w:r>
    </w:p>
    <w:p w:rsidR="0067648B" w:rsidRPr="00B56DAA" w:rsidRDefault="0067648B" w:rsidP="00BA6DD4">
      <w:pPr>
        <w:pStyle w:val="Hapesira7"/>
        <w:rPr>
          <w:lang w:val="sq-AL"/>
        </w:rPr>
      </w:pPr>
      <w:r w:rsidRPr="00B56DAA">
        <w:rPr>
          <w:lang w:val="sq-AL"/>
        </w:rPr>
        <w:t xml:space="preserve"> </w:t>
      </w:r>
    </w:p>
    <w:p w:rsidR="0067648B" w:rsidRPr="00B56DAA" w:rsidRDefault="0067648B" w:rsidP="00C37C84">
      <w:pPr>
        <w:pStyle w:val="NeniTitull"/>
        <w:rPr>
          <w:lang w:val="sq-AL"/>
        </w:rPr>
      </w:pPr>
      <w:r w:rsidRPr="00B56DAA">
        <w:rPr>
          <w:lang w:val="sq-AL"/>
        </w:rPr>
        <w:t>III</w:t>
      </w:r>
    </w:p>
    <w:p w:rsidR="0067648B" w:rsidRPr="00B56DAA" w:rsidRDefault="0067648B" w:rsidP="00C37C84">
      <w:pPr>
        <w:pStyle w:val="NeniTitull"/>
        <w:rPr>
          <w:lang w:val="sq-AL"/>
        </w:rPr>
      </w:pPr>
      <w:r w:rsidRPr="00B56DAA">
        <w:rPr>
          <w:lang w:val="sq-AL"/>
        </w:rPr>
        <w:t>Vlerësimi i Gjykatës Kushtetuese</w:t>
      </w:r>
    </w:p>
    <w:p w:rsidR="008F6FB9" w:rsidRPr="00B56DAA" w:rsidRDefault="008F6FB9" w:rsidP="00BA6DD4">
      <w:pPr>
        <w:pStyle w:val="Hapesira7"/>
        <w:rPr>
          <w:lang w:val="sq-AL"/>
        </w:rPr>
      </w:pPr>
    </w:p>
    <w:p w:rsidR="0067648B" w:rsidRPr="00B56DAA" w:rsidRDefault="008F6FB9" w:rsidP="00C37C84">
      <w:pPr>
        <w:pStyle w:val="paragrafi0"/>
        <w:spacing w:before="0" w:beforeAutospacing="0" w:after="0" w:afterAutospacing="0"/>
        <w:ind w:firstLine="288"/>
        <w:jc w:val="both"/>
        <w:rPr>
          <w:rFonts w:ascii="Garamond" w:hAnsi="Garamond"/>
          <w:i/>
        </w:rPr>
      </w:pPr>
      <w:r w:rsidRPr="00B56DAA">
        <w:rPr>
          <w:rFonts w:ascii="Garamond" w:hAnsi="Garamond"/>
          <w:i/>
        </w:rPr>
        <w:t xml:space="preserve">A. </w:t>
      </w:r>
      <w:r w:rsidR="0067648B" w:rsidRPr="00B56DAA">
        <w:rPr>
          <w:rFonts w:ascii="Garamond" w:hAnsi="Garamond"/>
          <w:i/>
        </w:rPr>
        <w:t>Për legjitimimin e gjykatës referuese</w:t>
      </w:r>
    </w:p>
    <w:p w:rsidR="0067648B" w:rsidRPr="00B56DAA" w:rsidRDefault="008F6FB9" w:rsidP="00C37C84">
      <w:pPr>
        <w:pStyle w:val="paragrafi0"/>
        <w:spacing w:before="0" w:beforeAutospacing="0" w:after="0" w:afterAutospacing="0"/>
        <w:ind w:firstLine="288"/>
        <w:jc w:val="both"/>
        <w:rPr>
          <w:rFonts w:ascii="Garamond" w:eastAsia="Calibri" w:hAnsi="Garamond"/>
        </w:rPr>
      </w:pPr>
      <w:r w:rsidRPr="00B56DAA">
        <w:rPr>
          <w:rFonts w:ascii="Garamond" w:eastAsia="Calibri" w:hAnsi="Garamond"/>
        </w:rPr>
        <w:t xml:space="preserve">8. </w:t>
      </w:r>
      <w:r w:rsidR="0067648B" w:rsidRPr="00B56DAA">
        <w:rPr>
          <w:rFonts w:ascii="Garamond" w:eastAsia="Calibri" w:hAnsi="Garamond"/>
        </w:rPr>
        <w:t>Çështja e legjitimimit të subjekteve që mund t</w:t>
      </w:r>
      <w:r w:rsidR="00F26FBF">
        <w:rPr>
          <w:rFonts w:ascii="Garamond" w:eastAsia="Calibri" w:hAnsi="Garamond"/>
        </w:rPr>
        <w:t>’</w:t>
      </w:r>
      <w:r w:rsidR="0067648B" w:rsidRPr="00B56DAA">
        <w:rPr>
          <w:rFonts w:ascii="Garamond" w:eastAsia="Calibri" w:hAnsi="Garamond"/>
        </w:rPr>
        <w:t xml:space="preserve">i drejtohen Gjykatës Kushtetuese (Gjykata) është vlerësuar si një ndër aspektet kryesore që lidhen me inicimin e një procesi kushtetues. Kërkesa për kontroll incidental, që përbën mjetin e aksesit të gjykatës së juridiksionit të zakonshëm në gjykimin kushtetues, rregullohet nga neni 145/2 i Kushtetutës, që </w:t>
      </w:r>
      <w:r w:rsidR="0067648B" w:rsidRPr="00B56DAA">
        <w:rPr>
          <w:rFonts w:ascii="Garamond" w:hAnsi="Garamond"/>
        </w:rPr>
        <w:t>parashikon se “</w:t>
      </w:r>
      <w:r w:rsidR="0067648B" w:rsidRPr="00B56DAA">
        <w:rPr>
          <w:rFonts w:ascii="Garamond" w:hAnsi="Garamond"/>
          <w:i/>
        </w:rPr>
        <w:t>kur gjyqtarët çmojnë se ligjet vijnë në kundërshtim me Kushtetutën nuk i zbatojnë ato. Në këtë rast, ata pezullojnë gjykimin dhe ia dërgojnë çështjen Gjykatës Kushtetuese</w:t>
      </w:r>
      <w:r w:rsidR="0067648B" w:rsidRPr="00B56DAA">
        <w:rPr>
          <w:rFonts w:ascii="Garamond" w:hAnsi="Garamond"/>
        </w:rPr>
        <w:t>”. Ndërsa, sipas nenit</w:t>
      </w:r>
      <w:r w:rsidR="00B56DAA">
        <w:rPr>
          <w:rFonts w:ascii="Garamond" w:hAnsi="Garamond"/>
        </w:rPr>
        <w:t xml:space="preserve"> 68 të ligjit </w:t>
      </w:r>
      <w:r w:rsidR="0046105A">
        <w:rPr>
          <w:rFonts w:ascii="Garamond" w:hAnsi="Garamond"/>
        </w:rPr>
        <w:t xml:space="preserve">nr. </w:t>
      </w:r>
      <w:r w:rsidR="00B56DAA">
        <w:rPr>
          <w:rFonts w:ascii="Garamond" w:hAnsi="Garamond"/>
        </w:rPr>
        <w:t>8577, datë 10.</w:t>
      </w:r>
      <w:r w:rsidR="0067648B" w:rsidRPr="00B56DAA">
        <w:rPr>
          <w:rFonts w:ascii="Garamond" w:hAnsi="Garamond"/>
        </w:rPr>
        <w:t>2.2000</w:t>
      </w:r>
      <w:r w:rsidR="00B56DAA">
        <w:rPr>
          <w:rFonts w:ascii="Garamond" w:hAnsi="Garamond"/>
        </w:rPr>
        <w:t>,</w:t>
      </w:r>
      <w:r w:rsidR="0067648B" w:rsidRPr="00B56DAA">
        <w:rPr>
          <w:rFonts w:ascii="Garamond" w:hAnsi="Garamond"/>
        </w:rPr>
        <w:t xml:space="preserve"> “Për organizimin dhe funksionimin e Gjykatës Kushtetuese”, gjykata apo gjyqtari, kur çmon se ligji është antikushtetues, është i detyruar të argumentojë para Gjykatës Kushtetuese ekzistencën e lidhjes së drejtpërdrejtë midis ligjit dhe zgjidhjes së </w:t>
      </w:r>
      <w:r w:rsidR="0067648B" w:rsidRPr="00B56DAA">
        <w:rPr>
          <w:rFonts w:ascii="Garamond" w:hAnsi="Garamond"/>
          <w:i/>
        </w:rPr>
        <w:t xml:space="preserve">çështjes konkrete </w:t>
      </w:r>
      <w:r w:rsidR="00B56DAA">
        <w:rPr>
          <w:rFonts w:ascii="Garamond" w:hAnsi="Garamond"/>
          <w:i/>
        </w:rPr>
        <w:t xml:space="preserve">(shih vendimin </w:t>
      </w:r>
      <w:r w:rsidR="0046105A">
        <w:rPr>
          <w:rFonts w:ascii="Garamond" w:hAnsi="Garamond"/>
          <w:i/>
        </w:rPr>
        <w:t xml:space="preserve">nr. </w:t>
      </w:r>
      <w:r w:rsidR="00B56DAA">
        <w:rPr>
          <w:rFonts w:ascii="Garamond" w:hAnsi="Garamond"/>
          <w:i/>
        </w:rPr>
        <w:t>50, datë 10.</w:t>
      </w:r>
      <w:r w:rsidR="0067648B" w:rsidRPr="00B56DAA">
        <w:rPr>
          <w:rFonts w:ascii="Garamond" w:hAnsi="Garamond"/>
          <w:i/>
        </w:rPr>
        <w:t>7.2015 të Gjykatës Kushtetuese</w:t>
      </w:r>
      <w:r w:rsidR="0067648B" w:rsidRPr="00B56DAA">
        <w:rPr>
          <w:rFonts w:ascii="Garamond" w:hAnsi="Garamond"/>
        </w:rPr>
        <w:t xml:space="preserve">). </w:t>
      </w:r>
    </w:p>
    <w:p w:rsidR="0067648B" w:rsidRPr="00B56DAA" w:rsidRDefault="008F6FB9"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9. </w:t>
      </w:r>
      <w:r w:rsidR="0067648B" w:rsidRPr="00B56DAA">
        <w:rPr>
          <w:rFonts w:ascii="Garamond" w:hAnsi="Garamond"/>
        </w:rPr>
        <w:t>Gjykata në vazhdimësi ka vlerësuar se që të legjitimohet gjykata referuese gjatë një kontrolli incidental të normës ligjore për papajtueshmëri me Kushtetutën, duh</w:t>
      </w:r>
      <w:r w:rsidR="00B56DAA">
        <w:rPr>
          <w:rFonts w:ascii="Garamond" w:hAnsi="Garamond"/>
        </w:rPr>
        <w:t xml:space="preserve">et që gjatë procesit gjyqësor: </w:t>
      </w:r>
      <w:r w:rsidR="0067648B" w:rsidRPr="00B56DAA">
        <w:rPr>
          <w:rFonts w:ascii="Garamond" w:hAnsi="Garamond"/>
        </w:rPr>
        <w:t xml:space="preserve">i) të ketë përcaktuar/identifikuar ligjin që do të zbatohet për </w:t>
      </w:r>
      <w:r w:rsidR="00B56DAA">
        <w:rPr>
          <w:rFonts w:ascii="Garamond" w:hAnsi="Garamond"/>
        </w:rPr>
        <w:t xml:space="preserve">zgjidhjen e çështjes konkrete; </w:t>
      </w:r>
      <w:r w:rsidR="0067648B" w:rsidRPr="00B56DAA">
        <w:rPr>
          <w:rFonts w:ascii="Garamond" w:hAnsi="Garamond"/>
        </w:rPr>
        <w:t>ii) të parashtrojë arsye serioze për antikushtetutshmë</w:t>
      </w:r>
      <w:r w:rsidR="007B6F71">
        <w:rPr>
          <w:rFonts w:ascii="Garamond" w:hAnsi="Garamond"/>
        </w:rPr>
        <w:t>-</w:t>
      </w:r>
      <w:r w:rsidR="0067648B" w:rsidRPr="00B56DAA">
        <w:rPr>
          <w:rFonts w:ascii="Garamond" w:hAnsi="Garamond"/>
        </w:rPr>
        <w:t>rinë e këtij ligji, duke referuar në normat ose pa</w:t>
      </w:r>
      <w:r w:rsidR="00B56DAA">
        <w:rPr>
          <w:rFonts w:ascii="Garamond" w:hAnsi="Garamond"/>
        </w:rPr>
        <w:t xml:space="preserve">rimet konkrete të Kushtetutës; </w:t>
      </w:r>
      <w:r w:rsidR="0067648B" w:rsidRPr="00B56DAA">
        <w:rPr>
          <w:rFonts w:ascii="Garamond" w:hAnsi="Garamond"/>
        </w:rPr>
        <w:t>iii) të ketë krijuar bindjen se gjykimi nga ajo nuk mund të përfundojë në mënyrë të pavarur nga gj</w:t>
      </w:r>
      <w:r w:rsidR="00B56DAA">
        <w:rPr>
          <w:rFonts w:ascii="Garamond" w:hAnsi="Garamond"/>
        </w:rPr>
        <w:t xml:space="preserve">ykimi në Gjykatën Kushtetuese; </w:t>
      </w:r>
      <w:r w:rsidR="0067648B" w:rsidRPr="00B56DAA">
        <w:rPr>
          <w:rFonts w:ascii="Garamond" w:hAnsi="Garamond"/>
        </w:rPr>
        <w:t>iv) të ketë hetuar nëse ka dispozita të tjera për të zgjidhur</w:t>
      </w:r>
      <w:r w:rsidR="007B6F71">
        <w:rPr>
          <w:rFonts w:ascii="Garamond" w:hAnsi="Garamond"/>
        </w:rPr>
        <w:t xml:space="preserve"> çështjen në gjykim dhe</w:t>
      </w:r>
      <w:r w:rsidR="0067648B" w:rsidRPr="00B56DAA">
        <w:rPr>
          <w:rFonts w:ascii="Garamond" w:hAnsi="Garamond"/>
        </w:rPr>
        <w:t xml:space="preserve"> nëse arrin në konkluzionin se ky është ligji i vetëm të cilit duhet t’i referohet për zgjidhjen e çështjes, të bëjë të</w:t>
      </w:r>
      <w:r w:rsidR="0046105A">
        <w:rPr>
          <w:rFonts w:ascii="Garamond" w:hAnsi="Garamond"/>
        </w:rPr>
        <w:t xml:space="preserve"> </w:t>
      </w:r>
      <w:r w:rsidR="0067648B" w:rsidRPr="00B56DAA">
        <w:rPr>
          <w:rFonts w:ascii="Garamond" w:hAnsi="Garamond"/>
        </w:rPr>
        <w:t xml:space="preserve">gjitha përpjekjet </w:t>
      </w:r>
      <w:r w:rsidR="0067648B" w:rsidRPr="00B56DAA">
        <w:rPr>
          <w:rFonts w:ascii="Garamond" w:hAnsi="Garamond"/>
        </w:rPr>
        <w:lastRenderedPageBreak/>
        <w:t>për ta interpretuar atë në përputhje me Kushtetutën (</w:t>
      </w:r>
      <w:r w:rsidR="0067648B" w:rsidRPr="00B56DAA">
        <w:rPr>
          <w:rFonts w:ascii="Garamond" w:hAnsi="Garamond"/>
          <w:i/>
        </w:rPr>
        <w:t xml:space="preserve">shih vendimet </w:t>
      </w:r>
      <w:r w:rsidR="0046105A">
        <w:rPr>
          <w:rFonts w:ascii="Garamond" w:hAnsi="Garamond"/>
          <w:i/>
        </w:rPr>
        <w:t xml:space="preserve">nr. </w:t>
      </w:r>
      <w:r w:rsidR="0067648B" w:rsidRPr="00B56DAA">
        <w:rPr>
          <w:rFonts w:ascii="Garamond" w:hAnsi="Garamond"/>
          <w:i/>
        </w:rPr>
        <w:t xml:space="preserve">7, </w:t>
      </w:r>
      <w:r w:rsidR="00B56DAA">
        <w:rPr>
          <w:rFonts w:ascii="Garamond" w:hAnsi="Garamond"/>
          <w:i/>
        </w:rPr>
        <w:t xml:space="preserve">datë 16.2.2015; </w:t>
      </w:r>
      <w:r w:rsidR="0046105A">
        <w:rPr>
          <w:rFonts w:ascii="Garamond" w:hAnsi="Garamond"/>
          <w:i/>
        </w:rPr>
        <w:t xml:space="preserve">nr. </w:t>
      </w:r>
      <w:r w:rsidR="00B56DAA">
        <w:rPr>
          <w:rFonts w:ascii="Garamond" w:hAnsi="Garamond"/>
          <w:i/>
        </w:rPr>
        <w:t>26, datë 22.</w:t>
      </w:r>
      <w:r w:rsidR="0067648B" w:rsidRPr="00B56DAA">
        <w:rPr>
          <w:rFonts w:ascii="Garamond" w:hAnsi="Garamond"/>
          <w:i/>
        </w:rPr>
        <w:t>5.2015 të Gjykatës Kushtetuese</w:t>
      </w:r>
      <w:r w:rsidR="0067648B" w:rsidRPr="00B56DAA">
        <w:rPr>
          <w:rFonts w:ascii="Garamond" w:hAnsi="Garamond"/>
        </w:rPr>
        <w:t xml:space="preserve">). </w:t>
      </w:r>
      <w:r w:rsidR="0067648B" w:rsidRPr="00B56DAA">
        <w:rPr>
          <w:rFonts w:ascii="Garamond" w:eastAsia="Calibri" w:hAnsi="Garamond"/>
        </w:rPr>
        <w:t>Në këtë kuptim ë</w:t>
      </w:r>
      <w:r w:rsidR="0067648B" w:rsidRPr="00B56DAA">
        <w:rPr>
          <w:rFonts w:ascii="Garamond" w:hAnsi="Garamond"/>
        </w:rPr>
        <w:t>shtë detyrim i gjykatës referuese të zgjidhë dyshimet interpretative, duke i dhënë normës së zbatueshme një interpretim që përputhet me parimet kushtetuese. Në këto kushte, gjykata referuese është e detyruar të zbatojë, midis interpretimeve të ndryshme të mundshme, atë që konsiderohet se përputhet me parimin kushtetues, që në të kundërt do të cenohej. Në rast se ajo vlerëson se të gjitha interpretimet e mundshme bien në kundërshtim me Kushtetutën, atëherë duhet t</w:t>
      </w:r>
      <w:r w:rsidR="00F26FBF">
        <w:rPr>
          <w:rFonts w:ascii="Garamond" w:hAnsi="Garamond"/>
        </w:rPr>
        <w:t>’</w:t>
      </w:r>
      <w:r w:rsidR="0067648B" w:rsidRPr="00B56DAA">
        <w:rPr>
          <w:rFonts w:ascii="Garamond" w:hAnsi="Garamond"/>
        </w:rPr>
        <w:t>i drejtohet Gjykatës duke kërkuar kontrollin e kushtetutshmërisë së normës të individualizuar si e zbatueshme në rastin konkret (</w:t>
      </w:r>
      <w:r w:rsidR="00B56DAA">
        <w:rPr>
          <w:rFonts w:ascii="Garamond" w:hAnsi="Garamond"/>
          <w:i/>
        </w:rPr>
        <w:t xml:space="preserve">shih vendimet </w:t>
      </w:r>
      <w:r w:rsidR="0046105A">
        <w:rPr>
          <w:rFonts w:ascii="Garamond" w:hAnsi="Garamond"/>
          <w:i/>
        </w:rPr>
        <w:t xml:space="preserve">nr. </w:t>
      </w:r>
      <w:r w:rsidR="00B56DAA">
        <w:rPr>
          <w:rFonts w:ascii="Garamond" w:hAnsi="Garamond"/>
          <w:i/>
        </w:rPr>
        <w:t xml:space="preserve">30, datë 17.6.2010; </w:t>
      </w:r>
      <w:r w:rsidR="0046105A">
        <w:rPr>
          <w:rFonts w:ascii="Garamond" w:hAnsi="Garamond"/>
          <w:i/>
        </w:rPr>
        <w:t xml:space="preserve">nr. </w:t>
      </w:r>
      <w:r w:rsidR="00B56DAA">
        <w:rPr>
          <w:rFonts w:ascii="Garamond" w:hAnsi="Garamond"/>
          <w:i/>
        </w:rPr>
        <w:t xml:space="preserve">7, datë 27.2.2013; </w:t>
      </w:r>
      <w:r w:rsidR="0046105A">
        <w:rPr>
          <w:rFonts w:ascii="Garamond" w:hAnsi="Garamond"/>
          <w:i/>
        </w:rPr>
        <w:t xml:space="preserve">nr. </w:t>
      </w:r>
      <w:r w:rsidR="00B56DAA">
        <w:rPr>
          <w:rFonts w:ascii="Garamond" w:hAnsi="Garamond"/>
          <w:i/>
        </w:rPr>
        <w:t>39, datë 30.</w:t>
      </w:r>
      <w:r w:rsidR="0067648B" w:rsidRPr="00B56DAA">
        <w:rPr>
          <w:rFonts w:ascii="Garamond" w:hAnsi="Garamond"/>
          <w:i/>
        </w:rPr>
        <w:t xml:space="preserve">6.2014; </w:t>
      </w:r>
      <w:r w:rsidR="0046105A">
        <w:rPr>
          <w:rFonts w:ascii="Garamond" w:hAnsi="Garamond"/>
          <w:i/>
        </w:rPr>
        <w:t xml:space="preserve">nr. </w:t>
      </w:r>
      <w:r w:rsidR="00B56DAA">
        <w:rPr>
          <w:rFonts w:ascii="Garamond" w:hAnsi="Garamond"/>
          <w:i/>
        </w:rPr>
        <w:t>7, datë 16.</w:t>
      </w:r>
      <w:r w:rsidR="0067648B" w:rsidRPr="00B56DAA">
        <w:rPr>
          <w:rFonts w:ascii="Garamond" w:hAnsi="Garamond"/>
          <w:i/>
        </w:rPr>
        <w:t>2.2015 të Gjykatës Kushtetuese</w:t>
      </w:r>
      <w:r w:rsidR="0067648B" w:rsidRPr="00B56DAA">
        <w:rPr>
          <w:rFonts w:ascii="Garamond" w:hAnsi="Garamond"/>
        </w:rPr>
        <w:t>).</w:t>
      </w:r>
    </w:p>
    <w:p w:rsidR="0067648B" w:rsidRPr="00B56DAA" w:rsidRDefault="008F6FB9" w:rsidP="00C37C84">
      <w:pPr>
        <w:pStyle w:val="paragrafi0"/>
        <w:spacing w:before="0" w:beforeAutospacing="0" w:after="0" w:afterAutospacing="0"/>
        <w:ind w:firstLine="288"/>
        <w:jc w:val="both"/>
        <w:rPr>
          <w:rFonts w:ascii="Garamond" w:eastAsia="Calibri" w:hAnsi="Garamond"/>
        </w:rPr>
      </w:pPr>
      <w:r w:rsidRPr="00B56DAA">
        <w:rPr>
          <w:rFonts w:ascii="Garamond" w:hAnsi="Garamond"/>
        </w:rPr>
        <w:t xml:space="preserve">10. </w:t>
      </w:r>
      <w:r w:rsidR="0067648B" w:rsidRPr="00B56DAA">
        <w:rPr>
          <w:rFonts w:ascii="Garamond" w:hAnsi="Garamond"/>
        </w:rPr>
        <w:t>Duke iu rikthyer çështjes konkrete, Gjykata vëren se gjykata referuese ka kërkuar shfuqizimin e togfjalëshit “</w:t>
      </w:r>
      <w:r w:rsidR="0067648B" w:rsidRPr="00B56DAA">
        <w:rPr>
          <w:rFonts w:ascii="Garamond" w:hAnsi="Garamond"/>
          <w:i/>
        </w:rPr>
        <w:t>përpara gjykatës që ka dhënë vendimin</w:t>
      </w:r>
      <w:r w:rsidR="0067648B" w:rsidRPr="00B56DAA">
        <w:rPr>
          <w:rFonts w:ascii="Garamond" w:hAnsi="Garamond"/>
        </w:rPr>
        <w:t xml:space="preserve">” të nenit 458 të KPC-së, me argumentin se cenon parimin e gjykatës së caktuar me ligj, atë të hierarkisë së shqyrtimit gjyqësor sipas shkallëve të gjykimit, të shqyrtimit të ankimit brenda afatit të arsyeshëm, si dhe të sigurisë juridike. </w:t>
      </w:r>
    </w:p>
    <w:p w:rsidR="0067648B" w:rsidRPr="00B56DAA" w:rsidRDefault="008F6FB9" w:rsidP="00C37C84">
      <w:pPr>
        <w:pStyle w:val="paragrafi0"/>
        <w:spacing w:before="0" w:beforeAutospacing="0" w:after="0" w:afterAutospacing="0"/>
        <w:ind w:firstLine="288"/>
        <w:jc w:val="both"/>
        <w:rPr>
          <w:rFonts w:ascii="Garamond" w:eastAsia="Calibri" w:hAnsi="Garamond"/>
        </w:rPr>
      </w:pPr>
      <w:r w:rsidRPr="00B56DAA">
        <w:rPr>
          <w:rFonts w:ascii="Garamond" w:hAnsi="Garamond"/>
        </w:rPr>
        <w:t xml:space="preserve">11. </w:t>
      </w:r>
      <w:r w:rsidR="0067648B" w:rsidRPr="00B56DAA">
        <w:rPr>
          <w:rFonts w:ascii="Garamond" w:hAnsi="Garamond"/>
        </w:rPr>
        <w:t>Gjykata, bazuar në detyrimin që buron për gjykatën referuese për parashtrimin e “arsyeve serioze për antikushtetutshmëri”, vlerëson të analizojë nëse argumentet e paraqitura në kërkesë janë të mjaftueshme për të provuar, në nivel kushtetues, shkeljen e parimeve të evidentuara më lart.</w:t>
      </w:r>
    </w:p>
    <w:p w:rsidR="0067648B" w:rsidRPr="00B56DAA" w:rsidRDefault="00143E58" w:rsidP="00C37C84">
      <w:pPr>
        <w:pStyle w:val="paragrafi0"/>
        <w:spacing w:before="0" w:beforeAutospacing="0" w:after="0" w:afterAutospacing="0"/>
        <w:ind w:firstLine="288"/>
        <w:jc w:val="both"/>
        <w:rPr>
          <w:rFonts w:ascii="Garamond" w:eastAsia="Calibri" w:hAnsi="Garamond"/>
        </w:rPr>
      </w:pPr>
      <w:r w:rsidRPr="00B56DAA">
        <w:rPr>
          <w:rFonts w:ascii="Garamond" w:hAnsi="Garamond"/>
        </w:rPr>
        <w:t xml:space="preserve">12. </w:t>
      </w:r>
      <w:r w:rsidR="0067648B" w:rsidRPr="00B56DAA">
        <w:rPr>
          <w:rFonts w:ascii="Garamond" w:hAnsi="Garamond"/>
        </w:rPr>
        <w:t>Në referim të jurisprudencës kushtetuese, Gjykata rithekson se objekti dhe shkaqet e kërkesës, me të cilat ngrihet çështja e kushtetutshmërisë, përbëjnë thelbin (</w:t>
      </w:r>
      <w:r w:rsidR="0067648B" w:rsidRPr="00B56DAA">
        <w:rPr>
          <w:rFonts w:ascii="Garamond" w:hAnsi="Garamond"/>
          <w:i/>
        </w:rPr>
        <w:t>thema decidendum</w:t>
      </w:r>
      <w:r w:rsidR="0067648B" w:rsidRPr="00B56DAA">
        <w:rPr>
          <w:rFonts w:ascii="Garamond" w:hAnsi="Garamond"/>
        </w:rPr>
        <w:t>) e gjykimit kushtetues. Gjykata vëren se argumentet e parashtruara nga kërkuesja për shfuqizimin e togfjalëshit lidhen me qëndrimin që ka mbajtur Gjykata Kushtetu</w:t>
      </w:r>
      <w:r w:rsidR="00B56DAA">
        <w:rPr>
          <w:rFonts w:ascii="Garamond" w:hAnsi="Garamond"/>
        </w:rPr>
        <w:t xml:space="preserve">ese në vendimin </w:t>
      </w:r>
      <w:r w:rsidR="0046105A">
        <w:rPr>
          <w:rFonts w:ascii="Garamond" w:hAnsi="Garamond"/>
        </w:rPr>
        <w:t xml:space="preserve">nr. </w:t>
      </w:r>
      <w:r w:rsidR="00B56DAA">
        <w:rPr>
          <w:rFonts w:ascii="Garamond" w:hAnsi="Garamond"/>
        </w:rPr>
        <w:t>31, datë 17.</w:t>
      </w:r>
      <w:r w:rsidR="0067648B" w:rsidRPr="00B56DAA">
        <w:rPr>
          <w:rFonts w:ascii="Garamond" w:hAnsi="Garamond"/>
        </w:rPr>
        <w:t xml:space="preserve">5.2012, si dhe me qëndrimin e Kolegjeve të Bashkuara të Gjykatës së Lartë (KBGJL-të) mbi nenin 147 të KPP-së në vendimin unifikues </w:t>
      </w:r>
      <w:r w:rsidR="0046105A">
        <w:rPr>
          <w:rFonts w:ascii="Garamond" w:hAnsi="Garamond"/>
        </w:rPr>
        <w:t xml:space="preserve">nr. </w:t>
      </w:r>
      <w:r w:rsidR="0067648B" w:rsidRPr="00B56DAA">
        <w:rPr>
          <w:rFonts w:ascii="Garamond" w:hAnsi="Garamond"/>
        </w:rPr>
        <w:t xml:space="preserve">1/2013. </w:t>
      </w:r>
    </w:p>
    <w:p w:rsidR="0067648B" w:rsidRPr="00B56DAA" w:rsidRDefault="00143E58" w:rsidP="00C37C84">
      <w:pPr>
        <w:pStyle w:val="paragrafi0"/>
        <w:spacing w:before="0" w:beforeAutospacing="0" w:after="0" w:afterAutospacing="0"/>
        <w:ind w:firstLine="288"/>
        <w:jc w:val="both"/>
        <w:rPr>
          <w:rFonts w:ascii="Garamond" w:eastAsia="Calibri" w:hAnsi="Garamond"/>
        </w:rPr>
      </w:pPr>
      <w:r w:rsidRPr="00B56DAA">
        <w:rPr>
          <w:rFonts w:ascii="Garamond" w:hAnsi="Garamond"/>
        </w:rPr>
        <w:t xml:space="preserve">13. </w:t>
      </w:r>
      <w:r w:rsidR="0067648B" w:rsidRPr="00B56DAA">
        <w:rPr>
          <w:rFonts w:ascii="Garamond" w:hAnsi="Garamond"/>
        </w:rPr>
        <w:t xml:space="preserve">Gjykata konstaton se kërkuesja nga njëra anë arsyeton që neni 458 i KPC-së është i qartë </w:t>
      </w:r>
      <w:r w:rsidR="0067648B" w:rsidRPr="00B56DAA">
        <w:rPr>
          <w:rFonts w:ascii="Garamond" w:hAnsi="Garamond"/>
        </w:rPr>
        <w:lastRenderedPageBreak/>
        <w:t>rreth kriterit që ndjek për atribuimin e kompetencës funksionale, sepse praktika gjyqësore më e lartë e ka sheshuar sigurinë dhe mënyrën sesi do të kuptohet togfjalëshi “</w:t>
      </w:r>
      <w:r w:rsidR="0067648B" w:rsidRPr="00B56DAA">
        <w:rPr>
          <w:rFonts w:ascii="Garamond" w:hAnsi="Garamond"/>
          <w:i/>
        </w:rPr>
        <w:t>gjykata që ka dhënë vendimin</w:t>
      </w:r>
      <w:r w:rsidR="0067648B" w:rsidRPr="00B56DAA">
        <w:rPr>
          <w:rFonts w:ascii="Garamond" w:hAnsi="Garamond"/>
        </w:rPr>
        <w:t xml:space="preserve">”, kurse nga ana tjetër, argumenton se qëndrimi i mësipërm ka ndryshuar pas marrjes të vendimit </w:t>
      </w:r>
      <w:r w:rsidR="0046105A">
        <w:rPr>
          <w:rFonts w:ascii="Garamond" w:hAnsi="Garamond"/>
        </w:rPr>
        <w:t xml:space="preserve">nr. </w:t>
      </w:r>
      <w:r w:rsidR="0067648B" w:rsidRPr="00B56DAA">
        <w:rPr>
          <w:rFonts w:ascii="Garamond" w:hAnsi="Garamond"/>
        </w:rPr>
        <w:t xml:space="preserve">31, datë </w:t>
      </w:r>
      <w:r w:rsidR="00B56DAA">
        <w:rPr>
          <w:rFonts w:ascii="Garamond" w:hAnsi="Garamond"/>
        </w:rPr>
        <w:t>17.</w:t>
      </w:r>
      <w:r w:rsidR="0067648B" w:rsidRPr="00B56DAA">
        <w:rPr>
          <w:rFonts w:ascii="Garamond" w:hAnsi="Garamond"/>
        </w:rPr>
        <w:t xml:space="preserve">5.2012 të Gjykatës Kushtetuese, të cilin e vlerëson të detyrueshëm për referim në çështjen konkrete. </w:t>
      </w:r>
    </w:p>
    <w:p w:rsidR="0067648B" w:rsidRPr="00B56DAA" w:rsidRDefault="00F3010D" w:rsidP="00C37C84">
      <w:pPr>
        <w:pStyle w:val="paragrafi0"/>
        <w:spacing w:before="0" w:beforeAutospacing="0" w:after="0" w:afterAutospacing="0"/>
        <w:ind w:firstLine="288"/>
        <w:jc w:val="both"/>
        <w:rPr>
          <w:rFonts w:ascii="Garamond" w:eastAsia="Calibri" w:hAnsi="Garamond"/>
        </w:rPr>
      </w:pPr>
      <w:r w:rsidRPr="00B56DAA">
        <w:rPr>
          <w:rFonts w:ascii="Garamond" w:eastAsia="Calibri" w:hAnsi="Garamond"/>
        </w:rPr>
        <w:t xml:space="preserve">14. </w:t>
      </w:r>
      <w:r w:rsidR="0067648B" w:rsidRPr="00B56DAA">
        <w:rPr>
          <w:rFonts w:ascii="Garamond" w:eastAsia="Calibri" w:hAnsi="Garamond"/>
        </w:rPr>
        <w:t>Bazuar në legjislacionin procedural shqiptar dhe në praktikën gjyqësore, Gjykata vëren se r</w:t>
      </w:r>
      <w:r w:rsidR="0067648B" w:rsidRPr="00B56DAA">
        <w:rPr>
          <w:rFonts w:ascii="Garamond" w:hAnsi="Garamond"/>
        </w:rPr>
        <w:t>ivendosja në afat është një mjet procedural që ka si qëllim garantimin e ushtrimit të së drejtës së ankimit nga palët në proces ndaj një vendimi gjyqësor, në ato raste, të përcaktuara në mënyrë taksative nga ligjvënësi, kur ata nuk kanë pasur mundësi që ta ushtrojë këtë të drejtë brenda afatit ligjor.</w:t>
      </w:r>
    </w:p>
    <w:p w:rsidR="0067648B" w:rsidRPr="00B56DAA" w:rsidRDefault="00F3010D" w:rsidP="00C37C84">
      <w:pPr>
        <w:pStyle w:val="paragrafi0"/>
        <w:spacing w:before="0" w:beforeAutospacing="0" w:after="0" w:afterAutospacing="0"/>
        <w:ind w:firstLine="288"/>
        <w:jc w:val="both"/>
        <w:rPr>
          <w:rFonts w:ascii="Garamond" w:eastAsia="Calibri" w:hAnsi="Garamond"/>
        </w:rPr>
      </w:pPr>
      <w:r w:rsidRPr="00B56DAA">
        <w:rPr>
          <w:rFonts w:ascii="Garamond" w:eastAsia="Calibri" w:hAnsi="Garamond"/>
        </w:rPr>
        <w:t xml:space="preserve">15. </w:t>
      </w:r>
      <w:r w:rsidR="0067648B" w:rsidRPr="00B56DAA">
        <w:rPr>
          <w:rFonts w:ascii="Garamond" w:eastAsia="Calibri" w:hAnsi="Garamond"/>
        </w:rPr>
        <w:t>Në Kodin e Procedurës Civile rivendosja në afat e së drejtës së ankimit rregullohet nga neni 458, që parashikon se “</w:t>
      </w:r>
      <w:r w:rsidR="0067648B" w:rsidRPr="00B56DAA">
        <w:rPr>
          <w:rFonts w:ascii="Garamond" w:eastAsia="Calibri" w:hAnsi="Garamond"/>
          <w:i/>
        </w:rPr>
        <w:t>Kur palët kanë humbur të drejtën e ankimit për shkaqe të arsyeshme, mund të paraqesin kërkesë për rivendosje në afat përpara gjykatës që ka dhënë vendimin. Kjo kërkesë shqyrtohet nga gjykata dhe kundër vendimit të saj mund të bëhet ankim i veçantë</w:t>
      </w:r>
      <w:r w:rsidR="0067648B" w:rsidRPr="00B56DAA">
        <w:rPr>
          <w:rFonts w:ascii="Garamond" w:eastAsia="Calibri" w:hAnsi="Garamond"/>
        </w:rPr>
        <w:t>”. Në Kodin e Procedurës Penale</w:t>
      </w:r>
      <w:r w:rsidR="009C60F7">
        <w:rPr>
          <w:rFonts w:ascii="Garamond" w:eastAsia="Calibri" w:hAnsi="Garamond"/>
        </w:rPr>
        <w:t>,</w:t>
      </w:r>
      <w:r w:rsidR="0067648B" w:rsidRPr="00B56DAA">
        <w:rPr>
          <w:rFonts w:ascii="Garamond" w:eastAsia="Calibri" w:hAnsi="Garamond"/>
        </w:rPr>
        <w:t xml:space="preserve"> ky mjet procedural ka gjetur rregullim në nenin 147, ku midis të tjerash, përcaktohet: “4. </w:t>
      </w:r>
      <w:r w:rsidR="0067648B" w:rsidRPr="00B56DAA">
        <w:rPr>
          <w:rFonts w:ascii="Garamond" w:eastAsia="Calibri" w:hAnsi="Garamond"/>
          <w:i/>
        </w:rPr>
        <w:t>Për kërkesën vendos organi që procedon në kohën e paraqitjes së saj. 5. Vendimi që lejon rivendosjen në afat për bërjen e ankimit mund të ankimohet vetëm bashkë me vendimin përfundimtar. 6. Kundër vendimit që refuzon kërkesën për rivendosje në afat mund të bëhet ankim.”.</w:t>
      </w:r>
      <w:r w:rsidR="0067648B" w:rsidRPr="00B56DAA">
        <w:rPr>
          <w:rFonts w:ascii="Garamond" w:eastAsia="Calibri" w:hAnsi="Garamond"/>
        </w:rPr>
        <w:t xml:space="preserve"> </w:t>
      </w:r>
    </w:p>
    <w:p w:rsidR="0067648B" w:rsidRPr="00B56DAA" w:rsidRDefault="00F3010D" w:rsidP="00C37C84">
      <w:pPr>
        <w:pStyle w:val="paragrafi0"/>
        <w:spacing w:before="0" w:beforeAutospacing="0" w:after="0" w:afterAutospacing="0"/>
        <w:ind w:firstLine="288"/>
        <w:jc w:val="both"/>
        <w:rPr>
          <w:rFonts w:ascii="Garamond" w:eastAsia="Calibri" w:hAnsi="Garamond"/>
        </w:rPr>
      </w:pPr>
      <w:r w:rsidRPr="00B56DAA">
        <w:rPr>
          <w:rFonts w:ascii="Garamond" w:hAnsi="Garamond"/>
        </w:rPr>
        <w:t xml:space="preserve">16. </w:t>
      </w:r>
      <w:r w:rsidR="0067648B" w:rsidRPr="00B56DAA">
        <w:rPr>
          <w:rFonts w:ascii="Garamond" w:hAnsi="Garamond"/>
        </w:rPr>
        <w:t>Gjykata në</w:t>
      </w:r>
      <w:r w:rsidR="00B56DAA">
        <w:rPr>
          <w:rFonts w:ascii="Garamond" w:hAnsi="Garamond"/>
        </w:rPr>
        <w:t xml:space="preserve"> vendimin e saj </w:t>
      </w:r>
      <w:r w:rsidR="0046105A">
        <w:rPr>
          <w:rFonts w:ascii="Garamond" w:hAnsi="Garamond"/>
        </w:rPr>
        <w:t xml:space="preserve">nr. </w:t>
      </w:r>
      <w:r w:rsidR="00B56DAA">
        <w:rPr>
          <w:rFonts w:ascii="Garamond" w:hAnsi="Garamond"/>
        </w:rPr>
        <w:t>31, datë 17.</w:t>
      </w:r>
      <w:r w:rsidR="0067648B" w:rsidRPr="00B56DAA">
        <w:rPr>
          <w:rFonts w:ascii="Garamond" w:hAnsi="Garamond"/>
        </w:rPr>
        <w:t xml:space="preserve">5.2012 e ka analizuar çështjen e kompetencës funksionale të gjykatës ku paraqitet kërkesa për rivendosjen në afat të së drejtës së ankimit në procesin penal në dritën e parimit të gjykatës së caktuar me ligj. Ajo ka vlerësuar se </w:t>
      </w:r>
      <w:r w:rsidR="0067648B" w:rsidRPr="00B56DAA">
        <w:rPr>
          <w:rFonts w:ascii="Garamond" w:hAnsi="Garamond"/>
          <w:i/>
        </w:rPr>
        <w:t>“... shprehja “organi që procedon” i referohet organit që ka dhënë vendimin ndaj të cilit kërkon të ankohet i gjykuari. Pra nëse i gjykuari kërkon të ushtrojë ankim ndaj vendimit të apelit, kërkesën për rivendosje në afat duhet ta shqyrtojë gjykata e apelit...”.</w:t>
      </w:r>
      <w:r w:rsidR="0067648B" w:rsidRPr="00B56DAA">
        <w:rPr>
          <w:rFonts w:ascii="Garamond" w:hAnsi="Garamond"/>
        </w:rPr>
        <w:t xml:space="preserve"> Për sa i takon </w:t>
      </w:r>
      <w:r w:rsidR="00B56DAA">
        <w:rPr>
          <w:rFonts w:ascii="Garamond" w:hAnsi="Garamond"/>
        </w:rPr>
        <w:t>s</w:t>
      </w:r>
      <w:r w:rsidR="0067648B" w:rsidRPr="00B56DAA">
        <w:rPr>
          <w:rFonts w:ascii="Garamond" w:hAnsi="Garamond"/>
        </w:rPr>
        <w:t xml:space="preserve">ë drejtës së palëve </w:t>
      </w:r>
      <w:r w:rsidR="0067648B" w:rsidRPr="00B56DAA">
        <w:rPr>
          <w:rFonts w:ascii="Garamond" w:eastAsia="Calibri" w:hAnsi="Garamond"/>
        </w:rPr>
        <w:t xml:space="preserve">për të kundërshtuar vendimin </w:t>
      </w:r>
      <w:r w:rsidR="0067648B" w:rsidRPr="00B56DAA">
        <w:rPr>
          <w:rFonts w:ascii="Garamond" w:hAnsi="Garamond"/>
        </w:rPr>
        <w:t>që ka lejuar ose ka refuzuar rivendosjen në afat, Gjykata</w:t>
      </w:r>
      <w:r w:rsidR="0067648B" w:rsidRPr="00B56DAA">
        <w:rPr>
          <w:rFonts w:ascii="Garamond" w:eastAsia="Calibri" w:hAnsi="Garamond"/>
        </w:rPr>
        <w:t xml:space="preserve"> e ka analizuar atë në dy aspekte: a) ankimi ndaj vendimit të pranimit të kërkesës për rivendosje në afat, i cili bëhet bashkë me vendimin </w:t>
      </w:r>
      <w:r w:rsidR="0067648B" w:rsidRPr="00B56DAA">
        <w:rPr>
          <w:rFonts w:ascii="Garamond" w:eastAsia="Calibri" w:hAnsi="Garamond"/>
        </w:rPr>
        <w:lastRenderedPageBreak/>
        <w:t>përfundimtar</w:t>
      </w:r>
      <w:r w:rsidR="009C60F7">
        <w:rPr>
          <w:rFonts w:ascii="Garamond" w:eastAsia="Calibri" w:hAnsi="Garamond"/>
        </w:rPr>
        <w:t>;</w:t>
      </w:r>
      <w:r w:rsidR="0067648B" w:rsidRPr="00B56DAA">
        <w:rPr>
          <w:rFonts w:ascii="Garamond" w:eastAsia="Calibri" w:hAnsi="Garamond"/>
        </w:rPr>
        <w:t xml:space="preserve"> dhe b) ankimi ndaj vendimit të refuzimit të kërkesës për rivendosje në afat, i cili është i veçantë dhe paraqitet në gjykatën më të lartë, sipas rastit, pasi organi që procedon në raste të ndryshme mund të jetë i ndryshëm.</w:t>
      </w:r>
      <w:r w:rsidR="0046105A">
        <w:rPr>
          <w:rFonts w:ascii="Garamond" w:eastAsia="Calibri" w:hAnsi="Garamond"/>
        </w:rPr>
        <w:t xml:space="preserve"> </w:t>
      </w:r>
    </w:p>
    <w:p w:rsidR="0067648B" w:rsidRPr="00B56DAA" w:rsidRDefault="00F3010D" w:rsidP="00C37C84">
      <w:pPr>
        <w:pStyle w:val="paragrafi0"/>
        <w:spacing w:before="0" w:beforeAutospacing="0" w:after="0" w:afterAutospacing="0"/>
        <w:ind w:firstLine="288"/>
        <w:jc w:val="both"/>
        <w:rPr>
          <w:rFonts w:ascii="Garamond" w:hAnsi="Garamond"/>
        </w:rPr>
      </w:pPr>
      <w:r w:rsidRPr="00B56DAA">
        <w:rPr>
          <w:rFonts w:ascii="Garamond" w:eastAsia="Calibri" w:hAnsi="Garamond"/>
        </w:rPr>
        <w:t xml:space="preserve">17. </w:t>
      </w:r>
      <w:r w:rsidR="0067648B" w:rsidRPr="00B56DAA">
        <w:rPr>
          <w:rFonts w:ascii="Garamond" w:eastAsia="Calibri" w:hAnsi="Garamond"/>
        </w:rPr>
        <w:t xml:space="preserve">Në rastin e nenit 458 të KPC-së, Gjykata vëren se për sa i takon </w:t>
      </w:r>
      <w:r w:rsidR="0067648B" w:rsidRPr="00B56DAA">
        <w:rPr>
          <w:rFonts w:ascii="Garamond" w:hAnsi="Garamond"/>
        </w:rPr>
        <w:t>kompetencës funksionale të gjykatës që ka dhënë vendimin për të shqyrtuar kërkesën për rivendosje në afat, në praktikën gjyqësore civile nuk ka pasur dyshime lidhur me kuptimin e togfjalëshit “</w:t>
      </w:r>
      <w:r w:rsidR="0067648B" w:rsidRPr="00B56DAA">
        <w:rPr>
          <w:rFonts w:ascii="Garamond" w:hAnsi="Garamond"/>
          <w:i/>
        </w:rPr>
        <w:t>gjykata që ka dhënë vendimin</w:t>
      </w:r>
      <w:r w:rsidR="0067648B" w:rsidRPr="00B56DAA">
        <w:rPr>
          <w:rFonts w:ascii="Garamond" w:hAnsi="Garamond"/>
        </w:rPr>
        <w:t xml:space="preserve">” dhe ndikimin e tij në cenimin e standardeve të procesit të rregullt ligjor, kjo për faktin se togfjalëshi nuk ka krijuar paqartësi lidhur me gjykatën kompetente për shqyrtimin e kërkesës për rivendosje në afat të ankimit. </w:t>
      </w:r>
    </w:p>
    <w:p w:rsidR="0067648B" w:rsidRPr="00B56DAA" w:rsidRDefault="00F3010D"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18. </w:t>
      </w:r>
      <w:r w:rsidR="0067648B" w:rsidRPr="00B56DAA">
        <w:rPr>
          <w:rFonts w:ascii="Garamond" w:hAnsi="Garamond"/>
        </w:rPr>
        <w:t>Gjykata vlerëson se togfjalëshi “</w:t>
      </w:r>
      <w:r w:rsidR="0067648B" w:rsidRPr="00B56DAA">
        <w:rPr>
          <w:rFonts w:ascii="Garamond" w:hAnsi="Garamond"/>
          <w:i/>
        </w:rPr>
        <w:t>gjykata që ka dhënë vendimin</w:t>
      </w:r>
      <w:r w:rsidR="0067648B" w:rsidRPr="00B56DAA">
        <w:rPr>
          <w:rFonts w:ascii="Garamond" w:hAnsi="Garamond"/>
        </w:rPr>
        <w:t xml:space="preserve">” duhet kuptuar: gjykata që ka shpallur vendimin ndaj të cilit palët nuk kanë mundur të ushtrojnë ankim brenda afatit ligjor. E thënë ndryshe, nëse palët kërkojnë rivendosjen në afat të së drejtës së ankimit (apelit) ndaj </w:t>
      </w:r>
      <w:r w:rsidR="0067648B" w:rsidRPr="00B56DAA">
        <w:rPr>
          <w:rFonts w:ascii="Garamond" w:hAnsi="Garamond"/>
          <w:i/>
        </w:rPr>
        <w:t>vendimit të dhënë nga gjykata e rrethit gjyqësor</w:t>
      </w:r>
      <w:r w:rsidR="0067648B" w:rsidRPr="00B56DAA">
        <w:rPr>
          <w:rFonts w:ascii="Garamond" w:hAnsi="Garamond"/>
        </w:rPr>
        <w:t xml:space="preserve">, kompetente për shqyrtimin e kërkesës është vetë ajo gjykatë. Në rast se palët do të kërkojnë rivendosjen në afat të së drejtës së ankimit (rekursit) </w:t>
      </w:r>
      <w:r w:rsidR="0067648B" w:rsidRPr="00B56DAA">
        <w:rPr>
          <w:rFonts w:ascii="Garamond" w:hAnsi="Garamond"/>
          <w:i/>
        </w:rPr>
        <w:t>ndaj vendimit të dhënë nga gjykata e apelit</w:t>
      </w:r>
      <w:r w:rsidR="0067648B" w:rsidRPr="00B56DAA">
        <w:rPr>
          <w:rFonts w:ascii="Garamond" w:hAnsi="Garamond"/>
        </w:rPr>
        <w:t xml:space="preserve">, kompetente për shqyrtimin e kërkesës është gjykata e apelit. </w:t>
      </w:r>
      <w:r w:rsidR="0067648B" w:rsidRPr="00B56DAA">
        <w:rPr>
          <w:rFonts w:ascii="Garamond" w:eastAsia="Calibri" w:hAnsi="Garamond"/>
        </w:rPr>
        <w:t>Në lidhje me të drejtën e ankimit, Gjykata vëren se ligjvënësi ka parashikuar të drejtën e ushtrimit të një ankimi të veçantë ndaj vendimit për rivendosjen në afat për të dyja palët, pa e lidhur ushtrimin e ankimit të veçantë me ankimin kundër vendimit përfundimtar.</w:t>
      </w:r>
    </w:p>
    <w:p w:rsidR="0067648B" w:rsidRPr="00B56DAA" w:rsidRDefault="00730F66" w:rsidP="00C37C84">
      <w:pPr>
        <w:pStyle w:val="paragrafi0"/>
        <w:spacing w:before="0" w:beforeAutospacing="0" w:after="0" w:afterAutospacing="0"/>
        <w:ind w:firstLine="288"/>
        <w:jc w:val="both"/>
        <w:rPr>
          <w:rFonts w:ascii="Garamond" w:eastAsia="Calibri" w:hAnsi="Garamond"/>
        </w:rPr>
      </w:pPr>
      <w:r w:rsidRPr="00B56DAA">
        <w:rPr>
          <w:rFonts w:ascii="Garamond" w:hAnsi="Garamond"/>
        </w:rPr>
        <w:t xml:space="preserve">19. </w:t>
      </w:r>
      <w:r w:rsidR="0067648B" w:rsidRPr="00B56DAA">
        <w:rPr>
          <w:rFonts w:ascii="Garamond" w:hAnsi="Garamond"/>
        </w:rPr>
        <w:t xml:space="preserve">Në vështrim të sa më sipër, Gjykata arrin në përfundimin se gjykata referuese nuk ka dhënë argumente bindëse dhe arsye serioze për sa i përket cenimit të parimit të gjykatës së caktuar me ligj, të hierarkisë së shqyrtimit gjyqësor sipas shkallëve të gjykimit, të shqyrtimit të ankimit brenda afatit të arsyeshëm, si dhe të sigurisë juridike. Në parashtrimet e gjykatës referuese mungojnë shkaqe dhe argumente të cilat mund të justifikonin pretendimet për papajtueshmëri me Kushtetutën të togfjalëshit “gjykata që ka dhënë vendimin”. Rrjedhimisht, Gjykata vlerëson se pretendimet nuk janë ngritur në nivel kushtetues, sepse nuk i takon juridiksionit kushtetues zgjidhja e problemeve që rrjedhin nga keqinterpretimi i tekstit të dispozitës </w:t>
      </w:r>
      <w:r w:rsidR="0067648B" w:rsidRPr="00B56DAA">
        <w:rPr>
          <w:rFonts w:ascii="Garamond" w:hAnsi="Garamond"/>
        </w:rPr>
        <w:lastRenderedPageBreak/>
        <w:t xml:space="preserve">apo kuptimi i ndryshëm që gjykata referuese i ka dhënë asaj. </w:t>
      </w:r>
    </w:p>
    <w:p w:rsidR="0067648B" w:rsidRPr="00B56DAA" w:rsidRDefault="00730F66" w:rsidP="00C37C84">
      <w:pPr>
        <w:pStyle w:val="paragrafi0"/>
        <w:spacing w:before="0" w:beforeAutospacing="0" w:after="0" w:afterAutospacing="0"/>
        <w:ind w:firstLine="288"/>
        <w:jc w:val="both"/>
        <w:rPr>
          <w:rFonts w:ascii="Garamond" w:eastAsia="Calibri" w:hAnsi="Garamond"/>
        </w:rPr>
      </w:pPr>
      <w:r w:rsidRPr="00B56DAA">
        <w:rPr>
          <w:rFonts w:ascii="Garamond" w:hAnsi="Garamond"/>
        </w:rPr>
        <w:t xml:space="preserve">20. </w:t>
      </w:r>
      <w:r w:rsidR="0067648B" w:rsidRPr="00B56DAA">
        <w:rPr>
          <w:rFonts w:ascii="Garamond" w:hAnsi="Garamond"/>
        </w:rPr>
        <w:t>Në këtë kuptim, Gjykata rithekson qëndrimin se është e domosdoshme që gjykata referuese përpara se të pezullojë procesin gjyqësor dhe të kërkojë kontrollin incidental të normës juridike, duhet të verifikojë nëse ka dispozita të tjera për të zgjidhur çështjen në gjykim dhe nëse nuk ka, të bëjë të gjitha përpjekjet për ta interpretuar atë në përputhje me Kushtetutën, me qëllim garantimin e dhënies së drejtësisë efektive.</w:t>
      </w:r>
    </w:p>
    <w:p w:rsidR="0067648B" w:rsidRPr="00B56DAA" w:rsidRDefault="00730F66"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21. </w:t>
      </w:r>
      <w:r w:rsidR="0067648B" w:rsidRPr="00B56DAA">
        <w:rPr>
          <w:rFonts w:ascii="Garamond" w:hAnsi="Garamond"/>
        </w:rPr>
        <w:t>Për rrjedhojë, Gjykata arrin në për</w:t>
      </w:r>
      <w:r w:rsidR="009C60F7">
        <w:rPr>
          <w:rFonts w:ascii="Garamond" w:hAnsi="Garamond"/>
        </w:rPr>
        <w:t>-</w:t>
      </w:r>
      <w:r w:rsidR="0067648B" w:rsidRPr="00B56DAA">
        <w:rPr>
          <w:rFonts w:ascii="Garamond" w:hAnsi="Garamond"/>
        </w:rPr>
        <w:t xml:space="preserve">fundimin se Gjykata e Rrethit Gjyqësor Vlorë nuk legjitimohet për vënien në lëvizje të juridiksionit kushtetues. </w:t>
      </w:r>
    </w:p>
    <w:p w:rsidR="00BA6DD4" w:rsidRPr="00B56DAA" w:rsidRDefault="00BA6DD4" w:rsidP="00BA6DD4">
      <w:pPr>
        <w:pStyle w:val="Hapesira7"/>
        <w:rPr>
          <w:lang w:val="sq-AL"/>
        </w:rPr>
      </w:pPr>
    </w:p>
    <w:p w:rsidR="0067648B" w:rsidRPr="00B56DAA" w:rsidRDefault="0067648B" w:rsidP="00C37C84">
      <w:pPr>
        <w:pStyle w:val="NeniNr"/>
        <w:rPr>
          <w:lang w:val="sq-AL"/>
        </w:rPr>
      </w:pPr>
      <w:r w:rsidRPr="00B56DAA">
        <w:rPr>
          <w:lang w:val="sq-AL"/>
        </w:rPr>
        <w:t>PËR KËTO ARSYE,</w:t>
      </w:r>
    </w:p>
    <w:p w:rsidR="00730F66" w:rsidRPr="00B56DAA" w:rsidRDefault="00730F66" w:rsidP="00BA6DD4">
      <w:pPr>
        <w:pStyle w:val="Hapesira7"/>
        <w:rPr>
          <w:lang w:val="sq-AL"/>
        </w:rPr>
      </w:pP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Gjykata Kushtetuese e Republikës së Shqipërisë, në mbështetje të neneve 134/1/d dhe 145/2 të Kushtetutës, si dhe të neneve 68, 69, 70 dhe</w:t>
      </w:r>
      <w:r w:rsidR="00B56DAA">
        <w:rPr>
          <w:rFonts w:ascii="Garamond" w:hAnsi="Garamond"/>
        </w:rPr>
        <w:t xml:space="preserve"> 72</w:t>
      </w:r>
      <w:r w:rsidR="009C60F7">
        <w:rPr>
          <w:rFonts w:ascii="Garamond" w:hAnsi="Garamond"/>
        </w:rPr>
        <w:t>,</w:t>
      </w:r>
      <w:r w:rsidR="00B56DAA">
        <w:rPr>
          <w:rFonts w:ascii="Garamond" w:hAnsi="Garamond"/>
        </w:rPr>
        <w:t xml:space="preserve"> të ligjit </w:t>
      </w:r>
      <w:r w:rsidR="0046105A">
        <w:rPr>
          <w:rFonts w:ascii="Garamond" w:hAnsi="Garamond"/>
        </w:rPr>
        <w:t xml:space="preserve">nr. </w:t>
      </w:r>
      <w:r w:rsidR="00B56DAA">
        <w:rPr>
          <w:rFonts w:ascii="Garamond" w:hAnsi="Garamond"/>
        </w:rPr>
        <w:t>8577, datë 10.</w:t>
      </w:r>
      <w:r w:rsidRPr="00B56DAA">
        <w:rPr>
          <w:rFonts w:ascii="Garamond" w:hAnsi="Garamond"/>
        </w:rPr>
        <w:t>2.2000</w:t>
      </w:r>
      <w:r w:rsidR="00B56DAA">
        <w:rPr>
          <w:rFonts w:ascii="Garamond" w:hAnsi="Garamond"/>
        </w:rPr>
        <w:t>,</w:t>
      </w:r>
      <w:r w:rsidRPr="00B56DAA">
        <w:rPr>
          <w:rFonts w:ascii="Garamond" w:hAnsi="Garamond"/>
        </w:rPr>
        <w:t xml:space="preserve"> “Për organizimin dhe funksionimin e Gjykatës Kushtetuese të Republikës së Shqipërisë”, me shumicë votash,</w:t>
      </w:r>
    </w:p>
    <w:p w:rsidR="0067648B" w:rsidRPr="00B56DAA" w:rsidRDefault="0067648B" w:rsidP="00BA6DD4">
      <w:pPr>
        <w:pStyle w:val="Hapesira7"/>
        <w:rPr>
          <w:lang w:val="sq-AL"/>
        </w:rPr>
      </w:pPr>
    </w:p>
    <w:p w:rsidR="0067648B" w:rsidRPr="00B56DAA" w:rsidRDefault="00730F66" w:rsidP="00C37C84">
      <w:pPr>
        <w:pStyle w:val="NeniNr"/>
        <w:rPr>
          <w:lang w:val="sq-AL"/>
        </w:rPr>
      </w:pPr>
      <w:r w:rsidRPr="00B56DAA">
        <w:rPr>
          <w:lang w:val="sq-AL"/>
        </w:rPr>
        <w:t>VENDOS</w:t>
      </w:r>
      <w:r w:rsidR="0067648B" w:rsidRPr="00B56DAA">
        <w:rPr>
          <w:lang w:val="sq-AL"/>
        </w:rPr>
        <w:t>I:</w:t>
      </w:r>
    </w:p>
    <w:p w:rsidR="00730F66" w:rsidRPr="00B56DAA" w:rsidRDefault="00730F66" w:rsidP="00BA6DD4">
      <w:pPr>
        <w:pStyle w:val="Hapesira7"/>
        <w:rPr>
          <w:lang w:val="sq-AL"/>
        </w:rPr>
      </w:pPr>
    </w:p>
    <w:p w:rsidR="0067648B" w:rsidRPr="00B56DAA" w:rsidRDefault="00730F66"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 </w:t>
      </w:r>
      <w:r w:rsidR="0067648B" w:rsidRPr="00B56DAA">
        <w:rPr>
          <w:rFonts w:ascii="Garamond" w:hAnsi="Garamond"/>
        </w:rPr>
        <w:t>Rrëzimin e kërkesës.</w:t>
      </w: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Ky vendim është përfundimtar, i formës së prerë dhe hyn në fuqi ditën e botimit në Fletoren Zyrtare. </w:t>
      </w:r>
    </w:p>
    <w:p w:rsidR="0067648B" w:rsidRPr="00B56DAA" w:rsidRDefault="0067648B" w:rsidP="00BA6DD4">
      <w:pPr>
        <w:pStyle w:val="Hapesira7"/>
        <w:rPr>
          <w:lang w:val="sq-AL"/>
        </w:rPr>
      </w:pPr>
    </w:p>
    <w:p w:rsidR="00730F66" w:rsidRPr="00B56DAA" w:rsidRDefault="00730F66" w:rsidP="009C60F7">
      <w:pPr>
        <w:pStyle w:val="paragrafi0"/>
        <w:spacing w:before="0" w:beforeAutospacing="0" w:after="0" w:afterAutospacing="0"/>
        <w:ind w:firstLine="288"/>
        <w:jc w:val="both"/>
        <w:rPr>
          <w:rFonts w:ascii="Garamond" w:hAnsi="Garamond"/>
        </w:rPr>
      </w:pPr>
      <w:r w:rsidRPr="00B56DAA">
        <w:rPr>
          <w:rFonts w:ascii="Garamond" w:hAnsi="Garamond"/>
        </w:rPr>
        <w:t>Anëtarë</w:t>
      </w:r>
      <w:r w:rsidR="0067648B" w:rsidRPr="00B56DAA">
        <w:rPr>
          <w:rFonts w:ascii="Garamond" w:hAnsi="Garamond"/>
        </w:rPr>
        <w:t xml:space="preserve"> </w:t>
      </w:r>
      <w:r w:rsidRPr="00B56DAA">
        <w:rPr>
          <w:rFonts w:ascii="Garamond" w:hAnsi="Garamond"/>
        </w:rPr>
        <w:t>pro: Bashkim Dedja (kryetar), Sokol Berberi, Gani Dizdari, Fatmir Hoxha, Altina Xhoxhaj,</w:t>
      </w:r>
      <w:r w:rsidR="009C60F7">
        <w:rPr>
          <w:rFonts w:ascii="Garamond" w:hAnsi="Garamond"/>
        </w:rPr>
        <w:t xml:space="preserve"> </w:t>
      </w:r>
      <w:r w:rsidRPr="00B56DAA">
        <w:rPr>
          <w:rFonts w:ascii="Garamond" w:hAnsi="Garamond"/>
        </w:rPr>
        <w:t>Vitore Tusha, Fatos Lulo, Besnik Imeraj</w:t>
      </w:r>
    </w:p>
    <w:p w:rsidR="00730F66" w:rsidRPr="00B56DAA" w:rsidRDefault="00730F66" w:rsidP="00C37C84">
      <w:pPr>
        <w:pStyle w:val="paragrafi0"/>
        <w:spacing w:before="0" w:beforeAutospacing="0" w:after="0" w:afterAutospacing="0"/>
        <w:ind w:firstLine="288"/>
        <w:jc w:val="both"/>
        <w:rPr>
          <w:rFonts w:ascii="Garamond" w:hAnsi="Garamond"/>
        </w:rPr>
      </w:pPr>
      <w:r w:rsidRPr="00B56DAA">
        <w:rPr>
          <w:rFonts w:ascii="Garamond" w:hAnsi="Garamond"/>
        </w:rPr>
        <w:t>Anëtarë kundër: Vladimir Kristo</w:t>
      </w:r>
    </w:p>
    <w:p w:rsidR="00730F66" w:rsidRPr="00CE2E20" w:rsidRDefault="00730F66" w:rsidP="00C37C84">
      <w:pPr>
        <w:pStyle w:val="paragrafi0"/>
        <w:spacing w:before="0" w:beforeAutospacing="0" w:after="0" w:afterAutospacing="0"/>
        <w:ind w:firstLine="288"/>
        <w:jc w:val="both"/>
        <w:rPr>
          <w:rFonts w:ascii="Garamond" w:hAnsi="Garamond"/>
          <w:sz w:val="14"/>
        </w:rPr>
      </w:pPr>
    </w:p>
    <w:p w:rsidR="0067648B" w:rsidRPr="00B56DAA" w:rsidRDefault="0067648B" w:rsidP="00C37C84">
      <w:pPr>
        <w:pStyle w:val="NeniNr"/>
        <w:rPr>
          <w:lang w:val="sq-AL"/>
        </w:rPr>
      </w:pPr>
      <w:r w:rsidRPr="00B56DAA">
        <w:rPr>
          <w:lang w:val="sq-AL"/>
        </w:rPr>
        <w:t>MENDIM PAKICE</w:t>
      </w:r>
    </w:p>
    <w:p w:rsidR="0067648B" w:rsidRPr="00B56DAA" w:rsidRDefault="0067648B" w:rsidP="00BA6DD4">
      <w:pPr>
        <w:pStyle w:val="Hapesira7"/>
        <w:rPr>
          <w:lang w:val="sq-AL"/>
        </w:rPr>
      </w:pP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1. Gjykata e Rrethit Gjyqësor Vlorë (gjykata referuese), bazuar në nenin 145/2 të Kushtetutës, i është drejtuar kësaj Gjykate për kontrollin e pajtueshmërisë me Kushtetutën të togfjalëshit “</w:t>
      </w:r>
      <w:r w:rsidRPr="00B56DAA">
        <w:rPr>
          <w:rFonts w:ascii="Garamond" w:hAnsi="Garamond"/>
          <w:i/>
        </w:rPr>
        <w:t>përpara gjykatës që ka dhënë vendimin</w:t>
      </w:r>
      <w:r w:rsidRPr="00B56DAA">
        <w:rPr>
          <w:rFonts w:ascii="Garamond" w:hAnsi="Garamond"/>
        </w:rPr>
        <w:t>” në fund të fjalisë së parë të nenit 458 të KPC-së, sipas të cilit “kur palët kanë humbur të drejtën e ankimit për shkaqe të arsyeshme, mund të paraqesin kërkesë për rivendosje në afat, përpara gjykatës që ka dhënë vendimin”.</w:t>
      </w:r>
      <w:r w:rsidR="0046105A">
        <w:rPr>
          <w:rFonts w:ascii="Garamond" w:hAnsi="Garamond"/>
        </w:rPr>
        <w:t xml:space="preserve"> </w:t>
      </w:r>
      <w:r w:rsidRPr="00B56DAA">
        <w:rPr>
          <w:rFonts w:ascii="Garamond" w:hAnsi="Garamond"/>
        </w:rPr>
        <w:t xml:space="preserve">Gjykata </w:t>
      </w:r>
      <w:r w:rsidRPr="00B56DAA">
        <w:rPr>
          <w:rFonts w:ascii="Garamond" w:hAnsi="Garamond"/>
        </w:rPr>
        <w:lastRenderedPageBreak/>
        <w:t xml:space="preserve">referuese pretendon se ky togfjalësh cenon parimin e gjykatës së caktuar me ligj, atë të shqyrtimit gjyqësor sipas shkallëve të gjykimit, të shqyrtimit të ankimit brenda afatit të arsyeshëm dhe të sigurisë juridike. </w:t>
      </w: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2. Sipas gjykatës referuese, duke ju referuar qëndrimit të mbajtur nga kjo</w:t>
      </w:r>
      <w:r w:rsidR="002F3ADC">
        <w:rPr>
          <w:rFonts w:ascii="Garamond" w:hAnsi="Garamond"/>
        </w:rPr>
        <w:t xml:space="preserve"> </w:t>
      </w:r>
      <w:r w:rsidRPr="00B56DAA">
        <w:rPr>
          <w:rFonts w:ascii="Garamond" w:hAnsi="Garamond"/>
        </w:rPr>
        <w:t>Gjyk</w:t>
      </w:r>
      <w:r w:rsidR="00B56DAA">
        <w:rPr>
          <w:rFonts w:ascii="Garamond" w:hAnsi="Garamond"/>
        </w:rPr>
        <w:t xml:space="preserve">atë në vendimin </w:t>
      </w:r>
      <w:r w:rsidR="0046105A">
        <w:rPr>
          <w:rFonts w:ascii="Garamond" w:hAnsi="Garamond"/>
        </w:rPr>
        <w:t xml:space="preserve">nr. </w:t>
      </w:r>
      <w:r w:rsidR="00B56DAA">
        <w:rPr>
          <w:rFonts w:ascii="Garamond" w:hAnsi="Garamond"/>
        </w:rPr>
        <w:t>31, datë 17.</w:t>
      </w:r>
      <w:r w:rsidRPr="00B56DAA">
        <w:rPr>
          <w:rFonts w:ascii="Garamond" w:hAnsi="Garamond"/>
        </w:rPr>
        <w:t>5.2012, lidhur me nenin 147 të KPP-së, kompetente për shqyrtimin e kërkesës për rivendosje në afat është gjykata ku do të shqyrtohet ankimi dhe jo gjykata që ka dhënë vendimin, prandaj për analogji edhe togfjalëshi “</w:t>
      </w:r>
      <w:r w:rsidRPr="00B56DAA">
        <w:rPr>
          <w:rFonts w:ascii="Garamond" w:hAnsi="Garamond"/>
          <w:i/>
        </w:rPr>
        <w:t>përpara gjykatës që ka dhënë vendimin</w:t>
      </w:r>
      <w:r w:rsidRPr="00B56DAA">
        <w:rPr>
          <w:rFonts w:ascii="Garamond" w:hAnsi="Garamond"/>
        </w:rPr>
        <w:t>” i nenit 458 të KPC-së bie në kundërshtim me nenet 42/2 dhe 135 të Kushtetutës. Gjithashtu, gjykata referuese parashtron se ajo e ka të pamundur të bëjë vetë interpretim pajtues të dispozitës së kundërshtuar me Kushtetutën apo me jurisprudencën kushtetuese.</w:t>
      </w:r>
      <w:r w:rsidR="0046105A">
        <w:rPr>
          <w:rFonts w:ascii="Garamond" w:hAnsi="Garamond"/>
        </w:rPr>
        <w:t xml:space="preserve"> </w:t>
      </w:r>
    </w:p>
    <w:p w:rsidR="0067648B" w:rsidRPr="00B56DAA" w:rsidRDefault="0067648B" w:rsidP="00C37C84">
      <w:pPr>
        <w:pStyle w:val="paragrafi0"/>
        <w:spacing w:before="0" w:beforeAutospacing="0" w:after="0" w:afterAutospacing="0"/>
        <w:ind w:firstLine="288"/>
        <w:jc w:val="both"/>
        <w:rPr>
          <w:rFonts w:ascii="Garamond" w:eastAsia="Calibri" w:hAnsi="Garamond"/>
        </w:rPr>
      </w:pPr>
      <w:r w:rsidRPr="00B56DAA">
        <w:rPr>
          <w:rFonts w:ascii="Garamond" w:hAnsi="Garamond"/>
        </w:rPr>
        <w:t>3. Shumica në arsyetimin e saj, ndër të tjera, ka konstatuar se n</w:t>
      </w:r>
      <w:r w:rsidRPr="00B56DAA">
        <w:rPr>
          <w:rFonts w:ascii="Garamond" w:eastAsia="Calibri" w:hAnsi="Garamond"/>
        </w:rPr>
        <w:t xml:space="preserve">ë rastin e nenit 458 të KPC-së </w:t>
      </w:r>
      <w:r w:rsidRPr="00B56DAA">
        <w:rPr>
          <w:rFonts w:ascii="Garamond" w:hAnsi="Garamond"/>
        </w:rPr>
        <w:t>në praktikën gjyqësore civile nuk ka pasur dyshime lidhur me kuptimin e togfjalëshit “</w:t>
      </w:r>
      <w:r w:rsidRPr="00B56DAA">
        <w:rPr>
          <w:rFonts w:ascii="Garamond" w:hAnsi="Garamond"/>
          <w:i/>
        </w:rPr>
        <w:t>gjykata që ka dhënë vendimin</w:t>
      </w:r>
      <w:r w:rsidRPr="00B56DAA">
        <w:rPr>
          <w:rFonts w:ascii="Garamond" w:hAnsi="Garamond"/>
        </w:rPr>
        <w:t>”, për faktin se ky togfjalësh nuk ka krijuar paqartësi lidhur me gjykatën kompetente për shqyrtimin e kërkesës për rivendosje në afat të ankimit. Në këtë kontekst, shumica ka vlerësuar se togfjalëshi “</w:t>
      </w:r>
      <w:r w:rsidRPr="00B56DAA">
        <w:rPr>
          <w:rFonts w:ascii="Garamond" w:hAnsi="Garamond"/>
          <w:i/>
        </w:rPr>
        <w:t>gjykata që ka dhënë vendimin</w:t>
      </w:r>
      <w:r w:rsidRPr="00B56DAA">
        <w:rPr>
          <w:rFonts w:ascii="Garamond" w:hAnsi="Garamond"/>
        </w:rPr>
        <w:t xml:space="preserve">” duhet kuptuar: gjykata që ka shpallur vendimin ndaj të cilit palët nuk kanë mundur të ushtrojnë ankim brenda afatit ligjor. E thënë ndryshe, nëse palët kërkojnë rivendosjen në afat të së drejtës së ankimit (apelit) ndaj </w:t>
      </w:r>
      <w:r w:rsidRPr="00B56DAA">
        <w:rPr>
          <w:rFonts w:ascii="Garamond" w:hAnsi="Garamond"/>
          <w:i/>
        </w:rPr>
        <w:t>vendimit të dhënë nga gjykata e rrethit gjyqësor</w:t>
      </w:r>
      <w:r w:rsidRPr="00B56DAA">
        <w:rPr>
          <w:rFonts w:ascii="Garamond" w:hAnsi="Garamond"/>
        </w:rPr>
        <w:t xml:space="preserve">, kompetente për shqyrtimin e kërkesës është vetë ajo gjykatë. Në rast se palët do të kërkojnë rivendosjen në afat të së drejtës së ankimit (rekursit) ndaj </w:t>
      </w:r>
      <w:r w:rsidRPr="00B56DAA">
        <w:rPr>
          <w:rFonts w:ascii="Garamond" w:hAnsi="Garamond"/>
          <w:i/>
        </w:rPr>
        <w:t>vendimit të dhënë nga gjykata e apelit</w:t>
      </w:r>
      <w:r w:rsidRPr="00B56DAA">
        <w:rPr>
          <w:rFonts w:ascii="Garamond" w:hAnsi="Garamond"/>
        </w:rPr>
        <w:t xml:space="preserve">, kompetente për shqyrtimin e kërkesës është </w:t>
      </w:r>
      <w:r w:rsidRPr="00B56DAA">
        <w:rPr>
          <w:rFonts w:ascii="Garamond" w:hAnsi="Garamond"/>
          <w:i/>
        </w:rPr>
        <w:t xml:space="preserve">gjykata e apelit (shih paragrafët </w:t>
      </w:r>
      <w:r w:rsidR="0046105A">
        <w:rPr>
          <w:rFonts w:ascii="Garamond" w:hAnsi="Garamond"/>
          <w:i/>
        </w:rPr>
        <w:t xml:space="preserve">nr. </w:t>
      </w:r>
      <w:r w:rsidRPr="00B56DAA">
        <w:rPr>
          <w:rFonts w:ascii="Garamond" w:hAnsi="Garamond"/>
          <w:i/>
        </w:rPr>
        <w:t>17</w:t>
      </w:r>
      <w:r w:rsidR="002F3ADC">
        <w:rPr>
          <w:rFonts w:ascii="Garamond" w:hAnsi="Garamond"/>
          <w:i/>
        </w:rPr>
        <w:t>–</w:t>
      </w:r>
      <w:r w:rsidRPr="00B56DAA">
        <w:rPr>
          <w:rFonts w:ascii="Garamond" w:hAnsi="Garamond"/>
          <w:i/>
        </w:rPr>
        <w:t>18 të vendimit të shumicës</w:t>
      </w:r>
      <w:r w:rsidRPr="00B56DAA">
        <w:rPr>
          <w:rFonts w:ascii="Garamond" w:hAnsi="Garamond"/>
        </w:rPr>
        <w:t>).</w:t>
      </w:r>
    </w:p>
    <w:p w:rsidR="0067648B" w:rsidRPr="00B56DAA" w:rsidRDefault="0067648B" w:rsidP="00C37C84">
      <w:pPr>
        <w:pStyle w:val="paragrafi0"/>
        <w:spacing w:before="0" w:beforeAutospacing="0" w:after="0" w:afterAutospacing="0"/>
        <w:ind w:firstLine="288"/>
        <w:jc w:val="both"/>
        <w:rPr>
          <w:rFonts w:ascii="Garamond" w:eastAsia="Calibri" w:hAnsi="Garamond"/>
        </w:rPr>
      </w:pPr>
      <w:r w:rsidRPr="00B56DAA">
        <w:rPr>
          <w:rFonts w:ascii="Garamond" w:hAnsi="Garamond"/>
        </w:rPr>
        <w:t xml:space="preserve">4. Pavarësisht këtij vlerësimi, që në fakt lidhet me themelin e çështjes, shumica në kontradiktë me veten arrin në dy përfundime diametralisht të kundërta: a) se Gjykata e Rrethit Gjyqësor Vlorë </w:t>
      </w:r>
      <w:r w:rsidRPr="00B56DAA">
        <w:rPr>
          <w:rFonts w:ascii="Garamond" w:hAnsi="Garamond"/>
          <w:i/>
        </w:rPr>
        <w:t xml:space="preserve">nuk legjitimohet </w:t>
      </w:r>
      <w:r w:rsidRPr="00B56DAA">
        <w:rPr>
          <w:rFonts w:ascii="Garamond" w:hAnsi="Garamond"/>
        </w:rPr>
        <w:t xml:space="preserve">për vënien në lëvizje të juridiksionit kushtetues, pasi ajo </w:t>
      </w:r>
      <w:r w:rsidRPr="00B56DAA">
        <w:rPr>
          <w:rFonts w:ascii="Garamond" w:hAnsi="Garamond"/>
          <w:i/>
        </w:rPr>
        <w:t>nuk ka dhënë argumente bindëse dhe arsye serioze</w:t>
      </w:r>
      <w:r w:rsidRPr="00B56DAA">
        <w:rPr>
          <w:rFonts w:ascii="Garamond" w:hAnsi="Garamond"/>
        </w:rPr>
        <w:t xml:space="preserve"> për sa i përket cenimit të parimit të gjykatës së caktuar me ligj, të hierarkisë së shqyrtimit gjyqësor sipas </w:t>
      </w:r>
      <w:r w:rsidRPr="00B56DAA">
        <w:rPr>
          <w:rFonts w:ascii="Garamond" w:hAnsi="Garamond"/>
        </w:rPr>
        <w:lastRenderedPageBreak/>
        <w:t xml:space="preserve">shkallëve të gjykimit, të shqyrtimit të ankimit brenda afatit të arsyeshëm, si dhe të sigurisë juridike; b) se pretendimet e gjykatës referuese </w:t>
      </w:r>
      <w:r w:rsidRPr="00B56DAA">
        <w:rPr>
          <w:rFonts w:ascii="Garamond" w:hAnsi="Garamond"/>
          <w:i/>
        </w:rPr>
        <w:t>nuk janë ngritur në nivel kushtetues</w:t>
      </w:r>
      <w:r w:rsidRPr="00B56DAA">
        <w:rPr>
          <w:rFonts w:ascii="Garamond" w:hAnsi="Garamond"/>
        </w:rPr>
        <w:t>, sepse nuk i takon juridiksionit kushtetues zgjidhja e problemeve që rrjedhin nga keqinterpretimi i tekstit të dispozitës apo kuptimi i ndryshëm që gjykata referuese i ka dhënë asaj (</w:t>
      </w:r>
      <w:r w:rsidRPr="00B56DAA">
        <w:rPr>
          <w:rFonts w:ascii="Garamond" w:hAnsi="Garamond"/>
          <w:i/>
        </w:rPr>
        <w:t xml:space="preserve">shih paragrafët </w:t>
      </w:r>
      <w:r w:rsidR="0046105A">
        <w:rPr>
          <w:rFonts w:ascii="Garamond" w:hAnsi="Garamond"/>
          <w:i/>
        </w:rPr>
        <w:t xml:space="preserve">nr. </w:t>
      </w:r>
      <w:r w:rsidRPr="00B56DAA">
        <w:rPr>
          <w:rFonts w:ascii="Garamond" w:hAnsi="Garamond"/>
          <w:i/>
        </w:rPr>
        <w:t>19</w:t>
      </w:r>
      <w:r w:rsidR="002F3ADC">
        <w:rPr>
          <w:rFonts w:ascii="Garamond" w:hAnsi="Garamond"/>
          <w:i/>
        </w:rPr>
        <w:t>–</w:t>
      </w:r>
      <w:r w:rsidRPr="00B56DAA">
        <w:rPr>
          <w:rFonts w:ascii="Garamond" w:hAnsi="Garamond"/>
          <w:i/>
        </w:rPr>
        <w:t>21 të vendimit të shumicës</w:t>
      </w:r>
      <w:r w:rsidRPr="00B56DAA">
        <w:rPr>
          <w:rFonts w:ascii="Garamond" w:hAnsi="Garamond"/>
        </w:rPr>
        <w:t>).</w:t>
      </w: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5. Mendoj se qëndrimet e shumicës, duke </w:t>
      </w:r>
      <w:r w:rsidR="002F3ADC">
        <w:rPr>
          <w:rFonts w:ascii="Garamond" w:hAnsi="Garamond"/>
        </w:rPr>
        <w:t>i</w:t>
      </w:r>
      <w:r w:rsidRPr="00B56DAA">
        <w:rPr>
          <w:rFonts w:ascii="Garamond" w:hAnsi="Garamond"/>
        </w:rPr>
        <w:t>u shmangur thelbit të problemit të shtruar para kësaj Gjykate për zgjidhje, krijojnë paqartësi si në raport me jurisprudencën</w:t>
      </w:r>
      <w:r w:rsidR="0046105A">
        <w:rPr>
          <w:rFonts w:ascii="Garamond" w:hAnsi="Garamond"/>
        </w:rPr>
        <w:t xml:space="preserve"> </w:t>
      </w:r>
      <w:r w:rsidRPr="00B56DAA">
        <w:rPr>
          <w:rFonts w:ascii="Garamond" w:hAnsi="Garamond"/>
        </w:rPr>
        <w:t xml:space="preserve">kësaj Gjykate, ashtu edhe në praktikën e gjykatave të juridiksionit të zakonshëm. </w:t>
      </w: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6. Në një rast analog, sikurse u përmend më lart, Gjykat</w:t>
      </w:r>
      <w:r w:rsidR="00B56DAA">
        <w:rPr>
          <w:rFonts w:ascii="Garamond" w:hAnsi="Garamond"/>
        </w:rPr>
        <w:t xml:space="preserve">a, në vendimin </w:t>
      </w:r>
      <w:r w:rsidR="0046105A">
        <w:rPr>
          <w:rFonts w:ascii="Garamond" w:hAnsi="Garamond"/>
        </w:rPr>
        <w:t xml:space="preserve">nr. </w:t>
      </w:r>
      <w:r w:rsidR="00B56DAA">
        <w:rPr>
          <w:rFonts w:ascii="Garamond" w:hAnsi="Garamond"/>
        </w:rPr>
        <w:t>31, datë 17.</w:t>
      </w:r>
      <w:r w:rsidRPr="00B56DAA">
        <w:rPr>
          <w:rFonts w:ascii="Garamond" w:hAnsi="Garamond"/>
        </w:rPr>
        <w:t>5.2012, ka legjitimuar Gjykatën e Lartë (gjykata referuese në atë çështje) për kontrollin e anti</w:t>
      </w:r>
      <w:r w:rsidR="002F3ADC">
        <w:rPr>
          <w:rFonts w:ascii="Garamond" w:hAnsi="Garamond"/>
        </w:rPr>
        <w:t>-</w:t>
      </w:r>
      <w:r w:rsidRPr="00B56DAA">
        <w:rPr>
          <w:rFonts w:ascii="Garamond" w:hAnsi="Garamond"/>
        </w:rPr>
        <w:t xml:space="preserve">kushtetutshmërisë të nenit 147 të KPP-së, i cili parashikon të njëjtin mjet procedural (rivendosjen në afat të së drejtës së ankimit) në procesin penal dhe ka shqyrtuar themelin e çështjes. Më konkretisht, Gjykata, duke analizuar çështjen e kompetencës funksionale të gjykatës ku paraqitet kërkesa për rivendosjen në afat të së drejtës së ankimit në procesin penal në dritën e parimit të gjykatës së caktuar me ligj, ka vlerësuar se </w:t>
      </w:r>
      <w:r w:rsidRPr="00B56DAA">
        <w:rPr>
          <w:rFonts w:ascii="Garamond" w:hAnsi="Garamond"/>
          <w:i/>
        </w:rPr>
        <w:t>“... shprehja “organi që procedon” i referohet organit që ka dhënë vendimin ndaj të cilit kërkon të ankohet i gjykuari. Pra, nëse i gjykuari kërkon të ushtrojë ankim ndaj vendimit të apelit, kërkesën për rivendosje në afat duhet ta shqyrtojë gjykata e apelit...”.</w:t>
      </w: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7. Nisur nga kjo praktikë e Gjykatës mendoj se shumica, duke mbajtur parasysh rëndësinë që paraqet kërkesa për kontroll incidental për respektimin e parimit të ndarjes e balancimit të pushteteve dhe të funksionimit normal të shtetit të së drejtës, duhet të vinte në diskutim dhe t’u jepte fillimisht përgjigje disa çështjeve:</w:t>
      </w: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7.1. Nëse gjendej përpara një situate juridike të njëjtë me atë të vendimmarrjes së mëparshme, në respekt të jurisprudencës së saj.</w:t>
      </w: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7.2.</w:t>
      </w:r>
      <w:r w:rsidR="0046105A">
        <w:rPr>
          <w:rFonts w:ascii="Garamond" w:hAnsi="Garamond"/>
        </w:rPr>
        <w:t xml:space="preserve"> </w:t>
      </w:r>
      <w:r w:rsidRPr="00B56DAA">
        <w:rPr>
          <w:rFonts w:ascii="Garamond" w:hAnsi="Garamond"/>
        </w:rPr>
        <w:t>Nëse gjykata referuese mund të bënte një interpretim pajtues të nenit 458 të KPC-së, mbështet</w:t>
      </w:r>
      <w:r w:rsidR="00B56DAA">
        <w:rPr>
          <w:rFonts w:ascii="Garamond" w:hAnsi="Garamond"/>
        </w:rPr>
        <w:t xml:space="preserve">ur në vendimin </w:t>
      </w:r>
      <w:r w:rsidR="0046105A">
        <w:rPr>
          <w:rFonts w:ascii="Garamond" w:hAnsi="Garamond"/>
        </w:rPr>
        <w:t xml:space="preserve">nr. </w:t>
      </w:r>
      <w:r w:rsidR="00B56DAA">
        <w:rPr>
          <w:rFonts w:ascii="Garamond" w:hAnsi="Garamond"/>
        </w:rPr>
        <w:t>31, datë 17.</w:t>
      </w:r>
      <w:r w:rsidRPr="00B56DAA">
        <w:rPr>
          <w:rFonts w:ascii="Garamond" w:hAnsi="Garamond"/>
        </w:rPr>
        <w:t>5.2012 që i referohet kërkesës për rivendosjen në afat të së drejtës së ankimit në procesin penal.</w:t>
      </w: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8. Personalisht jam i mendimit se në kushtet e një vendimmarrjeje të kësaj Gjykate mbi të </w:t>
      </w:r>
      <w:r w:rsidRPr="00B56DAA">
        <w:rPr>
          <w:rFonts w:ascii="Garamond" w:hAnsi="Garamond"/>
        </w:rPr>
        <w:lastRenderedPageBreak/>
        <w:t xml:space="preserve">njëjtin mjet procedural, kur dispozitat paraqiten me formulime të ngjashme, për të evituar praktika të ndryshme, të cilat krijojnë paqartësi që çojnë në cenimin e parimit të sigurisë juridike, shumica duhet ta shqyrtonte në themel çështjen. </w:t>
      </w: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9. Gjithashtu, çmoj se edhe në parim dispozita në shqyrtim shfaq probleme lidhur me interpretimin e saj në pajtim me jurisprudencën kushtetuese, çka konfirmohet edhe në vetë vendimin e shumicës, e cila, sikurse u përmend më lart, edhe pse ka arritur në përfundimin se gjykata referuese nuk legjitimohet në kërkimin e saj, </w:t>
      </w:r>
      <w:r w:rsidRPr="00B56DAA">
        <w:rPr>
          <w:rFonts w:ascii="Garamond" w:hAnsi="Garamond"/>
          <w:i/>
        </w:rPr>
        <w:t>de facto</w:t>
      </w:r>
      <w:r w:rsidRPr="00B56DAA">
        <w:rPr>
          <w:rFonts w:ascii="Garamond" w:hAnsi="Garamond"/>
        </w:rPr>
        <w:t xml:space="preserve"> i ka hyrë themelit të çështjes, duke interpretuar nenin 458 të KPC-së nën dri</w:t>
      </w:r>
      <w:r w:rsidR="00B56DAA">
        <w:rPr>
          <w:rFonts w:ascii="Garamond" w:hAnsi="Garamond"/>
        </w:rPr>
        <w:t xml:space="preserve">tën e vendimit </w:t>
      </w:r>
      <w:r w:rsidR="0046105A">
        <w:rPr>
          <w:rFonts w:ascii="Garamond" w:hAnsi="Garamond"/>
        </w:rPr>
        <w:t xml:space="preserve">nr. </w:t>
      </w:r>
      <w:r w:rsidR="00B56DAA">
        <w:rPr>
          <w:rFonts w:ascii="Garamond" w:hAnsi="Garamond"/>
        </w:rPr>
        <w:t>31, datë 17.</w:t>
      </w:r>
      <w:r w:rsidRPr="00B56DAA">
        <w:rPr>
          <w:rFonts w:ascii="Garamond" w:hAnsi="Garamond"/>
        </w:rPr>
        <w:t xml:space="preserve">5.2012 të kësaj Gjykate. </w:t>
      </w: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 xml:space="preserve">10. Nga ana tjetër, duke qenë se gjendemi përpara fushave të ndryshme (civile dhe penale), në ndryshim nga shumica, çmoj se gjykata referuese nuk mund të bënte një interpretim pajtues të normës (nenit 458 të KPC-së) me jurisprudencën kushtetuese. Për këto arsye, me të drejtë ajo i është drejtuar kësaj Gjykate për kontrollin e papajtueshmërisë së normës. </w:t>
      </w:r>
    </w:p>
    <w:p w:rsidR="0067648B" w:rsidRPr="00B56DAA" w:rsidRDefault="0067648B" w:rsidP="00C37C84">
      <w:pPr>
        <w:pStyle w:val="paragrafi0"/>
        <w:spacing w:before="0" w:beforeAutospacing="0" w:after="0" w:afterAutospacing="0"/>
        <w:ind w:firstLine="288"/>
        <w:jc w:val="both"/>
        <w:rPr>
          <w:rFonts w:ascii="Garamond" w:hAnsi="Garamond"/>
        </w:rPr>
      </w:pPr>
      <w:r w:rsidRPr="00B56DAA">
        <w:rPr>
          <w:rFonts w:ascii="Garamond" w:hAnsi="Garamond"/>
        </w:rPr>
        <w:t>11. Për sa më sipër, jam i mendimit se vendimmarrja e shumicës, për këtë kërkim të gjykatës referuese, krijon paqartësi në institutin e rivendosjes në afat të së drejtës së ankimit në fushën civile në krahasim me atë penale, si dhe vendos dy standarde edhe në lidhje me jurisprudencën e lartpërmendur së kësaj Gjykate.</w:t>
      </w:r>
      <w:r w:rsidR="0046105A">
        <w:rPr>
          <w:rFonts w:ascii="Garamond" w:hAnsi="Garamond"/>
        </w:rPr>
        <w:t xml:space="preserve"> </w:t>
      </w:r>
    </w:p>
    <w:p w:rsidR="008E6BEE" w:rsidRPr="00B56DAA" w:rsidRDefault="008E6BEE" w:rsidP="00C37C84">
      <w:pPr>
        <w:pStyle w:val="paragrafi0"/>
        <w:spacing w:before="0" w:beforeAutospacing="0" w:after="0" w:afterAutospacing="0"/>
        <w:ind w:firstLine="288"/>
        <w:jc w:val="both"/>
        <w:rPr>
          <w:rFonts w:ascii="Garamond" w:hAnsi="Garamond"/>
          <w:sz w:val="14"/>
        </w:rPr>
      </w:pPr>
    </w:p>
    <w:p w:rsidR="0067648B" w:rsidRPr="00B56DAA" w:rsidRDefault="008E6BEE" w:rsidP="00C37C84">
      <w:pPr>
        <w:pStyle w:val="paragrafi0"/>
        <w:spacing w:before="0" w:beforeAutospacing="0" w:after="0" w:afterAutospacing="0"/>
        <w:ind w:firstLine="288"/>
        <w:jc w:val="both"/>
        <w:rPr>
          <w:rFonts w:ascii="Garamond" w:hAnsi="Garamond"/>
        </w:rPr>
      </w:pPr>
      <w:r w:rsidRPr="00B56DAA">
        <w:rPr>
          <w:rFonts w:ascii="Garamond" w:hAnsi="Garamond"/>
        </w:rPr>
        <w:lastRenderedPageBreak/>
        <w:t>Anëtar: Vladimir Kristo</w:t>
      </w:r>
    </w:p>
    <w:p w:rsidR="00ED6FFA" w:rsidRPr="00B56DAA" w:rsidRDefault="00ED6FFA" w:rsidP="00CE2E20">
      <w:pPr>
        <w:pStyle w:val="paragrafi0"/>
        <w:spacing w:before="0" w:beforeAutospacing="0" w:after="0" w:afterAutospacing="0"/>
        <w:rPr>
          <w:rFonts w:ascii="Garamond" w:hAnsi="Garamond"/>
        </w:rPr>
      </w:pPr>
    </w:p>
    <w:p w:rsidR="00ED6FFA" w:rsidRPr="00B56DAA" w:rsidRDefault="00ED6FFA" w:rsidP="00C37C84">
      <w:pPr>
        <w:pStyle w:val="NeniTitull"/>
        <w:rPr>
          <w:lang w:val="sq-AL"/>
        </w:rPr>
      </w:pPr>
      <w:r w:rsidRPr="00B56DAA">
        <w:rPr>
          <w:lang w:val="sq-AL"/>
        </w:rPr>
        <w:t>K</w:t>
      </w:r>
      <w:r w:rsidR="00A4436C" w:rsidRPr="00B56DAA">
        <w:rPr>
          <w:lang w:val="sq-AL"/>
        </w:rPr>
        <w:t>Ë</w:t>
      </w:r>
      <w:r w:rsidRPr="00B56DAA">
        <w:rPr>
          <w:lang w:val="sq-AL"/>
        </w:rPr>
        <w:t>RKES</w:t>
      </w:r>
      <w:r w:rsidR="00A4436C" w:rsidRPr="00B56DAA">
        <w:rPr>
          <w:lang w:val="sq-AL"/>
        </w:rPr>
        <w:t>Ë</w:t>
      </w:r>
    </w:p>
    <w:p w:rsidR="00161F17" w:rsidRDefault="00161F17" w:rsidP="00161F17">
      <w:pPr>
        <w:pStyle w:val="NeniTitull"/>
        <w:rPr>
          <w:lang w:val="sq-AL"/>
        </w:rPr>
      </w:pPr>
      <w:r>
        <w:rPr>
          <w:lang w:val="sq-AL"/>
        </w:rPr>
        <w:t xml:space="preserve">Nr. </w:t>
      </w:r>
      <w:r w:rsidRPr="00B56DAA">
        <w:rPr>
          <w:lang w:val="sq-AL"/>
        </w:rPr>
        <w:t>1412/11, datë 14.4.2016</w:t>
      </w:r>
    </w:p>
    <w:p w:rsidR="00161F17" w:rsidRPr="00161F17" w:rsidRDefault="00161F17" w:rsidP="00161F17">
      <w:pPr>
        <w:spacing w:after="0"/>
        <w:rPr>
          <w:sz w:val="14"/>
          <w:szCs w:val="14"/>
          <w:lang w:val="sq-AL"/>
        </w:rPr>
      </w:pPr>
    </w:p>
    <w:p w:rsidR="00ED6FFA" w:rsidRPr="00B56DAA" w:rsidRDefault="00ED6FFA" w:rsidP="00C37C84">
      <w:pPr>
        <w:pStyle w:val="NeniTitull"/>
        <w:rPr>
          <w:lang w:val="sq-AL"/>
        </w:rPr>
      </w:pPr>
      <w:r w:rsidRPr="00B56DAA">
        <w:rPr>
          <w:lang w:val="sq-AL"/>
        </w:rPr>
        <w:t>P</w:t>
      </w:r>
      <w:r w:rsidR="00A4436C" w:rsidRPr="00B56DAA">
        <w:rPr>
          <w:lang w:val="sq-AL"/>
        </w:rPr>
        <w:t>Ë</w:t>
      </w:r>
      <w:r w:rsidRPr="00B56DAA">
        <w:rPr>
          <w:lang w:val="sq-AL"/>
        </w:rPr>
        <w:t>R SHPRON</w:t>
      </w:r>
      <w:r w:rsidR="00A4436C" w:rsidRPr="00B56DAA">
        <w:rPr>
          <w:lang w:val="sq-AL"/>
        </w:rPr>
        <w:t>Ë</w:t>
      </w:r>
      <w:r w:rsidRPr="00B56DAA">
        <w:rPr>
          <w:lang w:val="sq-AL"/>
        </w:rPr>
        <w:t>SIM PUBLIK</w:t>
      </w:r>
    </w:p>
    <w:p w:rsidR="00ED6FFA" w:rsidRPr="00B56DAA" w:rsidRDefault="00ED6FFA" w:rsidP="00BA6DD4">
      <w:pPr>
        <w:pStyle w:val="Hapesira7"/>
        <w:rPr>
          <w:lang w:val="sq-AL"/>
        </w:rPr>
      </w:pPr>
    </w:p>
    <w:p w:rsidR="00ED6FFA" w:rsidRPr="00B56DAA" w:rsidRDefault="00ED6FFA" w:rsidP="00C37C84">
      <w:pPr>
        <w:pStyle w:val="paragrafi0"/>
        <w:spacing w:before="0" w:beforeAutospacing="0" w:after="0" w:afterAutospacing="0"/>
        <w:ind w:firstLine="288"/>
        <w:jc w:val="both"/>
        <w:rPr>
          <w:rFonts w:ascii="Garamond" w:hAnsi="Garamond"/>
        </w:rPr>
      </w:pPr>
      <w:r w:rsidRPr="00B56DAA">
        <w:rPr>
          <w:rFonts w:ascii="Garamond" w:hAnsi="Garamond"/>
        </w:rPr>
        <w:t>Ministria e energjis</w:t>
      </w:r>
      <w:r w:rsidR="00A4436C" w:rsidRPr="00B56DAA">
        <w:rPr>
          <w:rFonts w:ascii="Garamond" w:hAnsi="Garamond"/>
        </w:rPr>
        <w:t>ë</w:t>
      </w:r>
      <w:r w:rsidRPr="00B56DAA">
        <w:rPr>
          <w:rFonts w:ascii="Garamond" w:hAnsi="Garamond"/>
        </w:rPr>
        <w:t xml:space="preserve"> dhe Industris</w:t>
      </w:r>
      <w:r w:rsidR="00A4436C" w:rsidRPr="00B56DAA">
        <w:rPr>
          <w:rFonts w:ascii="Garamond" w:hAnsi="Garamond"/>
        </w:rPr>
        <w:t>ë</w:t>
      </w:r>
      <w:r w:rsidRPr="00B56DAA">
        <w:rPr>
          <w:rFonts w:ascii="Garamond" w:hAnsi="Garamond"/>
        </w:rPr>
        <w:t xml:space="preserve"> shpall k</w:t>
      </w:r>
      <w:r w:rsidR="00A4436C" w:rsidRPr="00B56DAA">
        <w:rPr>
          <w:rFonts w:ascii="Garamond" w:hAnsi="Garamond"/>
        </w:rPr>
        <w:t>ë</w:t>
      </w:r>
      <w:r w:rsidRPr="00B56DAA">
        <w:rPr>
          <w:rFonts w:ascii="Garamond" w:hAnsi="Garamond"/>
        </w:rPr>
        <w:t>rkes</w:t>
      </w:r>
      <w:r w:rsidR="00A4436C" w:rsidRPr="00B56DAA">
        <w:rPr>
          <w:rFonts w:ascii="Garamond" w:hAnsi="Garamond"/>
        </w:rPr>
        <w:t>ë</w:t>
      </w:r>
      <w:r w:rsidRPr="00B56DAA">
        <w:rPr>
          <w:rFonts w:ascii="Garamond" w:hAnsi="Garamond"/>
        </w:rPr>
        <w:t>n p</w:t>
      </w:r>
      <w:r w:rsidR="00A4436C" w:rsidRPr="00B56DAA">
        <w:rPr>
          <w:rFonts w:ascii="Garamond" w:hAnsi="Garamond"/>
        </w:rPr>
        <w:t>ë</w:t>
      </w:r>
      <w:r w:rsidRPr="00B56DAA">
        <w:rPr>
          <w:rFonts w:ascii="Garamond" w:hAnsi="Garamond"/>
        </w:rPr>
        <w:t>r shpron</w:t>
      </w:r>
      <w:r w:rsidR="00A4436C" w:rsidRPr="00B56DAA">
        <w:rPr>
          <w:rFonts w:ascii="Garamond" w:hAnsi="Garamond"/>
        </w:rPr>
        <w:t>ë</w:t>
      </w:r>
      <w:r w:rsidRPr="00B56DAA">
        <w:rPr>
          <w:rFonts w:ascii="Garamond" w:hAnsi="Garamond"/>
        </w:rPr>
        <w:t>sim me interes publik t</w:t>
      </w:r>
      <w:r w:rsidR="00A4436C" w:rsidRPr="00B56DAA">
        <w:rPr>
          <w:rFonts w:ascii="Garamond" w:hAnsi="Garamond"/>
        </w:rPr>
        <w:t>ë</w:t>
      </w:r>
      <w:r w:rsidRPr="00B56DAA">
        <w:rPr>
          <w:rFonts w:ascii="Garamond" w:hAnsi="Garamond"/>
        </w:rPr>
        <w:t xml:space="preserve"> pasurive t</w:t>
      </w:r>
      <w:r w:rsidR="00A4436C" w:rsidRPr="00B56DAA">
        <w:rPr>
          <w:rFonts w:ascii="Garamond" w:hAnsi="Garamond"/>
        </w:rPr>
        <w:t>ë</w:t>
      </w:r>
      <w:r w:rsidRPr="00B56DAA">
        <w:rPr>
          <w:rFonts w:ascii="Garamond" w:hAnsi="Garamond"/>
        </w:rPr>
        <w:t xml:space="preserve"> paluajtshme t</w:t>
      </w:r>
      <w:r w:rsidR="00A4436C" w:rsidRPr="00B56DAA">
        <w:rPr>
          <w:rFonts w:ascii="Garamond" w:hAnsi="Garamond"/>
        </w:rPr>
        <w:t>ë</w:t>
      </w:r>
      <w:r w:rsidRPr="00B56DAA">
        <w:rPr>
          <w:rFonts w:ascii="Garamond" w:hAnsi="Garamond"/>
        </w:rPr>
        <w:t xml:space="preserve"> tipit “tok</w:t>
      </w:r>
      <w:r w:rsidR="00A4436C" w:rsidRPr="00B56DAA">
        <w:rPr>
          <w:rFonts w:ascii="Garamond" w:hAnsi="Garamond"/>
        </w:rPr>
        <w:t>ë</w:t>
      </w:r>
      <w:r w:rsidRPr="00B56DAA">
        <w:rPr>
          <w:rFonts w:ascii="Garamond" w:hAnsi="Garamond"/>
        </w:rPr>
        <w:t xml:space="preserve"> bujq</w:t>
      </w:r>
      <w:r w:rsidR="00A4436C" w:rsidRPr="00B56DAA">
        <w:rPr>
          <w:rFonts w:ascii="Garamond" w:hAnsi="Garamond"/>
        </w:rPr>
        <w:t>ë</w:t>
      </w:r>
      <w:r w:rsidRPr="00B56DAA">
        <w:rPr>
          <w:rFonts w:ascii="Garamond" w:hAnsi="Garamond"/>
        </w:rPr>
        <w:t>sore ar</w:t>
      </w:r>
      <w:r w:rsidR="00A4436C" w:rsidRPr="00B56DAA">
        <w:rPr>
          <w:rFonts w:ascii="Garamond" w:hAnsi="Garamond"/>
        </w:rPr>
        <w:t>ë</w:t>
      </w:r>
      <w:r w:rsidRPr="00B56DAA">
        <w:rPr>
          <w:rFonts w:ascii="Garamond" w:hAnsi="Garamond"/>
        </w:rPr>
        <w:t>”</w:t>
      </w:r>
      <w:r w:rsidR="009C30D9">
        <w:rPr>
          <w:rFonts w:ascii="Garamond" w:hAnsi="Garamond"/>
        </w:rPr>
        <w:t>,</w:t>
      </w:r>
      <w:r w:rsidRPr="00B56DAA">
        <w:rPr>
          <w:rFonts w:ascii="Garamond" w:hAnsi="Garamond"/>
        </w:rPr>
        <w:t xml:space="preserve"> q</w:t>
      </w:r>
      <w:r w:rsidR="00A4436C" w:rsidRPr="00B56DAA">
        <w:rPr>
          <w:rFonts w:ascii="Garamond" w:hAnsi="Garamond"/>
        </w:rPr>
        <w:t>ë</w:t>
      </w:r>
      <w:r w:rsidRPr="00B56DAA">
        <w:rPr>
          <w:rFonts w:ascii="Garamond" w:hAnsi="Garamond"/>
        </w:rPr>
        <w:t xml:space="preserve"> preken nga “Nd</w:t>
      </w:r>
      <w:r w:rsidR="00A4436C" w:rsidRPr="00B56DAA">
        <w:rPr>
          <w:rFonts w:ascii="Garamond" w:hAnsi="Garamond"/>
        </w:rPr>
        <w:t>ë</w:t>
      </w:r>
      <w:r w:rsidRPr="00B56DAA">
        <w:rPr>
          <w:rFonts w:ascii="Garamond" w:hAnsi="Garamond"/>
        </w:rPr>
        <w:t xml:space="preserve">rtimi i N/Stacionit </w:t>
      </w:r>
      <w:r w:rsidR="009C30D9" w:rsidRPr="00B56DAA">
        <w:rPr>
          <w:rFonts w:ascii="Garamond" w:hAnsi="Garamond"/>
        </w:rPr>
        <w:t xml:space="preserve">TEC </w:t>
      </w:r>
      <w:r w:rsidRPr="00B56DAA">
        <w:rPr>
          <w:rFonts w:ascii="Garamond" w:hAnsi="Garamond"/>
        </w:rPr>
        <w:t xml:space="preserve">Kombinat 110/20 </w:t>
      </w:r>
      <w:r w:rsidR="00161F17">
        <w:rPr>
          <w:rFonts w:ascii="Garamond" w:hAnsi="Garamond"/>
        </w:rPr>
        <w:t>k</w:t>
      </w:r>
      <w:r w:rsidRPr="00B56DAA">
        <w:rPr>
          <w:rFonts w:ascii="Garamond" w:hAnsi="Garamond"/>
        </w:rPr>
        <w:t>v, Tiran</w:t>
      </w:r>
      <w:r w:rsidR="00A4436C" w:rsidRPr="00B56DAA">
        <w:rPr>
          <w:rFonts w:ascii="Garamond" w:hAnsi="Garamond"/>
        </w:rPr>
        <w:t>ë</w:t>
      </w:r>
      <w:r w:rsidRPr="00B56DAA">
        <w:rPr>
          <w:rFonts w:ascii="Garamond" w:hAnsi="Garamond"/>
        </w:rPr>
        <w:t>”.</w:t>
      </w:r>
    </w:p>
    <w:p w:rsidR="00ED6FFA" w:rsidRPr="00B56DAA" w:rsidRDefault="00ED6FFA" w:rsidP="00C37C84">
      <w:pPr>
        <w:pStyle w:val="paragrafi0"/>
        <w:spacing w:before="0" w:beforeAutospacing="0" w:after="0" w:afterAutospacing="0"/>
        <w:ind w:firstLine="288"/>
        <w:jc w:val="both"/>
        <w:rPr>
          <w:rFonts w:ascii="Garamond" w:hAnsi="Garamond"/>
        </w:rPr>
      </w:pPr>
      <w:r w:rsidRPr="00B56DAA">
        <w:rPr>
          <w:rFonts w:ascii="Garamond" w:hAnsi="Garamond"/>
        </w:rPr>
        <w:t>Me an</w:t>
      </w:r>
      <w:r w:rsidR="00A4436C" w:rsidRPr="00B56DAA">
        <w:rPr>
          <w:rFonts w:ascii="Garamond" w:hAnsi="Garamond"/>
        </w:rPr>
        <w:t>ë</w:t>
      </w:r>
      <w:r w:rsidRPr="00B56DAA">
        <w:rPr>
          <w:rFonts w:ascii="Garamond" w:hAnsi="Garamond"/>
        </w:rPr>
        <w:t>n e k</w:t>
      </w:r>
      <w:r w:rsidR="00A4436C" w:rsidRPr="00B56DAA">
        <w:rPr>
          <w:rFonts w:ascii="Garamond" w:hAnsi="Garamond"/>
        </w:rPr>
        <w:t>ë</w:t>
      </w:r>
      <w:r w:rsidRPr="00B56DAA">
        <w:rPr>
          <w:rFonts w:ascii="Garamond" w:hAnsi="Garamond"/>
        </w:rPr>
        <w:t>tij publikimi n</w:t>
      </w:r>
      <w:r w:rsidR="00A4436C" w:rsidRPr="00B56DAA">
        <w:rPr>
          <w:rFonts w:ascii="Garamond" w:hAnsi="Garamond"/>
        </w:rPr>
        <w:t>ë</w:t>
      </w:r>
      <w:r w:rsidRPr="00B56DAA">
        <w:rPr>
          <w:rFonts w:ascii="Garamond" w:hAnsi="Garamond"/>
        </w:rPr>
        <w:t xml:space="preserve"> shtyp k</w:t>
      </w:r>
      <w:r w:rsidR="00A4436C" w:rsidRPr="00B56DAA">
        <w:rPr>
          <w:rFonts w:ascii="Garamond" w:hAnsi="Garamond"/>
        </w:rPr>
        <w:t>ë</w:t>
      </w:r>
      <w:r w:rsidRPr="00B56DAA">
        <w:rPr>
          <w:rFonts w:ascii="Garamond" w:hAnsi="Garamond"/>
        </w:rPr>
        <w:t>rkojm</w:t>
      </w:r>
      <w:r w:rsidR="00A4436C" w:rsidRPr="00B56DAA">
        <w:rPr>
          <w:rFonts w:ascii="Garamond" w:hAnsi="Garamond"/>
        </w:rPr>
        <w:t>ë</w:t>
      </w:r>
      <w:r w:rsidRPr="00B56DAA">
        <w:rPr>
          <w:rFonts w:ascii="Garamond" w:hAnsi="Garamond"/>
        </w:rPr>
        <w:t xml:space="preserve"> t</w:t>
      </w:r>
      <w:r w:rsidR="00A4436C" w:rsidRPr="00B56DAA">
        <w:rPr>
          <w:rFonts w:ascii="Garamond" w:hAnsi="Garamond"/>
        </w:rPr>
        <w:t>ë</w:t>
      </w:r>
      <w:r w:rsidRPr="00B56DAA">
        <w:rPr>
          <w:rFonts w:ascii="Garamond" w:hAnsi="Garamond"/>
        </w:rPr>
        <w:t xml:space="preserve"> v</w:t>
      </w:r>
      <w:r w:rsidR="00A4436C" w:rsidRPr="00B56DAA">
        <w:rPr>
          <w:rFonts w:ascii="Garamond" w:hAnsi="Garamond"/>
        </w:rPr>
        <w:t>ë</w:t>
      </w:r>
      <w:r w:rsidRPr="00B56DAA">
        <w:rPr>
          <w:rFonts w:ascii="Garamond" w:hAnsi="Garamond"/>
        </w:rPr>
        <w:t>m</w:t>
      </w:r>
      <w:r w:rsidR="00A4436C" w:rsidRPr="00B56DAA">
        <w:rPr>
          <w:rFonts w:ascii="Garamond" w:hAnsi="Garamond"/>
        </w:rPr>
        <w:t>ë</w:t>
      </w:r>
      <w:r w:rsidRPr="00B56DAA">
        <w:rPr>
          <w:rFonts w:ascii="Garamond" w:hAnsi="Garamond"/>
        </w:rPr>
        <w:t xml:space="preserve"> n</w:t>
      </w:r>
      <w:r w:rsidR="00A4436C" w:rsidRPr="00B56DAA">
        <w:rPr>
          <w:rFonts w:ascii="Garamond" w:hAnsi="Garamond"/>
        </w:rPr>
        <w:t>ë</w:t>
      </w:r>
      <w:r w:rsidRPr="00B56DAA">
        <w:rPr>
          <w:rFonts w:ascii="Garamond" w:hAnsi="Garamond"/>
        </w:rPr>
        <w:t xml:space="preserve"> dijeni personat q</w:t>
      </w:r>
      <w:r w:rsidR="00A4436C" w:rsidRPr="00B56DAA">
        <w:rPr>
          <w:rFonts w:ascii="Garamond" w:hAnsi="Garamond"/>
        </w:rPr>
        <w:t>ë</w:t>
      </w:r>
      <w:r w:rsidRPr="00B56DAA">
        <w:rPr>
          <w:rFonts w:ascii="Garamond" w:hAnsi="Garamond"/>
        </w:rPr>
        <w:t xml:space="preserve"> preken </w:t>
      </w:r>
      <w:r w:rsidR="006E1CAF" w:rsidRPr="00B56DAA">
        <w:rPr>
          <w:rFonts w:ascii="Garamond" w:hAnsi="Garamond"/>
        </w:rPr>
        <w:t>nga ky shpron</w:t>
      </w:r>
      <w:r w:rsidR="00A4436C" w:rsidRPr="00B56DAA">
        <w:rPr>
          <w:rFonts w:ascii="Garamond" w:hAnsi="Garamond"/>
        </w:rPr>
        <w:t>ë</w:t>
      </w:r>
      <w:r w:rsidR="006E1CAF" w:rsidRPr="00B56DAA">
        <w:rPr>
          <w:rFonts w:ascii="Garamond" w:hAnsi="Garamond"/>
        </w:rPr>
        <w:t>sim. V</w:t>
      </w:r>
      <w:r w:rsidR="00A4436C" w:rsidRPr="00B56DAA">
        <w:rPr>
          <w:rFonts w:ascii="Garamond" w:hAnsi="Garamond"/>
        </w:rPr>
        <w:t>ë</w:t>
      </w:r>
      <w:r w:rsidR="006E1CAF" w:rsidRPr="00B56DAA">
        <w:rPr>
          <w:rFonts w:ascii="Garamond" w:hAnsi="Garamond"/>
        </w:rPr>
        <w:t>nia n</w:t>
      </w:r>
      <w:r w:rsidR="00A4436C" w:rsidRPr="00B56DAA">
        <w:rPr>
          <w:rFonts w:ascii="Garamond" w:hAnsi="Garamond"/>
        </w:rPr>
        <w:t>ë</w:t>
      </w:r>
      <w:r w:rsidR="006E1CAF" w:rsidRPr="00B56DAA">
        <w:rPr>
          <w:rFonts w:ascii="Garamond" w:hAnsi="Garamond"/>
        </w:rPr>
        <w:t xml:space="preserve"> dijeni konsiston n</w:t>
      </w:r>
      <w:r w:rsidR="00A4436C" w:rsidRPr="00B56DAA">
        <w:rPr>
          <w:rFonts w:ascii="Garamond" w:hAnsi="Garamond"/>
        </w:rPr>
        <w:t>ë</w:t>
      </w:r>
      <w:r w:rsidR="006E1CAF" w:rsidRPr="00B56DAA">
        <w:rPr>
          <w:rFonts w:ascii="Garamond" w:hAnsi="Garamond"/>
        </w:rPr>
        <w:t xml:space="preserve"> sip</w:t>
      </w:r>
      <w:r w:rsidR="00A4436C" w:rsidRPr="00B56DAA">
        <w:rPr>
          <w:rFonts w:ascii="Garamond" w:hAnsi="Garamond"/>
        </w:rPr>
        <w:t>ë</w:t>
      </w:r>
      <w:r w:rsidR="006E1CAF" w:rsidRPr="00B56DAA">
        <w:rPr>
          <w:rFonts w:ascii="Garamond" w:hAnsi="Garamond"/>
        </w:rPr>
        <w:t>rfaqen e pasuris</w:t>
      </w:r>
      <w:r w:rsidR="00A4436C" w:rsidRPr="00B56DAA">
        <w:rPr>
          <w:rFonts w:ascii="Garamond" w:hAnsi="Garamond"/>
        </w:rPr>
        <w:t>ë</w:t>
      </w:r>
      <w:r w:rsidR="006E1CAF" w:rsidRPr="00B56DAA">
        <w:rPr>
          <w:rFonts w:ascii="Garamond" w:hAnsi="Garamond"/>
        </w:rPr>
        <w:t xml:space="preserve"> q</w:t>
      </w:r>
      <w:r w:rsidR="00A4436C" w:rsidRPr="00B56DAA">
        <w:rPr>
          <w:rFonts w:ascii="Garamond" w:hAnsi="Garamond"/>
        </w:rPr>
        <w:t>ë</w:t>
      </w:r>
      <w:r w:rsidR="006E1CAF" w:rsidRPr="00B56DAA">
        <w:rPr>
          <w:rFonts w:ascii="Garamond" w:hAnsi="Garamond"/>
        </w:rPr>
        <w:t xml:space="preserve"> shpron</w:t>
      </w:r>
      <w:r w:rsidR="00A4436C" w:rsidRPr="00B56DAA">
        <w:rPr>
          <w:rFonts w:ascii="Garamond" w:hAnsi="Garamond"/>
        </w:rPr>
        <w:t>ë</w:t>
      </w:r>
      <w:r w:rsidR="006E1CAF" w:rsidRPr="00B56DAA">
        <w:rPr>
          <w:rFonts w:ascii="Garamond" w:hAnsi="Garamond"/>
        </w:rPr>
        <w:t>sohet, pasuris</w:t>
      </w:r>
      <w:r w:rsidR="00A4436C" w:rsidRPr="00B56DAA">
        <w:rPr>
          <w:rFonts w:ascii="Garamond" w:hAnsi="Garamond"/>
        </w:rPr>
        <w:t>ë</w:t>
      </w:r>
      <w:r w:rsidR="006E1CAF" w:rsidRPr="00B56DAA">
        <w:rPr>
          <w:rFonts w:ascii="Garamond" w:hAnsi="Garamond"/>
        </w:rPr>
        <w:t xml:space="preserve"> q</w:t>
      </w:r>
      <w:r w:rsidR="00A4436C" w:rsidRPr="00B56DAA">
        <w:rPr>
          <w:rFonts w:ascii="Garamond" w:hAnsi="Garamond"/>
        </w:rPr>
        <w:t>ë</w:t>
      </w:r>
      <w:r w:rsidR="006E1CAF" w:rsidRPr="00B56DAA">
        <w:rPr>
          <w:rFonts w:ascii="Garamond" w:hAnsi="Garamond"/>
        </w:rPr>
        <w:t xml:space="preserve"> d</w:t>
      </w:r>
      <w:r w:rsidR="00A4436C" w:rsidRPr="00B56DAA">
        <w:rPr>
          <w:rFonts w:ascii="Garamond" w:hAnsi="Garamond"/>
        </w:rPr>
        <w:t>ë</w:t>
      </w:r>
      <w:r w:rsidR="006E1CAF" w:rsidRPr="00B56DAA">
        <w:rPr>
          <w:rFonts w:ascii="Garamond" w:hAnsi="Garamond"/>
        </w:rPr>
        <w:t>mtohet dhe mas</w:t>
      </w:r>
      <w:r w:rsidR="00A4436C" w:rsidRPr="00B56DAA">
        <w:rPr>
          <w:rFonts w:ascii="Garamond" w:hAnsi="Garamond"/>
        </w:rPr>
        <w:t>ë</w:t>
      </w:r>
      <w:r w:rsidR="006E1CAF" w:rsidRPr="00B56DAA">
        <w:rPr>
          <w:rFonts w:ascii="Garamond" w:hAnsi="Garamond"/>
        </w:rPr>
        <w:t>n e kompensimit p</w:t>
      </w:r>
      <w:r w:rsidR="00A4436C" w:rsidRPr="00B56DAA">
        <w:rPr>
          <w:rFonts w:ascii="Garamond" w:hAnsi="Garamond"/>
        </w:rPr>
        <w:t>ë</w:t>
      </w:r>
      <w:r w:rsidR="006E1CAF" w:rsidRPr="00B56DAA">
        <w:rPr>
          <w:rFonts w:ascii="Garamond" w:hAnsi="Garamond"/>
        </w:rPr>
        <w:t>rkat</w:t>
      </w:r>
      <w:r w:rsidR="00A4436C" w:rsidRPr="00B56DAA">
        <w:rPr>
          <w:rFonts w:ascii="Garamond" w:hAnsi="Garamond"/>
        </w:rPr>
        <w:t>ë</w:t>
      </w:r>
      <w:r w:rsidR="006E1CAF" w:rsidRPr="00B56DAA">
        <w:rPr>
          <w:rFonts w:ascii="Garamond" w:hAnsi="Garamond"/>
        </w:rPr>
        <w:t>s t</w:t>
      </w:r>
      <w:r w:rsidR="00A4436C" w:rsidRPr="00B56DAA">
        <w:rPr>
          <w:rFonts w:ascii="Garamond" w:hAnsi="Garamond"/>
        </w:rPr>
        <w:t>ë</w:t>
      </w:r>
      <w:r w:rsidR="006E1CAF" w:rsidRPr="00B56DAA">
        <w:rPr>
          <w:rFonts w:ascii="Garamond" w:hAnsi="Garamond"/>
        </w:rPr>
        <w:t xml:space="preserve"> llogaritur nga Komisioni i Posaç</w:t>
      </w:r>
      <w:r w:rsidR="00A4436C" w:rsidRPr="00B56DAA">
        <w:rPr>
          <w:rFonts w:ascii="Garamond" w:hAnsi="Garamond"/>
        </w:rPr>
        <w:t>ë</w:t>
      </w:r>
      <w:r w:rsidR="006E1CAF" w:rsidRPr="00B56DAA">
        <w:rPr>
          <w:rFonts w:ascii="Garamond" w:hAnsi="Garamond"/>
        </w:rPr>
        <w:t>m i Shpron</w:t>
      </w:r>
      <w:r w:rsidR="00A4436C" w:rsidRPr="00B56DAA">
        <w:rPr>
          <w:rFonts w:ascii="Garamond" w:hAnsi="Garamond"/>
        </w:rPr>
        <w:t>ë</w:t>
      </w:r>
      <w:r w:rsidR="006E1CAF" w:rsidRPr="00B56DAA">
        <w:rPr>
          <w:rFonts w:ascii="Garamond" w:hAnsi="Garamond"/>
        </w:rPr>
        <w:t>simit</w:t>
      </w:r>
      <w:r w:rsidR="0073554A" w:rsidRPr="00B56DAA">
        <w:rPr>
          <w:rFonts w:ascii="Garamond" w:hAnsi="Garamond"/>
        </w:rPr>
        <w:t xml:space="preserve"> pran</w:t>
      </w:r>
      <w:r w:rsidR="00A4436C" w:rsidRPr="00B56DAA">
        <w:rPr>
          <w:rFonts w:ascii="Garamond" w:hAnsi="Garamond"/>
        </w:rPr>
        <w:t>ë</w:t>
      </w:r>
      <w:r w:rsidR="0073554A" w:rsidRPr="00B56DAA">
        <w:rPr>
          <w:rFonts w:ascii="Garamond" w:hAnsi="Garamond"/>
        </w:rPr>
        <w:t xml:space="preserve"> Ministris</w:t>
      </w:r>
      <w:r w:rsidR="00A4436C" w:rsidRPr="00B56DAA">
        <w:rPr>
          <w:rFonts w:ascii="Garamond" w:hAnsi="Garamond"/>
        </w:rPr>
        <w:t>ë</w:t>
      </w:r>
      <w:r w:rsidR="0073554A" w:rsidRPr="00B56DAA">
        <w:rPr>
          <w:rFonts w:ascii="Garamond" w:hAnsi="Garamond"/>
        </w:rPr>
        <w:t xml:space="preserve"> s</w:t>
      </w:r>
      <w:r w:rsidR="00A4436C" w:rsidRPr="00B56DAA">
        <w:rPr>
          <w:rFonts w:ascii="Garamond" w:hAnsi="Garamond"/>
        </w:rPr>
        <w:t>ë</w:t>
      </w:r>
      <w:r w:rsidR="0073554A" w:rsidRPr="00B56DAA">
        <w:rPr>
          <w:rFonts w:ascii="Garamond" w:hAnsi="Garamond"/>
        </w:rPr>
        <w:t xml:space="preserve"> Energjis</w:t>
      </w:r>
      <w:r w:rsidR="00A4436C" w:rsidRPr="00B56DAA">
        <w:rPr>
          <w:rFonts w:ascii="Garamond" w:hAnsi="Garamond"/>
        </w:rPr>
        <w:t>ë</w:t>
      </w:r>
      <w:r w:rsidR="0073554A" w:rsidRPr="00B56DAA">
        <w:rPr>
          <w:rFonts w:ascii="Garamond" w:hAnsi="Garamond"/>
        </w:rPr>
        <w:t xml:space="preserve"> dhe Industris</w:t>
      </w:r>
      <w:r w:rsidR="00A4436C" w:rsidRPr="00B56DAA">
        <w:rPr>
          <w:rFonts w:ascii="Garamond" w:hAnsi="Garamond"/>
        </w:rPr>
        <w:t>ë</w:t>
      </w:r>
      <w:r w:rsidR="0073554A" w:rsidRPr="00B56DAA">
        <w:rPr>
          <w:rFonts w:ascii="Garamond" w:hAnsi="Garamond"/>
        </w:rPr>
        <w:t xml:space="preserve"> p</w:t>
      </w:r>
      <w:r w:rsidR="00A4436C" w:rsidRPr="00B56DAA">
        <w:rPr>
          <w:rFonts w:ascii="Garamond" w:hAnsi="Garamond"/>
        </w:rPr>
        <w:t>ë</w:t>
      </w:r>
      <w:r w:rsidR="0073554A" w:rsidRPr="00B56DAA">
        <w:rPr>
          <w:rFonts w:ascii="Garamond" w:hAnsi="Garamond"/>
        </w:rPr>
        <w:t>r secilin pronar sipas list</w:t>
      </w:r>
      <w:r w:rsidR="00A4436C" w:rsidRPr="00B56DAA">
        <w:rPr>
          <w:rFonts w:ascii="Garamond" w:hAnsi="Garamond"/>
        </w:rPr>
        <w:t>ë</w:t>
      </w:r>
      <w:r w:rsidR="0073554A" w:rsidRPr="00B56DAA">
        <w:rPr>
          <w:rFonts w:ascii="Garamond" w:hAnsi="Garamond"/>
        </w:rPr>
        <w:t>s em</w:t>
      </w:r>
      <w:r w:rsidR="00A4436C" w:rsidRPr="00B56DAA">
        <w:rPr>
          <w:rFonts w:ascii="Garamond" w:hAnsi="Garamond"/>
        </w:rPr>
        <w:t>ë</w:t>
      </w:r>
      <w:r w:rsidR="0073554A" w:rsidRPr="00B56DAA">
        <w:rPr>
          <w:rFonts w:ascii="Garamond" w:hAnsi="Garamond"/>
        </w:rPr>
        <w:t>rore t</w:t>
      </w:r>
      <w:r w:rsidR="00A4436C" w:rsidRPr="00B56DAA">
        <w:rPr>
          <w:rFonts w:ascii="Garamond" w:hAnsi="Garamond"/>
        </w:rPr>
        <w:t>ë</w:t>
      </w:r>
      <w:r w:rsidR="0073554A" w:rsidRPr="00B56DAA">
        <w:rPr>
          <w:rFonts w:ascii="Garamond" w:hAnsi="Garamond"/>
        </w:rPr>
        <w:t xml:space="preserve"> m</w:t>
      </w:r>
      <w:r w:rsidR="00A4436C" w:rsidRPr="00B56DAA">
        <w:rPr>
          <w:rFonts w:ascii="Garamond" w:hAnsi="Garamond"/>
        </w:rPr>
        <w:t>ë</w:t>
      </w:r>
      <w:r w:rsidR="0073554A" w:rsidRPr="00B56DAA">
        <w:rPr>
          <w:rFonts w:ascii="Garamond" w:hAnsi="Garamond"/>
        </w:rPr>
        <w:t>poshtme.</w:t>
      </w:r>
    </w:p>
    <w:p w:rsidR="0073554A" w:rsidRPr="00B56DAA" w:rsidRDefault="0073554A" w:rsidP="00C37C84">
      <w:pPr>
        <w:pStyle w:val="paragrafi0"/>
        <w:spacing w:before="0" w:beforeAutospacing="0" w:after="0" w:afterAutospacing="0"/>
        <w:ind w:firstLine="288"/>
        <w:jc w:val="both"/>
        <w:rPr>
          <w:rFonts w:ascii="Garamond" w:hAnsi="Garamond"/>
        </w:rPr>
      </w:pPr>
      <w:r w:rsidRPr="00B56DAA">
        <w:rPr>
          <w:rFonts w:ascii="Garamond" w:hAnsi="Garamond"/>
        </w:rPr>
        <w:t>Brenda 15 dit</w:t>
      </w:r>
      <w:r w:rsidR="00A4436C" w:rsidRPr="00B56DAA">
        <w:rPr>
          <w:rFonts w:ascii="Garamond" w:hAnsi="Garamond"/>
        </w:rPr>
        <w:t>ë</w:t>
      </w:r>
      <w:r w:rsidRPr="00B56DAA">
        <w:rPr>
          <w:rFonts w:ascii="Garamond" w:hAnsi="Garamond"/>
        </w:rPr>
        <w:t>ve</w:t>
      </w:r>
      <w:r w:rsidR="00BF4079">
        <w:rPr>
          <w:rFonts w:ascii="Garamond" w:hAnsi="Garamond"/>
        </w:rPr>
        <w:t>,</w:t>
      </w:r>
      <w:r w:rsidRPr="00B56DAA">
        <w:rPr>
          <w:rFonts w:ascii="Garamond" w:hAnsi="Garamond"/>
        </w:rPr>
        <w:t xml:space="preserve"> nga data e fundit e publikimit, personat q</w:t>
      </w:r>
      <w:r w:rsidR="00A4436C" w:rsidRPr="00B56DAA">
        <w:rPr>
          <w:rFonts w:ascii="Garamond" w:hAnsi="Garamond"/>
        </w:rPr>
        <w:t>ë</w:t>
      </w:r>
      <w:r w:rsidRPr="00B56DAA">
        <w:rPr>
          <w:rFonts w:ascii="Garamond" w:hAnsi="Garamond"/>
        </w:rPr>
        <w:t xml:space="preserve"> kan</w:t>
      </w:r>
      <w:r w:rsidR="00A4436C" w:rsidRPr="00B56DAA">
        <w:rPr>
          <w:rFonts w:ascii="Garamond" w:hAnsi="Garamond"/>
        </w:rPr>
        <w:t>ë</w:t>
      </w:r>
      <w:r w:rsidRPr="00B56DAA">
        <w:rPr>
          <w:rFonts w:ascii="Garamond" w:hAnsi="Garamond"/>
        </w:rPr>
        <w:t xml:space="preserve"> emrin n</w:t>
      </w:r>
      <w:r w:rsidR="00A4436C" w:rsidRPr="00B56DAA">
        <w:rPr>
          <w:rFonts w:ascii="Garamond" w:hAnsi="Garamond"/>
        </w:rPr>
        <w:t>ë</w:t>
      </w:r>
      <w:r w:rsidRPr="00B56DAA">
        <w:rPr>
          <w:rFonts w:ascii="Garamond" w:hAnsi="Garamond"/>
        </w:rPr>
        <w:t xml:space="preserve"> list</w:t>
      </w:r>
      <w:r w:rsidR="00A4436C" w:rsidRPr="00B56DAA">
        <w:rPr>
          <w:rFonts w:ascii="Garamond" w:hAnsi="Garamond"/>
        </w:rPr>
        <w:t>ë</w:t>
      </w:r>
      <w:r w:rsidRPr="00B56DAA">
        <w:rPr>
          <w:rFonts w:ascii="Garamond" w:hAnsi="Garamond"/>
        </w:rPr>
        <w:t>n em</w:t>
      </w:r>
      <w:r w:rsidR="00A4436C" w:rsidRPr="00B56DAA">
        <w:rPr>
          <w:rFonts w:ascii="Garamond" w:hAnsi="Garamond"/>
        </w:rPr>
        <w:t>ë</w:t>
      </w:r>
      <w:r w:rsidRPr="00B56DAA">
        <w:rPr>
          <w:rFonts w:ascii="Garamond" w:hAnsi="Garamond"/>
        </w:rPr>
        <w:t>rore kan</w:t>
      </w:r>
      <w:r w:rsidR="00A4436C" w:rsidRPr="00B56DAA">
        <w:rPr>
          <w:rFonts w:ascii="Garamond" w:hAnsi="Garamond"/>
        </w:rPr>
        <w:t>ë</w:t>
      </w:r>
      <w:r w:rsidRPr="00B56DAA">
        <w:rPr>
          <w:rFonts w:ascii="Garamond" w:hAnsi="Garamond"/>
        </w:rPr>
        <w:t xml:space="preserve"> t</w:t>
      </w:r>
      <w:r w:rsidR="00A4436C" w:rsidRPr="00B56DAA">
        <w:rPr>
          <w:rFonts w:ascii="Garamond" w:hAnsi="Garamond"/>
        </w:rPr>
        <w:t>ë</w:t>
      </w:r>
      <w:r w:rsidRPr="00B56DAA">
        <w:rPr>
          <w:rFonts w:ascii="Garamond" w:hAnsi="Garamond"/>
        </w:rPr>
        <w:t xml:space="preserve"> drejt</w:t>
      </w:r>
      <w:r w:rsidR="00A4436C" w:rsidRPr="00B56DAA">
        <w:rPr>
          <w:rFonts w:ascii="Garamond" w:hAnsi="Garamond"/>
        </w:rPr>
        <w:t>ë</w:t>
      </w:r>
      <w:r w:rsidRPr="00B56DAA">
        <w:rPr>
          <w:rFonts w:ascii="Garamond" w:hAnsi="Garamond"/>
        </w:rPr>
        <w:t>n t</w:t>
      </w:r>
      <w:r w:rsidR="00A4436C" w:rsidRPr="00B56DAA">
        <w:rPr>
          <w:rFonts w:ascii="Garamond" w:hAnsi="Garamond"/>
        </w:rPr>
        <w:t>ë</w:t>
      </w:r>
      <w:r w:rsidRPr="00B56DAA">
        <w:rPr>
          <w:rFonts w:ascii="Garamond" w:hAnsi="Garamond"/>
        </w:rPr>
        <w:t xml:space="preserve"> paraqesin pretendimet e tyre t</w:t>
      </w:r>
      <w:r w:rsidR="00A4436C" w:rsidRPr="00B56DAA">
        <w:rPr>
          <w:rFonts w:ascii="Garamond" w:hAnsi="Garamond"/>
        </w:rPr>
        <w:t>ë</w:t>
      </w:r>
      <w:r w:rsidRPr="00B56DAA">
        <w:rPr>
          <w:rFonts w:ascii="Garamond" w:hAnsi="Garamond"/>
        </w:rPr>
        <w:t xml:space="preserve"> shoq</w:t>
      </w:r>
      <w:r w:rsidR="00A4436C" w:rsidRPr="00B56DAA">
        <w:rPr>
          <w:rFonts w:ascii="Garamond" w:hAnsi="Garamond"/>
        </w:rPr>
        <w:t>ë</w:t>
      </w:r>
      <w:r w:rsidRPr="00B56DAA">
        <w:rPr>
          <w:rFonts w:ascii="Garamond" w:hAnsi="Garamond"/>
        </w:rPr>
        <w:t>ruara me dokumentet p</w:t>
      </w:r>
      <w:r w:rsidR="00A4436C" w:rsidRPr="00B56DAA">
        <w:rPr>
          <w:rFonts w:ascii="Garamond" w:hAnsi="Garamond"/>
        </w:rPr>
        <w:t>ë</w:t>
      </w:r>
      <w:r w:rsidRPr="00B56DAA">
        <w:rPr>
          <w:rFonts w:ascii="Garamond" w:hAnsi="Garamond"/>
        </w:rPr>
        <w:t>rkat</w:t>
      </w:r>
      <w:r w:rsidR="00A4436C" w:rsidRPr="00B56DAA">
        <w:rPr>
          <w:rFonts w:ascii="Garamond" w:hAnsi="Garamond"/>
        </w:rPr>
        <w:t>ë</w:t>
      </w:r>
      <w:r w:rsidRPr="00B56DAA">
        <w:rPr>
          <w:rFonts w:ascii="Garamond" w:hAnsi="Garamond"/>
        </w:rPr>
        <w:t>se n</w:t>
      </w:r>
      <w:r w:rsidR="00A4436C" w:rsidRPr="00B56DAA">
        <w:rPr>
          <w:rFonts w:ascii="Garamond" w:hAnsi="Garamond"/>
        </w:rPr>
        <w:t>ë</w:t>
      </w:r>
      <w:r w:rsidRPr="00B56DAA">
        <w:rPr>
          <w:rFonts w:ascii="Garamond" w:hAnsi="Garamond"/>
        </w:rPr>
        <w:t xml:space="preserve"> Ministrin</w:t>
      </w:r>
      <w:r w:rsidR="00A4436C" w:rsidRPr="00B56DAA">
        <w:rPr>
          <w:rFonts w:ascii="Garamond" w:hAnsi="Garamond"/>
        </w:rPr>
        <w:t>ë</w:t>
      </w:r>
      <w:r w:rsidRPr="00B56DAA">
        <w:rPr>
          <w:rFonts w:ascii="Garamond" w:hAnsi="Garamond"/>
        </w:rPr>
        <w:t xml:space="preserve"> e Energjis</w:t>
      </w:r>
      <w:r w:rsidR="00A4436C" w:rsidRPr="00B56DAA">
        <w:rPr>
          <w:rFonts w:ascii="Garamond" w:hAnsi="Garamond"/>
        </w:rPr>
        <w:t>ë</w:t>
      </w:r>
      <w:r w:rsidRPr="00B56DAA">
        <w:rPr>
          <w:rFonts w:ascii="Garamond" w:hAnsi="Garamond"/>
        </w:rPr>
        <w:t xml:space="preserve"> dhe Industris</w:t>
      </w:r>
      <w:r w:rsidR="00A4436C" w:rsidRPr="00B56DAA">
        <w:rPr>
          <w:rFonts w:ascii="Garamond" w:hAnsi="Garamond"/>
        </w:rPr>
        <w:t>ë</w:t>
      </w:r>
      <w:r w:rsidR="00BF4079">
        <w:rPr>
          <w:rFonts w:ascii="Garamond" w:hAnsi="Garamond"/>
        </w:rPr>
        <w:t xml:space="preserve">, </w:t>
      </w:r>
      <w:r w:rsidRPr="00B56DAA">
        <w:rPr>
          <w:rFonts w:ascii="Garamond" w:hAnsi="Garamond"/>
        </w:rPr>
        <w:t>pran</w:t>
      </w:r>
      <w:r w:rsidR="00A4436C" w:rsidRPr="00B56DAA">
        <w:rPr>
          <w:rFonts w:ascii="Garamond" w:hAnsi="Garamond"/>
        </w:rPr>
        <w:t>ë</w:t>
      </w:r>
      <w:r w:rsidRPr="00B56DAA">
        <w:rPr>
          <w:rFonts w:ascii="Garamond" w:hAnsi="Garamond"/>
        </w:rPr>
        <w:t xml:space="preserve"> Komisionit t</w:t>
      </w:r>
      <w:r w:rsidR="00A4436C" w:rsidRPr="00B56DAA">
        <w:rPr>
          <w:rFonts w:ascii="Garamond" w:hAnsi="Garamond"/>
        </w:rPr>
        <w:t>ë</w:t>
      </w:r>
      <w:r w:rsidRPr="00B56DAA">
        <w:rPr>
          <w:rFonts w:ascii="Garamond" w:hAnsi="Garamond"/>
        </w:rPr>
        <w:t xml:space="preserve"> Posaç</w:t>
      </w:r>
      <w:r w:rsidR="00A4436C" w:rsidRPr="00B56DAA">
        <w:rPr>
          <w:rFonts w:ascii="Garamond" w:hAnsi="Garamond"/>
        </w:rPr>
        <w:t>ë</w:t>
      </w:r>
      <w:r w:rsidRPr="00B56DAA">
        <w:rPr>
          <w:rFonts w:ascii="Garamond" w:hAnsi="Garamond"/>
        </w:rPr>
        <w:t>m t</w:t>
      </w:r>
      <w:r w:rsidR="00A4436C" w:rsidRPr="00B56DAA">
        <w:rPr>
          <w:rFonts w:ascii="Garamond" w:hAnsi="Garamond"/>
        </w:rPr>
        <w:t>ë</w:t>
      </w:r>
      <w:r w:rsidRPr="00B56DAA">
        <w:rPr>
          <w:rFonts w:ascii="Garamond" w:hAnsi="Garamond"/>
        </w:rPr>
        <w:t xml:space="preserve"> Shpron</w:t>
      </w:r>
      <w:r w:rsidR="00A4436C" w:rsidRPr="00B56DAA">
        <w:rPr>
          <w:rFonts w:ascii="Garamond" w:hAnsi="Garamond"/>
        </w:rPr>
        <w:t>ë</w:t>
      </w:r>
      <w:r w:rsidRPr="00B56DAA">
        <w:rPr>
          <w:rFonts w:ascii="Garamond" w:hAnsi="Garamond"/>
        </w:rPr>
        <w:t>simit.</w:t>
      </w:r>
    </w:p>
    <w:p w:rsidR="0073554A" w:rsidRPr="00B56DAA" w:rsidRDefault="0073554A" w:rsidP="00BA6DD4">
      <w:pPr>
        <w:pStyle w:val="Hapesira7"/>
        <w:rPr>
          <w:lang w:val="sq-AL"/>
        </w:rPr>
      </w:pPr>
    </w:p>
    <w:p w:rsidR="00C37C84" w:rsidRPr="00B56DAA" w:rsidRDefault="0023263B" w:rsidP="00A4436C">
      <w:pPr>
        <w:pStyle w:val="paragrafi0"/>
        <w:spacing w:before="0" w:beforeAutospacing="0" w:after="0" w:afterAutospacing="0"/>
        <w:ind w:firstLine="288"/>
        <w:jc w:val="right"/>
        <w:rPr>
          <w:rFonts w:ascii="Garamond" w:hAnsi="Garamond"/>
        </w:rPr>
      </w:pPr>
      <w:r>
        <w:rPr>
          <w:rFonts w:ascii="Garamond" w:hAnsi="Garamond"/>
        </w:rPr>
        <w:t>ZËVENDËS</w:t>
      </w:r>
      <w:r w:rsidR="0073554A" w:rsidRPr="00B56DAA">
        <w:rPr>
          <w:rFonts w:ascii="Garamond" w:hAnsi="Garamond"/>
        </w:rPr>
        <w:t>MINISTRI</w:t>
      </w:r>
      <w:r w:rsidR="00C37C84" w:rsidRPr="00B56DAA">
        <w:rPr>
          <w:rFonts w:ascii="Garamond" w:hAnsi="Garamond"/>
        </w:rPr>
        <w:t xml:space="preserve"> I ENERGJIS</w:t>
      </w:r>
      <w:r w:rsidR="00A4436C" w:rsidRPr="00B56DAA">
        <w:rPr>
          <w:rFonts w:ascii="Garamond" w:hAnsi="Garamond"/>
        </w:rPr>
        <w:t>Ë</w:t>
      </w:r>
      <w:r w:rsidR="00C37C84" w:rsidRPr="00B56DAA">
        <w:rPr>
          <w:rFonts w:ascii="Garamond" w:hAnsi="Garamond"/>
        </w:rPr>
        <w:t xml:space="preserve"> </w:t>
      </w:r>
    </w:p>
    <w:p w:rsidR="0073554A" w:rsidRPr="00B56DAA" w:rsidRDefault="00C37C84" w:rsidP="00A4436C">
      <w:pPr>
        <w:pStyle w:val="paragrafi0"/>
        <w:spacing w:before="0" w:beforeAutospacing="0" w:after="0" w:afterAutospacing="0"/>
        <w:ind w:firstLine="288"/>
        <w:jc w:val="right"/>
        <w:rPr>
          <w:rFonts w:ascii="Garamond" w:hAnsi="Garamond"/>
        </w:rPr>
      </w:pPr>
      <w:r w:rsidRPr="00B56DAA">
        <w:rPr>
          <w:rFonts w:ascii="Garamond" w:hAnsi="Garamond"/>
        </w:rPr>
        <w:t>DHE INDUSTRIS</w:t>
      </w:r>
      <w:r w:rsidR="00A4436C" w:rsidRPr="00B56DAA">
        <w:rPr>
          <w:rFonts w:ascii="Garamond" w:hAnsi="Garamond"/>
        </w:rPr>
        <w:t>Ë</w:t>
      </w:r>
    </w:p>
    <w:p w:rsidR="00586810" w:rsidRDefault="0023263B" w:rsidP="00A4436C">
      <w:pPr>
        <w:pStyle w:val="paragrafi0"/>
        <w:spacing w:before="0" w:beforeAutospacing="0" w:after="0" w:afterAutospacing="0"/>
        <w:ind w:firstLine="288"/>
        <w:jc w:val="right"/>
        <w:rPr>
          <w:rFonts w:ascii="Garamond" w:hAnsi="Garamond"/>
          <w:b/>
        </w:rPr>
      </w:pPr>
      <w:r>
        <w:rPr>
          <w:rFonts w:ascii="Garamond" w:hAnsi="Garamond"/>
          <w:b/>
        </w:rPr>
        <w:t>Ilir Bejtja</w:t>
      </w:r>
    </w:p>
    <w:p w:rsidR="00CE2E20" w:rsidRDefault="00CE2E20" w:rsidP="00A4436C">
      <w:pPr>
        <w:pStyle w:val="paragrafi0"/>
        <w:spacing w:before="0" w:beforeAutospacing="0" w:after="0" w:afterAutospacing="0"/>
        <w:ind w:firstLine="288"/>
        <w:jc w:val="right"/>
        <w:rPr>
          <w:rFonts w:ascii="Garamond" w:hAnsi="Garamond"/>
          <w:b/>
        </w:rPr>
      </w:pPr>
    </w:p>
    <w:p w:rsidR="00CE2E20" w:rsidRDefault="00CE2E20" w:rsidP="00A4436C">
      <w:pPr>
        <w:pStyle w:val="paragrafi0"/>
        <w:spacing w:before="0" w:beforeAutospacing="0" w:after="0" w:afterAutospacing="0"/>
        <w:ind w:firstLine="288"/>
        <w:jc w:val="right"/>
        <w:rPr>
          <w:rFonts w:ascii="Garamond" w:hAnsi="Garamond"/>
          <w:b/>
        </w:rPr>
      </w:pPr>
    </w:p>
    <w:p w:rsidR="00CE2E20" w:rsidRDefault="00CE2E20" w:rsidP="00A4436C">
      <w:pPr>
        <w:pStyle w:val="paragrafi0"/>
        <w:spacing w:before="0" w:beforeAutospacing="0" w:after="0" w:afterAutospacing="0"/>
        <w:ind w:firstLine="288"/>
        <w:jc w:val="right"/>
        <w:rPr>
          <w:rFonts w:ascii="Garamond" w:hAnsi="Garamond"/>
          <w:b/>
        </w:rPr>
        <w:sectPr w:rsidR="00CE2E20" w:rsidSect="00586810">
          <w:type w:val="continuous"/>
          <w:pgSz w:w="11907" w:h="16840" w:code="9"/>
          <w:pgMar w:top="720" w:right="1134" w:bottom="720" w:left="1134" w:header="851" w:footer="851" w:gutter="0"/>
          <w:cols w:num="2" w:space="454"/>
          <w:docGrid w:linePitch="360"/>
        </w:sectPr>
      </w:pPr>
    </w:p>
    <w:p w:rsidR="00C37C84" w:rsidRPr="00B56DAA" w:rsidRDefault="00BF4079" w:rsidP="00BF4079">
      <w:pPr>
        <w:pStyle w:val="paragrafi0"/>
        <w:spacing w:before="0" w:beforeAutospacing="0" w:after="0" w:afterAutospacing="0"/>
        <w:jc w:val="center"/>
        <w:rPr>
          <w:rFonts w:ascii="Garamond" w:hAnsi="Garamond"/>
        </w:rPr>
      </w:pPr>
      <w:r w:rsidRPr="00B56DAA">
        <w:rPr>
          <w:rFonts w:ascii="Garamond" w:hAnsi="Garamond"/>
        </w:rPr>
        <w:lastRenderedPageBreak/>
        <w:t>LISTA E PRONARËVE TË PASURIVE TË PALUAJTSHME, PRONË PRIVATE</w:t>
      </w:r>
      <w:r>
        <w:rPr>
          <w:rFonts w:ascii="Garamond" w:hAnsi="Garamond"/>
        </w:rPr>
        <w:t>,</w:t>
      </w:r>
      <w:r w:rsidRPr="00B56DAA">
        <w:rPr>
          <w:rFonts w:ascii="Garamond" w:hAnsi="Garamond"/>
        </w:rPr>
        <w:t xml:space="preserve"> QË DO TË SHPRONËSOHEN NGA NDËRTIMI PËR INTERES PUBLIK TË OBJEKTIT “NDËRTIMI I N/STACIONIT TEC KOMBINAT 110/20 KV, TIRANË</w:t>
      </w:r>
      <w:r>
        <w:rPr>
          <w:rFonts w:ascii="Garamond" w:hAnsi="Garamond"/>
        </w:rPr>
        <w:t>”</w:t>
      </w:r>
    </w:p>
    <w:p w:rsidR="00C37C84" w:rsidRPr="00B56DAA" w:rsidRDefault="00C37C84" w:rsidP="00C37C84">
      <w:pPr>
        <w:pStyle w:val="paragrafi0"/>
        <w:spacing w:before="0" w:beforeAutospacing="0" w:after="0" w:afterAutospacing="0"/>
        <w:ind w:firstLine="288"/>
        <w:jc w:val="both"/>
        <w:rPr>
          <w:rFonts w:ascii="Garamond" w:hAnsi="Garamond"/>
        </w:rPr>
      </w:pPr>
    </w:p>
    <w:tbl>
      <w:tblPr>
        <w:tblStyle w:val="TableGrid"/>
        <w:tblW w:w="0" w:type="auto"/>
        <w:tblLook w:val="04A0" w:firstRow="1" w:lastRow="0" w:firstColumn="1" w:lastColumn="0" w:noHBand="0" w:noVBand="1"/>
      </w:tblPr>
      <w:tblGrid>
        <w:gridCol w:w="478"/>
        <w:gridCol w:w="1266"/>
        <w:gridCol w:w="995"/>
        <w:gridCol w:w="960"/>
        <w:gridCol w:w="879"/>
        <w:gridCol w:w="1027"/>
        <w:gridCol w:w="954"/>
        <w:gridCol w:w="1094"/>
        <w:gridCol w:w="1011"/>
        <w:gridCol w:w="1191"/>
      </w:tblGrid>
      <w:tr w:rsidR="00A4436C" w:rsidRPr="00B56DAA" w:rsidTr="0023263B">
        <w:tc>
          <w:tcPr>
            <w:tcW w:w="480" w:type="dxa"/>
          </w:tcPr>
          <w:p w:rsidR="009F59EB" w:rsidRPr="00B56DAA" w:rsidRDefault="0046105A" w:rsidP="00302097">
            <w:pPr>
              <w:pStyle w:val="paragrafi0"/>
              <w:spacing w:before="0" w:beforeAutospacing="0" w:after="0" w:afterAutospacing="0"/>
              <w:jc w:val="center"/>
              <w:rPr>
                <w:rFonts w:ascii="Garamond" w:hAnsi="Garamond"/>
                <w:b/>
                <w:sz w:val="18"/>
                <w:szCs w:val="18"/>
              </w:rPr>
            </w:pPr>
            <w:r>
              <w:rPr>
                <w:rFonts w:ascii="Garamond" w:hAnsi="Garamond"/>
                <w:b/>
                <w:sz w:val="18"/>
                <w:szCs w:val="18"/>
              </w:rPr>
              <w:t>Nr.</w:t>
            </w:r>
          </w:p>
        </w:tc>
        <w:tc>
          <w:tcPr>
            <w:tcW w:w="882" w:type="dxa"/>
          </w:tcPr>
          <w:p w:rsidR="009F59EB" w:rsidRPr="00B56DAA" w:rsidRDefault="009F59EB" w:rsidP="00302097">
            <w:pPr>
              <w:pStyle w:val="paragrafi0"/>
              <w:spacing w:before="0" w:beforeAutospacing="0" w:after="0" w:afterAutospacing="0"/>
              <w:jc w:val="center"/>
              <w:rPr>
                <w:rFonts w:ascii="Garamond" w:hAnsi="Garamond"/>
                <w:b/>
                <w:sz w:val="18"/>
                <w:szCs w:val="18"/>
              </w:rPr>
            </w:pPr>
            <w:r w:rsidRPr="00B56DAA">
              <w:rPr>
                <w:rFonts w:ascii="Garamond" w:hAnsi="Garamond"/>
                <w:b/>
                <w:sz w:val="18"/>
                <w:szCs w:val="18"/>
              </w:rPr>
              <w:t>Pronari</w:t>
            </w:r>
          </w:p>
        </w:tc>
        <w:tc>
          <w:tcPr>
            <w:tcW w:w="995" w:type="dxa"/>
          </w:tcPr>
          <w:p w:rsidR="009F59EB" w:rsidRPr="00B56DAA" w:rsidRDefault="009F59EB" w:rsidP="00302097">
            <w:pPr>
              <w:pStyle w:val="paragrafi0"/>
              <w:spacing w:before="0" w:beforeAutospacing="0" w:after="0" w:afterAutospacing="0"/>
              <w:jc w:val="center"/>
              <w:rPr>
                <w:rFonts w:ascii="Garamond" w:hAnsi="Garamond"/>
                <w:b/>
                <w:sz w:val="18"/>
                <w:szCs w:val="18"/>
              </w:rPr>
            </w:pPr>
            <w:r w:rsidRPr="00B56DAA">
              <w:rPr>
                <w:rFonts w:ascii="Garamond" w:hAnsi="Garamond"/>
                <w:b/>
                <w:sz w:val="18"/>
                <w:szCs w:val="18"/>
              </w:rPr>
              <w:t>Zona kadastrale</w:t>
            </w:r>
          </w:p>
        </w:tc>
        <w:tc>
          <w:tcPr>
            <w:tcW w:w="1078" w:type="dxa"/>
          </w:tcPr>
          <w:p w:rsidR="009F59EB" w:rsidRPr="00B56DAA" w:rsidRDefault="0046105A" w:rsidP="00302097">
            <w:pPr>
              <w:pStyle w:val="paragrafi0"/>
              <w:spacing w:before="0" w:beforeAutospacing="0" w:after="0" w:afterAutospacing="0"/>
              <w:jc w:val="center"/>
              <w:rPr>
                <w:rFonts w:ascii="Garamond" w:hAnsi="Garamond"/>
                <w:b/>
                <w:sz w:val="18"/>
                <w:szCs w:val="18"/>
              </w:rPr>
            </w:pPr>
            <w:r>
              <w:rPr>
                <w:rFonts w:ascii="Garamond" w:hAnsi="Garamond"/>
                <w:b/>
                <w:sz w:val="18"/>
                <w:szCs w:val="18"/>
              </w:rPr>
              <w:t xml:space="preserve">Nr. </w:t>
            </w:r>
            <w:r w:rsidR="009F59EB" w:rsidRPr="00B56DAA">
              <w:rPr>
                <w:rFonts w:ascii="Garamond" w:hAnsi="Garamond"/>
                <w:b/>
                <w:sz w:val="18"/>
                <w:szCs w:val="18"/>
              </w:rPr>
              <w:t>pasurie</w:t>
            </w:r>
          </w:p>
        </w:tc>
        <w:tc>
          <w:tcPr>
            <w:tcW w:w="898" w:type="dxa"/>
          </w:tcPr>
          <w:p w:rsidR="009F59EB" w:rsidRPr="00B56DAA" w:rsidRDefault="009F59EB" w:rsidP="00302097">
            <w:pPr>
              <w:pStyle w:val="paragrafi0"/>
              <w:spacing w:before="0" w:beforeAutospacing="0" w:after="0" w:afterAutospacing="0"/>
              <w:jc w:val="center"/>
              <w:rPr>
                <w:rFonts w:ascii="Garamond" w:hAnsi="Garamond"/>
                <w:b/>
                <w:sz w:val="18"/>
                <w:szCs w:val="18"/>
              </w:rPr>
            </w:pPr>
            <w:r w:rsidRPr="00B56DAA">
              <w:rPr>
                <w:rFonts w:ascii="Garamond" w:hAnsi="Garamond"/>
                <w:b/>
                <w:sz w:val="18"/>
                <w:szCs w:val="18"/>
              </w:rPr>
              <w:t>Lloji i</w:t>
            </w:r>
          </w:p>
          <w:p w:rsidR="009F59EB" w:rsidRPr="00B56DAA" w:rsidRDefault="009F59EB" w:rsidP="00302097">
            <w:pPr>
              <w:pStyle w:val="paragrafi0"/>
              <w:spacing w:before="0" w:beforeAutospacing="0" w:after="0" w:afterAutospacing="0"/>
              <w:jc w:val="center"/>
              <w:rPr>
                <w:rFonts w:ascii="Garamond" w:hAnsi="Garamond"/>
                <w:b/>
                <w:sz w:val="18"/>
                <w:szCs w:val="18"/>
              </w:rPr>
            </w:pPr>
            <w:r w:rsidRPr="00B56DAA">
              <w:rPr>
                <w:rFonts w:ascii="Garamond" w:hAnsi="Garamond"/>
                <w:b/>
                <w:sz w:val="18"/>
                <w:szCs w:val="18"/>
              </w:rPr>
              <w:t>pasuris</w:t>
            </w:r>
            <w:r w:rsidR="00A4436C" w:rsidRPr="00B56DAA">
              <w:rPr>
                <w:rFonts w:ascii="Garamond" w:hAnsi="Garamond"/>
                <w:b/>
                <w:sz w:val="18"/>
                <w:szCs w:val="18"/>
              </w:rPr>
              <w:t>ë</w:t>
            </w:r>
          </w:p>
        </w:tc>
        <w:tc>
          <w:tcPr>
            <w:tcW w:w="1075" w:type="dxa"/>
          </w:tcPr>
          <w:p w:rsidR="009F59EB" w:rsidRPr="00B56DAA" w:rsidRDefault="009F59EB" w:rsidP="00302097">
            <w:pPr>
              <w:pStyle w:val="paragrafi0"/>
              <w:spacing w:before="0" w:beforeAutospacing="0" w:after="0" w:afterAutospacing="0"/>
              <w:jc w:val="center"/>
              <w:rPr>
                <w:rFonts w:ascii="Garamond" w:hAnsi="Garamond"/>
                <w:b/>
                <w:sz w:val="18"/>
                <w:szCs w:val="18"/>
              </w:rPr>
            </w:pPr>
            <w:r w:rsidRPr="00B56DAA">
              <w:rPr>
                <w:rFonts w:ascii="Garamond" w:hAnsi="Garamond"/>
                <w:b/>
                <w:sz w:val="18"/>
                <w:szCs w:val="18"/>
              </w:rPr>
              <w:t>Sip. q</w:t>
            </w:r>
            <w:r w:rsidR="00A4436C" w:rsidRPr="00B56DAA">
              <w:rPr>
                <w:rFonts w:ascii="Garamond" w:hAnsi="Garamond"/>
                <w:b/>
                <w:sz w:val="18"/>
                <w:szCs w:val="18"/>
              </w:rPr>
              <w:t>ë</w:t>
            </w:r>
          </w:p>
          <w:p w:rsidR="009F59EB" w:rsidRPr="00B56DAA" w:rsidRDefault="00302097" w:rsidP="00302097">
            <w:pPr>
              <w:pStyle w:val="paragrafi0"/>
              <w:spacing w:before="0" w:beforeAutospacing="0" w:after="0" w:afterAutospacing="0"/>
              <w:jc w:val="center"/>
              <w:rPr>
                <w:rFonts w:ascii="Garamond" w:hAnsi="Garamond"/>
                <w:b/>
                <w:sz w:val="18"/>
                <w:szCs w:val="18"/>
              </w:rPr>
            </w:pPr>
            <w:r w:rsidRPr="00B56DAA">
              <w:rPr>
                <w:rFonts w:ascii="Garamond" w:hAnsi="Garamond"/>
                <w:b/>
                <w:sz w:val="18"/>
                <w:szCs w:val="18"/>
              </w:rPr>
              <w:t>shpronës</w:t>
            </w:r>
            <w:r w:rsidR="009F59EB" w:rsidRPr="00B56DAA">
              <w:rPr>
                <w:rFonts w:ascii="Garamond" w:hAnsi="Garamond"/>
                <w:b/>
                <w:sz w:val="18"/>
                <w:szCs w:val="18"/>
              </w:rPr>
              <w:t>.</w:t>
            </w:r>
          </w:p>
        </w:tc>
        <w:tc>
          <w:tcPr>
            <w:tcW w:w="986" w:type="dxa"/>
          </w:tcPr>
          <w:p w:rsidR="009F59EB" w:rsidRPr="00B56DAA" w:rsidRDefault="009F59EB" w:rsidP="00302097">
            <w:pPr>
              <w:pStyle w:val="paragrafi0"/>
              <w:spacing w:before="0" w:beforeAutospacing="0" w:after="0" w:afterAutospacing="0"/>
              <w:jc w:val="center"/>
              <w:rPr>
                <w:rFonts w:ascii="Garamond" w:hAnsi="Garamond"/>
                <w:b/>
                <w:sz w:val="18"/>
                <w:szCs w:val="18"/>
              </w:rPr>
            </w:pPr>
            <w:r w:rsidRPr="00B56DAA">
              <w:rPr>
                <w:rFonts w:ascii="Garamond" w:hAnsi="Garamond"/>
                <w:b/>
                <w:sz w:val="18"/>
                <w:szCs w:val="18"/>
              </w:rPr>
              <w:t>Çmimi</w:t>
            </w:r>
          </w:p>
          <w:p w:rsidR="009F59EB" w:rsidRPr="00B56DAA" w:rsidRDefault="009F59EB" w:rsidP="00302097">
            <w:pPr>
              <w:pStyle w:val="paragrafi0"/>
              <w:spacing w:before="0" w:beforeAutospacing="0" w:after="0" w:afterAutospacing="0"/>
              <w:jc w:val="center"/>
              <w:rPr>
                <w:rFonts w:ascii="Garamond" w:hAnsi="Garamond"/>
                <w:b/>
                <w:sz w:val="18"/>
                <w:szCs w:val="18"/>
              </w:rPr>
            </w:pPr>
            <w:r w:rsidRPr="00B56DAA">
              <w:rPr>
                <w:rFonts w:ascii="Garamond" w:hAnsi="Garamond"/>
                <w:b/>
                <w:sz w:val="18"/>
                <w:szCs w:val="18"/>
              </w:rPr>
              <w:t>Lek</w:t>
            </w:r>
            <w:r w:rsidR="00A4436C" w:rsidRPr="00B56DAA">
              <w:rPr>
                <w:rFonts w:ascii="Garamond" w:hAnsi="Garamond"/>
                <w:b/>
                <w:sz w:val="18"/>
                <w:szCs w:val="18"/>
              </w:rPr>
              <w:t>ë</w:t>
            </w:r>
            <w:r w:rsidRPr="00B56DAA">
              <w:rPr>
                <w:rFonts w:ascii="Garamond" w:hAnsi="Garamond"/>
                <w:b/>
                <w:sz w:val="18"/>
                <w:szCs w:val="18"/>
              </w:rPr>
              <w:t>/m</w:t>
            </w:r>
            <w:r w:rsidRPr="00B56DAA">
              <w:rPr>
                <w:rFonts w:ascii="Garamond" w:hAnsi="Garamond"/>
                <w:b/>
                <w:sz w:val="18"/>
                <w:szCs w:val="18"/>
                <w:vertAlign w:val="superscript"/>
              </w:rPr>
              <w:t>2</w:t>
            </w:r>
          </w:p>
        </w:tc>
        <w:tc>
          <w:tcPr>
            <w:tcW w:w="1094" w:type="dxa"/>
          </w:tcPr>
          <w:p w:rsidR="009F59EB" w:rsidRPr="00B56DAA" w:rsidRDefault="009F59EB" w:rsidP="00302097">
            <w:pPr>
              <w:pStyle w:val="paragrafi0"/>
              <w:spacing w:before="0" w:beforeAutospacing="0" w:after="0" w:afterAutospacing="0"/>
              <w:jc w:val="center"/>
              <w:rPr>
                <w:rFonts w:ascii="Garamond" w:hAnsi="Garamond"/>
                <w:b/>
                <w:sz w:val="18"/>
                <w:szCs w:val="18"/>
              </w:rPr>
            </w:pPr>
            <w:r w:rsidRPr="00B56DAA">
              <w:rPr>
                <w:rFonts w:ascii="Garamond" w:hAnsi="Garamond"/>
                <w:b/>
                <w:sz w:val="18"/>
                <w:szCs w:val="18"/>
              </w:rPr>
              <w:t>Vlera</w:t>
            </w:r>
            <w:r w:rsidR="00302097">
              <w:rPr>
                <w:rFonts w:ascii="Garamond" w:hAnsi="Garamond"/>
                <w:b/>
                <w:sz w:val="18"/>
                <w:szCs w:val="18"/>
              </w:rPr>
              <w:t>,</w:t>
            </w:r>
            <w:r w:rsidRPr="00B56DAA">
              <w:rPr>
                <w:rFonts w:ascii="Garamond" w:hAnsi="Garamond"/>
                <w:b/>
                <w:sz w:val="18"/>
                <w:szCs w:val="18"/>
              </w:rPr>
              <w:t xml:space="preserve"> lek</w:t>
            </w:r>
            <w:r w:rsidR="00A4436C" w:rsidRPr="00B56DAA">
              <w:rPr>
                <w:rFonts w:ascii="Garamond" w:hAnsi="Garamond"/>
                <w:b/>
                <w:sz w:val="18"/>
                <w:szCs w:val="18"/>
              </w:rPr>
              <w:t>ë</w:t>
            </w:r>
          </w:p>
        </w:tc>
        <w:tc>
          <w:tcPr>
            <w:tcW w:w="1011" w:type="dxa"/>
          </w:tcPr>
          <w:p w:rsidR="009F59EB" w:rsidRPr="00B56DAA" w:rsidRDefault="009F59EB" w:rsidP="00302097">
            <w:pPr>
              <w:pStyle w:val="paragrafi0"/>
              <w:spacing w:before="0" w:beforeAutospacing="0" w:after="0" w:afterAutospacing="0"/>
              <w:jc w:val="center"/>
              <w:rPr>
                <w:rFonts w:ascii="Garamond" w:hAnsi="Garamond"/>
                <w:b/>
                <w:sz w:val="18"/>
                <w:szCs w:val="18"/>
              </w:rPr>
            </w:pPr>
            <w:r w:rsidRPr="00B56DAA">
              <w:rPr>
                <w:rFonts w:ascii="Garamond" w:hAnsi="Garamond"/>
                <w:b/>
                <w:sz w:val="18"/>
                <w:szCs w:val="18"/>
              </w:rPr>
              <w:t>Sh</w:t>
            </w:r>
            <w:r w:rsidR="00A4436C" w:rsidRPr="00B56DAA">
              <w:rPr>
                <w:rFonts w:ascii="Garamond" w:hAnsi="Garamond"/>
                <w:b/>
                <w:sz w:val="18"/>
                <w:szCs w:val="18"/>
              </w:rPr>
              <w:t>ë</w:t>
            </w:r>
            <w:r w:rsidRPr="00B56DAA">
              <w:rPr>
                <w:rFonts w:ascii="Garamond" w:hAnsi="Garamond"/>
                <w:b/>
                <w:sz w:val="18"/>
                <w:szCs w:val="18"/>
              </w:rPr>
              <w:t>nime mbi dok.</w:t>
            </w:r>
          </w:p>
        </w:tc>
        <w:tc>
          <w:tcPr>
            <w:tcW w:w="1356" w:type="dxa"/>
          </w:tcPr>
          <w:p w:rsidR="009F59EB" w:rsidRPr="00B56DAA" w:rsidRDefault="009F59EB" w:rsidP="00302097">
            <w:pPr>
              <w:pStyle w:val="paragrafi0"/>
              <w:spacing w:before="0" w:beforeAutospacing="0" w:after="0" w:afterAutospacing="0"/>
              <w:jc w:val="center"/>
              <w:rPr>
                <w:rFonts w:ascii="Garamond" w:hAnsi="Garamond"/>
                <w:b/>
                <w:sz w:val="18"/>
                <w:szCs w:val="18"/>
              </w:rPr>
            </w:pPr>
            <w:r w:rsidRPr="00B56DAA">
              <w:rPr>
                <w:rFonts w:ascii="Garamond" w:hAnsi="Garamond"/>
                <w:b/>
                <w:sz w:val="18"/>
                <w:szCs w:val="18"/>
              </w:rPr>
              <w:t>Adresa</w:t>
            </w:r>
          </w:p>
        </w:tc>
      </w:tr>
      <w:tr w:rsidR="00A4436C" w:rsidRPr="00B56DAA" w:rsidTr="0023263B">
        <w:tc>
          <w:tcPr>
            <w:tcW w:w="480" w:type="dxa"/>
            <w:vAlign w:val="center"/>
          </w:tcPr>
          <w:p w:rsidR="004A7CED" w:rsidRPr="00B56DAA" w:rsidRDefault="004A7CED" w:rsidP="0023263B">
            <w:pPr>
              <w:pStyle w:val="paragrafi0"/>
              <w:spacing w:before="0" w:beforeAutospacing="0" w:after="0" w:afterAutospacing="0"/>
              <w:jc w:val="center"/>
              <w:rPr>
                <w:rFonts w:ascii="Garamond" w:hAnsi="Garamond"/>
                <w:sz w:val="18"/>
                <w:szCs w:val="18"/>
              </w:rPr>
            </w:pPr>
          </w:p>
          <w:p w:rsidR="004A7CED" w:rsidRPr="00B56DAA" w:rsidRDefault="004A7CED" w:rsidP="0023263B">
            <w:pPr>
              <w:pStyle w:val="paragrafi0"/>
              <w:spacing w:before="0" w:beforeAutospacing="0" w:after="0" w:afterAutospacing="0"/>
              <w:jc w:val="center"/>
              <w:rPr>
                <w:rFonts w:ascii="Garamond" w:hAnsi="Garamond"/>
                <w:sz w:val="18"/>
                <w:szCs w:val="18"/>
              </w:rPr>
            </w:pPr>
          </w:p>
          <w:p w:rsidR="009F59EB" w:rsidRPr="00B56DAA" w:rsidRDefault="009F59EB" w:rsidP="0023263B">
            <w:pPr>
              <w:pStyle w:val="paragrafi0"/>
              <w:spacing w:before="0" w:beforeAutospacing="0" w:after="0" w:afterAutospacing="0"/>
              <w:jc w:val="center"/>
              <w:rPr>
                <w:rFonts w:ascii="Garamond" w:hAnsi="Garamond"/>
                <w:sz w:val="18"/>
                <w:szCs w:val="18"/>
              </w:rPr>
            </w:pPr>
            <w:r w:rsidRPr="00B56DAA">
              <w:rPr>
                <w:rFonts w:ascii="Garamond" w:hAnsi="Garamond"/>
                <w:sz w:val="18"/>
                <w:szCs w:val="18"/>
              </w:rPr>
              <w:t>1</w:t>
            </w:r>
          </w:p>
        </w:tc>
        <w:tc>
          <w:tcPr>
            <w:tcW w:w="882" w:type="dxa"/>
            <w:vAlign w:val="center"/>
          </w:tcPr>
          <w:p w:rsidR="009F59EB" w:rsidRPr="00B56DAA" w:rsidRDefault="00AC6890" w:rsidP="00302097">
            <w:pPr>
              <w:pStyle w:val="paragrafi0"/>
              <w:spacing w:before="0" w:beforeAutospacing="0" w:after="0" w:afterAutospacing="0"/>
              <w:rPr>
                <w:rFonts w:ascii="Garamond" w:hAnsi="Garamond"/>
                <w:sz w:val="18"/>
                <w:szCs w:val="18"/>
              </w:rPr>
            </w:pPr>
            <w:r w:rsidRPr="00B56DAA">
              <w:rPr>
                <w:rFonts w:ascii="Garamond" w:hAnsi="Garamond"/>
                <w:sz w:val="18"/>
                <w:szCs w:val="18"/>
              </w:rPr>
              <w:t>Petrit Sadik Shurdhi</w:t>
            </w:r>
          </w:p>
        </w:tc>
        <w:tc>
          <w:tcPr>
            <w:tcW w:w="995" w:type="dxa"/>
            <w:vAlign w:val="center"/>
          </w:tcPr>
          <w:p w:rsidR="009F59EB" w:rsidRPr="00B56DAA" w:rsidRDefault="004A7CED" w:rsidP="004326B0">
            <w:pPr>
              <w:pStyle w:val="paragrafi0"/>
              <w:spacing w:before="0" w:beforeAutospacing="0" w:after="0" w:afterAutospacing="0"/>
              <w:jc w:val="right"/>
              <w:rPr>
                <w:rFonts w:ascii="Garamond" w:hAnsi="Garamond"/>
                <w:sz w:val="18"/>
                <w:szCs w:val="18"/>
              </w:rPr>
            </w:pPr>
            <w:r w:rsidRPr="00B56DAA">
              <w:rPr>
                <w:rFonts w:ascii="Garamond" w:hAnsi="Garamond"/>
                <w:sz w:val="18"/>
                <w:szCs w:val="18"/>
              </w:rPr>
              <w:t>3866</w:t>
            </w:r>
          </w:p>
        </w:tc>
        <w:tc>
          <w:tcPr>
            <w:tcW w:w="1078" w:type="dxa"/>
            <w:vAlign w:val="center"/>
          </w:tcPr>
          <w:p w:rsidR="009F59EB" w:rsidRPr="00B56DAA" w:rsidRDefault="004A7CED" w:rsidP="004326B0">
            <w:pPr>
              <w:pStyle w:val="paragrafi0"/>
              <w:spacing w:before="0" w:beforeAutospacing="0" w:after="0" w:afterAutospacing="0"/>
              <w:jc w:val="right"/>
              <w:rPr>
                <w:rFonts w:ascii="Garamond" w:hAnsi="Garamond"/>
                <w:sz w:val="18"/>
                <w:szCs w:val="18"/>
              </w:rPr>
            </w:pPr>
            <w:r w:rsidRPr="00B56DAA">
              <w:rPr>
                <w:rFonts w:ascii="Garamond" w:hAnsi="Garamond"/>
                <w:sz w:val="18"/>
                <w:szCs w:val="18"/>
              </w:rPr>
              <w:t>302/11</w:t>
            </w:r>
          </w:p>
        </w:tc>
        <w:tc>
          <w:tcPr>
            <w:tcW w:w="898" w:type="dxa"/>
            <w:vAlign w:val="center"/>
          </w:tcPr>
          <w:p w:rsidR="009F59EB" w:rsidRPr="00B56DAA" w:rsidRDefault="004A7CED" w:rsidP="004326B0">
            <w:pPr>
              <w:pStyle w:val="paragrafi0"/>
              <w:spacing w:before="0" w:beforeAutospacing="0" w:after="0" w:afterAutospacing="0"/>
              <w:jc w:val="right"/>
              <w:rPr>
                <w:rFonts w:ascii="Garamond" w:hAnsi="Garamond"/>
                <w:sz w:val="18"/>
                <w:szCs w:val="18"/>
              </w:rPr>
            </w:pPr>
            <w:r w:rsidRPr="00B56DAA">
              <w:rPr>
                <w:rFonts w:ascii="Garamond" w:hAnsi="Garamond"/>
                <w:sz w:val="18"/>
                <w:szCs w:val="18"/>
              </w:rPr>
              <w:t>ar</w:t>
            </w:r>
            <w:r w:rsidR="00A4436C" w:rsidRPr="00B56DAA">
              <w:rPr>
                <w:rFonts w:ascii="Garamond" w:hAnsi="Garamond"/>
                <w:sz w:val="18"/>
                <w:szCs w:val="18"/>
              </w:rPr>
              <w:t>ë</w:t>
            </w:r>
          </w:p>
        </w:tc>
        <w:tc>
          <w:tcPr>
            <w:tcW w:w="1075" w:type="dxa"/>
            <w:vAlign w:val="center"/>
          </w:tcPr>
          <w:p w:rsidR="009F59EB" w:rsidRPr="00B56DAA" w:rsidRDefault="004A7CED" w:rsidP="004326B0">
            <w:pPr>
              <w:pStyle w:val="paragrafi0"/>
              <w:spacing w:before="0" w:beforeAutospacing="0" w:after="0" w:afterAutospacing="0"/>
              <w:jc w:val="right"/>
              <w:rPr>
                <w:rFonts w:ascii="Garamond" w:hAnsi="Garamond"/>
                <w:sz w:val="18"/>
                <w:szCs w:val="18"/>
              </w:rPr>
            </w:pPr>
            <w:r w:rsidRPr="00B56DAA">
              <w:rPr>
                <w:rFonts w:ascii="Garamond" w:hAnsi="Garamond"/>
                <w:sz w:val="18"/>
                <w:szCs w:val="18"/>
              </w:rPr>
              <w:t>3200</w:t>
            </w:r>
          </w:p>
        </w:tc>
        <w:tc>
          <w:tcPr>
            <w:tcW w:w="986" w:type="dxa"/>
            <w:vAlign w:val="center"/>
          </w:tcPr>
          <w:p w:rsidR="009F59EB" w:rsidRPr="00B56DAA" w:rsidRDefault="004A7CED" w:rsidP="004326B0">
            <w:pPr>
              <w:pStyle w:val="paragrafi0"/>
              <w:spacing w:before="0" w:beforeAutospacing="0" w:after="0" w:afterAutospacing="0"/>
              <w:jc w:val="right"/>
              <w:rPr>
                <w:rFonts w:ascii="Garamond" w:hAnsi="Garamond"/>
                <w:sz w:val="18"/>
                <w:szCs w:val="18"/>
              </w:rPr>
            </w:pPr>
            <w:r w:rsidRPr="00B56DAA">
              <w:rPr>
                <w:rFonts w:ascii="Garamond" w:hAnsi="Garamond"/>
                <w:sz w:val="18"/>
                <w:szCs w:val="18"/>
              </w:rPr>
              <w:t>448</w:t>
            </w:r>
          </w:p>
        </w:tc>
        <w:tc>
          <w:tcPr>
            <w:tcW w:w="1094" w:type="dxa"/>
            <w:vAlign w:val="center"/>
          </w:tcPr>
          <w:p w:rsidR="009F59EB" w:rsidRPr="00B56DAA" w:rsidRDefault="004A7CED" w:rsidP="004326B0">
            <w:pPr>
              <w:pStyle w:val="paragrafi0"/>
              <w:spacing w:before="0" w:beforeAutospacing="0" w:after="0" w:afterAutospacing="0"/>
              <w:jc w:val="right"/>
              <w:rPr>
                <w:rFonts w:ascii="Garamond" w:hAnsi="Garamond"/>
                <w:sz w:val="18"/>
                <w:szCs w:val="18"/>
              </w:rPr>
            </w:pPr>
            <w:r w:rsidRPr="00B56DAA">
              <w:rPr>
                <w:rFonts w:ascii="Garamond" w:hAnsi="Garamond"/>
                <w:sz w:val="18"/>
                <w:szCs w:val="18"/>
              </w:rPr>
              <w:t>1,433,600.00</w:t>
            </w:r>
          </w:p>
        </w:tc>
        <w:tc>
          <w:tcPr>
            <w:tcW w:w="1011" w:type="dxa"/>
            <w:vAlign w:val="center"/>
          </w:tcPr>
          <w:p w:rsidR="009F59EB" w:rsidRPr="00B56DAA" w:rsidRDefault="004A7CED" w:rsidP="00302097">
            <w:pPr>
              <w:pStyle w:val="paragrafi0"/>
              <w:spacing w:before="0" w:beforeAutospacing="0" w:after="0" w:afterAutospacing="0"/>
              <w:rPr>
                <w:rFonts w:ascii="Garamond" w:hAnsi="Garamond"/>
                <w:sz w:val="18"/>
                <w:szCs w:val="18"/>
              </w:rPr>
            </w:pPr>
            <w:r w:rsidRPr="00B56DAA">
              <w:rPr>
                <w:rFonts w:ascii="Garamond" w:hAnsi="Garamond"/>
                <w:sz w:val="18"/>
                <w:szCs w:val="18"/>
              </w:rPr>
              <w:t>Konfirmim</w:t>
            </w:r>
            <w:r w:rsidR="00302097">
              <w:rPr>
                <w:rFonts w:ascii="Garamond" w:hAnsi="Garamond"/>
                <w:sz w:val="18"/>
                <w:szCs w:val="18"/>
              </w:rPr>
              <w:t xml:space="preserve"> nga </w:t>
            </w:r>
          </w:p>
          <w:p w:rsidR="004A7CED" w:rsidRPr="00B56DAA" w:rsidRDefault="004A7CED" w:rsidP="00302097">
            <w:pPr>
              <w:pStyle w:val="paragrafi0"/>
              <w:spacing w:before="0" w:beforeAutospacing="0" w:after="0" w:afterAutospacing="0"/>
              <w:rPr>
                <w:rFonts w:ascii="Garamond" w:hAnsi="Garamond"/>
                <w:sz w:val="18"/>
                <w:szCs w:val="18"/>
              </w:rPr>
            </w:pPr>
            <w:r w:rsidRPr="00B56DAA">
              <w:rPr>
                <w:rFonts w:ascii="Garamond" w:hAnsi="Garamond"/>
                <w:sz w:val="18"/>
                <w:szCs w:val="18"/>
              </w:rPr>
              <w:t>ZVRPP</w:t>
            </w:r>
            <w:r w:rsidR="00302097">
              <w:rPr>
                <w:rFonts w:ascii="Garamond" w:hAnsi="Garamond"/>
                <w:sz w:val="18"/>
                <w:szCs w:val="18"/>
              </w:rPr>
              <w:t>-ja</w:t>
            </w:r>
          </w:p>
        </w:tc>
        <w:tc>
          <w:tcPr>
            <w:tcW w:w="1356" w:type="dxa"/>
            <w:vAlign w:val="center"/>
          </w:tcPr>
          <w:p w:rsidR="009F59EB" w:rsidRPr="00B56DAA" w:rsidRDefault="004A7CED" w:rsidP="00302097">
            <w:pPr>
              <w:pStyle w:val="paragrafi0"/>
              <w:spacing w:before="0" w:beforeAutospacing="0" w:after="0" w:afterAutospacing="0"/>
              <w:rPr>
                <w:rFonts w:ascii="Garamond" w:hAnsi="Garamond"/>
                <w:sz w:val="18"/>
                <w:szCs w:val="18"/>
              </w:rPr>
            </w:pPr>
            <w:r w:rsidRPr="00B56DAA">
              <w:rPr>
                <w:rFonts w:ascii="Garamond" w:hAnsi="Garamond"/>
                <w:sz w:val="18"/>
                <w:szCs w:val="18"/>
              </w:rPr>
              <w:t>Yzberisht,</w:t>
            </w:r>
          </w:p>
          <w:p w:rsidR="004A7CED" w:rsidRPr="00B56DAA" w:rsidRDefault="004A7CED" w:rsidP="00302097">
            <w:pPr>
              <w:pStyle w:val="paragrafi0"/>
              <w:spacing w:before="0" w:beforeAutospacing="0" w:after="0" w:afterAutospacing="0"/>
              <w:rPr>
                <w:rFonts w:ascii="Garamond" w:hAnsi="Garamond"/>
                <w:sz w:val="18"/>
                <w:szCs w:val="18"/>
              </w:rPr>
            </w:pPr>
            <w:r w:rsidRPr="00B56DAA">
              <w:rPr>
                <w:rFonts w:ascii="Garamond" w:hAnsi="Garamond"/>
                <w:sz w:val="18"/>
                <w:szCs w:val="18"/>
              </w:rPr>
              <w:t>Kashar,</w:t>
            </w:r>
          </w:p>
          <w:p w:rsidR="004A7CED" w:rsidRPr="00B56DAA" w:rsidRDefault="004A7CED" w:rsidP="00302097">
            <w:pPr>
              <w:pStyle w:val="paragrafi0"/>
              <w:spacing w:before="0" w:beforeAutospacing="0" w:after="0" w:afterAutospacing="0"/>
              <w:rPr>
                <w:rFonts w:ascii="Garamond" w:hAnsi="Garamond"/>
                <w:sz w:val="18"/>
                <w:szCs w:val="18"/>
              </w:rPr>
            </w:pPr>
            <w:r w:rsidRPr="00B56DAA">
              <w:rPr>
                <w:rFonts w:ascii="Garamond" w:hAnsi="Garamond"/>
                <w:sz w:val="18"/>
                <w:szCs w:val="18"/>
              </w:rPr>
              <w:t>Tiran</w:t>
            </w:r>
            <w:r w:rsidR="00A4436C" w:rsidRPr="00B56DAA">
              <w:rPr>
                <w:rFonts w:ascii="Garamond" w:hAnsi="Garamond"/>
                <w:sz w:val="18"/>
                <w:szCs w:val="18"/>
              </w:rPr>
              <w:t>ë</w:t>
            </w:r>
          </w:p>
        </w:tc>
      </w:tr>
      <w:tr w:rsidR="00A4436C" w:rsidRPr="00B56DAA" w:rsidTr="0023263B">
        <w:tc>
          <w:tcPr>
            <w:tcW w:w="480" w:type="dxa"/>
            <w:vAlign w:val="center"/>
          </w:tcPr>
          <w:p w:rsidR="009F59EB" w:rsidRPr="00B56DAA" w:rsidRDefault="009F59EB" w:rsidP="0023263B">
            <w:pPr>
              <w:pStyle w:val="paragrafi0"/>
              <w:spacing w:before="0" w:beforeAutospacing="0" w:after="0" w:afterAutospacing="0"/>
              <w:jc w:val="center"/>
              <w:rPr>
                <w:rFonts w:ascii="Garamond" w:hAnsi="Garamond"/>
                <w:sz w:val="18"/>
                <w:szCs w:val="18"/>
              </w:rPr>
            </w:pPr>
            <w:r w:rsidRPr="00B56DAA">
              <w:rPr>
                <w:rFonts w:ascii="Garamond" w:hAnsi="Garamond"/>
                <w:sz w:val="18"/>
                <w:szCs w:val="18"/>
              </w:rPr>
              <w:t>2</w:t>
            </w:r>
          </w:p>
        </w:tc>
        <w:tc>
          <w:tcPr>
            <w:tcW w:w="882" w:type="dxa"/>
            <w:vAlign w:val="center"/>
          </w:tcPr>
          <w:p w:rsidR="009F59EB" w:rsidRDefault="0023263B" w:rsidP="00302097">
            <w:pPr>
              <w:pStyle w:val="paragrafi0"/>
              <w:spacing w:before="0" w:beforeAutospacing="0" w:after="0" w:afterAutospacing="0"/>
              <w:rPr>
                <w:rFonts w:ascii="Garamond" w:hAnsi="Garamond"/>
                <w:sz w:val="18"/>
                <w:szCs w:val="18"/>
              </w:rPr>
            </w:pPr>
            <w:r>
              <w:rPr>
                <w:rFonts w:ascii="Garamond" w:hAnsi="Garamond"/>
                <w:sz w:val="18"/>
                <w:szCs w:val="18"/>
              </w:rPr>
              <w:t>Trashëgimtarët</w:t>
            </w:r>
          </w:p>
          <w:p w:rsidR="0023263B" w:rsidRPr="00B56DAA" w:rsidRDefault="0023263B" w:rsidP="00302097">
            <w:pPr>
              <w:pStyle w:val="paragrafi0"/>
              <w:spacing w:before="0" w:beforeAutospacing="0" w:after="0" w:afterAutospacing="0"/>
              <w:rPr>
                <w:rFonts w:ascii="Garamond" w:hAnsi="Garamond"/>
                <w:sz w:val="18"/>
                <w:szCs w:val="18"/>
              </w:rPr>
            </w:pPr>
            <w:r>
              <w:rPr>
                <w:rFonts w:ascii="Garamond" w:hAnsi="Garamond"/>
                <w:sz w:val="18"/>
                <w:szCs w:val="18"/>
              </w:rPr>
              <w:t>Xhani/Prifti</w:t>
            </w:r>
          </w:p>
        </w:tc>
        <w:tc>
          <w:tcPr>
            <w:tcW w:w="995" w:type="dxa"/>
            <w:vAlign w:val="center"/>
          </w:tcPr>
          <w:p w:rsidR="009F59EB" w:rsidRPr="00B56DAA" w:rsidRDefault="004A7CED" w:rsidP="004326B0">
            <w:pPr>
              <w:pStyle w:val="paragrafi0"/>
              <w:spacing w:before="0" w:beforeAutospacing="0" w:after="0" w:afterAutospacing="0"/>
              <w:jc w:val="right"/>
              <w:rPr>
                <w:rFonts w:ascii="Garamond" w:hAnsi="Garamond"/>
                <w:sz w:val="18"/>
                <w:szCs w:val="18"/>
              </w:rPr>
            </w:pPr>
            <w:r w:rsidRPr="00B56DAA">
              <w:rPr>
                <w:rFonts w:ascii="Garamond" w:hAnsi="Garamond"/>
                <w:sz w:val="18"/>
                <w:szCs w:val="18"/>
              </w:rPr>
              <w:t>3866</w:t>
            </w:r>
          </w:p>
        </w:tc>
        <w:tc>
          <w:tcPr>
            <w:tcW w:w="1078" w:type="dxa"/>
            <w:vAlign w:val="center"/>
          </w:tcPr>
          <w:p w:rsidR="009F59EB" w:rsidRPr="00B56DAA" w:rsidRDefault="004A7CED" w:rsidP="004326B0">
            <w:pPr>
              <w:pStyle w:val="paragrafi0"/>
              <w:spacing w:before="0" w:beforeAutospacing="0" w:after="0" w:afterAutospacing="0"/>
              <w:jc w:val="right"/>
              <w:rPr>
                <w:rFonts w:ascii="Garamond" w:hAnsi="Garamond"/>
                <w:sz w:val="18"/>
                <w:szCs w:val="18"/>
              </w:rPr>
            </w:pPr>
            <w:r w:rsidRPr="00B56DAA">
              <w:rPr>
                <w:rFonts w:ascii="Garamond" w:hAnsi="Garamond"/>
                <w:sz w:val="18"/>
                <w:szCs w:val="18"/>
              </w:rPr>
              <w:t>302/12</w:t>
            </w:r>
          </w:p>
        </w:tc>
        <w:tc>
          <w:tcPr>
            <w:tcW w:w="898" w:type="dxa"/>
            <w:vAlign w:val="center"/>
          </w:tcPr>
          <w:p w:rsidR="009F59EB" w:rsidRPr="00B56DAA" w:rsidRDefault="004A7CED" w:rsidP="004326B0">
            <w:pPr>
              <w:pStyle w:val="paragrafi0"/>
              <w:spacing w:before="0" w:beforeAutospacing="0" w:after="0" w:afterAutospacing="0"/>
              <w:jc w:val="right"/>
              <w:rPr>
                <w:rFonts w:ascii="Garamond" w:hAnsi="Garamond"/>
                <w:sz w:val="18"/>
                <w:szCs w:val="18"/>
              </w:rPr>
            </w:pPr>
            <w:r w:rsidRPr="00B56DAA">
              <w:rPr>
                <w:rFonts w:ascii="Garamond" w:hAnsi="Garamond"/>
                <w:sz w:val="18"/>
                <w:szCs w:val="18"/>
              </w:rPr>
              <w:t>ar</w:t>
            </w:r>
            <w:r w:rsidR="00A4436C" w:rsidRPr="00B56DAA">
              <w:rPr>
                <w:rFonts w:ascii="Garamond" w:hAnsi="Garamond"/>
                <w:sz w:val="18"/>
                <w:szCs w:val="18"/>
              </w:rPr>
              <w:t>ë</w:t>
            </w:r>
          </w:p>
        </w:tc>
        <w:tc>
          <w:tcPr>
            <w:tcW w:w="1075" w:type="dxa"/>
            <w:vAlign w:val="center"/>
          </w:tcPr>
          <w:p w:rsidR="009F59EB" w:rsidRPr="00B56DAA" w:rsidRDefault="004A7CED" w:rsidP="004326B0">
            <w:pPr>
              <w:pStyle w:val="paragrafi0"/>
              <w:spacing w:before="0" w:beforeAutospacing="0" w:after="0" w:afterAutospacing="0"/>
              <w:jc w:val="right"/>
              <w:rPr>
                <w:rFonts w:ascii="Garamond" w:hAnsi="Garamond"/>
                <w:sz w:val="18"/>
                <w:szCs w:val="18"/>
              </w:rPr>
            </w:pPr>
            <w:r w:rsidRPr="00B56DAA">
              <w:rPr>
                <w:rFonts w:ascii="Garamond" w:hAnsi="Garamond"/>
                <w:sz w:val="18"/>
                <w:szCs w:val="18"/>
              </w:rPr>
              <w:t>800</w:t>
            </w:r>
          </w:p>
        </w:tc>
        <w:tc>
          <w:tcPr>
            <w:tcW w:w="986" w:type="dxa"/>
            <w:vAlign w:val="center"/>
          </w:tcPr>
          <w:p w:rsidR="009F59EB" w:rsidRPr="00B56DAA" w:rsidRDefault="004A7CED" w:rsidP="004326B0">
            <w:pPr>
              <w:pStyle w:val="paragrafi0"/>
              <w:spacing w:before="0" w:beforeAutospacing="0" w:after="0" w:afterAutospacing="0"/>
              <w:jc w:val="right"/>
              <w:rPr>
                <w:rFonts w:ascii="Garamond" w:hAnsi="Garamond"/>
                <w:sz w:val="18"/>
                <w:szCs w:val="18"/>
              </w:rPr>
            </w:pPr>
            <w:r w:rsidRPr="00B56DAA">
              <w:rPr>
                <w:rFonts w:ascii="Garamond" w:hAnsi="Garamond"/>
                <w:sz w:val="18"/>
                <w:szCs w:val="18"/>
              </w:rPr>
              <w:t>448</w:t>
            </w:r>
          </w:p>
        </w:tc>
        <w:tc>
          <w:tcPr>
            <w:tcW w:w="1094" w:type="dxa"/>
            <w:vAlign w:val="center"/>
          </w:tcPr>
          <w:p w:rsidR="009F59EB" w:rsidRPr="00B56DAA" w:rsidRDefault="004A7CED" w:rsidP="004326B0">
            <w:pPr>
              <w:pStyle w:val="paragrafi0"/>
              <w:spacing w:before="0" w:beforeAutospacing="0" w:after="0" w:afterAutospacing="0"/>
              <w:jc w:val="right"/>
              <w:rPr>
                <w:rFonts w:ascii="Garamond" w:hAnsi="Garamond"/>
                <w:sz w:val="18"/>
                <w:szCs w:val="18"/>
              </w:rPr>
            </w:pPr>
            <w:r w:rsidRPr="00B56DAA">
              <w:rPr>
                <w:rFonts w:ascii="Garamond" w:hAnsi="Garamond"/>
                <w:sz w:val="18"/>
                <w:szCs w:val="18"/>
              </w:rPr>
              <w:t>358,400.00</w:t>
            </w:r>
          </w:p>
        </w:tc>
        <w:tc>
          <w:tcPr>
            <w:tcW w:w="1011" w:type="dxa"/>
            <w:vAlign w:val="center"/>
          </w:tcPr>
          <w:p w:rsidR="009F59EB" w:rsidRPr="00B56DAA" w:rsidRDefault="004A7CED" w:rsidP="00302097">
            <w:pPr>
              <w:pStyle w:val="paragrafi0"/>
              <w:spacing w:before="0" w:beforeAutospacing="0" w:after="0" w:afterAutospacing="0"/>
              <w:rPr>
                <w:rFonts w:ascii="Garamond" w:hAnsi="Garamond"/>
                <w:sz w:val="18"/>
                <w:szCs w:val="18"/>
              </w:rPr>
            </w:pPr>
            <w:r w:rsidRPr="00B56DAA">
              <w:rPr>
                <w:rFonts w:ascii="Garamond" w:hAnsi="Garamond"/>
                <w:sz w:val="18"/>
                <w:szCs w:val="18"/>
              </w:rPr>
              <w:t>Konfirmim</w:t>
            </w:r>
            <w:r w:rsidR="00302097">
              <w:rPr>
                <w:rFonts w:ascii="Garamond" w:hAnsi="Garamond"/>
                <w:sz w:val="18"/>
                <w:szCs w:val="18"/>
              </w:rPr>
              <w:t xml:space="preserve"> nga </w:t>
            </w:r>
            <w:r w:rsidRPr="00B56DAA">
              <w:rPr>
                <w:rFonts w:ascii="Garamond" w:hAnsi="Garamond"/>
                <w:sz w:val="18"/>
                <w:szCs w:val="18"/>
              </w:rPr>
              <w:t>ZVRPP</w:t>
            </w:r>
            <w:r w:rsidR="00302097">
              <w:rPr>
                <w:rFonts w:ascii="Garamond" w:hAnsi="Garamond"/>
                <w:sz w:val="18"/>
                <w:szCs w:val="18"/>
              </w:rPr>
              <w:t>-ja</w:t>
            </w:r>
          </w:p>
        </w:tc>
        <w:tc>
          <w:tcPr>
            <w:tcW w:w="1356" w:type="dxa"/>
            <w:vAlign w:val="center"/>
          </w:tcPr>
          <w:p w:rsidR="004A7CED" w:rsidRPr="00B56DAA" w:rsidRDefault="004A7CED" w:rsidP="00302097">
            <w:pPr>
              <w:pStyle w:val="paragrafi0"/>
              <w:spacing w:before="0" w:beforeAutospacing="0" w:after="0" w:afterAutospacing="0"/>
              <w:rPr>
                <w:rFonts w:ascii="Garamond" w:hAnsi="Garamond"/>
                <w:sz w:val="18"/>
                <w:szCs w:val="18"/>
              </w:rPr>
            </w:pPr>
            <w:r w:rsidRPr="00B56DAA">
              <w:rPr>
                <w:rFonts w:ascii="Garamond" w:hAnsi="Garamond"/>
                <w:sz w:val="18"/>
                <w:szCs w:val="18"/>
              </w:rPr>
              <w:t>Yzberisht,</w:t>
            </w:r>
          </w:p>
          <w:p w:rsidR="004A7CED" w:rsidRPr="00B56DAA" w:rsidRDefault="004A7CED" w:rsidP="00302097">
            <w:pPr>
              <w:pStyle w:val="paragrafi0"/>
              <w:spacing w:before="0" w:beforeAutospacing="0" w:after="0" w:afterAutospacing="0"/>
              <w:rPr>
                <w:rFonts w:ascii="Garamond" w:hAnsi="Garamond"/>
                <w:sz w:val="18"/>
                <w:szCs w:val="18"/>
              </w:rPr>
            </w:pPr>
            <w:r w:rsidRPr="00B56DAA">
              <w:rPr>
                <w:rFonts w:ascii="Garamond" w:hAnsi="Garamond"/>
                <w:sz w:val="18"/>
                <w:szCs w:val="18"/>
              </w:rPr>
              <w:t>Kashar,</w:t>
            </w:r>
          </w:p>
          <w:p w:rsidR="009F59EB" w:rsidRPr="00B56DAA" w:rsidRDefault="004A7CED" w:rsidP="00302097">
            <w:pPr>
              <w:pStyle w:val="paragrafi0"/>
              <w:spacing w:before="0" w:beforeAutospacing="0" w:after="0" w:afterAutospacing="0"/>
              <w:rPr>
                <w:rFonts w:ascii="Garamond" w:hAnsi="Garamond"/>
                <w:sz w:val="18"/>
                <w:szCs w:val="18"/>
              </w:rPr>
            </w:pPr>
            <w:r w:rsidRPr="00B56DAA">
              <w:rPr>
                <w:rFonts w:ascii="Garamond" w:hAnsi="Garamond"/>
                <w:sz w:val="18"/>
                <w:szCs w:val="18"/>
              </w:rPr>
              <w:t>Tiran</w:t>
            </w:r>
            <w:r w:rsidR="00A4436C" w:rsidRPr="00B56DAA">
              <w:rPr>
                <w:rFonts w:ascii="Garamond" w:hAnsi="Garamond"/>
                <w:sz w:val="18"/>
                <w:szCs w:val="18"/>
              </w:rPr>
              <w:t>ë</w:t>
            </w:r>
          </w:p>
        </w:tc>
      </w:tr>
    </w:tbl>
    <w:p w:rsidR="00C37C84" w:rsidRPr="00B56DAA" w:rsidRDefault="00C37C84" w:rsidP="00C37C84">
      <w:pPr>
        <w:pStyle w:val="paragrafi0"/>
        <w:spacing w:before="0" w:beforeAutospacing="0" w:after="0" w:afterAutospacing="0"/>
        <w:ind w:firstLine="288"/>
        <w:jc w:val="both"/>
        <w:rPr>
          <w:rFonts w:ascii="Garamond" w:hAnsi="Garamond"/>
        </w:rPr>
      </w:pPr>
    </w:p>
    <w:p w:rsidR="00CD270D" w:rsidRPr="00CD270D" w:rsidRDefault="0046105A" w:rsidP="00A4436C">
      <w:pPr>
        <w:pStyle w:val="NeniNr"/>
        <w:rPr>
          <w:b/>
          <w:lang w:val="sq-AL"/>
        </w:rPr>
      </w:pPr>
      <w:r>
        <w:rPr>
          <w:lang w:val="sq-AL"/>
        </w:rPr>
        <w:lastRenderedPageBreak/>
        <w:t xml:space="preserve"> </w:t>
      </w:r>
      <w:r w:rsidR="00CD270D" w:rsidRPr="00CD270D">
        <w:rPr>
          <w:b/>
          <w:lang w:val="sq-AL"/>
        </w:rPr>
        <w:t>(Shuma 1+2) 1,792,0</w:t>
      </w:r>
      <w:bookmarkStart w:id="0" w:name="_GoBack"/>
      <w:bookmarkEnd w:id="0"/>
      <w:r w:rsidR="00CD270D" w:rsidRPr="00CD270D">
        <w:rPr>
          <w:b/>
          <w:lang w:val="sq-AL"/>
        </w:rPr>
        <w:t>00.00 lekë</w:t>
      </w:r>
    </w:p>
    <w:p w:rsidR="004326B0" w:rsidRDefault="004326B0" w:rsidP="00A4436C">
      <w:pPr>
        <w:pStyle w:val="NeniNr"/>
        <w:rPr>
          <w:lang w:val="sq-AL"/>
        </w:rPr>
      </w:pPr>
    </w:p>
    <w:p w:rsidR="00CE2E20" w:rsidRDefault="00CE2E20" w:rsidP="00CE2E20">
      <w:pPr>
        <w:pStyle w:val="NeniNr"/>
        <w:jc w:val="both"/>
        <w:rPr>
          <w:lang w:val="sq-AL"/>
        </w:rPr>
        <w:sectPr w:rsidR="00CE2E20" w:rsidSect="00BE33BE">
          <w:type w:val="continuous"/>
          <w:pgSz w:w="11907" w:h="16840" w:code="9"/>
          <w:pgMar w:top="720" w:right="1134" w:bottom="720" w:left="1134" w:header="851" w:footer="851" w:gutter="0"/>
          <w:cols w:space="720"/>
          <w:docGrid w:linePitch="360"/>
        </w:sectPr>
      </w:pPr>
    </w:p>
    <w:p w:rsidR="00C37C84" w:rsidRPr="00B56DAA" w:rsidRDefault="00A4436C" w:rsidP="00E97A7B">
      <w:pPr>
        <w:pStyle w:val="NeniNr"/>
        <w:rPr>
          <w:lang w:val="sq-AL"/>
        </w:rPr>
      </w:pPr>
      <w:r w:rsidRPr="00B56DAA">
        <w:rPr>
          <w:lang w:val="sq-AL"/>
        </w:rPr>
        <w:t>KËRKESË</w:t>
      </w:r>
    </w:p>
    <w:p w:rsidR="00A4436C" w:rsidRPr="00CE2E20" w:rsidRDefault="00A4436C" w:rsidP="00C37C84">
      <w:pPr>
        <w:pStyle w:val="paragrafi0"/>
        <w:spacing w:before="0" w:beforeAutospacing="0" w:after="0" w:afterAutospacing="0"/>
        <w:ind w:firstLine="288"/>
        <w:jc w:val="both"/>
        <w:rPr>
          <w:rFonts w:ascii="Garamond" w:hAnsi="Garamond"/>
          <w:sz w:val="14"/>
        </w:rPr>
      </w:pPr>
    </w:p>
    <w:p w:rsidR="00A4436C" w:rsidRPr="00B56DAA" w:rsidRDefault="00A4436C" w:rsidP="00C37C84">
      <w:pPr>
        <w:pStyle w:val="paragrafi0"/>
        <w:spacing w:before="0" w:beforeAutospacing="0" w:after="0" w:afterAutospacing="0"/>
        <w:ind w:firstLine="288"/>
        <w:jc w:val="both"/>
        <w:rPr>
          <w:rFonts w:ascii="Garamond" w:hAnsi="Garamond"/>
        </w:rPr>
      </w:pPr>
      <w:r w:rsidRPr="00B56DAA">
        <w:rPr>
          <w:rFonts w:ascii="Garamond" w:hAnsi="Garamond"/>
        </w:rPr>
        <w:t>Shtetasi Petrit Mihaj</w:t>
      </w:r>
      <w:r w:rsidR="005703A4">
        <w:rPr>
          <w:rFonts w:ascii="Garamond" w:hAnsi="Garamond"/>
        </w:rPr>
        <w:t>,</w:t>
      </w:r>
      <w:r w:rsidRPr="00B56DAA">
        <w:rPr>
          <w:rFonts w:ascii="Garamond" w:hAnsi="Garamond"/>
        </w:rPr>
        <w:t xml:space="preserve"> i biri i Vasilit dhe i Lenës, i datëlindjes 1.1.1941, lindur dhe banues në fshatin Kravasta, </w:t>
      </w:r>
      <w:r w:rsidR="007A45E9">
        <w:rPr>
          <w:rFonts w:ascii="Garamond" w:hAnsi="Garamond"/>
        </w:rPr>
        <w:t xml:space="preserve">Divjakë, </w:t>
      </w:r>
      <w:r w:rsidRPr="00B56DAA">
        <w:rPr>
          <w:rFonts w:ascii="Garamond" w:hAnsi="Garamond"/>
        </w:rPr>
        <w:t>kërkon pranë Gjykatës së Shkallës së Parë Lushnj</w:t>
      </w:r>
      <w:r w:rsidR="005703A4">
        <w:rPr>
          <w:rFonts w:ascii="Garamond" w:hAnsi="Garamond"/>
        </w:rPr>
        <w:t>ë,</w:t>
      </w:r>
      <w:r w:rsidRPr="00B56DAA">
        <w:rPr>
          <w:rFonts w:ascii="Garamond" w:hAnsi="Garamond"/>
        </w:rPr>
        <w:t xml:space="preserve"> shpalljen të zhdukur të vëllait të tij shtetasit Ferdinand Mihaj.</w:t>
      </w:r>
    </w:p>
    <w:p w:rsidR="00A4436C" w:rsidRPr="00B56DAA" w:rsidRDefault="00A4436C" w:rsidP="00C37C84">
      <w:pPr>
        <w:pStyle w:val="paragrafi0"/>
        <w:spacing w:before="0" w:beforeAutospacing="0" w:after="0" w:afterAutospacing="0"/>
        <w:ind w:firstLine="288"/>
        <w:jc w:val="both"/>
        <w:rPr>
          <w:rFonts w:ascii="Garamond" w:hAnsi="Garamond"/>
        </w:rPr>
      </w:pPr>
    </w:p>
    <w:p w:rsidR="00A4436C" w:rsidRPr="00B56DAA" w:rsidRDefault="00A4436C" w:rsidP="00A4436C">
      <w:pPr>
        <w:pStyle w:val="paragrafi0"/>
        <w:spacing w:before="0" w:beforeAutospacing="0" w:after="0" w:afterAutospacing="0"/>
        <w:ind w:firstLine="288"/>
        <w:jc w:val="right"/>
        <w:rPr>
          <w:rFonts w:ascii="Garamond" w:hAnsi="Garamond"/>
        </w:rPr>
      </w:pPr>
      <w:r w:rsidRPr="00B56DAA">
        <w:rPr>
          <w:rFonts w:ascii="Garamond" w:hAnsi="Garamond"/>
        </w:rPr>
        <w:t>KËRKUESI</w:t>
      </w:r>
    </w:p>
    <w:p w:rsidR="00A4436C" w:rsidRPr="00B56DAA" w:rsidRDefault="00A4436C" w:rsidP="00A4436C">
      <w:pPr>
        <w:pStyle w:val="paragrafi0"/>
        <w:spacing w:before="0" w:beforeAutospacing="0" w:after="0" w:afterAutospacing="0"/>
        <w:ind w:firstLine="288"/>
        <w:jc w:val="right"/>
        <w:rPr>
          <w:rFonts w:ascii="Garamond" w:hAnsi="Garamond"/>
          <w:b/>
        </w:rPr>
      </w:pPr>
      <w:r w:rsidRPr="00B56DAA">
        <w:rPr>
          <w:rFonts w:ascii="Garamond" w:hAnsi="Garamond"/>
          <w:b/>
        </w:rPr>
        <w:t>Petrit Mihaj</w:t>
      </w:r>
    </w:p>
    <w:p w:rsidR="00CE2E20" w:rsidRDefault="00CE2E20" w:rsidP="008F6FB9">
      <w:pPr>
        <w:pStyle w:val="paragrafi0"/>
        <w:spacing w:before="0" w:beforeAutospacing="0" w:after="0" w:afterAutospacing="0"/>
        <w:ind w:firstLine="288"/>
        <w:rPr>
          <w:rFonts w:ascii="Garamond" w:hAnsi="Garamond"/>
        </w:rPr>
        <w:sectPr w:rsidR="00CE2E20" w:rsidSect="00CE2E20">
          <w:type w:val="continuous"/>
          <w:pgSz w:w="11907" w:h="16840" w:code="9"/>
          <w:pgMar w:top="720" w:right="1134" w:bottom="720" w:left="1134" w:header="851" w:footer="851" w:gutter="0"/>
          <w:cols w:num="2" w:space="446"/>
          <w:docGrid w:linePitch="360"/>
        </w:sectPr>
      </w:pPr>
    </w:p>
    <w:p w:rsidR="00C37C84" w:rsidRPr="00B56DAA" w:rsidRDefault="00C37C84" w:rsidP="008F6FB9">
      <w:pPr>
        <w:pStyle w:val="paragrafi0"/>
        <w:spacing w:before="0" w:beforeAutospacing="0" w:after="0" w:afterAutospacing="0"/>
        <w:ind w:firstLine="288"/>
        <w:rPr>
          <w:rFonts w:ascii="Garamond" w:hAnsi="Garamond"/>
        </w:rPr>
      </w:pPr>
    </w:p>
    <w:p w:rsidR="0067648B" w:rsidRPr="00B56DAA" w:rsidRDefault="0067648B" w:rsidP="0067648B">
      <w:pPr>
        <w:pStyle w:val="paragrafi0"/>
        <w:spacing w:before="0" w:beforeAutospacing="0" w:after="0" w:afterAutospacing="0"/>
        <w:rPr>
          <w:rFonts w:ascii="Garamond" w:hAnsi="Garamond"/>
        </w:rPr>
      </w:pPr>
    </w:p>
    <w:p w:rsidR="0067648B" w:rsidRPr="00B56DAA" w:rsidRDefault="0067648B" w:rsidP="0067648B">
      <w:pPr>
        <w:pStyle w:val="paragrafi0"/>
        <w:spacing w:before="0" w:beforeAutospacing="0" w:after="0" w:afterAutospacing="0"/>
        <w:rPr>
          <w:rFonts w:ascii="Garamond" w:hAnsi="Garamond"/>
        </w:rPr>
      </w:pPr>
    </w:p>
    <w:p w:rsidR="00B25C90" w:rsidRPr="00B56DAA" w:rsidRDefault="00B25C90" w:rsidP="0067648B">
      <w:pPr>
        <w:pStyle w:val="paragrafi0"/>
        <w:spacing w:before="0" w:beforeAutospacing="0" w:after="0" w:afterAutospacing="0"/>
        <w:rPr>
          <w:rFonts w:ascii="Garamond" w:hAnsi="Garamond"/>
        </w:rPr>
      </w:pPr>
    </w:p>
    <w:p w:rsidR="0091206D" w:rsidRPr="00B56DAA" w:rsidRDefault="0091206D" w:rsidP="0067648B">
      <w:pPr>
        <w:pStyle w:val="Paragrafi"/>
        <w:ind w:firstLine="0"/>
        <w:rPr>
          <w:lang w:val="sq-AL"/>
        </w:rPr>
        <w:sectPr w:rsidR="0091206D" w:rsidRPr="00B56DAA" w:rsidSect="00BE33BE">
          <w:type w:val="continuous"/>
          <w:pgSz w:w="11907" w:h="16840" w:code="9"/>
          <w:pgMar w:top="720" w:right="1134" w:bottom="720" w:left="1134" w:header="851" w:footer="851" w:gutter="0"/>
          <w:cols w:space="720"/>
          <w:docGrid w:linePitch="360"/>
        </w:sectPr>
      </w:pPr>
    </w:p>
    <w:p w:rsidR="0091206D" w:rsidRPr="00B56DAA" w:rsidRDefault="0091206D" w:rsidP="0067648B">
      <w:pPr>
        <w:pStyle w:val="Paragrafi"/>
        <w:ind w:firstLine="0"/>
        <w:rPr>
          <w:lang w:val="sq-AL"/>
        </w:rPr>
        <w:sectPr w:rsidR="0091206D" w:rsidRPr="00B56DAA" w:rsidSect="0091206D">
          <w:type w:val="continuous"/>
          <w:pgSz w:w="11907" w:h="16840" w:code="9"/>
          <w:pgMar w:top="720" w:right="1134" w:bottom="720" w:left="1134" w:header="851" w:footer="851" w:gutter="0"/>
          <w:cols w:num="2" w:space="446"/>
          <w:docGrid w:linePitch="360"/>
        </w:sectPr>
      </w:pPr>
    </w:p>
    <w:p w:rsidR="00B25C90" w:rsidRPr="00B56DAA" w:rsidRDefault="00B25C90" w:rsidP="0067648B">
      <w:pPr>
        <w:pStyle w:val="Paragrafi"/>
        <w:ind w:firstLine="0"/>
        <w:rPr>
          <w:lang w:val="sq-AL"/>
        </w:rPr>
      </w:pPr>
    </w:p>
    <w:p w:rsidR="005B076B" w:rsidRPr="00B56DAA" w:rsidRDefault="005B076B" w:rsidP="0067648B">
      <w:pPr>
        <w:pStyle w:val="Paragrafi"/>
        <w:ind w:firstLine="0"/>
        <w:rPr>
          <w:lang w:val="sq-AL"/>
        </w:rPr>
      </w:pPr>
    </w:p>
    <w:p w:rsidR="00B25C90" w:rsidRPr="00B56DAA" w:rsidRDefault="00B25C90" w:rsidP="0067648B">
      <w:pPr>
        <w:pStyle w:val="Paragrafi"/>
        <w:ind w:firstLine="0"/>
        <w:rPr>
          <w:lang w:val="sq-AL"/>
        </w:rPr>
      </w:pPr>
    </w:p>
    <w:p w:rsidR="00B25C90" w:rsidRPr="00B56DAA" w:rsidRDefault="00B25C90" w:rsidP="0067648B">
      <w:pPr>
        <w:pStyle w:val="Paragrafi"/>
        <w:ind w:firstLine="0"/>
        <w:rPr>
          <w:lang w:val="sq-AL"/>
        </w:rPr>
      </w:pPr>
    </w:p>
    <w:p w:rsidR="00B25C90" w:rsidRPr="00B56DAA" w:rsidRDefault="00B25C90" w:rsidP="0067648B">
      <w:pPr>
        <w:pStyle w:val="Paragrafi"/>
        <w:ind w:firstLine="0"/>
        <w:rPr>
          <w:lang w:val="sq-AL"/>
        </w:rPr>
      </w:pPr>
    </w:p>
    <w:p w:rsidR="00B25C90" w:rsidRPr="00B56DAA" w:rsidRDefault="00B25C90" w:rsidP="0067648B">
      <w:pPr>
        <w:pStyle w:val="Paragrafi"/>
        <w:ind w:firstLine="0"/>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684481" w:rsidRPr="00B56DAA" w:rsidRDefault="00684481"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B25C90" w:rsidRPr="00B56DAA" w:rsidRDefault="00B25C90"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5B076B" w:rsidRPr="00B56DAA" w:rsidRDefault="005B076B" w:rsidP="00837CE6">
      <w:pPr>
        <w:pStyle w:val="Paragrafi"/>
        <w:rPr>
          <w:lang w:val="sq-AL"/>
        </w:rPr>
      </w:pPr>
    </w:p>
    <w:p w:rsidR="000116B0" w:rsidRPr="00B56DAA" w:rsidRDefault="000116B0" w:rsidP="00837CE6">
      <w:pPr>
        <w:pStyle w:val="Paragrafi"/>
        <w:rPr>
          <w:lang w:val="sq-AL"/>
        </w:rPr>
      </w:pPr>
    </w:p>
    <w:p w:rsidR="000116B0" w:rsidRPr="00B56DAA" w:rsidRDefault="000116B0"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pPr>
    </w:p>
    <w:p w:rsidR="00CD68A2" w:rsidRPr="00B56DAA" w:rsidRDefault="00CD68A2" w:rsidP="00837CE6">
      <w:pPr>
        <w:pStyle w:val="Paragrafi"/>
        <w:rPr>
          <w:lang w:val="sq-AL"/>
        </w:rPr>
        <w:sectPr w:rsidR="00CD68A2" w:rsidRPr="00B56DAA" w:rsidSect="00BE33BE">
          <w:type w:val="continuous"/>
          <w:pgSz w:w="11907" w:h="16840" w:code="9"/>
          <w:pgMar w:top="720" w:right="1134" w:bottom="720" w:left="1134" w:header="851" w:footer="851" w:gutter="0"/>
          <w:cols w:space="720"/>
          <w:docGrid w:linePitch="360"/>
        </w:sectPr>
      </w:pPr>
    </w:p>
    <w:p w:rsidR="00BB43CF" w:rsidRPr="00B56DAA" w:rsidRDefault="00BB43CF" w:rsidP="00837CE6">
      <w:pPr>
        <w:pStyle w:val="Paragrafi"/>
        <w:rPr>
          <w:lang w:val="sq-AL"/>
        </w:rPr>
      </w:pPr>
    </w:p>
    <w:p w:rsidR="00BB43CF" w:rsidRPr="00B56DAA" w:rsidRDefault="00BB43CF" w:rsidP="00837CE6">
      <w:pPr>
        <w:pStyle w:val="Paragrafi"/>
        <w:rPr>
          <w:lang w:val="sq-AL"/>
        </w:rPr>
      </w:pPr>
    </w:p>
    <w:p w:rsidR="00BB43CF" w:rsidRPr="00B56DAA" w:rsidRDefault="00BB43CF" w:rsidP="00837CE6">
      <w:pPr>
        <w:pStyle w:val="Paragrafi"/>
        <w:rPr>
          <w:lang w:val="sq-AL"/>
        </w:rPr>
      </w:pPr>
    </w:p>
    <w:p w:rsidR="00DC5A5B" w:rsidRPr="00B56DAA" w:rsidRDefault="00DC5A5B" w:rsidP="00837CE6">
      <w:pPr>
        <w:pStyle w:val="Paragrafi"/>
        <w:rPr>
          <w:lang w:val="sq-AL"/>
        </w:rPr>
        <w:sectPr w:rsidR="00DC5A5B" w:rsidRPr="00B56DAA" w:rsidSect="00BE33BE">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B56DAA" w:rsidRDefault="00023FE7" w:rsidP="00837CE6">
      <w:pPr>
        <w:pStyle w:val="Paragrafi"/>
        <w:rPr>
          <w:lang w:val="sq-AL"/>
        </w:rPr>
      </w:pPr>
    </w:p>
    <w:sectPr w:rsidR="00023FE7" w:rsidRPr="00B56DAA" w:rsidSect="00BE33BE">
      <w:headerReference w:type="even" r:id="rId1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A7B" w:rsidRDefault="00E97A7B" w:rsidP="00375B7D">
      <w:pPr>
        <w:spacing w:after="0" w:line="240" w:lineRule="auto"/>
      </w:pPr>
      <w:r>
        <w:separator/>
      </w:r>
    </w:p>
  </w:endnote>
  <w:endnote w:type="continuationSeparator" w:id="0">
    <w:p w:rsidR="00E97A7B" w:rsidRDefault="00E97A7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Adobe Caslon Pro">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655789"/>
      <w:docPartObj>
        <w:docPartGallery w:val="Page Numbers (Bottom of Page)"/>
        <w:docPartUnique/>
      </w:docPartObj>
    </w:sdtPr>
    <w:sdtEndPr>
      <w:rPr>
        <w:rFonts w:ascii="Garamond" w:hAnsi="Garamond"/>
        <w:noProof/>
        <w:sz w:val="24"/>
        <w:szCs w:val="24"/>
      </w:rPr>
    </w:sdtEndPr>
    <w:sdtContent>
      <w:p w:rsidR="00E97A7B" w:rsidRPr="00B4283E" w:rsidRDefault="00E97A7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936F8">
          <w:rPr>
            <w:rFonts w:ascii="Garamond" w:hAnsi="Garamond"/>
            <w:noProof/>
            <w:sz w:val="24"/>
            <w:szCs w:val="24"/>
          </w:rPr>
          <w:t>4186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92410290"/>
      <w:docPartObj>
        <w:docPartGallery w:val="Page Numbers (Bottom of Page)"/>
        <w:docPartUnique/>
      </w:docPartObj>
    </w:sdtPr>
    <w:sdtEndPr>
      <w:rPr>
        <w:noProof/>
      </w:rPr>
    </w:sdtEndPr>
    <w:sdtContent>
      <w:p w:rsidR="00E97A7B" w:rsidRPr="005B4361" w:rsidRDefault="00E97A7B" w:rsidP="00BB433C">
        <w:pPr>
          <w:pStyle w:val="Footer"/>
          <w:ind w:firstLine="0"/>
          <w:jc w:val="right"/>
          <w:rPr>
            <w:rFonts w:ascii="Garamond" w:hAnsi="Garamond"/>
            <w:sz w:val="24"/>
            <w:szCs w:val="24"/>
          </w:rPr>
        </w:pPr>
        <w:r w:rsidRPr="005B4361">
          <w:t xml:space="preserve"> </w:t>
        </w:r>
        <w:sdt>
          <w:sdtPr>
            <w:id w:val="-1830366132"/>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936F8">
              <w:rPr>
                <w:rFonts w:ascii="Garamond" w:hAnsi="Garamond"/>
                <w:noProof/>
                <w:sz w:val="24"/>
                <w:szCs w:val="24"/>
              </w:rPr>
              <w:t>4185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612286893"/>
      <w:docPartObj>
        <w:docPartGallery w:val="Page Numbers (Bottom of Page)"/>
        <w:docPartUnique/>
      </w:docPartObj>
    </w:sdtPr>
    <w:sdtEndPr>
      <w:rPr>
        <w:noProof/>
        <w:sz w:val="24"/>
        <w:szCs w:val="24"/>
      </w:rPr>
    </w:sdtEndPr>
    <w:sdtContent>
      <w:p w:rsidR="00E97A7B" w:rsidRPr="00833610" w:rsidRDefault="00E97A7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97A7B" w:rsidRDefault="00E97A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A7B" w:rsidRDefault="00E97A7B" w:rsidP="00375B7D">
      <w:pPr>
        <w:spacing w:after="0" w:line="240" w:lineRule="auto"/>
      </w:pPr>
      <w:r>
        <w:separator/>
      </w:r>
    </w:p>
  </w:footnote>
  <w:footnote w:type="continuationSeparator" w:id="0">
    <w:p w:rsidR="00E97A7B" w:rsidRDefault="00E97A7B"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936F8" w:rsidRPr="00EB260B" w:rsidTr="00BC020F">
      <w:trPr>
        <w:trHeight w:val="936"/>
        <w:jc w:val="center"/>
      </w:trPr>
      <w:tc>
        <w:tcPr>
          <w:tcW w:w="2811" w:type="dxa"/>
          <w:shd w:val="pct5" w:color="auto" w:fill="F2F2F2"/>
          <w:vAlign w:val="center"/>
        </w:tcPr>
        <w:p w:rsidR="003936F8" w:rsidRPr="00EB260B" w:rsidRDefault="003936F8" w:rsidP="00BC02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936F8" w:rsidRPr="00EB260B" w:rsidRDefault="003936F8" w:rsidP="00BC020F">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1457EDDD" wp14:editId="0C4CFBB3">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936F8" w:rsidRPr="00EB260B" w:rsidRDefault="003936F8" w:rsidP="00BC020F">
          <w:pPr>
            <w:pStyle w:val="NoSpacing"/>
            <w:spacing w:before="100" w:after="100"/>
            <w:jc w:val="center"/>
            <w:rPr>
              <w:rFonts w:ascii="Garamond" w:hAnsi="Garamond"/>
              <w:b/>
              <w:sz w:val="28"/>
              <w:szCs w:val="28"/>
            </w:rPr>
          </w:pPr>
          <w:r>
            <w:rPr>
              <w:rFonts w:ascii="Garamond" w:hAnsi="Garamond"/>
              <w:b/>
              <w:sz w:val="28"/>
              <w:szCs w:val="28"/>
            </w:rPr>
            <w:t xml:space="preserve"> Viti 2016 – Numri 70</w:t>
          </w:r>
        </w:p>
      </w:tc>
    </w:tr>
  </w:tbl>
  <w:p w:rsidR="00E97A7B" w:rsidRPr="00385E2C" w:rsidRDefault="00E97A7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97A7B" w:rsidRPr="00EB260B" w:rsidTr="00F63542">
      <w:trPr>
        <w:trHeight w:val="936"/>
        <w:jc w:val="center"/>
      </w:trPr>
      <w:tc>
        <w:tcPr>
          <w:tcW w:w="2811" w:type="dxa"/>
          <w:shd w:val="pct5" w:color="auto" w:fill="F2F2F2"/>
          <w:vAlign w:val="center"/>
        </w:tcPr>
        <w:p w:rsidR="00E97A7B" w:rsidRPr="00EB260B" w:rsidRDefault="00E97A7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E97A7B" w:rsidRPr="00EB260B" w:rsidRDefault="00E97A7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3378AB89" wp14:editId="3759658F">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E97A7B" w:rsidRPr="00EB260B" w:rsidRDefault="00E97A7B"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70</w:t>
          </w:r>
        </w:p>
      </w:tc>
    </w:tr>
  </w:tbl>
  <w:p w:rsidR="00E97A7B" w:rsidRDefault="00E97A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A7B" w:rsidRDefault="00E97A7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97A7B" w:rsidRPr="00EB260B" w:rsidTr="00971166">
      <w:trPr>
        <w:trHeight w:val="936"/>
        <w:jc w:val="center"/>
      </w:trPr>
      <w:tc>
        <w:tcPr>
          <w:tcW w:w="1392" w:type="pct"/>
          <w:shd w:val="pct5" w:color="auto" w:fill="F2F2F2"/>
          <w:vAlign w:val="center"/>
        </w:tcPr>
        <w:p w:rsidR="00E97A7B" w:rsidRPr="00EB260B" w:rsidRDefault="00E97A7B"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E97A7B" w:rsidRPr="00EB260B" w:rsidRDefault="00E97A7B"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E97A7B" w:rsidRPr="00EB260B" w:rsidRDefault="00E97A7B"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E97A7B" w:rsidRPr="00385E2C" w:rsidRDefault="00E97A7B"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97A7B" w:rsidRPr="00EB260B" w:rsidTr="00235BFF">
      <w:trPr>
        <w:trHeight w:val="936"/>
        <w:jc w:val="center"/>
      </w:trPr>
      <w:tc>
        <w:tcPr>
          <w:tcW w:w="1392" w:type="pct"/>
          <w:shd w:val="pct5" w:color="auto" w:fill="F2F2F2"/>
          <w:vAlign w:val="center"/>
        </w:tcPr>
        <w:p w:rsidR="00E97A7B" w:rsidRPr="00EB260B" w:rsidRDefault="00E97A7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E97A7B" w:rsidRPr="00EB260B" w:rsidRDefault="00E97A7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E97A7B" w:rsidRPr="00EB260B" w:rsidRDefault="00E97A7B"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E97A7B" w:rsidRDefault="00E97A7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E97A7B" w:rsidRPr="00EB260B" w:rsidTr="00023FE7">
      <w:trPr>
        <w:trHeight w:val="1023"/>
        <w:jc w:val="center"/>
      </w:trPr>
      <w:tc>
        <w:tcPr>
          <w:tcW w:w="1375" w:type="pct"/>
          <w:shd w:val="pct5" w:color="auto" w:fill="F2F2F2"/>
          <w:vAlign w:val="center"/>
        </w:tcPr>
        <w:p w:rsidR="00E97A7B" w:rsidRPr="00EB260B" w:rsidRDefault="00E97A7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E97A7B" w:rsidRPr="00EB260B" w:rsidRDefault="00E97A7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97A7B" w:rsidRPr="00EB260B" w:rsidRDefault="00E97A7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97A7B" w:rsidRDefault="00E97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8E6872"/>
    <w:multiLevelType w:val="hybridMultilevel"/>
    <w:tmpl w:val="EBEE9D4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5">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8">
    <w:nsid w:val="742F7CC7"/>
    <w:multiLevelType w:val="hybridMultilevel"/>
    <w:tmpl w:val="74DC8D8C"/>
    <w:lvl w:ilvl="0" w:tplc="A9244800">
      <w:start w:val="1"/>
      <w:numFmt w:val="bullet"/>
      <w:lvlText w:val=""/>
      <w:lvlJc w:val="left"/>
      <w:pPr>
        <w:ind w:left="420" w:hanging="360"/>
      </w:pPr>
      <w:rPr>
        <w:rFonts w:ascii="Symbol" w:eastAsia="Times New Roman" w:hAnsi="Symbol" w:cs="Times New Roman" w:hint="default"/>
        <w:u w:val="single"/>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9">
    <w:nsid w:val="76BD103B"/>
    <w:multiLevelType w:val="hybridMultilevel"/>
    <w:tmpl w:val="1C66D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0"/>
  </w:num>
  <w:num w:numId="16">
    <w:abstractNumId w:val="16"/>
  </w:num>
  <w:num w:numId="17">
    <w:abstractNumId w:val="14"/>
  </w:num>
  <w:num w:numId="18">
    <w:abstractNumId w:val="17"/>
  </w:num>
  <w:num w:numId="19">
    <w:abstractNumId w:val="18"/>
  </w:num>
  <w:num w:numId="20">
    <w:abstractNumId w:val="10"/>
  </w:num>
  <w:num w:numId="21">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8"/>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375B7D"/>
    <w:rsid w:val="00001361"/>
    <w:rsid w:val="0000579A"/>
    <w:rsid w:val="0000714D"/>
    <w:rsid w:val="0001095E"/>
    <w:rsid w:val="000116B0"/>
    <w:rsid w:val="00020C07"/>
    <w:rsid w:val="000214E2"/>
    <w:rsid w:val="00021AB5"/>
    <w:rsid w:val="000237CA"/>
    <w:rsid w:val="00023FE7"/>
    <w:rsid w:val="00024260"/>
    <w:rsid w:val="00025CCC"/>
    <w:rsid w:val="0004296E"/>
    <w:rsid w:val="000452EB"/>
    <w:rsid w:val="000477A2"/>
    <w:rsid w:val="00050687"/>
    <w:rsid w:val="00054A72"/>
    <w:rsid w:val="00054C74"/>
    <w:rsid w:val="0005578F"/>
    <w:rsid w:val="000573C7"/>
    <w:rsid w:val="00060658"/>
    <w:rsid w:val="00060858"/>
    <w:rsid w:val="000662C3"/>
    <w:rsid w:val="00077052"/>
    <w:rsid w:val="0007775D"/>
    <w:rsid w:val="00091A67"/>
    <w:rsid w:val="00092636"/>
    <w:rsid w:val="00093869"/>
    <w:rsid w:val="000A44AB"/>
    <w:rsid w:val="000A5FEA"/>
    <w:rsid w:val="000B586D"/>
    <w:rsid w:val="000B6981"/>
    <w:rsid w:val="000C05D5"/>
    <w:rsid w:val="000C4D55"/>
    <w:rsid w:val="000D1978"/>
    <w:rsid w:val="000D371E"/>
    <w:rsid w:val="000E27EF"/>
    <w:rsid w:val="000E3D5E"/>
    <w:rsid w:val="000E672E"/>
    <w:rsid w:val="000F0697"/>
    <w:rsid w:val="000F2AAC"/>
    <w:rsid w:val="000F5DB9"/>
    <w:rsid w:val="001011D8"/>
    <w:rsid w:val="0010506A"/>
    <w:rsid w:val="00113356"/>
    <w:rsid w:val="00113674"/>
    <w:rsid w:val="00114F08"/>
    <w:rsid w:val="00115C2F"/>
    <w:rsid w:val="00121430"/>
    <w:rsid w:val="00122543"/>
    <w:rsid w:val="001303D2"/>
    <w:rsid w:val="00132332"/>
    <w:rsid w:val="0014047F"/>
    <w:rsid w:val="00142489"/>
    <w:rsid w:val="00143E58"/>
    <w:rsid w:val="0014594D"/>
    <w:rsid w:val="001517DA"/>
    <w:rsid w:val="00153DFB"/>
    <w:rsid w:val="001546B0"/>
    <w:rsid w:val="001605CB"/>
    <w:rsid w:val="00161F17"/>
    <w:rsid w:val="00162312"/>
    <w:rsid w:val="001627E6"/>
    <w:rsid w:val="00165B24"/>
    <w:rsid w:val="001667EC"/>
    <w:rsid w:val="00167847"/>
    <w:rsid w:val="00172429"/>
    <w:rsid w:val="001733E1"/>
    <w:rsid w:val="00192979"/>
    <w:rsid w:val="00194FE8"/>
    <w:rsid w:val="0019562F"/>
    <w:rsid w:val="00195731"/>
    <w:rsid w:val="00196627"/>
    <w:rsid w:val="001967DF"/>
    <w:rsid w:val="001B2FEB"/>
    <w:rsid w:val="001B3832"/>
    <w:rsid w:val="001B5CBE"/>
    <w:rsid w:val="001B7FC8"/>
    <w:rsid w:val="001C2960"/>
    <w:rsid w:val="001D0A98"/>
    <w:rsid w:val="001D0BA5"/>
    <w:rsid w:val="001D1FCB"/>
    <w:rsid w:val="001D672E"/>
    <w:rsid w:val="001D76C5"/>
    <w:rsid w:val="001E23C7"/>
    <w:rsid w:val="001E62EC"/>
    <w:rsid w:val="001F0BBB"/>
    <w:rsid w:val="0020454E"/>
    <w:rsid w:val="002048AB"/>
    <w:rsid w:val="0021169F"/>
    <w:rsid w:val="00221879"/>
    <w:rsid w:val="00221E5E"/>
    <w:rsid w:val="0022499B"/>
    <w:rsid w:val="002272FE"/>
    <w:rsid w:val="00227E08"/>
    <w:rsid w:val="0023263B"/>
    <w:rsid w:val="0023399C"/>
    <w:rsid w:val="00233B25"/>
    <w:rsid w:val="00235BFF"/>
    <w:rsid w:val="002456ED"/>
    <w:rsid w:val="00246A94"/>
    <w:rsid w:val="00247CBD"/>
    <w:rsid w:val="00256AB4"/>
    <w:rsid w:val="00264187"/>
    <w:rsid w:val="00264792"/>
    <w:rsid w:val="00272B85"/>
    <w:rsid w:val="0027672B"/>
    <w:rsid w:val="00276956"/>
    <w:rsid w:val="00277011"/>
    <w:rsid w:val="0027715D"/>
    <w:rsid w:val="002804BD"/>
    <w:rsid w:val="00282479"/>
    <w:rsid w:val="00286DCA"/>
    <w:rsid w:val="0029109F"/>
    <w:rsid w:val="00295B07"/>
    <w:rsid w:val="002A45D6"/>
    <w:rsid w:val="002A49FB"/>
    <w:rsid w:val="002A7828"/>
    <w:rsid w:val="002B28A8"/>
    <w:rsid w:val="002B3B56"/>
    <w:rsid w:val="002B4F2D"/>
    <w:rsid w:val="002B6166"/>
    <w:rsid w:val="002B73F1"/>
    <w:rsid w:val="002C2C83"/>
    <w:rsid w:val="002C35D8"/>
    <w:rsid w:val="002D2428"/>
    <w:rsid w:val="002E26B0"/>
    <w:rsid w:val="002E4456"/>
    <w:rsid w:val="002E668F"/>
    <w:rsid w:val="002E7012"/>
    <w:rsid w:val="002F06B8"/>
    <w:rsid w:val="002F3ADC"/>
    <w:rsid w:val="002F6D96"/>
    <w:rsid w:val="00300E9E"/>
    <w:rsid w:val="00302097"/>
    <w:rsid w:val="0030333D"/>
    <w:rsid w:val="00305527"/>
    <w:rsid w:val="0031747C"/>
    <w:rsid w:val="00320D45"/>
    <w:rsid w:val="0032197F"/>
    <w:rsid w:val="00321A87"/>
    <w:rsid w:val="003225AB"/>
    <w:rsid w:val="00323617"/>
    <w:rsid w:val="00330117"/>
    <w:rsid w:val="00333CD9"/>
    <w:rsid w:val="00333FAB"/>
    <w:rsid w:val="003353E5"/>
    <w:rsid w:val="00347CFE"/>
    <w:rsid w:val="00351E4C"/>
    <w:rsid w:val="00357007"/>
    <w:rsid w:val="00361996"/>
    <w:rsid w:val="00366108"/>
    <w:rsid w:val="00375B7D"/>
    <w:rsid w:val="00385E2C"/>
    <w:rsid w:val="00390196"/>
    <w:rsid w:val="00390D2E"/>
    <w:rsid w:val="00392C4F"/>
    <w:rsid w:val="00392FB4"/>
    <w:rsid w:val="003936F8"/>
    <w:rsid w:val="00394502"/>
    <w:rsid w:val="003952DC"/>
    <w:rsid w:val="00397E6C"/>
    <w:rsid w:val="003A0FC8"/>
    <w:rsid w:val="003A1699"/>
    <w:rsid w:val="003A416E"/>
    <w:rsid w:val="003A474C"/>
    <w:rsid w:val="003B0F15"/>
    <w:rsid w:val="003B1DC0"/>
    <w:rsid w:val="003B6016"/>
    <w:rsid w:val="003C2D25"/>
    <w:rsid w:val="003C4A5B"/>
    <w:rsid w:val="003D38A7"/>
    <w:rsid w:val="003D50C3"/>
    <w:rsid w:val="003E7E15"/>
    <w:rsid w:val="003F00D7"/>
    <w:rsid w:val="00407858"/>
    <w:rsid w:val="00411AF4"/>
    <w:rsid w:val="004257D4"/>
    <w:rsid w:val="004326B0"/>
    <w:rsid w:val="004356C8"/>
    <w:rsid w:val="00436DE1"/>
    <w:rsid w:val="0043744C"/>
    <w:rsid w:val="0044747F"/>
    <w:rsid w:val="00451189"/>
    <w:rsid w:val="0046105A"/>
    <w:rsid w:val="004621A7"/>
    <w:rsid w:val="00462CA3"/>
    <w:rsid w:val="004666EC"/>
    <w:rsid w:val="004800ED"/>
    <w:rsid w:val="00480214"/>
    <w:rsid w:val="00481426"/>
    <w:rsid w:val="004904B0"/>
    <w:rsid w:val="004923C4"/>
    <w:rsid w:val="004940CC"/>
    <w:rsid w:val="004A4999"/>
    <w:rsid w:val="004A5318"/>
    <w:rsid w:val="004A5768"/>
    <w:rsid w:val="004A6682"/>
    <w:rsid w:val="004A7CED"/>
    <w:rsid w:val="004B5D61"/>
    <w:rsid w:val="004C0E49"/>
    <w:rsid w:val="004C43E9"/>
    <w:rsid w:val="004C6C4C"/>
    <w:rsid w:val="004C7862"/>
    <w:rsid w:val="004D488E"/>
    <w:rsid w:val="004D6564"/>
    <w:rsid w:val="004D7E64"/>
    <w:rsid w:val="004E0EA0"/>
    <w:rsid w:val="004E1117"/>
    <w:rsid w:val="004F0604"/>
    <w:rsid w:val="004F0657"/>
    <w:rsid w:val="004F2910"/>
    <w:rsid w:val="004F4DCA"/>
    <w:rsid w:val="004F7D72"/>
    <w:rsid w:val="00503653"/>
    <w:rsid w:val="00507586"/>
    <w:rsid w:val="005101AF"/>
    <w:rsid w:val="005112DE"/>
    <w:rsid w:val="0051196C"/>
    <w:rsid w:val="00512844"/>
    <w:rsid w:val="00514C6E"/>
    <w:rsid w:val="005304B8"/>
    <w:rsid w:val="005313D4"/>
    <w:rsid w:val="00533A30"/>
    <w:rsid w:val="00534749"/>
    <w:rsid w:val="00537775"/>
    <w:rsid w:val="005422F5"/>
    <w:rsid w:val="005423CA"/>
    <w:rsid w:val="005459DC"/>
    <w:rsid w:val="00550556"/>
    <w:rsid w:val="005538B4"/>
    <w:rsid w:val="00562385"/>
    <w:rsid w:val="00563784"/>
    <w:rsid w:val="005661E4"/>
    <w:rsid w:val="005703A4"/>
    <w:rsid w:val="00580EB9"/>
    <w:rsid w:val="00582582"/>
    <w:rsid w:val="00583C8E"/>
    <w:rsid w:val="005846E6"/>
    <w:rsid w:val="00586810"/>
    <w:rsid w:val="00590E3D"/>
    <w:rsid w:val="00591C8C"/>
    <w:rsid w:val="005A47F1"/>
    <w:rsid w:val="005B076B"/>
    <w:rsid w:val="005B4361"/>
    <w:rsid w:val="005B48FA"/>
    <w:rsid w:val="005B54A2"/>
    <w:rsid w:val="005D143F"/>
    <w:rsid w:val="005D5F62"/>
    <w:rsid w:val="005D655C"/>
    <w:rsid w:val="005D7593"/>
    <w:rsid w:val="005D7BD5"/>
    <w:rsid w:val="005E55B2"/>
    <w:rsid w:val="005F2426"/>
    <w:rsid w:val="005F4763"/>
    <w:rsid w:val="00604549"/>
    <w:rsid w:val="006123D0"/>
    <w:rsid w:val="00620C6B"/>
    <w:rsid w:val="006253A8"/>
    <w:rsid w:val="00631DF2"/>
    <w:rsid w:val="00631EF3"/>
    <w:rsid w:val="006337DC"/>
    <w:rsid w:val="006414E3"/>
    <w:rsid w:val="00643085"/>
    <w:rsid w:val="0064370A"/>
    <w:rsid w:val="00645C60"/>
    <w:rsid w:val="00646C6F"/>
    <w:rsid w:val="00653B2E"/>
    <w:rsid w:val="00663F5D"/>
    <w:rsid w:val="006648AB"/>
    <w:rsid w:val="0067307F"/>
    <w:rsid w:val="0067648B"/>
    <w:rsid w:val="00682636"/>
    <w:rsid w:val="00684481"/>
    <w:rsid w:val="006954CD"/>
    <w:rsid w:val="00696B83"/>
    <w:rsid w:val="006A4288"/>
    <w:rsid w:val="006A7D2F"/>
    <w:rsid w:val="006B037D"/>
    <w:rsid w:val="006B086C"/>
    <w:rsid w:val="006B3DFC"/>
    <w:rsid w:val="006B46CF"/>
    <w:rsid w:val="006B7409"/>
    <w:rsid w:val="006C5853"/>
    <w:rsid w:val="006D4072"/>
    <w:rsid w:val="006D5340"/>
    <w:rsid w:val="006E1CAF"/>
    <w:rsid w:val="006E29A7"/>
    <w:rsid w:val="006E4137"/>
    <w:rsid w:val="006E47AB"/>
    <w:rsid w:val="006E77D0"/>
    <w:rsid w:val="006F3281"/>
    <w:rsid w:val="006F3D7E"/>
    <w:rsid w:val="006F644C"/>
    <w:rsid w:val="006F757D"/>
    <w:rsid w:val="00704FA5"/>
    <w:rsid w:val="0070628B"/>
    <w:rsid w:val="007100FB"/>
    <w:rsid w:val="00716207"/>
    <w:rsid w:val="00717C06"/>
    <w:rsid w:val="00723D87"/>
    <w:rsid w:val="00730F66"/>
    <w:rsid w:val="00732829"/>
    <w:rsid w:val="00732C0D"/>
    <w:rsid w:val="0073554A"/>
    <w:rsid w:val="00737425"/>
    <w:rsid w:val="00737D19"/>
    <w:rsid w:val="0074259E"/>
    <w:rsid w:val="00742C7D"/>
    <w:rsid w:val="00755075"/>
    <w:rsid w:val="007645C4"/>
    <w:rsid w:val="00770038"/>
    <w:rsid w:val="00771183"/>
    <w:rsid w:val="00773203"/>
    <w:rsid w:val="00773550"/>
    <w:rsid w:val="00782C67"/>
    <w:rsid w:val="00792369"/>
    <w:rsid w:val="0079291B"/>
    <w:rsid w:val="007935A4"/>
    <w:rsid w:val="007A0B3D"/>
    <w:rsid w:val="007A2214"/>
    <w:rsid w:val="007A2D44"/>
    <w:rsid w:val="007A45E9"/>
    <w:rsid w:val="007A7F17"/>
    <w:rsid w:val="007B1680"/>
    <w:rsid w:val="007B3122"/>
    <w:rsid w:val="007B3803"/>
    <w:rsid w:val="007B6F71"/>
    <w:rsid w:val="007C219A"/>
    <w:rsid w:val="007C6295"/>
    <w:rsid w:val="007D1F99"/>
    <w:rsid w:val="007E0F31"/>
    <w:rsid w:val="007E65F4"/>
    <w:rsid w:val="007F1013"/>
    <w:rsid w:val="007F191D"/>
    <w:rsid w:val="007F1F3E"/>
    <w:rsid w:val="007F56B6"/>
    <w:rsid w:val="00805CEE"/>
    <w:rsid w:val="00813B1F"/>
    <w:rsid w:val="0082047D"/>
    <w:rsid w:val="008237A0"/>
    <w:rsid w:val="00831094"/>
    <w:rsid w:val="00831282"/>
    <w:rsid w:val="008315B7"/>
    <w:rsid w:val="00832F64"/>
    <w:rsid w:val="00833610"/>
    <w:rsid w:val="00834D69"/>
    <w:rsid w:val="00835EC3"/>
    <w:rsid w:val="00837CE6"/>
    <w:rsid w:val="00843EA2"/>
    <w:rsid w:val="00846548"/>
    <w:rsid w:val="00850527"/>
    <w:rsid w:val="0085140B"/>
    <w:rsid w:val="008528D2"/>
    <w:rsid w:val="00852FB0"/>
    <w:rsid w:val="00863F88"/>
    <w:rsid w:val="00867DDC"/>
    <w:rsid w:val="0087387F"/>
    <w:rsid w:val="00877E60"/>
    <w:rsid w:val="008818ED"/>
    <w:rsid w:val="00884FF4"/>
    <w:rsid w:val="00893C2B"/>
    <w:rsid w:val="008A6B6E"/>
    <w:rsid w:val="008B150B"/>
    <w:rsid w:val="008B1CDF"/>
    <w:rsid w:val="008B76D7"/>
    <w:rsid w:val="008B7F0C"/>
    <w:rsid w:val="008C01FC"/>
    <w:rsid w:val="008C5660"/>
    <w:rsid w:val="008D585D"/>
    <w:rsid w:val="008D5A2E"/>
    <w:rsid w:val="008E1932"/>
    <w:rsid w:val="008E2022"/>
    <w:rsid w:val="008E2AA3"/>
    <w:rsid w:val="008E4864"/>
    <w:rsid w:val="008E61CD"/>
    <w:rsid w:val="008E62D8"/>
    <w:rsid w:val="008E63B3"/>
    <w:rsid w:val="008E6BEE"/>
    <w:rsid w:val="008F1629"/>
    <w:rsid w:val="008F285D"/>
    <w:rsid w:val="008F6FB9"/>
    <w:rsid w:val="009008FD"/>
    <w:rsid w:val="00900F6C"/>
    <w:rsid w:val="0091037D"/>
    <w:rsid w:val="0091206D"/>
    <w:rsid w:val="00912F67"/>
    <w:rsid w:val="009225CE"/>
    <w:rsid w:val="00930135"/>
    <w:rsid w:val="009328F9"/>
    <w:rsid w:val="00935223"/>
    <w:rsid w:val="00937C5F"/>
    <w:rsid w:val="00946E8D"/>
    <w:rsid w:val="00953C99"/>
    <w:rsid w:val="00955443"/>
    <w:rsid w:val="009560D3"/>
    <w:rsid w:val="009565D0"/>
    <w:rsid w:val="009606B6"/>
    <w:rsid w:val="009638FC"/>
    <w:rsid w:val="00971166"/>
    <w:rsid w:val="00976C01"/>
    <w:rsid w:val="00977FF8"/>
    <w:rsid w:val="009817B4"/>
    <w:rsid w:val="00981DC5"/>
    <w:rsid w:val="00986652"/>
    <w:rsid w:val="00986AAF"/>
    <w:rsid w:val="00986D36"/>
    <w:rsid w:val="00987C09"/>
    <w:rsid w:val="009A4112"/>
    <w:rsid w:val="009B1641"/>
    <w:rsid w:val="009B246F"/>
    <w:rsid w:val="009B2D12"/>
    <w:rsid w:val="009B6F34"/>
    <w:rsid w:val="009B7C7C"/>
    <w:rsid w:val="009C30D9"/>
    <w:rsid w:val="009C5B6E"/>
    <w:rsid w:val="009C60F7"/>
    <w:rsid w:val="009C7BC0"/>
    <w:rsid w:val="009D0BA8"/>
    <w:rsid w:val="009F59EB"/>
    <w:rsid w:val="009F5C2A"/>
    <w:rsid w:val="009F7619"/>
    <w:rsid w:val="00A10391"/>
    <w:rsid w:val="00A17AD9"/>
    <w:rsid w:val="00A206E2"/>
    <w:rsid w:val="00A20E57"/>
    <w:rsid w:val="00A24138"/>
    <w:rsid w:val="00A322DD"/>
    <w:rsid w:val="00A4436C"/>
    <w:rsid w:val="00A4619F"/>
    <w:rsid w:val="00A53542"/>
    <w:rsid w:val="00A56CBF"/>
    <w:rsid w:val="00A57CC8"/>
    <w:rsid w:val="00A66092"/>
    <w:rsid w:val="00A71F75"/>
    <w:rsid w:val="00A73DFA"/>
    <w:rsid w:val="00A75F95"/>
    <w:rsid w:val="00A81D6D"/>
    <w:rsid w:val="00A87F7B"/>
    <w:rsid w:val="00AA178D"/>
    <w:rsid w:val="00AA41CB"/>
    <w:rsid w:val="00AA55E9"/>
    <w:rsid w:val="00AA69C7"/>
    <w:rsid w:val="00AA747B"/>
    <w:rsid w:val="00AB3F48"/>
    <w:rsid w:val="00AB6D93"/>
    <w:rsid w:val="00AC013E"/>
    <w:rsid w:val="00AC5C8F"/>
    <w:rsid w:val="00AC6890"/>
    <w:rsid w:val="00AD4462"/>
    <w:rsid w:val="00AD7DE2"/>
    <w:rsid w:val="00AE328B"/>
    <w:rsid w:val="00AF4B1F"/>
    <w:rsid w:val="00B01042"/>
    <w:rsid w:val="00B0350E"/>
    <w:rsid w:val="00B060FC"/>
    <w:rsid w:val="00B06E9F"/>
    <w:rsid w:val="00B13A43"/>
    <w:rsid w:val="00B15256"/>
    <w:rsid w:val="00B15811"/>
    <w:rsid w:val="00B2096E"/>
    <w:rsid w:val="00B213AC"/>
    <w:rsid w:val="00B25C90"/>
    <w:rsid w:val="00B25E8F"/>
    <w:rsid w:val="00B3285A"/>
    <w:rsid w:val="00B330AF"/>
    <w:rsid w:val="00B405BE"/>
    <w:rsid w:val="00B4283E"/>
    <w:rsid w:val="00B53F3B"/>
    <w:rsid w:val="00B56DAA"/>
    <w:rsid w:val="00B61B83"/>
    <w:rsid w:val="00B63004"/>
    <w:rsid w:val="00B70D85"/>
    <w:rsid w:val="00B72B64"/>
    <w:rsid w:val="00B735C7"/>
    <w:rsid w:val="00B83EFF"/>
    <w:rsid w:val="00B84162"/>
    <w:rsid w:val="00B862E6"/>
    <w:rsid w:val="00B9560D"/>
    <w:rsid w:val="00B95929"/>
    <w:rsid w:val="00BA11ED"/>
    <w:rsid w:val="00BA2379"/>
    <w:rsid w:val="00BA2E73"/>
    <w:rsid w:val="00BA66CF"/>
    <w:rsid w:val="00BA6DD4"/>
    <w:rsid w:val="00BB433C"/>
    <w:rsid w:val="00BB43CF"/>
    <w:rsid w:val="00BB50E0"/>
    <w:rsid w:val="00BB53AD"/>
    <w:rsid w:val="00BC3B92"/>
    <w:rsid w:val="00BC72CD"/>
    <w:rsid w:val="00BD08BF"/>
    <w:rsid w:val="00BD0F95"/>
    <w:rsid w:val="00BD2DD3"/>
    <w:rsid w:val="00BD3688"/>
    <w:rsid w:val="00BD79A4"/>
    <w:rsid w:val="00BE0B80"/>
    <w:rsid w:val="00BE33BE"/>
    <w:rsid w:val="00BE3AE3"/>
    <w:rsid w:val="00BE7E77"/>
    <w:rsid w:val="00BF00E1"/>
    <w:rsid w:val="00BF0CB6"/>
    <w:rsid w:val="00BF4079"/>
    <w:rsid w:val="00BF5616"/>
    <w:rsid w:val="00BF5618"/>
    <w:rsid w:val="00C0497A"/>
    <w:rsid w:val="00C111DE"/>
    <w:rsid w:val="00C13641"/>
    <w:rsid w:val="00C21C66"/>
    <w:rsid w:val="00C2302A"/>
    <w:rsid w:val="00C277DC"/>
    <w:rsid w:val="00C37C84"/>
    <w:rsid w:val="00C407FD"/>
    <w:rsid w:val="00C44942"/>
    <w:rsid w:val="00C46200"/>
    <w:rsid w:val="00C50953"/>
    <w:rsid w:val="00C50B33"/>
    <w:rsid w:val="00C52857"/>
    <w:rsid w:val="00C52FB1"/>
    <w:rsid w:val="00C558AC"/>
    <w:rsid w:val="00C55EC5"/>
    <w:rsid w:val="00C56BFF"/>
    <w:rsid w:val="00C65BE3"/>
    <w:rsid w:val="00C70B83"/>
    <w:rsid w:val="00C83FDB"/>
    <w:rsid w:val="00C91CE9"/>
    <w:rsid w:val="00C94B79"/>
    <w:rsid w:val="00C9609E"/>
    <w:rsid w:val="00C962F2"/>
    <w:rsid w:val="00C96399"/>
    <w:rsid w:val="00CB19CF"/>
    <w:rsid w:val="00CB5977"/>
    <w:rsid w:val="00CB616D"/>
    <w:rsid w:val="00CC001D"/>
    <w:rsid w:val="00CC1011"/>
    <w:rsid w:val="00CC2DD7"/>
    <w:rsid w:val="00CC436A"/>
    <w:rsid w:val="00CC6167"/>
    <w:rsid w:val="00CD0A7B"/>
    <w:rsid w:val="00CD1B71"/>
    <w:rsid w:val="00CD270D"/>
    <w:rsid w:val="00CD483B"/>
    <w:rsid w:val="00CD54CA"/>
    <w:rsid w:val="00CD68A2"/>
    <w:rsid w:val="00CE0A1F"/>
    <w:rsid w:val="00CE103A"/>
    <w:rsid w:val="00CE2E20"/>
    <w:rsid w:val="00CE41A5"/>
    <w:rsid w:val="00CF415F"/>
    <w:rsid w:val="00D012C9"/>
    <w:rsid w:val="00D03694"/>
    <w:rsid w:val="00D0795A"/>
    <w:rsid w:val="00D15089"/>
    <w:rsid w:val="00D211D2"/>
    <w:rsid w:val="00D22C56"/>
    <w:rsid w:val="00D2643D"/>
    <w:rsid w:val="00D3619A"/>
    <w:rsid w:val="00D36EB1"/>
    <w:rsid w:val="00D53B8D"/>
    <w:rsid w:val="00D55279"/>
    <w:rsid w:val="00D61A87"/>
    <w:rsid w:val="00D70D19"/>
    <w:rsid w:val="00D808C1"/>
    <w:rsid w:val="00D80B22"/>
    <w:rsid w:val="00D850D0"/>
    <w:rsid w:val="00D85972"/>
    <w:rsid w:val="00D92912"/>
    <w:rsid w:val="00D969DE"/>
    <w:rsid w:val="00D97E98"/>
    <w:rsid w:val="00DA26C8"/>
    <w:rsid w:val="00DA29A9"/>
    <w:rsid w:val="00DA52E3"/>
    <w:rsid w:val="00DA6B2F"/>
    <w:rsid w:val="00DB4D11"/>
    <w:rsid w:val="00DC4B00"/>
    <w:rsid w:val="00DC4C07"/>
    <w:rsid w:val="00DC599A"/>
    <w:rsid w:val="00DC5A5B"/>
    <w:rsid w:val="00DC5E58"/>
    <w:rsid w:val="00DC652E"/>
    <w:rsid w:val="00DD1A41"/>
    <w:rsid w:val="00DD2937"/>
    <w:rsid w:val="00DD75F7"/>
    <w:rsid w:val="00DE1372"/>
    <w:rsid w:val="00DE31BA"/>
    <w:rsid w:val="00DE5026"/>
    <w:rsid w:val="00DE5C5B"/>
    <w:rsid w:val="00DE7381"/>
    <w:rsid w:val="00DF0680"/>
    <w:rsid w:val="00DF16FF"/>
    <w:rsid w:val="00E172D9"/>
    <w:rsid w:val="00E24065"/>
    <w:rsid w:val="00E25F4B"/>
    <w:rsid w:val="00E4154D"/>
    <w:rsid w:val="00E4286C"/>
    <w:rsid w:val="00E43931"/>
    <w:rsid w:val="00E51DCF"/>
    <w:rsid w:val="00E57182"/>
    <w:rsid w:val="00E62A30"/>
    <w:rsid w:val="00E71B9C"/>
    <w:rsid w:val="00E7349A"/>
    <w:rsid w:val="00E92A28"/>
    <w:rsid w:val="00E97A7B"/>
    <w:rsid w:val="00EA132D"/>
    <w:rsid w:val="00EA3510"/>
    <w:rsid w:val="00EA3E12"/>
    <w:rsid w:val="00EB2055"/>
    <w:rsid w:val="00EB6683"/>
    <w:rsid w:val="00EC2DF2"/>
    <w:rsid w:val="00EC4DA6"/>
    <w:rsid w:val="00EC6C91"/>
    <w:rsid w:val="00EC704E"/>
    <w:rsid w:val="00ED1065"/>
    <w:rsid w:val="00ED3CAA"/>
    <w:rsid w:val="00ED5F90"/>
    <w:rsid w:val="00ED6FFA"/>
    <w:rsid w:val="00EE1984"/>
    <w:rsid w:val="00EF23B2"/>
    <w:rsid w:val="00EF6A1A"/>
    <w:rsid w:val="00F100BF"/>
    <w:rsid w:val="00F121F2"/>
    <w:rsid w:val="00F22626"/>
    <w:rsid w:val="00F233CD"/>
    <w:rsid w:val="00F238B2"/>
    <w:rsid w:val="00F26FBF"/>
    <w:rsid w:val="00F279DB"/>
    <w:rsid w:val="00F3010D"/>
    <w:rsid w:val="00F308FA"/>
    <w:rsid w:val="00F36D8E"/>
    <w:rsid w:val="00F37AD0"/>
    <w:rsid w:val="00F429BF"/>
    <w:rsid w:val="00F4528C"/>
    <w:rsid w:val="00F465D2"/>
    <w:rsid w:val="00F50914"/>
    <w:rsid w:val="00F51EBB"/>
    <w:rsid w:val="00F533AE"/>
    <w:rsid w:val="00F6317B"/>
    <w:rsid w:val="00F63542"/>
    <w:rsid w:val="00F77485"/>
    <w:rsid w:val="00F81FBF"/>
    <w:rsid w:val="00F866B7"/>
    <w:rsid w:val="00F92555"/>
    <w:rsid w:val="00FA1ED1"/>
    <w:rsid w:val="00FA637E"/>
    <w:rsid w:val="00FA65D6"/>
    <w:rsid w:val="00FB1F95"/>
    <w:rsid w:val="00FB5B72"/>
    <w:rsid w:val="00FC63BF"/>
    <w:rsid w:val="00FD161E"/>
    <w:rsid w:val="00FD26CB"/>
    <w:rsid w:val="00FE06F5"/>
    <w:rsid w:val="00FE1DF0"/>
    <w:rsid w:val="00FE3739"/>
    <w:rsid w:val="00FE5236"/>
    <w:rsid w:val="00FE5246"/>
    <w:rsid w:val="00FF3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F37AD0"/>
    <w:rPr>
      <w:rFonts w:ascii="Arial" w:hAnsi="Arial" w:cs="Arial" w:hint="default"/>
      <w:sz w:val="18"/>
      <w:szCs w:val="18"/>
    </w:rPr>
  </w:style>
  <w:style w:type="paragraph" w:customStyle="1" w:styleId="Pa12">
    <w:name w:val="Pa12"/>
    <w:basedOn w:val="Default"/>
    <w:next w:val="Default"/>
    <w:uiPriority w:val="99"/>
    <w:rsid w:val="000452EB"/>
    <w:pPr>
      <w:spacing w:line="221" w:lineRule="atLeast"/>
    </w:pPr>
    <w:rPr>
      <w:rFonts w:ascii="Adobe Caslon Pro" w:eastAsiaTheme="minorHAnsi" w:hAnsi="Adobe Caslon Pro"/>
      <w:color w:val="auto"/>
    </w:rPr>
  </w:style>
  <w:style w:type="character" w:customStyle="1" w:styleId="longtext1">
    <w:name w:val="long_text1"/>
    <w:rsid w:val="0067648B"/>
    <w:rPr>
      <w:sz w:val="20"/>
    </w:rPr>
  </w:style>
  <w:style w:type="character" w:customStyle="1" w:styleId="contentlajme">
    <w:name w:val="contentlajme"/>
    <w:basedOn w:val="DefaultParagraphFont"/>
    <w:rsid w:val="006764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q-AL" w:eastAsia="sq-A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google.al/url?sa=t&amp;rct=j&amp;q=&amp;esrc=s&amp;source=web&amp;cd=9&amp;ved=0ahUKEwiO6ce1uvTLAhXH6xoKHU1oCmgQFghGMAg&amp;url=http%3A%2F%2Fwww.medicinenet.com%2Fvalerian_valeriana_officinalis-oral%2Farticle.htm&amp;usg=AFQjCNFx1xJ0hZCgND8pt6Ny1kDo7UFpwQ"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google.al/url?sa=t&amp;rct=j&amp;q=&amp;esrc=s&amp;source=web&amp;cd=2&amp;cad=rja&amp;uact=8&amp;ved=0ahUKEwjWwsKSufTLAhWBchoKHax0BbcQFggkMAE&amp;url=http%3A%2F%2Fwww.helichrysum-italicum.com%2F&amp;usg=AFQjCNGxphe-9GPnIfVELrnxQVUJ37spqQ"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D19C9-92D7-429A-9213-0ADE60D5F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26</Pages>
  <Words>8179</Words>
  <Characters>46622</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54692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48</cp:revision>
  <cp:lastPrinted>2015-06-18T13:07:00Z</cp:lastPrinted>
  <dcterms:created xsi:type="dcterms:W3CDTF">2016-04-25T08:15:00Z</dcterms:created>
  <dcterms:modified xsi:type="dcterms:W3CDTF">2016-04-25T12:19:00Z</dcterms:modified>
</cp:coreProperties>
</file>