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F4" w:rsidRPr="009628FC" w:rsidRDefault="00BE11F4" w:rsidP="00716A68">
      <w:pPr>
        <w:pStyle w:val="AKTI0"/>
      </w:pPr>
    </w:p>
    <w:tbl>
      <w:tblPr>
        <w:tblW w:w="5000" w:type="pct"/>
        <w:jc w:val="center"/>
        <w:tblLook w:val="00A0" w:firstRow="1" w:lastRow="0" w:firstColumn="1" w:lastColumn="0" w:noHBand="0" w:noVBand="0"/>
      </w:tblPr>
      <w:tblGrid>
        <w:gridCol w:w="1733"/>
        <w:gridCol w:w="6517"/>
        <w:gridCol w:w="2433"/>
      </w:tblGrid>
      <w:tr w:rsidR="008A5FB5" w:rsidRPr="009628FC" w:rsidTr="008A5FB5">
        <w:trPr>
          <w:trHeight w:val="259"/>
          <w:jc w:val="center"/>
        </w:trPr>
        <w:tc>
          <w:tcPr>
            <w:tcW w:w="1733" w:type="dxa"/>
          </w:tcPr>
          <w:p w:rsidR="008A5FB5" w:rsidRPr="009628FC" w:rsidRDefault="008A5FB5" w:rsidP="005C676D">
            <w:pPr>
              <w:pStyle w:val="NoSpacing"/>
              <w:rPr>
                <w:rFonts w:ascii="Garamond" w:hAnsi="Garamond"/>
                <w:b/>
                <w:sz w:val="72"/>
              </w:rPr>
            </w:pPr>
            <w:r w:rsidRPr="009628FC">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9628FC" w:rsidRDefault="008A5FB5" w:rsidP="005C676D">
            <w:pPr>
              <w:pStyle w:val="NoSpacing"/>
              <w:spacing w:line="276" w:lineRule="auto"/>
              <w:jc w:val="center"/>
              <w:rPr>
                <w:rFonts w:ascii="Garamond" w:hAnsi="Garamond"/>
                <w:b/>
                <w:sz w:val="80"/>
                <w:szCs w:val="80"/>
              </w:rPr>
            </w:pPr>
            <w:r w:rsidRPr="009628FC">
              <w:rPr>
                <w:rFonts w:ascii="Garamond" w:hAnsi="Garamond"/>
                <w:b/>
                <w:sz w:val="80"/>
                <w:szCs w:val="80"/>
              </w:rPr>
              <w:t>FLETORJA ZYRTARE</w:t>
            </w:r>
          </w:p>
          <w:p w:rsidR="008A5FB5" w:rsidRPr="009628FC" w:rsidRDefault="008A5FB5" w:rsidP="005C676D">
            <w:pPr>
              <w:tabs>
                <w:tab w:val="center" w:pos="5233"/>
                <w:tab w:val="left" w:pos="7629"/>
              </w:tabs>
              <w:spacing w:after="0" w:line="240" w:lineRule="auto"/>
              <w:jc w:val="center"/>
              <w:rPr>
                <w:rFonts w:ascii="Garamond" w:hAnsi="Garamond"/>
                <w:b/>
                <w:sz w:val="56"/>
                <w:szCs w:val="56"/>
              </w:rPr>
            </w:pPr>
            <w:r w:rsidRPr="009628FC">
              <w:rPr>
                <w:rFonts w:ascii="Garamond" w:hAnsi="Garamond"/>
                <w:b/>
                <w:sz w:val="56"/>
                <w:szCs w:val="56"/>
              </w:rPr>
              <w:t>E REPUBLIKËS SË SHQIPËRISË</w:t>
            </w:r>
          </w:p>
        </w:tc>
      </w:tr>
      <w:tr w:rsidR="008A5FB5" w:rsidRPr="009628FC" w:rsidTr="008A5FB5">
        <w:trPr>
          <w:trHeight w:val="259"/>
          <w:jc w:val="center"/>
        </w:trPr>
        <w:tc>
          <w:tcPr>
            <w:tcW w:w="1733" w:type="dxa"/>
          </w:tcPr>
          <w:p w:rsidR="008A5FB5" w:rsidRPr="009628FC" w:rsidRDefault="008A5FB5" w:rsidP="005C676D">
            <w:pPr>
              <w:pStyle w:val="NoSpacing"/>
              <w:rPr>
                <w:rFonts w:ascii="Garamond" w:hAnsi="Garamond"/>
                <w:lang w:eastAsia="sq-AL"/>
              </w:rPr>
            </w:pPr>
            <w:r w:rsidRPr="009628FC">
              <w:rPr>
                <w:rFonts w:ascii="Garamond" w:hAnsi="Garamond"/>
                <w:lang w:eastAsia="sq-AL"/>
              </w:rPr>
              <w:t>www.qbz.gov.al</w:t>
            </w:r>
          </w:p>
        </w:tc>
        <w:tc>
          <w:tcPr>
            <w:tcW w:w="6517" w:type="dxa"/>
            <w:vAlign w:val="bottom"/>
          </w:tcPr>
          <w:p w:rsidR="008A5FB5" w:rsidRPr="009628FC" w:rsidRDefault="008A5FB5" w:rsidP="005C676D">
            <w:pPr>
              <w:pStyle w:val="NoSpacing"/>
              <w:jc w:val="center"/>
              <w:rPr>
                <w:rFonts w:ascii="Garamond" w:hAnsi="Garamond"/>
                <w:sz w:val="28"/>
                <w:szCs w:val="28"/>
                <w:lang w:eastAsia="ja-JP"/>
              </w:rPr>
            </w:pPr>
            <w:r w:rsidRPr="009628FC">
              <w:rPr>
                <w:rFonts w:ascii="Garamond" w:hAnsi="Garamond"/>
                <w:sz w:val="28"/>
                <w:szCs w:val="28"/>
              </w:rPr>
              <w:t>Botim i Qendrës s</w:t>
            </w:r>
            <w:r w:rsidRPr="009628FC">
              <w:rPr>
                <w:rFonts w:ascii="Garamond" w:hAnsi="Garamond"/>
                <w:sz w:val="28"/>
                <w:szCs w:val="28"/>
                <w:lang w:eastAsia="ja-JP"/>
              </w:rPr>
              <w:t>ë Botimeve Zyrtare</w:t>
            </w:r>
          </w:p>
        </w:tc>
        <w:tc>
          <w:tcPr>
            <w:tcW w:w="2433" w:type="dxa"/>
            <w:vAlign w:val="bottom"/>
          </w:tcPr>
          <w:p w:rsidR="00A26B5E" w:rsidRPr="009628FC" w:rsidRDefault="007A21D2" w:rsidP="00C20814">
            <w:pPr>
              <w:pStyle w:val="NoSpacing"/>
              <w:jc w:val="right"/>
              <w:rPr>
                <w:rFonts w:ascii="Garamond" w:hAnsi="Garamond"/>
              </w:rPr>
            </w:pPr>
            <w:r w:rsidRPr="009628FC">
              <w:rPr>
                <w:rFonts w:ascii="Garamond" w:hAnsi="Garamond"/>
              </w:rPr>
              <w:t xml:space="preserve">Viti: </w:t>
            </w:r>
            <w:r w:rsidR="00FE1463" w:rsidRPr="009628FC">
              <w:rPr>
                <w:rFonts w:ascii="Garamond" w:hAnsi="Garamond"/>
              </w:rPr>
              <w:t>2019</w:t>
            </w:r>
            <w:r w:rsidR="00161603" w:rsidRPr="009628FC">
              <w:rPr>
                <w:rFonts w:ascii="Garamond" w:hAnsi="Garamond"/>
              </w:rPr>
              <w:t xml:space="preserve"> – Numri:</w:t>
            </w:r>
            <w:r w:rsidR="00B56E24" w:rsidRPr="009628FC">
              <w:rPr>
                <w:rFonts w:ascii="Garamond" w:hAnsi="Garamond"/>
              </w:rPr>
              <w:t xml:space="preserve"> </w:t>
            </w:r>
            <w:r w:rsidR="00F51C77">
              <w:rPr>
                <w:rFonts w:ascii="Garamond" w:hAnsi="Garamond"/>
              </w:rPr>
              <w:t>11</w:t>
            </w:r>
          </w:p>
          <w:p w:rsidR="008A5FB5" w:rsidRPr="009628FC" w:rsidRDefault="000C07C6" w:rsidP="00C20814">
            <w:pPr>
              <w:pStyle w:val="NoSpacing"/>
              <w:jc w:val="right"/>
              <w:rPr>
                <w:rFonts w:ascii="Garamond" w:hAnsi="Garamond"/>
              </w:rPr>
            </w:pPr>
            <w:r w:rsidRPr="009628FC">
              <w:rPr>
                <w:rFonts w:ascii="Garamond" w:hAnsi="Garamond"/>
              </w:rPr>
              <w:t xml:space="preserve"> </w:t>
            </w:r>
          </w:p>
        </w:tc>
      </w:tr>
      <w:tr w:rsidR="008A5FB5" w:rsidRPr="009628FC" w:rsidTr="008A5FB5">
        <w:trPr>
          <w:trHeight w:val="259"/>
          <w:jc w:val="center"/>
        </w:trPr>
        <w:tc>
          <w:tcPr>
            <w:tcW w:w="1733" w:type="dxa"/>
          </w:tcPr>
          <w:p w:rsidR="008A5FB5" w:rsidRPr="009628FC" w:rsidRDefault="008A5FB5" w:rsidP="005C676D">
            <w:pPr>
              <w:pStyle w:val="NoSpacing"/>
              <w:rPr>
                <w:rFonts w:ascii="Garamond" w:hAnsi="Garamond"/>
                <w:sz w:val="18"/>
                <w:lang w:eastAsia="sq-AL"/>
              </w:rPr>
            </w:pPr>
          </w:p>
        </w:tc>
        <w:tc>
          <w:tcPr>
            <w:tcW w:w="6517" w:type="dxa"/>
            <w:vAlign w:val="bottom"/>
          </w:tcPr>
          <w:p w:rsidR="008A5FB5" w:rsidRPr="009628FC" w:rsidRDefault="008A5FB5" w:rsidP="005C676D">
            <w:pPr>
              <w:pStyle w:val="NoSpacing"/>
              <w:jc w:val="center"/>
              <w:rPr>
                <w:rFonts w:ascii="Garamond" w:hAnsi="Garamond"/>
                <w:sz w:val="18"/>
                <w:szCs w:val="28"/>
              </w:rPr>
            </w:pPr>
          </w:p>
        </w:tc>
        <w:tc>
          <w:tcPr>
            <w:tcW w:w="2433" w:type="dxa"/>
            <w:vAlign w:val="bottom"/>
          </w:tcPr>
          <w:p w:rsidR="008A5FB5" w:rsidRPr="009628FC" w:rsidRDefault="008A5FB5" w:rsidP="005C676D">
            <w:pPr>
              <w:pStyle w:val="NoSpacing"/>
              <w:jc w:val="right"/>
              <w:rPr>
                <w:rFonts w:ascii="Garamond" w:hAnsi="Garamond"/>
                <w:sz w:val="18"/>
              </w:rPr>
            </w:pPr>
          </w:p>
        </w:tc>
      </w:tr>
    </w:tbl>
    <w:p w:rsidR="008A5FB5" w:rsidRPr="009628FC" w:rsidRDefault="008D0CA6" w:rsidP="008A5FB5">
      <w:pPr>
        <w:pStyle w:val="NoSpacing"/>
        <w:rPr>
          <w:rFonts w:ascii="Garamond" w:hAnsi="Garamond"/>
          <w:lang w:eastAsia="ja-JP"/>
        </w:rPr>
      </w:pPr>
      <w:r>
        <w:rPr>
          <w:rFonts w:ascii="Garamond" w:hAnsi="Garamond"/>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9628FC" w:rsidTr="008A5FB5">
        <w:trPr>
          <w:trHeight w:val="360"/>
        </w:trPr>
        <w:tc>
          <w:tcPr>
            <w:tcW w:w="10456" w:type="dxa"/>
          </w:tcPr>
          <w:p w:rsidR="008A5FB5" w:rsidRPr="009628FC" w:rsidRDefault="00B15809" w:rsidP="00F51C77">
            <w:pPr>
              <w:pStyle w:val="NoSpacing"/>
              <w:jc w:val="center"/>
              <w:rPr>
                <w:rFonts w:ascii="Garamond" w:hAnsi="Garamond"/>
                <w:b/>
                <w:sz w:val="28"/>
                <w:szCs w:val="28"/>
                <w:lang w:eastAsia="ja-JP"/>
              </w:rPr>
            </w:pPr>
            <w:r w:rsidRPr="009628FC">
              <w:rPr>
                <w:rFonts w:ascii="Garamond" w:hAnsi="Garamond"/>
                <w:b/>
                <w:sz w:val="28"/>
                <w:szCs w:val="28"/>
                <w:lang w:eastAsia="ja-JP"/>
              </w:rPr>
              <w:t>Tiranë – E</w:t>
            </w:r>
            <w:r w:rsidR="00CD27D3" w:rsidRPr="009628FC">
              <w:rPr>
                <w:rFonts w:ascii="Garamond" w:hAnsi="Garamond"/>
                <w:b/>
                <w:sz w:val="28"/>
                <w:szCs w:val="28"/>
                <w:lang w:eastAsia="ja-JP"/>
              </w:rPr>
              <w:t xml:space="preserve"> </w:t>
            </w:r>
            <w:r w:rsidR="00F51C77">
              <w:rPr>
                <w:rFonts w:ascii="Garamond" w:hAnsi="Garamond"/>
                <w:b/>
                <w:sz w:val="28"/>
                <w:szCs w:val="28"/>
                <w:lang w:eastAsia="ja-JP"/>
              </w:rPr>
              <w:t>m</w:t>
            </w:r>
            <w:r w:rsidR="00FF2CE6" w:rsidRPr="009628FC">
              <w:rPr>
                <w:rFonts w:ascii="Garamond" w:hAnsi="Garamond"/>
                <w:b/>
                <w:sz w:val="28"/>
                <w:szCs w:val="28"/>
                <w:lang w:eastAsia="ja-JP"/>
              </w:rPr>
              <w:t>ë</w:t>
            </w:r>
            <w:r w:rsidR="00F51C77">
              <w:rPr>
                <w:rFonts w:ascii="Garamond" w:hAnsi="Garamond"/>
                <w:b/>
                <w:sz w:val="28"/>
                <w:szCs w:val="28"/>
                <w:lang w:eastAsia="ja-JP"/>
              </w:rPr>
              <w:t>rkurë</w:t>
            </w:r>
            <w:r w:rsidR="00F6199B" w:rsidRPr="009628FC">
              <w:rPr>
                <w:rFonts w:ascii="Garamond" w:hAnsi="Garamond"/>
                <w:b/>
                <w:sz w:val="28"/>
                <w:szCs w:val="28"/>
                <w:lang w:eastAsia="ja-JP"/>
              </w:rPr>
              <w:t>,</w:t>
            </w:r>
            <w:r w:rsidR="00367B72" w:rsidRPr="009628FC">
              <w:rPr>
                <w:rFonts w:ascii="Garamond" w:hAnsi="Garamond"/>
                <w:b/>
                <w:sz w:val="28"/>
                <w:szCs w:val="28"/>
                <w:lang w:eastAsia="ja-JP"/>
              </w:rPr>
              <w:t xml:space="preserve"> </w:t>
            </w:r>
            <w:r w:rsidR="00F51C77">
              <w:rPr>
                <w:rFonts w:ascii="Garamond" w:hAnsi="Garamond"/>
                <w:b/>
                <w:sz w:val="28"/>
                <w:szCs w:val="28"/>
                <w:lang w:eastAsia="ja-JP"/>
              </w:rPr>
              <w:t>6</w:t>
            </w:r>
            <w:r w:rsidR="007250C1" w:rsidRPr="009628FC">
              <w:rPr>
                <w:rFonts w:ascii="Garamond" w:hAnsi="Garamond"/>
                <w:b/>
                <w:sz w:val="28"/>
                <w:szCs w:val="28"/>
                <w:lang w:eastAsia="ja-JP"/>
              </w:rPr>
              <w:t xml:space="preserve"> </w:t>
            </w:r>
            <w:r w:rsidR="002A614B" w:rsidRPr="009628FC">
              <w:rPr>
                <w:rFonts w:ascii="Garamond" w:hAnsi="Garamond"/>
                <w:b/>
                <w:sz w:val="28"/>
                <w:szCs w:val="28"/>
                <w:lang w:eastAsia="ja-JP"/>
              </w:rPr>
              <w:t>shkurt</w:t>
            </w:r>
            <w:r w:rsidR="003B47AC" w:rsidRPr="009628FC">
              <w:rPr>
                <w:rFonts w:ascii="Garamond" w:hAnsi="Garamond"/>
                <w:b/>
                <w:sz w:val="28"/>
                <w:szCs w:val="28"/>
                <w:lang w:eastAsia="ja-JP"/>
              </w:rPr>
              <w:t xml:space="preserve"> </w:t>
            </w:r>
            <w:r w:rsidR="008A5FB5" w:rsidRPr="009628FC">
              <w:rPr>
                <w:rFonts w:ascii="Garamond" w:hAnsi="Garamond"/>
                <w:b/>
                <w:sz w:val="28"/>
                <w:szCs w:val="28"/>
                <w:lang w:eastAsia="ja-JP"/>
              </w:rPr>
              <w:t>201</w:t>
            </w:r>
            <w:r w:rsidR="002A1E1D" w:rsidRPr="009628FC">
              <w:rPr>
                <w:rFonts w:ascii="Garamond" w:hAnsi="Garamond"/>
                <w:b/>
                <w:sz w:val="28"/>
                <w:szCs w:val="28"/>
                <w:lang w:eastAsia="ja-JP"/>
              </w:rPr>
              <w:t>9</w:t>
            </w:r>
          </w:p>
        </w:tc>
      </w:tr>
    </w:tbl>
    <w:p w:rsidR="008A5FB5" w:rsidRPr="009628FC" w:rsidRDefault="008D0CA6" w:rsidP="008A5FB5">
      <w:pPr>
        <w:pStyle w:val="NoSpacing"/>
        <w:rPr>
          <w:rFonts w:ascii="Garamond" w:hAnsi="Garamond"/>
          <w:lang w:eastAsia="ja-JP"/>
        </w:rPr>
      </w:pPr>
      <w:r>
        <w:rPr>
          <w:rFonts w:ascii="Garamond" w:hAnsi="Garamond"/>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9628FC" w:rsidRDefault="0087387F" w:rsidP="008A5FB5">
      <w:pPr>
        <w:tabs>
          <w:tab w:val="left" w:pos="1418"/>
        </w:tabs>
        <w:spacing w:after="0" w:line="240" w:lineRule="auto"/>
        <w:rPr>
          <w:rFonts w:ascii="Garamond" w:hAnsi="Garamond"/>
          <w:sz w:val="12"/>
        </w:rPr>
      </w:pPr>
    </w:p>
    <w:p w:rsidR="008A5FB5" w:rsidRPr="009628FC" w:rsidRDefault="008A5FB5" w:rsidP="008A5FB5">
      <w:pPr>
        <w:pStyle w:val="NoSpacing"/>
        <w:jc w:val="center"/>
        <w:rPr>
          <w:rFonts w:ascii="Garamond" w:hAnsi="Garamond"/>
          <w:b/>
          <w:sz w:val="28"/>
          <w:szCs w:val="28"/>
          <w:lang w:eastAsia="ja-JP"/>
        </w:rPr>
      </w:pPr>
      <w:r w:rsidRPr="009628FC">
        <w:rPr>
          <w:rFonts w:ascii="Garamond" w:hAnsi="Garamond"/>
          <w:b/>
          <w:sz w:val="28"/>
          <w:szCs w:val="28"/>
          <w:lang w:eastAsia="ja-JP"/>
        </w:rPr>
        <w:t>PËRMBAJTJA</w:t>
      </w:r>
    </w:p>
    <w:p w:rsidR="000E08BD" w:rsidRPr="009628FC"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9628FC" w:rsidTr="00E030FE">
        <w:trPr>
          <w:trHeight w:val="167"/>
        </w:trPr>
        <w:tc>
          <w:tcPr>
            <w:tcW w:w="3369" w:type="dxa"/>
          </w:tcPr>
          <w:p w:rsidR="00EA6B47" w:rsidRPr="009628FC" w:rsidRDefault="00EA6B47" w:rsidP="00957CB4">
            <w:pPr>
              <w:pStyle w:val="NeniTitull"/>
              <w:keepNext w:val="0"/>
              <w:jc w:val="left"/>
              <w:rPr>
                <w:sz w:val="14"/>
                <w:szCs w:val="24"/>
                <w:lang w:val="sq-AL"/>
              </w:rPr>
            </w:pPr>
          </w:p>
        </w:tc>
        <w:tc>
          <w:tcPr>
            <w:tcW w:w="6520" w:type="dxa"/>
          </w:tcPr>
          <w:p w:rsidR="00EA6B47" w:rsidRPr="009628FC" w:rsidRDefault="00EA6B47" w:rsidP="00957CB4">
            <w:pPr>
              <w:pStyle w:val="NeniTitull"/>
              <w:keepNext w:val="0"/>
              <w:jc w:val="both"/>
              <w:rPr>
                <w:b w:val="0"/>
                <w:spacing w:val="-4"/>
                <w:sz w:val="14"/>
                <w:lang w:val="sq-AL"/>
              </w:rPr>
            </w:pPr>
          </w:p>
        </w:tc>
        <w:tc>
          <w:tcPr>
            <w:tcW w:w="851" w:type="dxa"/>
          </w:tcPr>
          <w:p w:rsidR="00EA6B47" w:rsidRPr="009628FC" w:rsidRDefault="00FE0F6B" w:rsidP="00957CB4">
            <w:pPr>
              <w:pStyle w:val="Paragrafi"/>
              <w:ind w:firstLine="0"/>
              <w:jc w:val="center"/>
              <w:rPr>
                <w:lang w:val="sq-AL"/>
              </w:rPr>
            </w:pPr>
            <w:r w:rsidRPr="009628FC">
              <w:rPr>
                <w:szCs w:val="24"/>
                <w:lang w:val="sq-AL" w:eastAsia="ja-JP"/>
              </w:rPr>
              <w:t xml:space="preserve">  </w:t>
            </w:r>
            <w:r w:rsidR="00B31692" w:rsidRPr="009628FC">
              <w:rPr>
                <w:szCs w:val="24"/>
                <w:lang w:val="sq-AL" w:eastAsia="ja-JP"/>
              </w:rPr>
              <w:t>Faqe</w:t>
            </w:r>
          </w:p>
        </w:tc>
      </w:tr>
    </w:tbl>
    <w:p w:rsidR="00C917D7" w:rsidRPr="009628FC"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510"/>
        <w:gridCol w:w="6379"/>
        <w:gridCol w:w="851"/>
      </w:tblGrid>
      <w:tr w:rsidR="00AB5329" w:rsidRPr="009628FC" w:rsidTr="00B41E47">
        <w:trPr>
          <w:trHeight w:val="150"/>
        </w:trPr>
        <w:tc>
          <w:tcPr>
            <w:tcW w:w="3510" w:type="dxa"/>
          </w:tcPr>
          <w:p w:rsidR="00AB5329" w:rsidRPr="00141FE8" w:rsidRDefault="003B122E" w:rsidP="00A925A6">
            <w:pPr>
              <w:pStyle w:val="NeniTitull"/>
              <w:jc w:val="both"/>
              <w:rPr>
                <w:b w:val="0"/>
                <w:szCs w:val="24"/>
                <w:lang w:val="sq-AL" w:eastAsia="zh-CN"/>
              </w:rPr>
            </w:pPr>
            <w:r w:rsidRPr="00141FE8">
              <w:rPr>
                <w:b w:val="0"/>
                <w:szCs w:val="24"/>
                <w:lang w:val="sq-AL" w:eastAsia="zh-CN"/>
              </w:rPr>
              <w:t>Vendim i Këshillit të Ministrave</w:t>
            </w:r>
          </w:p>
          <w:p w:rsidR="003A5318" w:rsidRPr="00141FE8" w:rsidRDefault="003A5318" w:rsidP="003A5318">
            <w:pPr>
              <w:spacing w:after="0" w:line="240" w:lineRule="auto"/>
              <w:rPr>
                <w:rFonts w:ascii="Garamond" w:hAnsi="Garamond"/>
                <w:sz w:val="24"/>
                <w:szCs w:val="24"/>
                <w:lang w:eastAsia="zh-CN"/>
              </w:rPr>
            </w:pPr>
            <w:r w:rsidRPr="00141FE8">
              <w:rPr>
                <w:rFonts w:ascii="Garamond" w:hAnsi="Garamond"/>
                <w:sz w:val="24"/>
                <w:szCs w:val="24"/>
                <w:lang w:eastAsia="zh-CN"/>
              </w:rPr>
              <w:t>nr.</w:t>
            </w:r>
            <w:r w:rsidR="00141FE8" w:rsidRPr="00141FE8">
              <w:rPr>
                <w:rFonts w:ascii="Garamond" w:hAnsi="Garamond"/>
                <w:sz w:val="24"/>
                <w:szCs w:val="24"/>
                <w:lang w:eastAsia="zh-CN"/>
              </w:rPr>
              <w:t xml:space="preserve"> 56, datë 6.2.2019</w:t>
            </w:r>
          </w:p>
        </w:tc>
        <w:tc>
          <w:tcPr>
            <w:tcW w:w="6379" w:type="dxa"/>
          </w:tcPr>
          <w:p w:rsidR="00AB5329" w:rsidRPr="00A925A6" w:rsidRDefault="003B122E" w:rsidP="00716A68">
            <w:pPr>
              <w:pStyle w:val="NeniTitull"/>
              <w:jc w:val="both"/>
              <w:rPr>
                <w:b w:val="0"/>
                <w:lang w:val="sq-AL"/>
              </w:rPr>
            </w:pPr>
            <w:r w:rsidRPr="003B122E">
              <w:rPr>
                <w:b w:val="0"/>
                <w:lang w:val="sq-AL"/>
              </w:rPr>
              <w:t xml:space="preserve">Për lirimin dhe emërimin në detyrë të drejtorit të </w:t>
            </w:r>
            <w:r w:rsidR="00716A68">
              <w:rPr>
                <w:b w:val="0"/>
                <w:lang w:val="sq-AL"/>
              </w:rPr>
              <w:t>P</w:t>
            </w:r>
            <w:r w:rsidRPr="003B122E">
              <w:rPr>
                <w:b w:val="0"/>
                <w:lang w:val="sq-AL"/>
              </w:rPr>
              <w:t>ërgjithshëm të Autoritetit Kombëtar të Ushqimit</w:t>
            </w:r>
            <w:r w:rsidR="00842D70">
              <w:rPr>
                <w:b w:val="0"/>
                <w:lang w:val="sq-AL"/>
              </w:rPr>
              <w:t>..............................</w:t>
            </w:r>
            <w:r w:rsidR="00641AC6">
              <w:rPr>
                <w:b w:val="0"/>
                <w:lang w:val="sq-AL"/>
              </w:rPr>
              <w:t>...........................</w:t>
            </w:r>
          </w:p>
        </w:tc>
        <w:tc>
          <w:tcPr>
            <w:tcW w:w="851" w:type="dxa"/>
          </w:tcPr>
          <w:p w:rsidR="0092639E" w:rsidRDefault="0092639E" w:rsidP="000526C7">
            <w:pPr>
              <w:pStyle w:val="Paragrafi"/>
              <w:ind w:firstLine="0"/>
              <w:jc w:val="right"/>
              <w:rPr>
                <w:spacing w:val="-4"/>
                <w:lang w:val="sq-AL"/>
              </w:rPr>
            </w:pPr>
          </w:p>
          <w:p w:rsidR="00AB5329" w:rsidRPr="009628FC" w:rsidRDefault="0092639E" w:rsidP="000526C7">
            <w:pPr>
              <w:pStyle w:val="Paragrafi"/>
              <w:ind w:firstLine="0"/>
              <w:jc w:val="right"/>
              <w:rPr>
                <w:spacing w:val="-4"/>
                <w:lang w:val="sq-AL"/>
              </w:rPr>
            </w:pPr>
            <w:r>
              <w:rPr>
                <w:spacing w:val="-4"/>
                <w:lang w:val="sq-AL"/>
              </w:rPr>
              <w:t>293</w:t>
            </w:r>
          </w:p>
        </w:tc>
      </w:tr>
      <w:tr w:rsidR="005D4091" w:rsidRPr="009628FC" w:rsidTr="00B41E47">
        <w:trPr>
          <w:trHeight w:val="150"/>
        </w:trPr>
        <w:tc>
          <w:tcPr>
            <w:tcW w:w="3510" w:type="dxa"/>
          </w:tcPr>
          <w:p w:rsidR="005D4091" w:rsidRPr="00A925A6" w:rsidRDefault="005D4091" w:rsidP="00A925A6">
            <w:pPr>
              <w:pStyle w:val="NeniTitull"/>
              <w:jc w:val="both"/>
              <w:rPr>
                <w:b w:val="0"/>
                <w:lang w:val="sq-AL"/>
              </w:rPr>
            </w:pPr>
          </w:p>
        </w:tc>
        <w:tc>
          <w:tcPr>
            <w:tcW w:w="6379" w:type="dxa"/>
          </w:tcPr>
          <w:p w:rsidR="005D4091" w:rsidRPr="00A925A6" w:rsidRDefault="005D4091" w:rsidP="00A925A6">
            <w:pPr>
              <w:pStyle w:val="NeniTitull"/>
              <w:jc w:val="both"/>
              <w:rPr>
                <w:b w:val="0"/>
                <w:lang w:val="sq-AL"/>
              </w:rPr>
            </w:pPr>
          </w:p>
        </w:tc>
        <w:tc>
          <w:tcPr>
            <w:tcW w:w="851" w:type="dxa"/>
          </w:tcPr>
          <w:p w:rsidR="005D4091" w:rsidRPr="009628FC" w:rsidRDefault="005D4091" w:rsidP="000C4236">
            <w:pPr>
              <w:pStyle w:val="Paragrafi"/>
              <w:ind w:firstLine="0"/>
              <w:jc w:val="right"/>
              <w:rPr>
                <w:spacing w:val="-4"/>
                <w:lang w:val="sq-AL"/>
              </w:rPr>
            </w:pPr>
          </w:p>
        </w:tc>
      </w:tr>
      <w:tr w:rsidR="005D4091" w:rsidRPr="009628FC" w:rsidTr="00B41E47">
        <w:trPr>
          <w:trHeight w:val="150"/>
        </w:trPr>
        <w:tc>
          <w:tcPr>
            <w:tcW w:w="3510" w:type="dxa"/>
          </w:tcPr>
          <w:p w:rsidR="005D4091" w:rsidRPr="00641AC6" w:rsidRDefault="00BB3F5B" w:rsidP="00716A68">
            <w:pPr>
              <w:pStyle w:val="NeniNr"/>
              <w:jc w:val="both"/>
              <w:rPr>
                <w:lang w:val="sq-AL"/>
              </w:rPr>
            </w:pPr>
            <w:r w:rsidRPr="00BB3F5B">
              <w:rPr>
                <w:lang w:val="sq-AL"/>
              </w:rPr>
              <w:t>Vendim</w:t>
            </w:r>
            <w:r>
              <w:rPr>
                <w:lang w:val="sq-AL"/>
              </w:rPr>
              <w:t xml:space="preserve"> i Gjykatës E</w:t>
            </w:r>
            <w:r w:rsidR="00716A68">
              <w:rPr>
                <w:lang w:val="sq-AL"/>
              </w:rPr>
              <w:t>v</w:t>
            </w:r>
            <w:r>
              <w:rPr>
                <w:lang w:val="sq-AL"/>
              </w:rPr>
              <w:t>ropiane të të Drejtave të Njeriut</w:t>
            </w:r>
            <w:r w:rsidR="009D09D1">
              <w:rPr>
                <w:lang w:val="sq-AL"/>
              </w:rPr>
              <w:t>,</w:t>
            </w:r>
            <w:r>
              <w:rPr>
                <w:lang w:val="sq-AL"/>
              </w:rPr>
              <w:t xml:space="preserve"> datë 25.9.2018</w:t>
            </w:r>
          </w:p>
        </w:tc>
        <w:tc>
          <w:tcPr>
            <w:tcW w:w="6379" w:type="dxa"/>
          </w:tcPr>
          <w:p w:rsidR="00842D70" w:rsidRPr="004E7593" w:rsidRDefault="00842D70" w:rsidP="00842D70">
            <w:pPr>
              <w:pStyle w:val="NeniNr"/>
              <w:jc w:val="both"/>
              <w:rPr>
                <w:lang w:val="sq-AL"/>
              </w:rPr>
            </w:pPr>
            <w:r w:rsidRPr="004E7593">
              <w:rPr>
                <w:lang w:val="sq-AL"/>
              </w:rPr>
              <w:t>Çështja Karemani kundër Shqipërisë</w:t>
            </w:r>
            <w:r>
              <w:rPr>
                <w:lang w:val="sq-AL"/>
              </w:rPr>
              <w:t xml:space="preserve"> (</w:t>
            </w:r>
            <w:r w:rsidR="00505358" w:rsidRPr="00716A68">
              <w:rPr>
                <w:i/>
                <w:lang w:val="sq-AL"/>
              </w:rPr>
              <w:t>k</w:t>
            </w:r>
            <w:r w:rsidRPr="00716A68">
              <w:rPr>
                <w:i/>
                <w:lang w:val="sq-AL"/>
              </w:rPr>
              <w:t>ërkesa nr. 48717/08</w:t>
            </w:r>
            <w:r w:rsidR="00641AC6">
              <w:rPr>
                <w:lang w:val="sq-AL"/>
              </w:rPr>
              <w:t>)...........</w:t>
            </w:r>
          </w:p>
          <w:p w:rsidR="005D4091" w:rsidRPr="00A925A6" w:rsidRDefault="005D4091" w:rsidP="00BB3F5B">
            <w:pPr>
              <w:pStyle w:val="NeniNr"/>
              <w:rPr>
                <w:b/>
                <w:lang w:val="sq-AL"/>
              </w:rPr>
            </w:pPr>
          </w:p>
        </w:tc>
        <w:tc>
          <w:tcPr>
            <w:tcW w:w="851" w:type="dxa"/>
          </w:tcPr>
          <w:p w:rsidR="005D4091" w:rsidRPr="009628FC" w:rsidRDefault="0092639E" w:rsidP="000C4236">
            <w:pPr>
              <w:pStyle w:val="Paragrafi"/>
              <w:ind w:firstLine="0"/>
              <w:jc w:val="right"/>
              <w:rPr>
                <w:spacing w:val="-4"/>
                <w:lang w:val="sq-AL"/>
              </w:rPr>
            </w:pPr>
            <w:r>
              <w:rPr>
                <w:spacing w:val="-4"/>
                <w:lang w:val="sq-AL"/>
              </w:rPr>
              <w:t>293</w:t>
            </w:r>
          </w:p>
        </w:tc>
      </w:tr>
      <w:tr w:rsidR="005D4091" w:rsidRPr="009628FC" w:rsidTr="00B41E47">
        <w:trPr>
          <w:trHeight w:val="150"/>
        </w:trPr>
        <w:tc>
          <w:tcPr>
            <w:tcW w:w="3510" w:type="dxa"/>
          </w:tcPr>
          <w:p w:rsidR="005D4091" w:rsidRPr="00A925A6" w:rsidRDefault="005D4091" w:rsidP="00A925A6">
            <w:pPr>
              <w:pStyle w:val="Paragrafi"/>
              <w:ind w:firstLine="0"/>
              <w:rPr>
                <w:spacing w:val="-4"/>
                <w:lang w:val="sq-AL"/>
              </w:rPr>
            </w:pPr>
          </w:p>
        </w:tc>
        <w:tc>
          <w:tcPr>
            <w:tcW w:w="6379" w:type="dxa"/>
          </w:tcPr>
          <w:p w:rsidR="005D4091" w:rsidRPr="00A925A6" w:rsidRDefault="005D4091" w:rsidP="00A925A6">
            <w:pPr>
              <w:pStyle w:val="NeniTitull"/>
              <w:jc w:val="both"/>
              <w:rPr>
                <w:b w:val="0"/>
                <w:lang w:val="sq-AL"/>
              </w:rPr>
            </w:pPr>
          </w:p>
        </w:tc>
        <w:tc>
          <w:tcPr>
            <w:tcW w:w="851" w:type="dxa"/>
          </w:tcPr>
          <w:p w:rsidR="005D4091" w:rsidRPr="009628FC" w:rsidRDefault="005D4091" w:rsidP="000C4236">
            <w:pPr>
              <w:pStyle w:val="Paragrafi"/>
              <w:ind w:firstLine="0"/>
              <w:jc w:val="right"/>
              <w:rPr>
                <w:spacing w:val="-4"/>
                <w:lang w:val="sq-AL"/>
              </w:rPr>
            </w:pPr>
          </w:p>
        </w:tc>
      </w:tr>
      <w:tr w:rsidR="0092639E" w:rsidRPr="009628FC" w:rsidTr="00B41E47">
        <w:trPr>
          <w:trHeight w:val="150"/>
        </w:trPr>
        <w:tc>
          <w:tcPr>
            <w:tcW w:w="3510" w:type="dxa"/>
          </w:tcPr>
          <w:p w:rsidR="0092639E" w:rsidRDefault="0092639E" w:rsidP="0092639E">
            <w:pPr>
              <w:pStyle w:val="NeniTitull"/>
              <w:keepNext w:val="0"/>
              <w:jc w:val="both"/>
              <w:rPr>
                <w:b w:val="0"/>
                <w:spacing w:val="-4"/>
                <w:lang w:val="sq-AL"/>
              </w:rPr>
            </w:pPr>
            <w:r w:rsidRPr="00FC5E44">
              <w:rPr>
                <w:b w:val="0"/>
                <w:spacing w:val="-4"/>
                <w:lang w:val="sq-AL"/>
              </w:rPr>
              <w:t>Njoftim i Ministrisë për E</w:t>
            </w:r>
            <w:r w:rsidR="00C73569">
              <w:rPr>
                <w:b w:val="0"/>
                <w:spacing w:val="-4"/>
                <w:lang w:val="sq-AL"/>
              </w:rPr>
              <w:t>vropën dhe Punët e Jashtme nr.</w:t>
            </w:r>
            <w:r w:rsidRPr="00FC5E44">
              <w:rPr>
                <w:b w:val="0"/>
                <w:spacing w:val="-4"/>
                <w:lang w:val="sq-AL"/>
              </w:rPr>
              <w:t xml:space="preserve"> </w:t>
            </w:r>
            <w:r w:rsidRPr="0092639E">
              <w:rPr>
                <w:b w:val="0"/>
                <w:spacing w:val="-4"/>
                <w:lang w:val="sq-AL"/>
              </w:rPr>
              <w:t>1650</w:t>
            </w:r>
            <w:r w:rsidRPr="00FC5E44">
              <w:rPr>
                <w:b w:val="0"/>
                <w:spacing w:val="-4"/>
                <w:lang w:val="sq-AL"/>
              </w:rPr>
              <w:t xml:space="preserve">, </w:t>
            </w:r>
          </w:p>
          <w:p w:rsidR="0092639E" w:rsidRPr="0092639E" w:rsidRDefault="0092639E" w:rsidP="0092639E">
            <w:pPr>
              <w:pStyle w:val="NeniTitull"/>
              <w:keepNext w:val="0"/>
              <w:jc w:val="both"/>
              <w:rPr>
                <w:b w:val="0"/>
                <w:spacing w:val="-4"/>
                <w:lang w:val="sq-AL"/>
              </w:rPr>
            </w:pPr>
            <w:r w:rsidRPr="00FC5E44">
              <w:rPr>
                <w:b w:val="0"/>
                <w:spacing w:val="-4"/>
                <w:lang w:val="sq-AL"/>
              </w:rPr>
              <w:t xml:space="preserve">datë </w:t>
            </w:r>
            <w:r w:rsidRPr="0092639E">
              <w:rPr>
                <w:b w:val="0"/>
                <w:spacing w:val="-4"/>
                <w:lang w:val="sq-AL"/>
              </w:rPr>
              <w:t>5.2.2019</w:t>
            </w:r>
          </w:p>
        </w:tc>
        <w:tc>
          <w:tcPr>
            <w:tcW w:w="6379" w:type="dxa"/>
          </w:tcPr>
          <w:p w:rsidR="0092639E" w:rsidRPr="0092639E" w:rsidRDefault="0092639E" w:rsidP="0092639E">
            <w:pPr>
              <w:pStyle w:val="NeniTitull"/>
              <w:jc w:val="both"/>
              <w:rPr>
                <w:b w:val="0"/>
                <w:lang w:eastAsia="en-GB"/>
              </w:rPr>
            </w:pPr>
            <w:r w:rsidRPr="0092639E">
              <w:rPr>
                <w:b w:val="0"/>
                <w:lang w:eastAsia="en-GB"/>
              </w:rPr>
              <w:t>Mbi hyrjen në fuqi të një marrëveshje dypalëshe me Malin e Zi</w:t>
            </w:r>
            <w:r w:rsidR="00796969">
              <w:rPr>
                <w:b w:val="0"/>
                <w:lang w:eastAsia="en-GB"/>
              </w:rPr>
              <w:t>.....</w:t>
            </w:r>
          </w:p>
          <w:p w:rsidR="0092639E" w:rsidRPr="00FC5E44" w:rsidRDefault="0092639E" w:rsidP="0092639E">
            <w:pPr>
              <w:pStyle w:val="NeniTitull"/>
              <w:keepNext w:val="0"/>
              <w:jc w:val="both"/>
              <w:rPr>
                <w:b w:val="0"/>
                <w:spacing w:val="-4"/>
                <w:lang w:val="sq-AL"/>
              </w:rPr>
            </w:pPr>
          </w:p>
        </w:tc>
        <w:tc>
          <w:tcPr>
            <w:tcW w:w="851" w:type="dxa"/>
          </w:tcPr>
          <w:p w:rsidR="0092639E" w:rsidRPr="00FC5E44" w:rsidRDefault="00796969" w:rsidP="00796969">
            <w:pPr>
              <w:pStyle w:val="Paragrafi"/>
              <w:ind w:firstLine="0"/>
              <w:jc w:val="right"/>
              <w:rPr>
                <w:spacing w:val="-4"/>
                <w:lang w:val="sq-AL"/>
              </w:rPr>
            </w:pPr>
            <w:r>
              <w:rPr>
                <w:spacing w:val="-4"/>
                <w:lang w:val="sq-AL"/>
              </w:rPr>
              <w:t>297</w:t>
            </w:r>
          </w:p>
        </w:tc>
      </w:tr>
      <w:tr w:rsidR="0092639E" w:rsidRPr="009628FC" w:rsidTr="00B41E47">
        <w:trPr>
          <w:trHeight w:val="150"/>
        </w:trPr>
        <w:tc>
          <w:tcPr>
            <w:tcW w:w="3510" w:type="dxa"/>
          </w:tcPr>
          <w:p w:rsidR="0092639E" w:rsidRPr="00A925A6" w:rsidRDefault="0092639E" w:rsidP="00A925A6">
            <w:pPr>
              <w:pStyle w:val="Paragrafi"/>
              <w:ind w:firstLine="0"/>
              <w:rPr>
                <w:spacing w:val="-4"/>
                <w:lang w:val="sq-AL"/>
              </w:rPr>
            </w:pPr>
          </w:p>
        </w:tc>
        <w:tc>
          <w:tcPr>
            <w:tcW w:w="6379" w:type="dxa"/>
          </w:tcPr>
          <w:p w:rsidR="0092639E" w:rsidRPr="00A925A6" w:rsidRDefault="0092639E" w:rsidP="00A925A6">
            <w:pPr>
              <w:pStyle w:val="NeniTitull"/>
              <w:jc w:val="both"/>
              <w:rPr>
                <w:b w:val="0"/>
                <w:lang w:val="sq-AL"/>
              </w:rPr>
            </w:pPr>
          </w:p>
        </w:tc>
        <w:tc>
          <w:tcPr>
            <w:tcW w:w="851" w:type="dxa"/>
          </w:tcPr>
          <w:p w:rsidR="0092639E" w:rsidRPr="009628FC" w:rsidRDefault="0092639E" w:rsidP="000C4236">
            <w:pPr>
              <w:pStyle w:val="Paragrafi"/>
              <w:ind w:firstLine="0"/>
              <w:jc w:val="right"/>
              <w:rPr>
                <w:spacing w:val="-4"/>
                <w:lang w:val="sq-AL"/>
              </w:rPr>
            </w:pPr>
          </w:p>
        </w:tc>
      </w:tr>
      <w:tr w:rsidR="0092639E" w:rsidRPr="009628FC" w:rsidTr="00B41E47">
        <w:trPr>
          <w:trHeight w:val="150"/>
        </w:trPr>
        <w:tc>
          <w:tcPr>
            <w:tcW w:w="3510" w:type="dxa"/>
          </w:tcPr>
          <w:p w:rsidR="0092639E" w:rsidRPr="00A925A6" w:rsidRDefault="0092639E" w:rsidP="00A925A6">
            <w:pPr>
              <w:pStyle w:val="NeniTitull"/>
              <w:jc w:val="both"/>
              <w:rPr>
                <w:b w:val="0"/>
                <w:lang w:val="sq-AL"/>
              </w:rPr>
            </w:pPr>
          </w:p>
        </w:tc>
        <w:tc>
          <w:tcPr>
            <w:tcW w:w="6379" w:type="dxa"/>
          </w:tcPr>
          <w:p w:rsidR="0092639E" w:rsidRPr="00E31599" w:rsidRDefault="0092639E" w:rsidP="00184F7C">
            <w:pPr>
              <w:pStyle w:val="NeniTitull"/>
              <w:jc w:val="both"/>
              <w:rPr>
                <w:b w:val="0"/>
                <w:spacing w:val="-4"/>
                <w:lang w:val="sq-AL"/>
              </w:rPr>
            </w:pPr>
          </w:p>
        </w:tc>
        <w:tc>
          <w:tcPr>
            <w:tcW w:w="851" w:type="dxa"/>
          </w:tcPr>
          <w:p w:rsidR="0092639E" w:rsidRPr="009628FC" w:rsidRDefault="0092639E" w:rsidP="000526C7">
            <w:pPr>
              <w:pStyle w:val="Paragrafi"/>
              <w:ind w:firstLine="0"/>
              <w:jc w:val="right"/>
              <w:rPr>
                <w:spacing w:val="-4"/>
                <w:lang w:val="sq-AL"/>
              </w:rPr>
            </w:pPr>
          </w:p>
        </w:tc>
      </w:tr>
      <w:tr w:rsidR="0092639E" w:rsidRPr="009628FC" w:rsidTr="00B41E47">
        <w:trPr>
          <w:trHeight w:val="150"/>
        </w:trPr>
        <w:tc>
          <w:tcPr>
            <w:tcW w:w="3510" w:type="dxa"/>
          </w:tcPr>
          <w:p w:rsidR="0092639E" w:rsidRPr="00A925A6" w:rsidRDefault="0092639E" w:rsidP="00A925A6">
            <w:pPr>
              <w:pStyle w:val="NeniTitull"/>
              <w:keepNext w:val="0"/>
              <w:jc w:val="both"/>
              <w:rPr>
                <w:b w:val="0"/>
                <w:spacing w:val="-4"/>
                <w:lang w:val="sq-AL"/>
              </w:rPr>
            </w:pPr>
          </w:p>
        </w:tc>
        <w:tc>
          <w:tcPr>
            <w:tcW w:w="6379" w:type="dxa"/>
          </w:tcPr>
          <w:p w:rsidR="0092639E" w:rsidRPr="00A925A6" w:rsidRDefault="0092639E" w:rsidP="00A925A6">
            <w:pPr>
              <w:pStyle w:val="NeniTitull"/>
              <w:keepNext w:val="0"/>
              <w:jc w:val="both"/>
              <w:rPr>
                <w:b w:val="0"/>
                <w:spacing w:val="-4"/>
                <w:lang w:val="sq-AL"/>
              </w:rPr>
            </w:pPr>
          </w:p>
        </w:tc>
        <w:tc>
          <w:tcPr>
            <w:tcW w:w="851" w:type="dxa"/>
          </w:tcPr>
          <w:p w:rsidR="0092639E" w:rsidRPr="009628FC" w:rsidRDefault="0092639E" w:rsidP="000526C7">
            <w:pPr>
              <w:pStyle w:val="Paragrafi"/>
              <w:ind w:firstLine="0"/>
              <w:jc w:val="right"/>
              <w:rPr>
                <w:spacing w:val="-4"/>
                <w:lang w:val="sq-AL"/>
              </w:rPr>
            </w:pPr>
          </w:p>
        </w:tc>
      </w:tr>
      <w:tr w:rsidR="0092639E" w:rsidRPr="009628FC" w:rsidTr="00B41E47">
        <w:trPr>
          <w:trHeight w:val="150"/>
        </w:trPr>
        <w:tc>
          <w:tcPr>
            <w:tcW w:w="3510" w:type="dxa"/>
          </w:tcPr>
          <w:p w:rsidR="0092639E" w:rsidRPr="00A925A6" w:rsidRDefault="0092639E" w:rsidP="00A925A6">
            <w:pPr>
              <w:pStyle w:val="NeniTitull"/>
              <w:jc w:val="both"/>
              <w:rPr>
                <w:b w:val="0"/>
                <w:lang w:val="sq-AL"/>
              </w:rPr>
            </w:pPr>
          </w:p>
        </w:tc>
        <w:tc>
          <w:tcPr>
            <w:tcW w:w="6379" w:type="dxa"/>
          </w:tcPr>
          <w:p w:rsidR="0092639E" w:rsidRPr="00A925A6" w:rsidRDefault="0092639E" w:rsidP="00A925A6">
            <w:pPr>
              <w:pStyle w:val="NeniTitull"/>
              <w:jc w:val="both"/>
              <w:rPr>
                <w:b w:val="0"/>
                <w:spacing w:val="-4"/>
                <w:lang w:val="sq-AL"/>
              </w:rPr>
            </w:pPr>
          </w:p>
        </w:tc>
        <w:tc>
          <w:tcPr>
            <w:tcW w:w="851" w:type="dxa"/>
          </w:tcPr>
          <w:p w:rsidR="0092639E" w:rsidRPr="009628FC" w:rsidRDefault="0092639E" w:rsidP="000526C7">
            <w:pPr>
              <w:pStyle w:val="Paragrafi"/>
              <w:ind w:firstLine="0"/>
              <w:jc w:val="right"/>
              <w:rPr>
                <w:spacing w:val="-4"/>
                <w:lang w:val="sq-AL"/>
              </w:rPr>
            </w:pPr>
          </w:p>
        </w:tc>
      </w:tr>
      <w:tr w:rsidR="0092639E" w:rsidRPr="009628FC" w:rsidTr="00B41E47">
        <w:trPr>
          <w:trHeight w:val="150"/>
        </w:trPr>
        <w:tc>
          <w:tcPr>
            <w:tcW w:w="3510" w:type="dxa"/>
          </w:tcPr>
          <w:p w:rsidR="0092639E" w:rsidRPr="00A925A6" w:rsidRDefault="0092639E" w:rsidP="00A925A6">
            <w:pPr>
              <w:pStyle w:val="NeniTitull"/>
              <w:keepNext w:val="0"/>
              <w:jc w:val="both"/>
              <w:rPr>
                <w:b w:val="0"/>
                <w:spacing w:val="-4"/>
                <w:lang w:val="sq-AL"/>
              </w:rPr>
            </w:pPr>
          </w:p>
        </w:tc>
        <w:tc>
          <w:tcPr>
            <w:tcW w:w="6379" w:type="dxa"/>
          </w:tcPr>
          <w:p w:rsidR="0092639E" w:rsidRPr="00A925A6" w:rsidRDefault="0092639E" w:rsidP="00A925A6">
            <w:pPr>
              <w:pStyle w:val="NeniTitull"/>
              <w:keepNext w:val="0"/>
              <w:jc w:val="both"/>
              <w:rPr>
                <w:b w:val="0"/>
                <w:spacing w:val="-4"/>
                <w:lang w:val="sq-AL"/>
              </w:rPr>
            </w:pPr>
          </w:p>
        </w:tc>
        <w:tc>
          <w:tcPr>
            <w:tcW w:w="851" w:type="dxa"/>
          </w:tcPr>
          <w:p w:rsidR="0092639E" w:rsidRPr="009628FC" w:rsidRDefault="0092639E" w:rsidP="000526C7">
            <w:pPr>
              <w:pStyle w:val="Paragrafi"/>
              <w:ind w:firstLine="0"/>
              <w:jc w:val="right"/>
              <w:rPr>
                <w:spacing w:val="-4"/>
                <w:lang w:val="sq-AL"/>
              </w:rPr>
            </w:pPr>
          </w:p>
        </w:tc>
      </w:tr>
      <w:tr w:rsidR="0092639E" w:rsidRPr="009628FC" w:rsidTr="00B41E47">
        <w:trPr>
          <w:trHeight w:val="150"/>
        </w:trPr>
        <w:tc>
          <w:tcPr>
            <w:tcW w:w="3510" w:type="dxa"/>
          </w:tcPr>
          <w:p w:rsidR="0092639E" w:rsidRPr="00A925A6" w:rsidRDefault="0092639E" w:rsidP="00A925A6">
            <w:pPr>
              <w:pStyle w:val="NeniTitull"/>
              <w:jc w:val="both"/>
              <w:rPr>
                <w:b w:val="0"/>
                <w:lang w:val="sq-AL" w:eastAsia="en-GB"/>
              </w:rPr>
            </w:pPr>
          </w:p>
        </w:tc>
        <w:tc>
          <w:tcPr>
            <w:tcW w:w="6379" w:type="dxa"/>
          </w:tcPr>
          <w:p w:rsidR="0092639E" w:rsidRPr="00A925A6" w:rsidRDefault="0092639E" w:rsidP="00A925A6">
            <w:pPr>
              <w:pStyle w:val="NeniTitull"/>
              <w:jc w:val="both"/>
              <w:rPr>
                <w:b w:val="0"/>
                <w:lang w:val="sq-AL"/>
              </w:rPr>
            </w:pPr>
          </w:p>
        </w:tc>
        <w:tc>
          <w:tcPr>
            <w:tcW w:w="851" w:type="dxa"/>
          </w:tcPr>
          <w:p w:rsidR="0092639E" w:rsidRPr="009628FC" w:rsidRDefault="0092639E" w:rsidP="000526C7">
            <w:pPr>
              <w:pStyle w:val="Paragrafi"/>
              <w:ind w:firstLine="0"/>
              <w:jc w:val="right"/>
              <w:rPr>
                <w:spacing w:val="-4"/>
                <w:lang w:val="sq-AL"/>
              </w:rPr>
            </w:pPr>
          </w:p>
        </w:tc>
      </w:tr>
      <w:tr w:rsidR="0092639E" w:rsidRPr="009628FC" w:rsidTr="00B41E47">
        <w:trPr>
          <w:trHeight w:val="150"/>
        </w:trPr>
        <w:tc>
          <w:tcPr>
            <w:tcW w:w="3510" w:type="dxa"/>
          </w:tcPr>
          <w:p w:rsidR="0092639E" w:rsidRPr="009628FC" w:rsidRDefault="0092639E" w:rsidP="00741FEC">
            <w:pPr>
              <w:pStyle w:val="NeniTitull"/>
              <w:keepNext w:val="0"/>
              <w:jc w:val="both"/>
              <w:rPr>
                <w:b w:val="0"/>
                <w:spacing w:val="-4"/>
                <w:lang w:val="sq-AL"/>
              </w:rPr>
            </w:pPr>
          </w:p>
        </w:tc>
        <w:tc>
          <w:tcPr>
            <w:tcW w:w="6379" w:type="dxa"/>
          </w:tcPr>
          <w:p w:rsidR="0092639E" w:rsidRPr="009628FC" w:rsidRDefault="0092639E" w:rsidP="00C44B30">
            <w:pPr>
              <w:pStyle w:val="NeniTitull"/>
              <w:keepNext w:val="0"/>
              <w:jc w:val="both"/>
              <w:rPr>
                <w:b w:val="0"/>
                <w:spacing w:val="-4"/>
                <w:lang w:val="sq-AL"/>
              </w:rPr>
            </w:pPr>
          </w:p>
        </w:tc>
        <w:tc>
          <w:tcPr>
            <w:tcW w:w="851" w:type="dxa"/>
          </w:tcPr>
          <w:p w:rsidR="0092639E" w:rsidRPr="009628FC" w:rsidRDefault="0092639E" w:rsidP="000526C7">
            <w:pPr>
              <w:pStyle w:val="Paragrafi"/>
              <w:ind w:firstLine="0"/>
              <w:jc w:val="right"/>
              <w:rPr>
                <w:spacing w:val="-4"/>
                <w:lang w:val="sq-AL"/>
              </w:rPr>
            </w:pPr>
          </w:p>
        </w:tc>
      </w:tr>
      <w:tr w:rsidR="0092639E" w:rsidRPr="009628FC" w:rsidTr="00B41E47">
        <w:trPr>
          <w:trHeight w:val="150"/>
        </w:trPr>
        <w:tc>
          <w:tcPr>
            <w:tcW w:w="3510" w:type="dxa"/>
          </w:tcPr>
          <w:p w:rsidR="0092639E" w:rsidRPr="009628FC" w:rsidRDefault="0092639E" w:rsidP="008E7007">
            <w:pPr>
              <w:pStyle w:val="NeniTitull"/>
              <w:jc w:val="both"/>
              <w:rPr>
                <w:b w:val="0"/>
                <w:spacing w:val="-4"/>
                <w:lang w:val="sq-AL"/>
              </w:rPr>
            </w:pPr>
          </w:p>
        </w:tc>
        <w:tc>
          <w:tcPr>
            <w:tcW w:w="6379" w:type="dxa"/>
          </w:tcPr>
          <w:p w:rsidR="0092639E" w:rsidRPr="009628FC" w:rsidRDefault="0092639E" w:rsidP="008E7007">
            <w:pPr>
              <w:pStyle w:val="NeniTitull"/>
              <w:jc w:val="both"/>
              <w:rPr>
                <w:b w:val="0"/>
                <w:spacing w:val="-4"/>
                <w:lang w:val="sq-AL"/>
              </w:rPr>
            </w:pPr>
          </w:p>
        </w:tc>
        <w:tc>
          <w:tcPr>
            <w:tcW w:w="851" w:type="dxa"/>
          </w:tcPr>
          <w:p w:rsidR="0092639E" w:rsidRPr="009628FC" w:rsidRDefault="0092639E" w:rsidP="0069765B">
            <w:pPr>
              <w:pStyle w:val="Paragrafi"/>
              <w:ind w:firstLine="0"/>
              <w:jc w:val="right"/>
              <w:rPr>
                <w:spacing w:val="-4"/>
                <w:lang w:val="sq-AL"/>
              </w:rPr>
            </w:pPr>
          </w:p>
        </w:tc>
      </w:tr>
      <w:tr w:rsidR="0092639E" w:rsidRPr="009628FC" w:rsidTr="00B41E47">
        <w:trPr>
          <w:trHeight w:val="150"/>
        </w:trPr>
        <w:tc>
          <w:tcPr>
            <w:tcW w:w="3510" w:type="dxa"/>
          </w:tcPr>
          <w:p w:rsidR="0092639E" w:rsidRPr="009628FC" w:rsidRDefault="0092639E" w:rsidP="008E7007">
            <w:pPr>
              <w:pStyle w:val="NeniTitull"/>
              <w:keepNext w:val="0"/>
              <w:jc w:val="both"/>
              <w:rPr>
                <w:b w:val="0"/>
                <w:spacing w:val="-4"/>
                <w:lang w:val="sq-AL"/>
              </w:rPr>
            </w:pPr>
          </w:p>
        </w:tc>
        <w:tc>
          <w:tcPr>
            <w:tcW w:w="6379" w:type="dxa"/>
          </w:tcPr>
          <w:p w:rsidR="0092639E" w:rsidRPr="009628FC" w:rsidRDefault="0092639E" w:rsidP="008E7007">
            <w:pPr>
              <w:pStyle w:val="NeniTitull"/>
              <w:keepNext w:val="0"/>
              <w:jc w:val="both"/>
              <w:rPr>
                <w:b w:val="0"/>
                <w:spacing w:val="-4"/>
                <w:lang w:val="sq-AL"/>
              </w:rPr>
            </w:pPr>
          </w:p>
        </w:tc>
        <w:tc>
          <w:tcPr>
            <w:tcW w:w="851" w:type="dxa"/>
          </w:tcPr>
          <w:p w:rsidR="0092639E" w:rsidRPr="009628FC" w:rsidRDefault="0092639E" w:rsidP="007A31A5">
            <w:pPr>
              <w:pStyle w:val="Paragrafi"/>
              <w:ind w:firstLine="0"/>
              <w:jc w:val="center"/>
              <w:rPr>
                <w:spacing w:val="-4"/>
                <w:lang w:val="sq-AL"/>
              </w:rPr>
            </w:pPr>
          </w:p>
        </w:tc>
      </w:tr>
    </w:tbl>
    <w:p w:rsidR="00644C3F" w:rsidRPr="009628FC" w:rsidRDefault="00644C3F" w:rsidP="007E3E14">
      <w:pPr>
        <w:tabs>
          <w:tab w:val="left" w:pos="4032"/>
        </w:tabs>
        <w:jc w:val="both"/>
        <w:rPr>
          <w:rFonts w:ascii="Garamond" w:hAnsi="Garamond"/>
          <w:sz w:val="24"/>
          <w:szCs w:val="24"/>
        </w:rPr>
      </w:pPr>
    </w:p>
    <w:p w:rsidR="00644C3F" w:rsidRPr="009628FC" w:rsidRDefault="00644C3F" w:rsidP="007E3E14">
      <w:pPr>
        <w:tabs>
          <w:tab w:val="left" w:pos="4032"/>
        </w:tabs>
        <w:jc w:val="both"/>
        <w:rPr>
          <w:rFonts w:ascii="Garamond" w:hAnsi="Garamond"/>
          <w:sz w:val="24"/>
          <w:szCs w:val="24"/>
        </w:rPr>
      </w:pPr>
    </w:p>
    <w:p w:rsidR="00644C3F" w:rsidRPr="009628FC" w:rsidRDefault="00644C3F" w:rsidP="007E3E14">
      <w:pPr>
        <w:tabs>
          <w:tab w:val="left" w:pos="4032"/>
        </w:tabs>
        <w:jc w:val="both"/>
        <w:rPr>
          <w:rFonts w:ascii="Garamond" w:hAnsi="Garamond"/>
          <w:sz w:val="24"/>
          <w:szCs w:val="24"/>
        </w:rPr>
      </w:pPr>
    </w:p>
    <w:p w:rsidR="00644C3F" w:rsidRPr="009628FC" w:rsidRDefault="00644C3F" w:rsidP="007E3E14">
      <w:pPr>
        <w:tabs>
          <w:tab w:val="left" w:pos="4032"/>
        </w:tabs>
        <w:jc w:val="both"/>
        <w:rPr>
          <w:rFonts w:ascii="Garamond" w:hAnsi="Garamond"/>
          <w:sz w:val="24"/>
          <w:szCs w:val="24"/>
        </w:rPr>
      </w:pPr>
    </w:p>
    <w:p w:rsidR="00644C3F" w:rsidRPr="009628FC" w:rsidRDefault="00644C3F" w:rsidP="007E3E14">
      <w:pPr>
        <w:tabs>
          <w:tab w:val="left" w:pos="4032"/>
        </w:tabs>
        <w:jc w:val="both"/>
        <w:rPr>
          <w:rFonts w:ascii="Garamond" w:hAnsi="Garamond"/>
          <w:sz w:val="24"/>
          <w:szCs w:val="24"/>
        </w:rPr>
      </w:pPr>
    </w:p>
    <w:p w:rsidR="00C35694" w:rsidRPr="009628FC" w:rsidRDefault="00C35694" w:rsidP="007E3E14">
      <w:pPr>
        <w:tabs>
          <w:tab w:val="left" w:pos="4032"/>
        </w:tabs>
        <w:jc w:val="both"/>
        <w:rPr>
          <w:rFonts w:ascii="Garamond" w:hAnsi="Garamond"/>
          <w:sz w:val="24"/>
          <w:szCs w:val="24"/>
        </w:rPr>
      </w:pPr>
    </w:p>
    <w:p w:rsidR="00A91917" w:rsidRPr="009628FC" w:rsidRDefault="00A91917" w:rsidP="007E3E14">
      <w:pPr>
        <w:tabs>
          <w:tab w:val="left" w:pos="4032"/>
        </w:tabs>
        <w:jc w:val="both"/>
        <w:rPr>
          <w:rFonts w:ascii="Garamond" w:hAnsi="Garamond"/>
          <w:sz w:val="24"/>
          <w:szCs w:val="24"/>
        </w:rPr>
      </w:pPr>
    </w:p>
    <w:p w:rsidR="008D0CA6" w:rsidRDefault="008D0CA6" w:rsidP="007E3E14">
      <w:pPr>
        <w:tabs>
          <w:tab w:val="left" w:pos="4032"/>
        </w:tabs>
        <w:jc w:val="both"/>
        <w:rPr>
          <w:rFonts w:ascii="Garamond" w:hAnsi="Garamond"/>
          <w:sz w:val="24"/>
          <w:szCs w:val="24"/>
        </w:rPr>
        <w:sectPr w:rsidR="008D0CA6" w:rsidSect="003D4C90">
          <w:headerReference w:type="first" r:id="rId9"/>
          <w:footerReference w:type="first" r:id="rId10"/>
          <w:pgSz w:w="11907" w:h="16840" w:code="9"/>
          <w:pgMar w:top="720" w:right="720" w:bottom="720" w:left="720" w:header="1134" w:footer="1134" w:gutter="0"/>
          <w:cols w:space="720"/>
          <w:titlePg/>
          <w:docGrid w:linePitch="360"/>
        </w:sectPr>
      </w:pPr>
    </w:p>
    <w:p w:rsidR="008D0CA6" w:rsidRPr="008D0CA6" w:rsidRDefault="008D0CA6" w:rsidP="008D0CA6">
      <w:pPr>
        <w:keepNext/>
        <w:widowControl w:val="0"/>
        <w:spacing w:after="0" w:line="240" w:lineRule="auto"/>
        <w:jc w:val="center"/>
        <w:outlineLvl w:val="2"/>
        <w:rPr>
          <w:rFonts w:ascii="Garamond" w:hAnsi="Garamond" w:cs="CG Times"/>
          <w:b/>
          <w:bCs/>
          <w:sz w:val="24"/>
        </w:rPr>
      </w:pPr>
      <w:r w:rsidRPr="008D0CA6">
        <w:rPr>
          <w:rFonts w:ascii="Garamond" w:hAnsi="Garamond" w:cs="CG Times"/>
          <w:b/>
          <w:bCs/>
          <w:sz w:val="24"/>
        </w:rPr>
        <w:t>VENDIM</w:t>
      </w:r>
    </w:p>
    <w:p w:rsidR="008D0CA6" w:rsidRPr="008D0CA6" w:rsidRDefault="008D0CA6" w:rsidP="008D0CA6">
      <w:pPr>
        <w:keepNext/>
        <w:widowControl w:val="0"/>
        <w:spacing w:after="0" w:line="240" w:lineRule="auto"/>
        <w:jc w:val="center"/>
        <w:outlineLvl w:val="2"/>
        <w:rPr>
          <w:rFonts w:ascii="Garamond" w:hAnsi="Garamond" w:cs="CG Times"/>
          <w:b/>
          <w:bCs/>
          <w:sz w:val="24"/>
        </w:rPr>
      </w:pPr>
      <w:r w:rsidRPr="008D0CA6">
        <w:rPr>
          <w:rFonts w:ascii="Garamond" w:hAnsi="Garamond" w:cs="CG Times"/>
          <w:b/>
          <w:bCs/>
          <w:sz w:val="24"/>
        </w:rPr>
        <w:t xml:space="preserve"> Nr. 56, datë 6.2.2019</w:t>
      </w:r>
    </w:p>
    <w:p w:rsidR="008D0CA6" w:rsidRPr="008D0CA6" w:rsidRDefault="008D0CA6" w:rsidP="008D0CA6">
      <w:pPr>
        <w:keepNext/>
        <w:widowControl w:val="0"/>
        <w:spacing w:after="0" w:line="240" w:lineRule="auto"/>
        <w:jc w:val="center"/>
        <w:outlineLvl w:val="2"/>
        <w:rPr>
          <w:rFonts w:ascii="Garamond" w:hAnsi="Garamond" w:cs="CG Times"/>
          <w:b/>
          <w:bCs/>
          <w:sz w:val="16"/>
        </w:rPr>
      </w:pPr>
    </w:p>
    <w:p w:rsidR="008D0CA6" w:rsidRPr="008D0CA6" w:rsidRDefault="008D0CA6" w:rsidP="008D0CA6">
      <w:pPr>
        <w:keepNext/>
        <w:widowControl w:val="0"/>
        <w:spacing w:after="0" w:line="240" w:lineRule="auto"/>
        <w:jc w:val="center"/>
        <w:outlineLvl w:val="2"/>
        <w:rPr>
          <w:rFonts w:ascii="Garamond" w:hAnsi="Garamond" w:cs="CG Times"/>
          <w:b/>
          <w:bCs/>
          <w:sz w:val="24"/>
        </w:rPr>
      </w:pPr>
      <w:r w:rsidRPr="008D0CA6">
        <w:rPr>
          <w:rFonts w:ascii="Garamond" w:hAnsi="Garamond" w:cs="CG Times"/>
          <w:b/>
          <w:bCs/>
          <w:sz w:val="24"/>
        </w:rPr>
        <w:t>PËR LIRIMIN DHE EMËRIMIN NË DETYRË TË DREJTORIT TË PËRGJITHSHËM TË AUTORITETIT KOMBËTAR TË USHQIMIT</w:t>
      </w:r>
    </w:p>
    <w:p w:rsidR="008D0CA6" w:rsidRPr="008D0CA6" w:rsidRDefault="008D0CA6" w:rsidP="008D0CA6">
      <w:pPr>
        <w:widowControl w:val="0"/>
        <w:spacing w:after="0" w:line="240" w:lineRule="auto"/>
        <w:ind w:firstLine="284"/>
        <w:jc w:val="both"/>
        <w:rPr>
          <w:rFonts w:ascii="Garamond" w:hAnsi="Garamond" w:cs="CG Times"/>
          <w:sz w:val="1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Në mbështetje të nenit 100 të Kushtetutës dhe të pikës 1, të nenit 65, të ligjit nr.9863, datë 28.1.2008, “Për ushqimin”, të ndryshuar, me propozimin e ministrit të Bujqësisë dhe Zhvillimit Rural, Këshilli i Ministrave</w:t>
      </w:r>
    </w:p>
    <w:p w:rsidR="008D0CA6" w:rsidRPr="008D0CA6" w:rsidRDefault="008D0CA6" w:rsidP="008D0CA6">
      <w:pPr>
        <w:widowControl w:val="0"/>
        <w:spacing w:after="0" w:line="240" w:lineRule="auto"/>
        <w:ind w:firstLine="284"/>
        <w:jc w:val="both"/>
        <w:rPr>
          <w:rFonts w:ascii="Garamond" w:hAnsi="Garamond" w:cs="CG Times"/>
          <w:sz w:val="16"/>
        </w:rPr>
      </w:pPr>
    </w:p>
    <w:p w:rsidR="008D0CA6" w:rsidRPr="008D0CA6" w:rsidRDefault="008D0CA6" w:rsidP="008D0CA6">
      <w:pPr>
        <w:keepNext/>
        <w:widowControl w:val="0"/>
        <w:spacing w:after="0" w:line="240" w:lineRule="auto"/>
        <w:jc w:val="center"/>
        <w:rPr>
          <w:rFonts w:ascii="Garamond" w:hAnsi="Garamond" w:cs="CG Times"/>
          <w:sz w:val="24"/>
        </w:rPr>
      </w:pPr>
      <w:r w:rsidRPr="008D0CA6">
        <w:rPr>
          <w:rFonts w:ascii="Garamond" w:hAnsi="Garamond" w:cs="CG Times"/>
          <w:sz w:val="24"/>
        </w:rPr>
        <w:t>VENDOSI:</w:t>
      </w:r>
    </w:p>
    <w:p w:rsidR="008D0CA6" w:rsidRPr="008D0CA6" w:rsidRDefault="008D0CA6" w:rsidP="008D0CA6">
      <w:pPr>
        <w:widowControl w:val="0"/>
        <w:spacing w:after="0" w:line="240" w:lineRule="auto"/>
        <w:ind w:firstLine="284"/>
        <w:jc w:val="both"/>
        <w:rPr>
          <w:rFonts w:ascii="Garamond" w:hAnsi="Garamond" w:cs="CG Times"/>
          <w:sz w:val="1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1. Z. Agim Ismaili, drejtor i Përgjithshëm i Autoritetit Kombëtar të Ushqimit (AKU), lirohet nga kjo detyrë.</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2. Z. Agron Hetoja emërohet drejtor i Përgjithshëm i Autoritetit Kombëtar të Ushqimit (AKU).</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Ky vendim hyn në fuqi menjëherë.</w:t>
      </w:r>
    </w:p>
    <w:p w:rsidR="008D0CA6" w:rsidRPr="008D0CA6" w:rsidRDefault="008D0CA6" w:rsidP="008D0CA6">
      <w:pPr>
        <w:widowControl w:val="0"/>
        <w:spacing w:after="0" w:line="240" w:lineRule="auto"/>
        <w:ind w:firstLine="284"/>
        <w:jc w:val="both"/>
        <w:rPr>
          <w:rFonts w:ascii="Garamond" w:hAnsi="Garamond" w:cs="CG Times"/>
          <w:sz w:val="14"/>
        </w:rPr>
      </w:pPr>
    </w:p>
    <w:p w:rsidR="008D0CA6" w:rsidRPr="008D0CA6" w:rsidRDefault="008D0CA6" w:rsidP="008D0CA6">
      <w:pPr>
        <w:widowControl w:val="0"/>
        <w:spacing w:after="0" w:line="240" w:lineRule="auto"/>
        <w:ind w:firstLine="284"/>
        <w:jc w:val="right"/>
        <w:rPr>
          <w:rFonts w:ascii="Garamond" w:hAnsi="Garamond" w:cs="CG Times"/>
          <w:sz w:val="24"/>
        </w:rPr>
      </w:pPr>
      <w:r w:rsidRPr="008D0CA6">
        <w:rPr>
          <w:rFonts w:ascii="Garamond" w:hAnsi="Garamond" w:cs="CG Times"/>
          <w:sz w:val="24"/>
        </w:rPr>
        <w:t>ZËVENDËSKRYEMINISTRI</w:t>
      </w:r>
    </w:p>
    <w:p w:rsidR="008D0CA6" w:rsidRPr="008D0CA6" w:rsidRDefault="008D0CA6" w:rsidP="008D0CA6">
      <w:pPr>
        <w:widowControl w:val="0"/>
        <w:spacing w:after="0" w:line="240" w:lineRule="auto"/>
        <w:ind w:firstLine="284"/>
        <w:jc w:val="right"/>
        <w:rPr>
          <w:rFonts w:ascii="Garamond" w:hAnsi="Garamond" w:cs="CG Times"/>
          <w:b/>
          <w:sz w:val="24"/>
        </w:rPr>
      </w:pPr>
      <w:r w:rsidRPr="008D0CA6">
        <w:rPr>
          <w:rFonts w:ascii="Garamond" w:hAnsi="Garamond" w:cs="CG Times"/>
          <w:b/>
          <w:sz w:val="24"/>
        </w:rPr>
        <w:t>Erion Braçe</w:t>
      </w:r>
    </w:p>
    <w:p w:rsidR="008D0CA6" w:rsidRPr="008D0CA6" w:rsidRDefault="008D0CA6" w:rsidP="008D0CA6">
      <w:pPr>
        <w:keepNext/>
        <w:widowControl w:val="0"/>
        <w:spacing w:after="0" w:line="240" w:lineRule="auto"/>
        <w:jc w:val="center"/>
        <w:rPr>
          <w:rFonts w:ascii="Garamond" w:hAnsi="Garamond" w:cs="CG Times"/>
          <w:sz w:val="24"/>
        </w:rPr>
      </w:pPr>
    </w:p>
    <w:p w:rsidR="008D0CA6" w:rsidRPr="008D0CA6" w:rsidRDefault="008D0CA6" w:rsidP="008D0CA6">
      <w:pPr>
        <w:keepNext/>
        <w:widowControl w:val="0"/>
        <w:spacing w:after="0" w:line="240" w:lineRule="auto"/>
        <w:jc w:val="center"/>
        <w:rPr>
          <w:rFonts w:ascii="Garamond" w:hAnsi="Garamond" w:cs="CG Times"/>
          <w:sz w:val="24"/>
        </w:rPr>
      </w:pPr>
      <w:r w:rsidRPr="008D0CA6">
        <w:rPr>
          <w:rFonts w:ascii="Garamond" w:hAnsi="Garamond" w:cs="CG Times"/>
          <w:sz w:val="24"/>
        </w:rPr>
        <w:t>SEKSIONI I DYTË</w:t>
      </w:r>
    </w:p>
    <w:p w:rsidR="008D0CA6" w:rsidRPr="008D0CA6" w:rsidRDefault="008D0CA6" w:rsidP="008D0CA6">
      <w:pPr>
        <w:keepNext/>
        <w:widowControl w:val="0"/>
        <w:spacing w:after="0" w:line="240" w:lineRule="auto"/>
        <w:jc w:val="center"/>
        <w:rPr>
          <w:rFonts w:ascii="Garamond" w:hAnsi="Garamond" w:cs="CG Times"/>
          <w:sz w:val="24"/>
        </w:rPr>
      </w:pPr>
      <w:r w:rsidRPr="008D0CA6">
        <w:rPr>
          <w:rFonts w:ascii="Garamond" w:hAnsi="Garamond" w:cs="CG Times"/>
          <w:sz w:val="24"/>
        </w:rPr>
        <w:t>ÇËSHTJA KAREMANI KUNDËR SHQIPËRISË</w:t>
      </w:r>
    </w:p>
    <w:p w:rsidR="008D0CA6" w:rsidRPr="008D0CA6" w:rsidRDefault="008D0CA6" w:rsidP="008D0CA6">
      <w:pPr>
        <w:keepNext/>
        <w:widowControl w:val="0"/>
        <w:spacing w:after="0" w:line="240" w:lineRule="auto"/>
        <w:jc w:val="center"/>
        <w:rPr>
          <w:rFonts w:ascii="Garamond" w:hAnsi="Garamond" w:cs="CG Times"/>
          <w:sz w:val="14"/>
        </w:rPr>
      </w:pPr>
    </w:p>
    <w:p w:rsidR="008D0CA6" w:rsidRPr="008D0CA6" w:rsidRDefault="008D0CA6" w:rsidP="008D0CA6">
      <w:pPr>
        <w:keepNext/>
        <w:widowControl w:val="0"/>
        <w:spacing w:after="0" w:line="240" w:lineRule="auto"/>
        <w:jc w:val="center"/>
        <w:rPr>
          <w:rFonts w:ascii="Garamond" w:hAnsi="Garamond" w:cs="CG Times"/>
          <w:sz w:val="24"/>
        </w:rPr>
      </w:pPr>
      <w:r w:rsidRPr="008D0CA6">
        <w:rPr>
          <w:rFonts w:ascii="Garamond" w:hAnsi="Garamond" w:cs="CG Times"/>
          <w:sz w:val="24"/>
        </w:rPr>
        <w:t>(Kërkesa nr. 48717/08)</w:t>
      </w:r>
    </w:p>
    <w:p w:rsidR="008D0CA6" w:rsidRPr="008D0CA6" w:rsidRDefault="008D0CA6" w:rsidP="008D0CA6">
      <w:pPr>
        <w:keepNext/>
        <w:widowControl w:val="0"/>
        <w:spacing w:after="0" w:line="240" w:lineRule="auto"/>
        <w:jc w:val="center"/>
        <w:rPr>
          <w:rFonts w:ascii="Garamond" w:hAnsi="Garamond" w:cs="CG Times"/>
          <w:sz w:val="14"/>
        </w:rPr>
      </w:pPr>
    </w:p>
    <w:p w:rsidR="008D0CA6" w:rsidRPr="008D0CA6" w:rsidRDefault="008D0CA6" w:rsidP="008D0CA6">
      <w:pPr>
        <w:keepNext/>
        <w:widowControl w:val="0"/>
        <w:spacing w:after="0" w:line="240" w:lineRule="auto"/>
        <w:jc w:val="center"/>
        <w:rPr>
          <w:rFonts w:ascii="Garamond" w:hAnsi="Garamond" w:cs="CG Times"/>
          <w:b/>
          <w:sz w:val="24"/>
        </w:rPr>
      </w:pPr>
      <w:r w:rsidRPr="008D0CA6">
        <w:rPr>
          <w:rFonts w:ascii="Garamond" w:hAnsi="Garamond" w:cs="CG Times"/>
          <w:b/>
          <w:sz w:val="24"/>
        </w:rPr>
        <w:t>VENDIM</w:t>
      </w:r>
    </w:p>
    <w:p w:rsidR="008D0CA6" w:rsidRPr="008D0CA6" w:rsidRDefault="008D0CA6" w:rsidP="008D0CA6">
      <w:pPr>
        <w:keepNext/>
        <w:widowControl w:val="0"/>
        <w:spacing w:after="0" w:line="240" w:lineRule="auto"/>
        <w:jc w:val="center"/>
        <w:rPr>
          <w:rFonts w:ascii="Garamond" w:hAnsi="Garamond" w:cs="CG Times"/>
          <w:sz w:val="24"/>
        </w:rPr>
      </w:pPr>
      <w:r w:rsidRPr="008D0CA6">
        <w:rPr>
          <w:rFonts w:ascii="Garamond" w:hAnsi="Garamond" w:cs="CG Times"/>
          <w:sz w:val="24"/>
        </w:rPr>
        <w:t>STRASBURG</w:t>
      </w:r>
    </w:p>
    <w:p w:rsidR="008D0CA6" w:rsidRPr="008D0CA6" w:rsidRDefault="008D0CA6" w:rsidP="008D0CA6">
      <w:pPr>
        <w:keepNext/>
        <w:widowControl w:val="0"/>
        <w:spacing w:after="0" w:line="240" w:lineRule="auto"/>
        <w:jc w:val="center"/>
        <w:rPr>
          <w:rFonts w:ascii="Garamond" w:hAnsi="Garamond" w:cs="CG Times"/>
          <w:sz w:val="14"/>
        </w:rPr>
      </w:pPr>
    </w:p>
    <w:p w:rsidR="008D0CA6" w:rsidRPr="008D0CA6" w:rsidRDefault="008D0CA6" w:rsidP="008D0CA6">
      <w:pPr>
        <w:keepNext/>
        <w:widowControl w:val="0"/>
        <w:spacing w:after="0" w:line="240" w:lineRule="auto"/>
        <w:jc w:val="center"/>
        <w:rPr>
          <w:rFonts w:ascii="Garamond" w:hAnsi="Garamond" w:cs="CG Times"/>
          <w:sz w:val="24"/>
        </w:rPr>
      </w:pPr>
      <w:r w:rsidRPr="008D0CA6">
        <w:rPr>
          <w:rFonts w:ascii="Garamond" w:hAnsi="Garamond" w:cs="CG Times"/>
          <w:sz w:val="24"/>
        </w:rPr>
        <w:t>25 shtator 2018</w:t>
      </w:r>
    </w:p>
    <w:p w:rsidR="008D0CA6" w:rsidRPr="008D0CA6" w:rsidRDefault="008D0CA6" w:rsidP="008D0CA6">
      <w:pPr>
        <w:widowControl w:val="0"/>
        <w:spacing w:after="0" w:line="240" w:lineRule="auto"/>
        <w:ind w:firstLine="284"/>
        <w:jc w:val="both"/>
        <w:rPr>
          <w:rFonts w:ascii="Garamond" w:hAnsi="Garamond" w:cs="CG Times"/>
          <w:sz w:val="1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Ky vendim është bërë i formës së prerë, por ai mund të bëhet objekt i rishikimit redaktues.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Në çështjen Karemani kundër Shqipërisë,</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Gjykata Europiane e të Drejtave të Njeriut (Seksioni i Dytë), e mbledhur si një Komision i përbërë nga:</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ab/>
        <w:t xml:space="preserve">Jon Fridrik Kjølbro, </w:t>
      </w:r>
      <w:r w:rsidRPr="008D0CA6">
        <w:rPr>
          <w:rFonts w:ascii="Garamond" w:hAnsi="Garamond" w:cs="CG Times"/>
          <w:i/>
          <w:sz w:val="24"/>
        </w:rPr>
        <w:t>kryetar</w:t>
      </w:r>
      <w:r w:rsidRPr="008D0CA6">
        <w:rPr>
          <w:rFonts w:ascii="Garamond" w:hAnsi="Garamond" w:cs="CG Times"/>
          <w:sz w:val="24"/>
        </w:rPr>
        <w:t>,</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Ledi Bianku,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Ivana Jelić, </w:t>
      </w:r>
      <w:r w:rsidRPr="008D0CA6">
        <w:rPr>
          <w:rFonts w:ascii="Garamond" w:hAnsi="Garamond" w:cs="CG Times"/>
          <w:i/>
          <w:sz w:val="24"/>
        </w:rPr>
        <w:t>gjyqtarë</w:t>
      </w:r>
      <w:r w:rsidRPr="008D0CA6">
        <w:rPr>
          <w:rFonts w:ascii="Garamond" w:hAnsi="Garamond" w:cs="CG Times"/>
          <w:sz w:val="24"/>
        </w:rPr>
        <w:t>,</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dhe Hasan Bakırcı, </w:t>
      </w:r>
      <w:r w:rsidRPr="008D0CA6">
        <w:rPr>
          <w:rFonts w:ascii="Garamond" w:hAnsi="Garamond" w:cs="CG Times"/>
          <w:i/>
          <w:sz w:val="24"/>
        </w:rPr>
        <w:t>nënsekretar Seksioni</w:t>
      </w:r>
      <w:r w:rsidRPr="008D0CA6">
        <w:rPr>
          <w:rFonts w:ascii="Garamond" w:hAnsi="Garamond" w:cs="CG Times"/>
          <w:sz w:val="24"/>
        </w:rPr>
        <w:t>,</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Pasi diskutuan me dyer të mbyllura në datën 4 shtator 2018,</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Shpall vendimin më poshtë, i cili u miratua në po atë datë: </w:t>
      </w:r>
    </w:p>
    <w:p w:rsidR="008D0CA6" w:rsidRPr="008D0CA6" w:rsidRDefault="008D0CA6" w:rsidP="008D0CA6">
      <w:pPr>
        <w:widowControl w:val="0"/>
        <w:spacing w:after="0" w:line="240" w:lineRule="auto"/>
        <w:ind w:firstLine="284"/>
        <w:jc w:val="both"/>
        <w:rPr>
          <w:rFonts w:ascii="Garamond" w:hAnsi="Garamond" w:cs="CG Times"/>
          <w:sz w:val="2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PROCEDURA:</w:t>
      </w:r>
    </w:p>
    <w:p w:rsidR="008D0CA6" w:rsidRPr="008D0CA6" w:rsidRDefault="008D0CA6" w:rsidP="008D0CA6">
      <w:pPr>
        <w:widowControl w:val="0"/>
        <w:spacing w:after="0" w:line="240" w:lineRule="auto"/>
        <w:ind w:firstLine="284"/>
        <w:jc w:val="both"/>
        <w:rPr>
          <w:rFonts w:ascii="Garamond" w:hAnsi="Garamond" w:cs="CG Times"/>
          <w:spacing w:val="-4"/>
          <w:sz w:val="24"/>
        </w:rPr>
      </w:pPr>
      <w:r w:rsidRPr="008D0CA6">
        <w:rPr>
          <w:rFonts w:ascii="Garamond" w:hAnsi="Garamond" w:cs="CG Times"/>
          <w:spacing w:val="-4"/>
          <w:sz w:val="24"/>
        </w:rPr>
        <w:t xml:space="preserve">1. Çështja filloi me një kërkesë (nr. 48717/08) kundër Republikës së Shqipërisë paraqitur në Gjykatë, më 29 shtator 2008, sipas nenit 34, të Konventës për Mbrojtjen e të Drejtave të Njeriut dhe Lirive Themelore (“Konventa”), nga një shtetas shqiptar, z. Gazmir Karemani (“kërkuesi”).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 Kërkuesi u përfaqësua nga z. H. Demaj, një avokat i cili ushtron profesionin në Vlorë. Qeveria shqiptare (“Qeveria”) u përfaqësua nga Agjenti i saj, në atë kohë, znj. L. Mandia, nga Avokatura e Shtetit.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 Kërkuesi u ankua për padrejtësi në procedime, të zhvilluara në mungesë, dhe për shkeljen e të drejtave të tij për mbrojtje.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4. Në datën 26 qershor 2012, kërkesa iu komunikua Qeverisë.</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FAKTET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I. RRETHANAT E ÇËSHTJES</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 5. Kërkuesi ka lindur në vitin 1979. Aktualisht, ai po vuan një dënim me burgim.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6. Më 17 prill 1999, Gjykata e Rrethit Fier (“Gjykata e Rrethit”), në vijim të procedimeve në të cilat kërkuesi nuk mori pjesë, dënoi kërkuesin dhe dy të bashkëpandehurit e tjerë për një sërë veprash të rënda penale. Ajo e dënoi kërkuesin me vdekje, në mungesë.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7. Më 1 qershor 1999, Gjykata e Apelit Vlorë (“Gjykata e Apelit”), në vijim të apelimeve të paraqitura nga dy të bashkëpandehurit e tjerë, la në fuqi vendimin e Gjykatës së Rrethit të datës 17 prill 1999.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8. Më 8 maj 2001, në vijim të apelimeve të paraqitura nga të bashkëpandehurit e kërkuesit, Gjykata e Lartë la në fuqi vendimet e gjykatave më të ulëta. Megjithatë, ajo e dënoi kërkuesin me burgim të përjetshëm.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9. Më 1 dhjetor 2006, kërkuesi u ekstradua në Shqipëri nga Italia. Në po të njëjtën ditë, ai u njoftua për dënimin ndaj tij, në mungesë. </w:t>
      </w:r>
    </w:p>
    <w:p w:rsidR="008D0CA6" w:rsidRPr="008D0CA6" w:rsidRDefault="008D0CA6" w:rsidP="008D0CA6">
      <w:pPr>
        <w:widowControl w:val="0"/>
        <w:spacing w:after="0" w:line="240" w:lineRule="auto"/>
        <w:ind w:firstLine="284"/>
        <w:jc w:val="both"/>
        <w:rPr>
          <w:rFonts w:ascii="Garamond" w:hAnsi="Garamond" w:cs="CG Times"/>
          <w:b/>
          <w:sz w:val="24"/>
        </w:rPr>
      </w:pPr>
      <w:r w:rsidRPr="008D0CA6">
        <w:rPr>
          <w:rFonts w:ascii="Garamond" w:hAnsi="Garamond" w:cs="CG Times"/>
          <w:b/>
          <w:sz w:val="24"/>
        </w:rPr>
        <w:t>A. Kërkesa për rivendosje në afat të apelimit</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10. Më 8 dhjetor 2006, kërkuesi paraqiti një kërkesë në Gjykatën e Rrethit për rivendosje në afat të apelimit.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11. Më 25 janar 2007, Gjykata e Rrethit rrëzoi kërkesën, duke konstatuar se vendimi i Gjykatës së Lartë i datës 8 maj 2001, ishte bërë </w:t>
      </w:r>
      <w:r w:rsidRPr="008D0CA6">
        <w:rPr>
          <w:rFonts w:ascii="Garamond" w:hAnsi="Garamond" w:cs="CG Times"/>
          <w:i/>
          <w:sz w:val="24"/>
        </w:rPr>
        <w:t>res judicata</w:t>
      </w:r>
      <w:r w:rsidRPr="008D0CA6">
        <w:rPr>
          <w:rFonts w:ascii="Garamond" w:hAnsi="Garamond" w:cs="CG Times"/>
          <w:sz w:val="24"/>
        </w:rPr>
        <w:t>, dhe se për pasojë, kërkuesi nuk mund të gjykohej për herë të dytë për të njëjtën vepër.</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12. Më 8 qershor 2007 dhe 2 korrik 2010, në vijim të apelimeve të kërkuesit, Gjykata e Apelit dhe Gjykata e Lartë, respektivisht, e lanë atë vendim në fuqi.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13. Më 8 qershor 2011, kërkuesi paraqiti një apelim kushtetues ndaj vendimit të Gjykatës së Lartë të datës 2 korrik 2010. Ai u ankua edhe për padrejtësi në procedime, të zhvilluara në mungesë.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14. Më 21 shtator 2011, Gjykata Kushtetuese, e mbledhur si një trup gjykues i plotë, e kundërshtoi ankesën me shumicë. Ajo konstatoi se ankesa e kërkuesit ndaj vendimit të Gjykatës së Lartë, i datës 2 korrik 2010, ishte dukshëm i pambështetur në fakte. Për sa i përket ankesës së tij për padrejtësi në procedime, në mungesë, dhe pushimit të kërkesës së tij për rivendosje në afat të apelimit nga gjykatat vendase, Gjykata Kushtetuese vërejti se kërkuesi nuk ishte ankuar për vendimet e gjykatave vendase të marra në mungesë (shih paragrafët 6-8 më sipër). Më tej, ajo konstatoi se ankesa, në çdo rast, ishte e parashkruar. Po ashtu, ajo arsyetoi se në çështjen konkrete, vendimi i unifikuar i Gjykatës së Lartë nr. 1, i datës 20 janar 2011, ishte i zbatueshëm (shih</w:t>
      </w:r>
      <w:r w:rsidRPr="008D0CA6">
        <w:rPr>
          <w:rFonts w:ascii="Garamond" w:hAnsi="Garamond" w:cs="CG Times"/>
          <w:i/>
          <w:sz w:val="24"/>
        </w:rPr>
        <w:t xml:space="preserve"> Izet Haxhia kundër Shqipërisë</w:t>
      </w:r>
      <w:r w:rsidRPr="008D0CA6">
        <w:rPr>
          <w:rFonts w:ascii="Garamond" w:hAnsi="Garamond" w:cs="CG Times"/>
          <w:sz w:val="24"/>
        </w:rPr>
        <w:t xml:space="preserve">, nr. 34783/06, §§ 28–31, 5 nëntor 2013). Gjithashtu, ajo vërejti se edhe pse apelimet në Gjykatën e Lartë ndaj vendimit të gjykatave më të ulëta ishin paraqitur nga të bashkëpandehurit dhe jo nga kërkuesi, Gjykata e Lartë kishte shqyrtuar dhe ndryshuar vendimet e gjykatave më të ulëta të datës 17 prill dhe 1 qershor 1999, edhe në lidhje me kërkuesin. </w:t>
      </w:r>
    </w:p>
    <w:p w:rsidR="008D0CA6" w:rsidRPr="008D0CA6" w:rsidRDefault="008D0CA6" w:rsidP="008D0CA6">
      <w:pPr>
        <w:widowControl w:val="0"/>
        <w:spacing w:after="0" w:line="240" w:lineRule="auto"/>
        <w:ind w:firstLine="284"/>
        <w:jc w:val="both"/>
        <w:rPr>
          <w:rFonts w:ascii="Garamond" w:hAnsi="Garamond" w:cs="CG Times"/>
          <w:b/>
          <w:sz w:val="24"/>
        </w:rPr>
      </w:pPr>
      <w:r w:rsidRPr="008D0CA6">
        <w:rPr>
          <w:rFonts w:ascii="Garamond" w:hAnsi="Garamond" w:cs="CG Times"/>
          <w:b/>
          <w:sz w:val="24"/>
        </w:rPr>
        <w:t xml:space="preserve">B. Procedimet paralele kushtetuese të apelimit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 15. Në një datë të papërcaktuar në vitin 2007, kërkuesi paraqiti një apelim kushtetues ndaj vendimit të Gjykatës së Rrethit të datës 17 Prill 1999, ndaj vendimit të Gjykatës së Apelit të datës 1 qershor 1999 dhe ndaj vendimit të Gjykatës së Lartë të datës 8 maj 2001, duke u ankuar për dënimin e tij, në mungesë.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16. Më 21 shtator 2007, Gjykata Kushtetuese pushoi apelimin sepse ishte dorëzuar përtej afatit, duke pasur parasysh se afati dy-vjeçar kishte filluar të përllogaritej që prej datës 8 maj 2001. Vendimi iu komunikua avokatit të kërkuesit më 25 shtator 2007. </w:t>
      </w:r>
    </w:p>
    <w:p w:rsidR="008D0CA6" w:rsidRPr="008D0CA6" w:rsidRDefault="008D0CA6" w:rsidP="008D0CA6">
      <w:pPr>
        <w:widowControl w:val="0"/>
        <w:spacing w:after="0" w:line="240" w:lineRule="auto"/>
        <w:ind w:firstLine="284"/>
        <w:jc w:val="both"/>
        <w:rPr>
          <w:rFonts w:ascii="Garamond" w:hAnsi="Garamond" w:cs="CG Times"/>
          <w:sz w:val="24"/>
        </w:rPr>
      </w:pPr>
    </w:p>
    <w:p w:rsidR="008D0CA6" w:rsidRPr="008D0CA6" w:rsidRDefault="008D0CA6" w:rsidP="008D0CA6">
      <w:pPr>
        <w:widowControl w:val="0"/>
        <w:spacing w:after="0" w:line="240" w:lineRule="auto"/>
        <w:ind w:firstLine="284"/>
        <w:jc w:val="both"/>
        <w:rPr>
          <w:rFonts w:ascii="Garamond" w:hAnsi="Garamond" w:cs="CG Times"/>
          <w:sz w:val="2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II. LIGJI DHE PRAKTIKA PËRKATËSE E BRENDSHME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17. Ligji dhe praktika përkatëse e brendshme, në periudhën në fjalë, përshkruhen me detaje te </w:t>
      </w:r>
      <w:r w:rsidRPr="008D0CA6">
        <w:rPr>
          <w:rFonts w:ascii="Garamond" w:hAnsi="Garamond" w:cs="CG Times"/>
          <w:i/>
          <w:sz w:val="24"/>
        </w:rPr>
        <w:t>Shkalla kundër Shqipërisë</w:t>
      </w:r>
      <w:r w:rsidRPr="008D0CA6">
        <w:rPr>
          <w:rFonts w:ascii="Garamond" w:hAnsi="Garamond" w:cs="CG Times"/>
          <w:sz w:val="24"/>
        </w:rPr>
        <w:t xml:space="preserve">, nr. 26866/05, §§ 28–35, 10 maj 2011, dhe </w:t>
      </w:r>
      <w:r w:rsidRPr="008D0CA6">
        <w:rPr>
          <w:rFonts w:ascii="Garamond" w:hAnsi="Garamond" w:cs="CG Times"/>
          <w:i/>
          <w:sz w:val="24"/>
        </w:rPr>
        <w:t>Izet Haxhia kundër Shqipërisë</w:t>
      </w:r>
      <w:r w:rsidRPr="008D0CA6">
        <w:rPr>
          <w:rFonts w:ascii="Garamond" w:hAnsi="Garamond" w:cs="CG Times"/>
          <w:sz w:val="24"/>
        </w:rPr>
        <w:t xml:space="preserve">, nr. 34783/06, §§ 19–42, 5 nëntor 2013. </w:t>
      </w:r>
    </w:p>
    <w:p w:rsidR="008D0CA6" w:rsidRPr="008D0CA6" w:rsidRDefault="008D0CA6" w:rsidP="008D0CA6">
      <w:pPr>
        <w:widowControl w:val="0"/>
        <w:spacing w:after="0" w:line="240" w:lineRule="auto"/>
        <w:ind w:firstLine="284"/>
        <w:jc w:val="both"/>
        <w:rPr>
          <w:rFonts w:ascii="Garamond" w:hAnsi="Garamond" w:cs="CG Times"/>
          <w:spacing w:val="-4"/>
          <w:sz w:val="24"/>
        </w:rPr>
      </w:pPr>
      <w:r w:rsidRPr="008D0CA6">
        <w:rPr>
          <w:rFonts w:ascii="Garamond" w:hAnsi="Garamond" w:cs="CG Times"/>
          <w:sz w:val="24"/>
        </w:rPr>
        <w:t>18. Kërkuesi, pa u mbështetur në ndonjë nen specifik, u ankua për padrejtësi në procedime, të mbajtura në mungesë, dhe për shkelje të të drejtave të tij për t’u mbrojtur. Gjithashtu, ai kërkoi rihapjen e procedimeve. Gjykata është e m</w:t>
      </w:r>
      <w:r w:rsidRPr="008D0CA6">
        <w:rPr>
          <w:rFonts w:ascii="Garamond" w:hAnsi="Garamond" w:cs="CG Times"/>
          <w:spacing w:val="-4"/>
          <w:sz w:val="24"/>
        </w:rPr>
        <w:t xml:space="preserve">endimit se ankesat e kërkuesit duhet të shqyrtohen në mbështetje të nenit 6 §§ 1 dhe 3 (c) të Konventës, i cili parashikon, në pjesët e veta përkatëse, si më poshtë: </w:t>
      </w:r>
    </w:p>
    <w:p w:rsidR="008D0CA6" w:rsidRPr="008D0CA6" w:rsidRDefault="008D0CA6" w:rsidP="008D0CA6">
      <w:pPr>
        <w:widowControl w:val="0"/>
        <w:spacing w:after="0" w:line="240" w:lineRule="auto"/>
        <w:ind w:firstLine="284"/>
        <w:jc w:val="both"/>
        <w:rPr>
          <w:rFonts w:ascii="Garamond" w:hAnsi="Garamond" w:cs="CG Times"/>
          <w:spacing w:val="-4"/>
          <w:sz w:val="20"/>
          <w:szCs w:val="20"/>
        </w:rPr>
      </w:pPr>
      <w:r w:rsidRPr="008D0CA6">
        <w:rPr>
          <w:rFonts w:ascii="Garamond" w:hAnsi="Garamond" w:cs="CG Times"/>
          <w:spacing w:val="-4"/>
          <w:sz w:val="20"/>
          <w:szCs w:val="20"/>
        </w:rPr>
        <w:t>“1. Në përcaktimin e … çdo akuze penale kundër tij, çdo person ka të drejtë që çështja e tij të dëgjohet drejtësisht, … nga një gjykatë ...</w:t>
      </w:r>
    </w:p>
    <w:p w:rsidR="008D0CA6" w:rsidRPr="008D0CA6" w:rsidRDefault="008D0CA6" w:rsidP="008D0CA6">
      <w:pPr>
        <w:widowControl w:val="0"/>
        <w:spacing w:after="0" w:line="240" w:lineRule="auto"/>
        <w:ind w:firstLine="284"/>
        <w:jc w:val="both"/>
        <w:rPr>
          <w:rFonts w:ascii="Garamond" w:hAnsi="Garamond" w:cs="CG Times"/>
          <w:spacing w:val="-4"/>
          <w:sz w:val="20"/>
          <w:szCs w:val="20"/>
        </w:rPr>
      </w:pPr>
      <w:r w:rsidRPr="008D0CA6">
        <w:rPr>
          <w:rFonts w:ascii="Garamond" w:hAnsi="Garamond" w:cs="CG Times"/>
          <w:spacing w:val="-4"/>
          <w:sz w:val="20"/>
          <w:szCs w:val="20"/>
        </w:rPr>
        <w:t>...</w:t>
      </w:r>
    </w:p>
    <w:p w:rsidR="008D0CA6" w:rsidRPr="008D0CA6" w:rsidRDefault="008D0CA6" w:rsidP="008D0CA6">
      <w:pPr>
        <w:widowControl w:val="0"/>
        <w:spacing w:after="0" w:line="240" w:lineRule="auto"/>
        <w:ind w:firstLine="284"/>
        <w:jc w:val="both"/>
        <w:rPr>
          <w:rFonts w:ascii="Garamond" w:hAnsi="Garamond" w:cs="CG Times"/>
          <w:spacing w:val="-4"/>
          <w:sz w:val="20"/>
          <w:szCs w:val="20"/>
        </w:rPr>
      </w:pPr>
      <w:r w:rsidRPr="008D0CA6">
        <w:rPr>
          <w:rFonts w:ascii="Garamond" w:hAnsi="Garamond" w:cs="CG Times"/>
          <w:spacing w:val="-4"/>
          <w:sz w:val="20"/>
          <w:szCs w:val="20"/>
        </w:rPr>
        <w:t>3. Çdo i akuzuar për një vepër penale ka të drejtat minimale të mëposhtme:</w:t>
      </w:r>
    </w:p>
    <w:p w:rsidR="008D0CA6" w:rsidRPr="008D0CA6" w:rsidRDefault="008D0CA6" w:rsidP="008D0CA6">
      <w:pPr>
        <w:widowControl w:val="0"/>
        <w:spacing w:after="0" w:line="240" w:lineRule="auto"/>
        <w:ind w:firstLine="284"/>
        <w:jc w:val="both"/>
        <w:rPr>
          <w:rFonts w:ascii="Garamond" w:hAnsi="Garamond" w:cs="CG Times"/>
          <w:spacing w:val="-4"/>
          <w:sz w:val="20"/>
          <w:szCs w:val="20"/>
        </w:rPr>
      </w:pPr>
      <w:r w:rsidRPr="008D0CA6">
        <w:rPr>
          <w:rFonts w:ascii="Garamond" w:hAnsi="Garamond" w:cs="CG Times"/>
          <w:spacing w:val="-4"/>
          <w:sz w:val="20"/>
          <w:szCs w:val="20"/>
        </w:rPr>
        <w:t>...</w:t>
      </w:r>
    </w:p>
    <w:p w:rsidR="008D0CA6" w:rsidRPr="008D0CA6" w:rsidRDefault="008D0CA6" w:rsidP="008D0CA6">
      <w:pPr>
        <w:widowControl w:val="0"/>
        <w:spacing w:after="0" w:line="240" w:lineRule="auto"/>
        <w:ind w:firstLine="284"/>
        <w:jc w:val="both"/>
        <w:rPr>
          <w:rFonts w:ascii="Garamond" w:hAnsi="Garamond" w:cs="CG Times"/>
          <w:spacing w:val="-4"/>
          <w:sz w:val="20"/>
          <w:szCs w:val="20"/>
        </w:rPr>
      </w:pPr>
      <w:r w:rsidRPr="008D0CA6">
        <w:rPr>
          <w:rFonts w:ascii="Garamond" w:hAnsi="Garamond" w:cs="CG Times"/>
          <w:spacing w:val="-4"/>
          <w:sz w:val="20"/>
          <w:szCs w:val="20"/>
        </w:rPr>
        <w:t>c) të mbrohet vetë ose të ndihmohet nga një mbrojtës i zgjedhur prej tij ose, në qoftë se ai nuk ka mjete të mjaftueshme për të shpërblyer mbrojtësin, t’i mundësohet ndihma ligjore falas kur këtë e kërkojnë interesat e drejtësisë…”</w:t>
      </w:r>
    </w:p>
    <w:p w:rsidR="008D0CA6" w:rsidRPr="008D0CA6" w:rsidRDefault="008D0CA6" w:rsidP="008D0CA6">
      <w:pPr>
        <w:widowControl w:val="0"/>
        <w:spacing w:after="0" w:line="240" w:lineRule="auto"/>
        <w:ind w:firstLine="284"/>
        <w:jc w:val="both"/>
        <w:rPr>
          <w:rFonts w:ascii="Garamond" w:hAnsi="Garamond" w:cs="CG Times"/>
          <w:spacing w:val="-4"/>
          <w:sz w:val="24"/>
        </w:rPr>
      </w:pPr>
      <w:r w:rsidRPr="008D0CA6">
        <w:rPr>
          <w:rFonts w:ascii="Garamond" w:hAnsi="Garamond" w:cs="CG Times"/>
          <w:spacing w:val="-4"/>
          <w:sz w:val="24"/>
        </w:rPr>
        <w:t xml:space="preserve">19. Qeveria kundërshtoi se nuk ishte shkelur asnjë e drejtë e kërkuesit. </w:t>
      </w:r>
    </w:p>
    <w:p w:rsidR="008D0CA6" w:rsidRPr="008D0CA6" w:rsidRDefault="008D0CA6" w:rsidP="008D0CA6">
      <w:pPr>
        <w:widowControl w:val="0"/>
        <w:spacing w:after="0" w:line="240" w:lineRule="auto"/>
        <w:ind w:firstLine="284"/>
        <w:jc w:val="both"/>
        <w:rPr>
          <w:rFonts w:ascii="Garamond" w:hAnsi="Garamond" w:cs="CG Times"/>
          <w:b/>
          <w:spacing w:val="-4"/>
          <w:sz w:val="24"/>
        </w:rPr>
      </w:pPr>
      <w:r w:rsidRPr="008D0CA6">
        <w:rPr>
          <w:rFonts w:ascii="Garamond" w:hAnsi="Garamond" w:cs="CG Times"/>
          <w:b/>
          <w:spacing w:val="-4"/>
          <w:sz w:val="24"/>
        </w:rPr>
        <w:t xml:space="preserve">A. Pranueshmëria </w:t>
      </w:r>
    </w:p>
    <w:p w:rsidR="008D0CA6" w:rsidRPr="008D0CA6" w:rsidRDefault="008D0CA6" w:rsidP="008D0CA6">
      <w:pPr>
        <w:widowControl w:val="0"/>
        <w:spacing w:after="0" w:line="240" w:lineRule="auto"/>
        <w:ind w:firstLine="284"/>
        <w:jc w:val="both"/>
        <w:rPr>
          <w:rFonts w:ascii="Garamond" w:hAnsi="Garamond" w:cs="CG Times"/>
          <w:spacing w:val="-4"/>
          <w:sz w:val="24"/>
        </w:rPr>
      </w:pPr>
      <w:r w:rsidRPr="008D0CA6">
        <w:rPr>
          <w:rFonts w:ascii="Garamond" w:hAnsi="Garamond" w:cs="CG Times"/>
          <w:spacing w:val="-4"/>
          <w:sz w:val="24"/>
        </w:rPr>
        <w:t xml:space="preserve">20. Qeveria parashtroi se kërkesa ishte dorëzuar përtej afatit gjashtëmujor të parashikuar në Kushtetutë, teksa periudha gjashtëmujore kishte filluar të përllogaritej që prej datës 25 shtator 2007, kohë në të cilën avokati i kërkuesit ishte informuar për vendimin e Gjykatës Kushtetuese, të datës 21 shtator 2007 (shih paragrafin 16 më sipër). </w:t>
      </w:r>
    </w:p>
    <w:p w:rsidR="008D0CA6" w:rsidRPr="008D0CA6" w:rsidRDefault="008D0CA6" w:rsidP="008D0CA6">
      <w:pPr>
        <w:widowControl w:val="0"/>
        <w:spacing w:after="0" w:line="240" w:lineRule="auto"/>
        <w:ind w:firstLine="284"/>
        <w:jc w:val="both"/>
        <w:rPr>
          <w:rFonts w:ascii="Garamond" w:hAnsi="Garamond" w:cs="CG Times"/>
          <w:spacing w:val="-4"/>
          <w:sz w:val="24"/>
        </w:rPr>
      </w:pPr>
      <w:r w:rsidRPr="008D0CA6">
        <w:rPr>
          <w:rFonts w:ascii="Garamond" w:hAnsi="Garamond" w:cs="CG Times"/>
          <w:spacing w:val="-4"/>
          <w:sz w:val="24"/>
        </w:rPr>
        <w:t xml:space="preserve">21. Kërkuesi parashtroi se ai kishte shfrytëzuar të gjitha mjetet e mundshme efikase. Ai kishte paraqitur një kërkesë për apelim përtej afatit dhe një ankesë kushtetuese në Gjykatën Kushtetuese, nga të cilat asnjëra nuk kishte rezultuar efikase.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22. Gjykata vëren se një kundërshtim i tillë ngre pikëpyetje në lidhje me efikasitetin e mjetit të referuar nga Qeveria.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23. Më 21 shtator 2007, Gjykata Kushtetuese e rrëzoi apelimin e kërkuesit me pretendimin se ishte i parashkruar. Gjykata qëndron në vërejtjen se tek Izet Haxhia (cituar më sipër, § 50), ajo gjykoi se përpara datës 26 nëntor 2009, Gjykata Kushtetuese nuk ishte një mjet efikas. Për këtë arsye, Gjykata duhet të marrë në konsideratë efikasitetin e mjetit të brendshëm, i cili faktikisht u shfrytëzua nga kërkuesi, më konkretisht një kërkesë për rivendosje në afat të apelimit.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24. Gjykata, duke marrë në konsideratë mungesën e konsekuencës në zbatimin e ligjit të brendshëm, në kohën në fjalë (shih </w:t>
      </w:r>
      <w:r w:rsidRPr="008D0CA6">
        <w:rPr>
          <w:rFonts w:ascii="Garamond" w:hAnsi="Garamond" w:cs="CG Times"/>
          <w:i/>
          <w:sz w:val="24"/>
        </w:rPr>
        <w:t>Izet Haxhia</w:t>
      </w:r>
      <w:r w:rsidRPr="008D0CA6">
        <w:rPr>
          <w:rFonts w:ascii="Garamond" w:hAnsi="Garamond" w:cs="CG Times"/>
          <w:sz w:val="24"/>
        </w:rPr>
        <w:t xml:space="preserve">, cituar më sipër §§25–34), për sa i përket kërkesës për rivendosje në afat të apelimit, konstaton se kërkesa për rivendosje në afat të apelimit , në parim, ishte një mjet i përshtatshëm për situatën e kërkuesit dhe efikas në teori. Ajo arrin në përfundimin se një kërkesë për rivendosje në afat të apelimit mund të garantojë një mjet në lidhje me ankesat e tij.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25. Gjykata vëren se kërkuesi e paraqiti kërkesën e tij më 29 shtator 2008. Në atë kohë, procedimet e brendshme për kërkesën për rivendosje në afat të apelimit ishin ende pezull (shih paragrafët 10-14 më sipër). Në momentin kur çështja i ishte komunikuar Qeverisë, më 26 qershor 2012, këto procedime kishin përfunduar. Megjithatë, kërkuesi ishte përballur me një refuzim (shih paragrafin 12 më sipër). Gjykatat vendase arsyetuan se dënimi në mungesë kërkonte zbatimin </w:t>
      </w:r>
      <w:r w:rsidRPr="008D0CA6">
        <w:rPr>
          <w:rFonts w:ascii="Garamond" w:hAnsi="Garamond" w:cs="CG Times"/>
          <w:i/>
          <w:sz w:val="24"/>
        </w:rPr>
        <w:t>res judicata</w:t>
      </w:r>
      <w:r w:rsidRPr="008D0CA6">
        <w:rPr>
          <w:rFonts w:ascii="Garamond" w:hAnsi="Garamond" w:cs="CG Times"/>
          <w:sz w:val="24"/>
        </w:rPr>
        <w:t xml:space="preserve">. Në vendimin e saj të datës 21 shtator 2011, Gjykata Kushtetuese po ashtu gjykoi se përderisa të bashkëpandehurit e tjerë kishin apeluar kundër procedimeve në tërësi, kërkuesi nuk mund të aplikonte për rivendosje në afat të apelimit (shih paragrafin 14 më sipër).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26. Për të gjitha arsyet e mësipërme, Gjykata konstaton se kërkimi konkret ishte dorëzuar brenda periudhës gjashtëmujore, ndërsa vendimi i formës së prerë ishte marrë të paktën më 2 korrik 2010. Për këtë arsye, Gjykata e rrëzon kundërshtimin e Qeverisë.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27. Gjykata vëren se kërkesa është dukshëm e mbështetur në fakte, sipas kuptimit të nenit 35 § 3 (a) të Konventës. Më tej, ajo vëren se nuk është i papranueshëm për ndonjë arsye tjetër (shih </w:t>
      </w:r>
      <w:r w:rsidRPr="008D0CA6">
        <w:rPr>
          <w:rFonts w:ascii="Garamond" w:hAnsi="Garamond" w:cs="CG Times"/>
          <w:i/>
          <w:sz w:val="24"/>
        </w:rPr>
        <w:t>Delijorgji kundër Shqipërisë,</w:t>
      </w:r>
      <w:r w:rsidRPr="008D0CA6">
        <w:rPr>
          <w:rFonts w:ascii="Garamond" w:hAnsi="Garamond" w:cs="CG Times"/>
          <w:sz w:val="24"/>
        </w:rPr>
        <w:t xml:space="preserve"> nr. 6858/11, §§, 54–55, 28 prill 2015). Për këtë arsye, duhet të deklarohet i pranueshëm. </w:t>
      </w:r>
    </w:p>
    <w:p w:rsidR="008D0CA6" w:rsidRPr="008D0CA6" w:rsidRDefault="008D0CA6" w:rsidP="008D0CA6">
      <w:pPr>
        <w:widowControl w:val="0"/>
        <w:spacing w:after="0" w:line="240" w:lineRule="auto"/>
        <w:ind w:firstLine="284"/>
        <w:jc w:val="both"/>
        <w:rPr>
          <w:rFonts w:ascii="Garamond" w:hAnsi="Garamond" w:cs="CG Times"/>
          <w:b/>
          <w:sz w:val="24"/>
        </w:rPr>
      </w:pPr>
      <w:r w:rsidRPr="008D0CA6">
        <w:rPr>
          <w:rFonts w:ascii="Garamond" w:hAnsi="Garamond" w:cs="CG Times"/>
          <w:b/>
          <w:sz w:val="24"/>
        </w:rPr>
        <w:t xml:space="preserve">B. Themeli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28. Kërkuesi parashtroi se procedimet ndaj tij kishin qenë të padrejta, sepse ishin mbajtur në mungesë. As ai dhe as familjarët e tij nuk kishin pasur dijeni për hetimin dhe gjykimin ndaj tij. Ai ishte informuar vetëm kur u ekstradua në Shqipëri. Ai kurrë nuk kishte hequr dorë nga e drejta e tij për t’u paraqitur në gjykatë.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29. Qeveria pretendonte se kërkesa për rivendosje në afat të apelimit ishte deklaruar e papranueshme nga gjykatat vendase. Në vijim, Qeveria theksoi se Gjykata Kushtetuese kishte gjykuar se apelimi kushtetues kishte qenë i parashkruar.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30. Gjykata thekson se parimet e përgjithshme në lidhje me procedimet në mungesë, parashikohen si më poshtë te Sejdovic kundër Italisë (ëDHM], nr. 56581/00, §§ 82–95, GJEDNJ 2006-II): </w:t>
      </w:r>
    </w:p>
    <w:p w:rsidR="008D0CA6" w:rsidRPr="008D0CA6" w:rsidRDefault="008D0CA6" w:rsidP="008D0CA6">
      <w:pPr>
        <w:widowControl w:val="0"/>
        <w:spacing w:after="0" w:line="240" w:lineRule="auto"/>
        <w:ind w:firstLine="284"/>
        <w:jc w:val="both"/>
        <w:rPr>
          <w:rFonts w:ascii="Garamond" w:hAnsi="Garamond" w:cs="CG Times"/>
          <w:sz w:val="20"/>
          <w:szCs w:val="20"/>
        </w:rPr>
      </w:pPr>
      <w:r w:rsidRPr="008D0CA6">
        <w:rPr>
          <w:rFonts w:ascii="Garamond" w:hAnsi="Garamond" w:cs="CG Times"/>
          <w:sz w:val="20"/>
          <w:szCs w:val="20"/>
        </w:rPr>
        <w:t>“82. Edhe pse procedimet të cilat mbahen në mungesë të të pandehurit në vetvete nuk janë në papajtueshmëri me nenin 6 të Konventës, mohimi i drejtësisë gjithsesi, pa dyshim, ndodh në rastin kur një person i dënuar në mungesë nuk mundet të marrë nga një gjykatë, e cila e ka dëgjuar, një përcaktim të ri të themelit të akuzës, si për ligjin edhe për faktin, në rastin kur nuk është vërtetuar se ai ka hequr dorë nga e drejta e tij për t’u paraqitur dhe për të mbrojtur veten (shih Colozza, cituar më sipër, § 29; Einhorn kundër Francës (vendim), nr. 71555/01, § 33, GJEDNJ 2001-XI; Krombach kundër Francës, nr. 29731/96, § 85, GJEDNJ 2001-II; dhe Somogyi kundër Italisë, nr. 67972/01, § GJEDNJ 2004-IV) ose se ai ka pasur për qëllim t’i shpëtojë gjykimit (shih Medenica, cituar më sipër, § 55).</w:t>
      </w:r>
    </w:p>
    <w:p w:rsidR="008D0CA6" w:rsidRPr="008D0CA6" w:rsidRDefault="008D0CA6" w:rsidP="008D0CA6">
      <w:pPr>
        <w:widowControl w:val="0"/>
        <w:spacing w:after="0" w:line="240" w:lineRule="auto"/>
        <w:ind w:firstLine="284"/>
        <w:jc w:val="both"/>
        <w:rPr>
          <w:rFonts w:ascii="Garamond" w:hAnsi="Garamond" w:cs="CG Times"/>
          <w:sz w:val="20"/>
          <w:szCs w:val="20"/>
        </w:rPr>
      </w:pPr>
      <w:r w:rsidRPr="008D0CA6">
        <w:rPr>
          <w:rFonts w:ascii="Garamond" w:hAnsi="Garamond" w:cs="CG Times"/>
          <w:sz w:val="20"/>
          <w:szCs w:val="20"/>
        </w:rPr>
        <w:t xml:space="preserve">83. Konventa i lejon Shteteve Kontraktuale një diskrecion të gjerë në lidhje me zgjedhjen e mjeteve të përllogaritura për të garantuar se sistemet e tyre ligjore janë në përputhje me kërkesat e nenit 6. Detyra e Gjykatës është të përcaktojë nëse është arritur rezultati i kërkuar nga Konventa. Veçanërisht, mjeti procedural i ofruar nga ligji dhe praktika e brendshme duhet të paraqitet si efikas në rastin kur një person i akuzuar për një vepër penale as nuk ka hequr dorë nga e drejta e tij për t’u paraqitur dhe për të mbrojtur veten, dhe as nuk është përpjekur t’i shpëtojë gjykimit (shih Somogyi, cituar më sipër, § 67). </w:t>
      </w:r>
    </w:p>
    <w:p w:rsidR="008D0CA6" w:rsidRPr="008D0CA6" w:rsidRDefault="008D0CA6" w:rsidP="008D0CA6">
      <w:pPr>
        <w:widowControl w:val="0"/>
        <w:spacing w:after="0" w:line="240" w:lineRule="auto"/>
        <w:ind w:firstLine="284"/>
        <w:jc w:val="both"/>
        <w:rPr>
          <w:rFonts w:ascii="Garamond" w:hAnsi="Garamond" w:cs="CG Times"/>
          <w:sz w:val="20"/>
          <w:szCs w:val="20"/>
        </w:rPr>
      </w:pPr>
      <w:r w:rsidRPr="008D0CA6">
        <w:rPr>
          <w:rFonts w:ascii="Garamond" w:hAnsi="Garamond" w:cs="CG Times"/>
          <w:sz w:val="20"/>
          <w:szCs w:val="20"/>
        </w:rPr>
        <w:t>84. Në vijim, Gjykata gjykon se detyra për të garantuar të drejtën e një të pandehuri të jetë i pranishëm në sallën e gjyqit – ose gjatë procedimeve fillestare ose në gjatë rigjykimit – renditet si një nga kërkesat thelbësore të nenit 6 (shih Stoichkov kundër Bullgarisë, nr. 9808/02, § 56, 24 mars 2005). Për këtë arsye, refuzimi për të rihapur procedimet e realizuara në mungesë të të pandehurit, pa asnjë tregues se i pandehuri ka hequr dorë nga e drejta e tij ose e saj për t’u paraqitur në gjykim, është konstatuar të jetë një “mohim flagrant i drejtësisë”, duke bërë që procedimet të jenë “dukshëm në kundërshtim me parashikimet e nenit 6 ose me parimet e përcaktuara në të” (ibid., §§ 54</w:t>
      </w:r>
      <w:r w:rsidRPr="008D0CA6">
        <w:rPr>
          <w:rFonts w:ascii="Garamond" w:hAnsi="Garamond" w:cs="CG Times"/>
        </w:rPr>
        <w:t>–</w:t>
      </w:r>
      <w:r w:rsidRPr="008D0CA6">
        <w:rPr>
          <w:rFonts w:ascii="Garamond" w:hAnsi="Garamond" w:cs="CG Times"/>
          <w:sz w:val="20"/>
          <w:szCs w:val="20"/>
        </w:rPr>
        <w:t>58).</w:t>
      </w:r>
    </w:p>
    <w:p w:rsidR="008D0CA6" w:rsidRPr="008D0CA6" w:rsidRDefault="008D0CA6" w:rsidP="008D0CA6">
      <w:pPr>
        <w:widowControl w:val="0"/>
        <w:spacing w:after="0" w:line="240" w:lineRule="auto"/>
        <w:ind w:firstLine="284"/>
        <w:jc w:val="both"/>
        <w:rPr>
          <w:rFonts w:ascii="Garamond" w:hAnsi="Garamond" w:cs="CG Times"/>
          <w:sz w:val="20"/>
          <w:szCs w:val="20"/>
        </w:rPr>
      </w:pPr>
      <w:r w:rsidRPr="008D0CA6">
        <w:rPr>
          <w:rFonts w:ascii="Garamond" w:hAnsi="Garamond" w:cs="CG Times"/>
          <w:sz w:val="20"/>
          <w:szCs w:val="20"/>
        </w:rPr>
        <w:t>85. Gjykata gjykon edhe se rihapja e kohës së lejuar për të apeluar ndaj një dënimi në mungesë, në rastin kur të pandehurit i është dhënë e drejta për të ndjekur seancën në gjykatën e apelit dhe për të kërkuar pranimin e provave të reja, ka passjellë mundësinë për një përcaktim të ri faktik dhe ligjor të akuzës penale, kështu që procedimet në tërësi mund të thuhet se kanë qenë të drejta (shih Jones kundër Mbretërisë së Bashkuar (vendim), nr. 30900/02, 9 shtator 2003).”</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31. Për sa i përket ankesës së kërkuesit për një shkelje të të drejtave të tij për t’u mbrojtur, Gjykata përsërit se garancitë në paragrafin 3 të nenit 6 janë aspekte specifike të së drejtës për një gjykim të drejtë parashikuar në paragrafin 1. Në këto rrethana, Gjykata konstaton së është e panevojshme të shqyrtohet lidhja e paragrafit 3 me çështjen, duke qenë se pretendimet e kërkuesit, në çdo rast, orientohen drejt ankesës se procedimet ishin të padrejta. Për këtë arsye, ajo do ta mbyllë shqyrtimin e saj në atë pikë (shih Shkalla, cituar më sipër, §67).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32. Gjykata vëren se në çështjen konkrete, kërkuesi u gjykua dhe u dënua në mungesë. Nuk është provuar se kërkuesi kishte mjaftueshëm dijeni – ose, edhe më keq, nëse kishte marrë ndonjëherë dijeni – për procedimet ligjore ndaj tij. Në fakt, u gjykua se ai nuk ishte informuar për dënimin në mungesë deri më 1 dhjetor 2006, kur iu dorëzua autoriteteve shqiptare (shih paragrafin 9 më sipër). Për pasojë, nuk ishte provuar se ai kishte hequr dorë, pa mëdyshje, nga e drejta e tij për t’u paraqitur në gjykatë, duke iu shmangur drejtësisë qëllimisht (shih Izet Haxhia, cituar më sipër, § 63).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34. Për këtë arsye, ka pasur një shkelje të nenit 6 § 1 të Konventës.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III. ZBATIMI I NENIT 41 TË KONVENTËS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35. Neni 41 i Konventës parashikon: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 “Kur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8D0CA6" w:rsidRPr="008D0CA6" w:rsidRDefault="008D0CA6" w:rsidP="008D0CA6">
      <w:pPr>
        <w:widowControl w:val="0"/>
        <w:spacing w:after="0" w:line="240" w:lineRule="auto"/>
        <w:ind w:firstLine="284"/>
        <w:jc w:val="both"/>
        <w:rPr>
          <w:rFonts w:ascii="Garamond" w:hAnsi="Garamond" w:cs="CG Times"/>
          <w:b/>
          <w:sz w:val="24"/>
        </w:rPr>
      </w:pPr>
      <w:r w:rsidRPr="008D0CA6">
        <w:rPr>
          <w:rFonts w:ascii="Garamond" w:hAnsi="Garamond" w:cs="CG Times"/>
          <w:b/>
          <w:sz w:val="24"/>
        </w:rPr>
        <w:t>A. Dëmi</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36. Kërkuesi kërkonte 100,000 euro (EUR) për dëmin monetar dhe 50,000 euro për dëmin jo monetar.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37. Qeveria nuk parashtroi komente.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38. Gjykata nuk konstaton ndonjë lidhje të rastësishme midis shkeljes së gjetur dhe dëmit monetar të pretenduar; për këtë arsye ajo e rrëzon këtë pretendim. </w:t>
      </w:r>
    </w:p>
    <w:p w:rsidR="008D0CA6" w:rsidRPr="008D0CA6" w:rsidRDefault="008D0CA6" w:rsidP="008D0CA6">
      <w:pPr>
        <w:widowControl w:val="0"/>
        <w:spacing w:after="0" w:line="240" w:lineRule="auto"/>
        <w:ind w:firstLine="284"/>
        <w:jc w:val="both"/>
        <w:rPr>
          <w:rFonts w:ascii="Garamond" w:hAnsi="Garamond" w:cs="CG Times"/>
          <w:sz w:val="2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39. Gjykata mban qëndrimin se konstatimi i një shkelje përbën mjaftueshëm dëmshpërblim të drejtë një çështjen konkrete.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40. Gjithashtu, Gjykata nënvizon konstatimet e saj te Shkalla (cituar më sipër, §§ 77–79), dhe Izet Haxhia (cituar më sipër, § 70), se në rastin kur një kërkues është dënuar në shkelje me të drejtat e tij ose të saj, të garantuara nga neni 6 i Konventës, forma më e përshtatshme e korrigjimit, do të ishte që të garantohej se kërkuesi të vendoset sa më larg të jetë e mundur nga pozicioni, në të cilin ai ose ajo do të ishte, në rast se nuk do të zbatohej kjo dispozitë. Forma më e përshtatshme e korrigjimit, në parim, do të ishte një gjykim i ri dhe rihapja e procedimeve, nëse do të kërkohej një gjë e tillë. </w:t>
      </w:r>
    </w:p>
    <w:p w:rsidR="008D0CA6" w:rsidRPr="008D0CA6" w:rsidRDefault="008D0CA6" w:rsidP="008D0CA6">
      <w:pPr>
        <w:widowControl w:val="0"/>
        <w:spacing w:after="0" w:line="240" w:lineRule="auto"/>
        <w:ind w:firstLine="284"/>
        <w:jc w:val="both"/>
        <w:rPr>
          <w:rFonts w:ascii="Garamond" w:hAnsi="Garamond" w:cs="CG Times"/>
          <w:b/>
          <w:sz w:val="24"/>
        </w:rPr>
      </w:pPr>
      <w:r w:rsidRPr="008D0CA6">
        <w:rPr>
          <w:rFonts w:ascii="Garamond" w:hAnsi="Garamond" w:cs="CG Times"/>
          <w:b/>
          <w:sz w:val="24"/>
        </w:rPr>
        <w:t xml:space="preserve">B. Kostot dhe shpenzimet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41. Kërkuesi kërkonte që edhe rimbursimi i tarifave të avokatit të përllogaritej në përputhje me ligjin e brendshëm.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42. Qeveria nuk parashtroi ndonjë koment.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43. Sipas praktikës gjyqësore të Gjykatës, një kërkuesi i jepet e drejta për rimbursimin e kostove dhe të shpenzimeve për aq sa ato provohen se janë kryer në fakt, dhe se kanë qenë të nevojshme për t’u kryer, dhe se janë të arsyeshme sipas shumës dëmshpërblyese. Kjo do të thotë se kërkuesi duhet t’i ketë paguar ato ose se është i detyruar t’i paguajë, sipas një detyrimi ligjor ose kontraktual, dhe se faktikisht ato kanë qenë të pashmangshme, për të parandaluar shkeljet e konstatuara ose për të përfituar kompensimin (shih Gjyli kundër Shqipërisë, nr. 32907/09, § 72, 29 shtator 2009). Gjykata kërkon fatura të detajuara, të cilat kanë mjaftueshëm të dhëna për t’i mundësuar të përcaktojë se deri në çfarë mase janë përmbushur kërkesat e mësipërme (shih Rregullin 60 të Rregullores së Gjykatës).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44. Në çështjen konkrete, Gjykata vëren se kërkuesi nuk paraqiti prova (fatura), ku të provohej se kostot dhe shpenzimet ishin bërë pavarësisht edhe pse ishte dhënë dijeni për kërkesat përkatëse me anë të shkresës së Zyrës së Regjistrimit, të datës 21 janar 2013.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43. Në mungesë të dokumenteve mbështetëse të paraqitura nga kërkuesi, Gjykata nuk do të marrë asnjë vendim në lidhje me kostot dhe shpenzimet (shih, midis shumë të tjerëve, Musci kundër Italisë [DHM], nr. 64699/01, § 150, GJEDNJ 2006-V (ekstrakte) K.U. kundër Finlandës, nr. 2872/02, § 58, GJEDNJ 2008; Saliyev kundër Rusisë, nr. 35016/03, § 81, 21 tetor 2010; dhe si një shembull i kohëve të fundit, Goryachkin kundër Rusisë, nr. 34636/09, § 87, 15 nëntor 2016). </w:t>
      </w:r>
    </w:p>
    <w:p w:rsidR="008D0CA6" w:rsidRPr="008D0CA6" w:rsidRDefault="008D0CA6" w:rsidP="008D0CA6">
      <w:pPr>
        <w:widowControl w:val="0"/>
        <w:spacing w:after="0" w:line="240" w:lineRule="auto"/>
        <w:ind w:firstLine="284"/>
        <w:jc w:val="both"/>
        <w:rPr>
          <w:rFonts w:ascii="Garamond" w:hAnsi="Garamond" w:cs="CG Times"/>
          <w:sz w:val="16"/>
        </w:rPr>
      </w:pPr>
    </w:p>
    <w:p w:rsidR="008D0CA6" w:rsidRPr="008D0CA6" w:rsidRDefault="008D0CA6" w:rsidP="008D0CA6">
      <w:pPr>
        <w:widowControl w:val="0"/>
        <w:spacing w:after="0" w:line="240" w:lineRule="auto"/>
        <w:ind w:firstLine="284"/>
        <w:jc w:val="center"/>
        <w:rPr>
          <w:rFonts w:ascii="Garamond" w:hAnsi="Garamond" w:cs="CG Times"/>
          <w:sz w:val="24"/>
        </w:rPr>
      </w:pPr>
      <w:r w:rsidRPr="008D0CA6">
        <w:rPr>
          <w:rFonts w:ascii="Garamond" w:hAnsi="Garamond" w:cs="CG Times"/>
          <w:sz w:val="24"/>
        </w:rPr>
        <w:t>PËR KËTO ARSYE, GJYKATA, NË MËNYRË UNANIME,</w:t>
      </w:r>
    </w:p>
    <w:p w:rsidR="008D0CA6" w:rsidRPr="008D0CA6" w:rsidRDefault="008D0CA6" w:rsidP="008D0CA6">
      <w:pPr>
        <w:widowControl w:val="0"/>
        <w:spacing w:after="0" w:line="240" w:lineRule="auto"/>
        <w:ind w:firstLine="284"/>
        <w:jc w:val="both"/>
        <w:rPr>
          <w:rFonts w:ascii="Garamond" w:hAnsi="Garamond" w:cs="CG Times"/>
          <w:sz w:val="14"/>
        </w:rPr>
      </w:pP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1. E deklaron kërkesën të pranueshme;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2. Gjykon se ka pasur një shkelje të nenit 6 § 1 të Konventës;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3. Gjykon se konstatimi i një shkelje përbën në vetvete mjaftueshëm kompensim të drejtë për dëmin jo monetar të paguar nga kërkuesi;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 xml:space="preserve">4. Rrëzon pretendimin e kërkuesit për kompensim të drejtë. </w:t>
      </w:r>
    </w:p>
    <w:p w:rsidR="008D0CA6" w:rsidRPr="008D0CA6" w:rsidRDefault="008D0CA6" w:rsidP="008D0CA6">
      <w:pPr>
        <w:widowControl w:val="0"/>
        <w:spacing w:after="0" w:line="240" w:lineRule="auto"/>
        <w:ind w:firstLine="284"/>
        <w:jc w:val="both"/>
        <w:rPr>
          <w:rFonts w:ascii="Garamond" w:hAnsi="Garamond" w:cs="CG Times"/>
          <w:sz w:val="24"/>
        </w:rPr>
      </w:pPr>
      <w:r w:rsidRPr="008D0CA6">
        <w:rPr>
          <w:rFonts w:ascii="Garamond" w:hAnsi="Garamond" w:cs="CG Times"/>
          <w:sz w:val="24"/>
        </w:rPr>
        <w:t>Hartuar në anglisht dhe njoftuar me shkrim, në datën 25 shtator 2018, bazuar në Rregullin 77 §§ 2 dhe 3 të Rregullores së Gjykatës.</w:t>
      </w:r>
    </w:p>
    <w:p w:rsidR="008D0CA6" w:rsidRPr="008D0CA6" w:rsidRDefault="008D0CA6" w:rsidP="008D0CA6">
      <w:pPr>
        <w:widowControl w:val="0"/>
        <w:spacing w:after="0" w:line="240" w:lineRule="auto"/>
        <w:ind w:firstLine="284"/>
        <w:jc w:val="both"/>
        <w:rPr>
          <w:rFonts w:ascii="Garamond" w:hAnsi="Garamond" w:cs="CG Times"/>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8D0CA6" w:rsidRPr="008D0CA6" w:rsidTr="001B6376">
        <w:tc>
          <w:tcPr>
            <w:tcW w:w="2404" w:type="dxa"/>
          </w:tcPr>
          <w:p w:rsidR="008D0CA6" w:rsidRPr="008D0CA6" w:rsidRDefault="008D0CA6" w:rsidP="008D0CA6">
            <w:pPr>
              <w:widowControl w:val="0"/>
              <w:spacing w:after="0" w:line="240" w:lineRule="auto"/>
              <w:jc w:val="center"/>
              <w:rPr>
                <w:rFonts w:ascii="Garamond" w:hAnsi="Garamond" w:cs="CG Times"/>
                <w:b/>
                <w:sz w:val="24"/>
              </w:rPr>
            </w:pPr>
            <w:r w:rsidRPr="008D0CA6">
              <w:rPr>
                <w:rFonts w:ascii="Garamond" w:hAnsi="Garamond" w:cs="CG Times"/>
                <w:b/>
                <w:sz w:val="24"/>
              </w:rPr>
              <w:t>Hasan Bakırcı</w:t>
            </w:r>
          </w:p>
          <w:p w:rsidR="008D0CA6" w:rsidRPr="008D0CA6" w:rsidRDefault="008D0CA6" w:rsidP="008D0CA6">
            <w:pPr>
              <w:widowControl w:val="0"/>
              <w:spacing w:after="0" w:line="240" w:lineRule="auto"/>
              <w:jc w:val="center"/>
              <w:rPr>
                <w:rFonts w:ascii="Garamond" w:hAnsi="Garamond" w:cs="CG Times"/>
                <w:sz w:val="24"/>
              </w:rPr>
            </w:pPr>
            <w:r w:rsidRPr="008D0CA6">
              <w:rPr>
                <w:rFonts w:ascii="Garamond" w:hAnsi="Garamond" w:cs="CG Times"/>
                <w:sz w:val="24"/>
              </w:rPr>
              <w:t>KRYESEKRETAR</w:t>
            </w:r>
          </w:p>
          <w:p w:rsidR="008D0CA6" w:rsidRPr="008D0CA6" w:rsidRDefault="008D0CA6" w:rsidP="008D0CA6">
            <w:pPr>
              <w:widowControl w:val="0"/>
              <w:spacing w:after="0" w:line="240" w:lineRule="auto"/>
              <w:jc w:val="both"/>
              <w:rPr>
                <w:rFonts w:ascii="Garamond" w:hAnsi="Garamond" w:cs="CG Times"/>
                <w:sz w:val="14"/>
              </w:rPr>
            </w:pPr>
          </w:p>
        </w:tc>
        <w:tc>
          <w:tcPr>
            <w:tcW w:w="2404" w:type="dxa"/>
          </w:tcPr>
          <w:p w:rsidR="008D0CA6" w:rsidRPr="008D0CA6" w:rsidRDefault="008D0CA6" w:rsidP="008D0CA6">
            <w:pPr>
              <w:widowControl w:val="0"/>
              <w:spacing w:after="0" w:line="240" w:lineRule="auto"/>
              <w:jc w:val="center"/>
              <w:rPr>
                <w:rFonts w:ascii="Garamond" w:hAnsi="Garamond" w:cs="CG Times"/>
                <w:b/>
                <w:sz w:val="24"/>
                <w:szCs w:val="24"/>
                <w:lang w:eastAsia="zh-CN"/>
              </w:rPr>
            </w:pPr>
            <w:r w:rsidRPr="008D0CA6">
              <w:rPr>
                <w:rFonts w:ascii="Garamond" w:hAnsi="Garamond" w:cs="CG Times"/>
                <w:b/>
                <w:sz w:val="24"/>
              </w:rPr>
              <w:t>Jon Fridrik Kjølbro</w:t>
            </w:r>
          </w:p>
          <w:p w:rsidR="008D0CA6" w:rsidRPr="008D0CA6" w:rsidRDefault="008D0CA6" w:rsidP="008D0CA6">
            <w:pPr>
              <w:widowControl w:val="0"/>
              <w:spacing w:after="0" w:line="240" w:lineRule="auto"/>
              <w:jc w:val="center"/>
              <w:rPr>
                <w:rFonts w:ascii="Garamond" w:hAnsi="Garamond" w:cs="CG Times"/>
                <w:sz w:val="24"/>
                <w:szCs w:val="24"/>
                <w:lang w:eastAsia="zh-CN"/>
              </w:rPr>
            </w:pPr>
            <w:r w:rsidRPr="008D0CA6">
              <w:rPr>
                <w:rFonts w:ascii="Garamond" w:hAnsi="Garamond" w:cs="CG Times"/>
                <w:sz w:val="24"/>
              </w:rPr>
              <w:t>KRYETAR</w:t>
            </w:r>
          </w:p>
          <w:p w:rsidR="008D0CA6" w:rsidRPr="008D0CA6" w:rsidRDefault="008D0CA6" w:rsidP="008D0CA6">
            <w:pPr>
              <w:widowControl w:val="0"/>
              <w:spacing w:after="0" w:line="240" w:lineRule="auto"/>
              <w:jc w:val="both"/>
              <w:rPr>
                <w:rFonts w:ascii="Garamond" w:hAnsi="Garamond" w:cs="CG Times"/>
                <w:sz w:val="14"/>
              </w:rPr>
            </w:pPr>
          </w:p>
        </w:tc>
      </w:tr>
    </w:tbl>
    <w:p w:rsidR="008D0CA6" w:rsidRPr="008D0CA6" w:rsidRDefault="008D0CA6" w:rsidP="008D0CA6">
      <w:pPr>
        <w:widowControl w:val="0"/>
        <w:spacing w:after="0" w:line="240" w:lineRule="auto"/>
        <w:ind w:firstLine="284"/>
        <w:jc w:val="both"/>
        <w:rPr>
          <w:rFonts w:ascii="Garamond" w:hAnsi="Garamond" w:cs="CG Times"/>
          <w:sz w:val="14"/>
        </w:rPr>
      </w:pPr>
    </w:p>
    <w:p w:rsidR="008D0CA6" w:rsidRPr="008D0CA6" w:rsidRDefault="008D0CA6" w:rsidP="008D0CA6">
      <w:pPr>
        <w:widowControl w:val="0"/>
        <w:spacing w:after="0" w:line="240" w:lineRule="auto"/>
        <w:ind w:firstLine="284"/>
        <w:jc w:val="center"/>
        <w:rPr>
          <w:rFonts w:ascii="Garamond" w:eastAsia="Calibri" w:hAnsi="Garamond"/>
          <w:b/>
          <w:sz w:val="16"/>
          <w:szCs w:val="24"/>
          <w:lang w:eastAsia="zh-CN"/>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keepNext/>
        <w:widowControl w:val="0"/>
        <w:spacing w:after="0" w:line="240" w:lineRule="auto"/>
        <w:jc w:val="center"/>
        <w:outlineLvl w:val="2"/>
        <w:rPr>
          <w:rFonts w:ascii="Garamond" w:hAnsi="Garamond" w:cs="CG Times"/>
          <w:b/>
          <w:bCs/>
          <w:sz w:val="24"/>
          <w:lang w:val="en-GB" w:eastAsia="en-GB"/>
        </w:rPr>
      </w:pPr>
      <w:r w:rsidRPr="008D0CA6">
        <w:rPr>
          <w:rFonts w:ascii="Garamond" w:hAnsi="Garamond" w:cs="CG Times"/>
          <w:b/>
          <w:bCs/>
          <w:sz w:val="24"/>
          <w:lang w:val="en-GB" w:eastAsia="en-GB"/>
        </w:rPr>
        <w:t>NJOFTIM</w:t>
      </w:r>
    </w:p>
    <w:p w:rsidR="008D0CA6" w:rsidRPr="008D0CA6" w:rsidRDefault="008D0CA6" w:rsidP="008D0CA6">
      <w:pPr>
        <w:keepNext/>
        <w:widowControl w:val="0"/>
        <w:spacing w:after="0" w:line="240" w:lineRule="auto"/>
        <w:jc w:val="center"/>
        <w:outlineLvl w:val="2"/>
        <w:rPr>
          <w:rFonts w:ascii="Garamond" w:hAnsi="Garamond" w:cs="CG Times"/>
          <w:b/>
          <w:bCs/>
          <w:sz w:val="24"/>
          <w:lang w:val="en-GB" w:eastAsia="en-GB"/>
        </w:rPr>
      </w:pPr>
      <w:r w:rsidRPr="008D0CA6">
        <w:rPr>
          <w:rFonts w:ascii="Garamond" w:hAnsi="Garamond" w:cs="CG Times"/>
          <w:b/>
          <w:bCs/>
          <w:sz w:val="24"/>
          <w:lang w:val="en-GB" w:eastAsia="en-GB"/>
        </w:rPr>
        <w:t>Nr. 1650, datë 5.2.2019</w:t>
      </w:r>
    </w:p>
    <w:p w:rsidR="008D0CA6" w:rsidRPr="008D0CA6" w:rsidRDefault="008D0CA6" w:rsidP="008D0CA6">
      <w:pPr>
        <w:keepNext/>
        <w:widowControl w:val="0"/>
        <w:spacing w:after="0" w:line="240" w:lineRule="auto"/>
        <w:jc w:val="center"/>
        <w:outlineLvl w:val="2"/>
        <w:rPr>
          <w:rFonts w:ascii="Garamond" w:hAnsi="Garamond" w:cs="CG Times"/>
          <w:b/>
          <w:bCs/>
          <w:sz w:val="14"/>
          <w:lang w:val="en-GB" w:eastAsia="en-GB"/>
        </w:rPr>
      </w:pPr>
    </w:p>
    <w:p w:rsidR="008D0CA6" w:rsidRPr="008D0CA6" w:rsidRDefault="008D0CA6" w:rsidP="008D0CA6">
      <w:pPr>
        <w:keepNext/>
        <w:widowControl w:val="0"/>
        <w:spacing w:after="0" w:line="240" w:lineRule="auto"/>
        <w:jc w:val="center"/>
        <w:outlineLvl w:val="2"/>
        <w:rPr>
          <w:rFonts w:ascii="Garamond" w:hAnsi="Garamond" w:cs="CG Times"/>
          <w:b/>
          <w:bCs/>
          <w:sz w:val="24"/>
          <w:lang w:val="en-GB" w:eastAsia="en-GB"/>
        </w:rPr>
      </w:pPr>
      <w:r w:rsidRPr="008D0CA6">
        <w:rPr>
          <w:rFonts w:ascii="Garamond" w:hAnsi="Garamond" w:cs="CG Times"/>
          <w:b/>
          <w:bCs/>
          <w:sz w:val="24"/>
          <w:lang w:val="en-GB" w:eastAsia="en-GB"/>
        </w:rPr>
        <w:t>MBI HYRJEN NË FUQI TË NJË MARRËVESHJE DYPALËSHE ME MALIN E ZI</w:t>
      </w:r>
    </w:p>
    <w:p w:rsidR="008D0CA6" w:rsidRPr="008D0CA6" w:rsidRDefault="008D0CA6" w:rsidP="008D0CA6">
      <w:pPr>
        <w:widowControl w:val="0"/>
        <w:spacing w:after="0" w:line="240" w:lineRule="auto"/>
        <w:ind w:firstLine="284"/>
        <w:jc w:val="both"/>
        <w:rPr>
          <w:rFonts w:ascii="Garamond" w:eastAsia="Times New Roman" w:hAnsi="Garamond" w:cs="CG Times"/>
          <w:spacing w:val="-4"/>
          <w:sz w:val="1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r w:rsidRPr="008D0CA6">
        <w:rPr>
          <w:rFonts w:ascii="Garamond" w:eastAsia="Times New Roman" w:hAnsi="Garamond" w:cs="CG Times"/>
          <w:spacing w:val="-4"/>
          <w:sz w:val="24"/>
          <w:lang w:eastAsia="en-GB"/>
        </w:rPr>
        <w:t>Marrëveshja ndërmjet Këshillit të Ministrave të Republikës së Shqipërisë dhe Qeverisë së Malit të Zi për marrëdhëniet e ndërjella në menaxhimin e burimeve ujore ndërkufitare, nënshkruar më 3 korrik 2018, ka hyrë në fuqi më 28.12.2018.</w:t>
      </w:r>
    </w:p>
    <w:p w:rsidR="008D0CA6" w:rsidRPr="008D0CA6" w:rsidRDefault="008D0CA6" w:rsidP="008D0CA6">
      <w:pPr>
        <w:widowControl w:val="0"/>
        <w:spacing w:after="0" w:line="240" w:lineRule="auto"/>
        <w:ind w:firstLine="284"/>
        <w:jc w:val="both"/>
        <w:rPr>
          <w:rFonts w:ascii="Garamond" w:eastAsia="Times New Roman" w:hAnsi="Garamond" w:cs="CG Times"/>
          <w:spacing w:val="-4"/>
          <w:sz w:val="14"/>
          <w:lang w:eastAsia="en-GB"/>
        </w:rPr>
      </w:pPr>
    </w:p>
    <w:p w:rsidR="008D0CA6" w:rsidRPr="008D0CA6" w:rsidRDefault="008D0CA6" w:rsidP="008D0CA6">
      <w:pPr>
        <w:widowControl w:val="0"/>
        <w:spacing w:after="0" w:line="240" w:lineRule="auto"/>
        <w:ind w:firstLine="284"/>
        <w:jc w:val="right"/>
        <w:rPr>
          <w:rFonts w:ascii="Garamond" w:eastAsia="Times New Roman" w:hAnsi="Garamond" w:cs="CG Times"/>
          <w:spacing w:val="-4"/>
          <w:sz w:val="24"/>
          <w:lang w:eastAsia="en-GB"/>
        </w:rPr>
      </w:pPr>
      <w:r w:rsidRPr="008D0CA6">
        <w:rPr>
          <w:rFonts w:ascii="Garamond" w:eastAsia="Times New Roman" w:hAnsi="Garamond" w:cs="CG Times"/>
          <w:spacing w:val="-4"/>
          <w:sz w:val="24"/>
          <w:lang w:eastAsia="en-GB"/>
        </w:rPr>
        <w:t>SEKRETARI I PËRGJITHSHËM I MINISTRISË PËR EVROPËN DHE PUNËT</w:t>
      </w:r>
    </w:p>
    <w:p w:rsidR="008D0CA6" w:rsidRPr="008D0CA6" w:rsidRDefault="008D0CA6" w:rsidP="008D0CA6">
      <w:pPr>
        <w:widowControl w:val="0"/>
        <w:spacing w:after="0" w:line="240" w:lineRule="auto"/>
        <w:ind w:firstLine="284"/>
        <w:jc w:val="right"/>
        <w:rPr>
          <w:rFonts w:ascii="Garamond" w:eastAsia="Times New Roman" w:hAnsi="Garamond" w:cs="CG Times"/>
          <w:spacing w:val="-4"/>
          <w:sz w:val="24"/>
          <w:lang w:eastAsia="en-GB"/>
        </w:rPr>
      </w:pPr>
      <w:r w:rsidRPr="008D0CA6">
        <w:rPr>
          <w:rFonts w:ascii="Garamond" w:eastAsia="Times New Roman" w:hAnsi="Garamond" w:cs="CG Times"/>
          <w:spacing w:val="-4"/>
          <w:sz w:val="24"/>
          <w:lang w:eastAsia="en-GB"/>
        </w:rPr>
        <w:t xml:space="preserve"> E JASHTME</w:t>
      </w:r>
    </w:p>
    <w:p w:rsidR="008D0CA6" w:rsidRPr="008D0CA6" w:rsidRDefault="008D0CA6" w:rsidP="008D0CA6">
      <w:pPr>
        <w:widowControl w:val="0"/>
        <w:spacing w:after="0" w:line="240" w:lineRule="auto"/>
        <w:ind w:firstLine="284"/>
        <w:jc w:val="right"/>
        <w:rPr>
          <w:rFonts w:ascii="Garamond" w:eastAsia="Times New Roman" w:hAnsi="Garamond" w:cs="CG Times"/>
          <w:b/>
          <w:spacing w:val="-4"/>
          <w:sz w:val="24"/>
          <w:lang w:eastAsia="en-GB"/>
        </w:rPr>
      </w:pPr>
      <w:r w:rsidRPr="008D0CA6">
        <w:rPr>
          <w:rFonts w:ascii="Garamond" w:eastAsia="Times New Roman" w:hAnsi="Garamond" w:cs="CG Times"/>
          <w:b/>
          <w:spacing w:val="-4"/>
          <w:sz w:val="24"/>
          <w:lang w:eastAsia="en-GB"/>
        </w:rPr>
        <w:t>Gazmend Barbullushi</w:t>
      </w:r>
    </w:p>
    <w:p w:rsidR="008D0CA6" w:rsidRPr="008D0CA6" w:rsidRDefault="008D0CA6" w:rsidP="008D0CA6">
      <w:pPr>
        <w:widowControl w:val="0"/>
        <w:spacing w:after="0" w:line="240" w:lineRule="auto"/>
        <w:ind w:firstLine="284"/>
        <w:jc w:val="right"/>
        <w:rPr>
          <w:rFonts w:ascii="Garamond" w:eastAsia="Times New Roman" w:hAnsi="Garamond" w:cs="CG Times"/>
          <w:b/>
          <w:spacing w:val="-4"/>
          <w:sz w:val="24"/>
          <w:lang w:eastAsia="en-GB"/>
        </w:rPr>
      </w:pPr>
    </w:p>
    <w:p w:rsidR="008D0CA6" w:rsidRPr="008D0CA6" w:rsidRDefault="008D0CA6" w:rsidP="008D0CA6">
      <w:pPr>
        <w:widowControl w:val="0"/>
        <w:spacing w:after="0" w:line="240" w:lineRule="auto"/>
        <w:ind w:firstLine="284"/>
        <w:jc w:val="right"/>
        <w:rPr>
          <w:rFonts w:ascii="Garamond" w:eastAsia="Times New Roman" w:hAnsi="Garamond" w:cs="CG Times"/>
          <w:b/>
          <w:spacing w:val="-4"/>
          <w:sz w:val="24"/>
          <w:lang w:eastAsia="en-GB"/>
        </w:rPr>
      </w:pPr>
    </w:p>
    <w:p w:rsidR="008D0CA6" w:rsidRPr="008D0CA6" w:rsidRDefault="008D0CA6" w:rsidP="008D0CA6">
      <w:pPr>
        <w:widowControl w:val="0"/>
        <w:spacing w:after="0" w:line="240" w:lineRule="auto"/>
        <w:ind w:firstLine="284"/>
        <w:jc w:val="right"/>
        <w:rPr>
          <w:rFonts w:ascii="Garamond" w:eastAsia="Times New Roman" w:hAnsi="Garamond" w:cs="CG Times"/>
          <w:b/>
          <w:spacing w:val="-4"/>
          <w:sz w:val="24"/>
          <w:lang w:eastAsia="en-GB"/>
        </w:rPr>
      </w:pPr>
    </w:p>
    <w:p w:rsidR="008D0CA6" w:rsidRPr="008D0CA6" w:rsidRDefault="008D0CA6" w:rsidP="008D0CA6">
      <w:pPr>
        <w:widowControl w:val="0"/>
        <w:spacing w:after="0" w:line="240" w:lineRule="auto"/>
        <w:ind w:firstLine="284"/>
        <w:jc w:val="right"/>
        <w:rPr>
          <w:rFonts w:ascii="Garamond" w:eastAsia="Times New Roman" w:hAnsi="Garamond" w:cs="CG Times"/>
          <w:b/>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sectPr w:rsidR="008D0CA6" w:rsidRPr="008D0CA6" w:rsidSect="008D0CA6">
          <w:headerReference w:type="even" r:id="rId11"/>
          <w:headerReference w:type="default" r:id="rId12"/>
          <w:footerReference w:type="even" r:id="rId13"/>
          <w:footerReference w:type="default" r:id="rId14"/>
          <w:pgSz w:w="11907" w:h="16840" w:code="9"/>
          <w:pgMar w:top="720" w:right="1134" w:bottom="720" w:left="1134" w:header="851" w:footer="851" w:gutter="0"/>
          <w:pgNumType w:start="293"/>
          <w:cols w:num="2" w:space="454"/>
          <w:docGrid w:linePitch="360"/>
        </w:sect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ind w:firstLine="284"/>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jc w:val="both"/>
        <w:rPr>
          <w:rFonts w:ascii="Garamond" w:eastAsia="Times New Roman" w:hAnsi="Garamond" w:cs="CG Times"/>
          <w:spacing w:val="-4"/>
          <w:sz w:val="24"/>
          <w:lang w:eastAsia="en-GB"/>
        </w:rPr>
      </w:pPr>
    </w:p>
    <w:p w:rsidR="008D0CA6" w:rsidRPr="008D0CA6" w:rsidRDefault="008D0CA6" w:rsidP="008D0CA6">
      <w:pPr>
        <w:widowControl w:val="0"/>
        <w:spacing w:after="0" w:line="240" w:lineRule="auto"/>
        <w:jc w:val="both"/>
        <w:rPr>
          <w:rFonts w:ascii="Garamond" w:eastAsia="Times New Roman" w:hAnsi="Garamond" w:cs="CG Times"/>
          <w:spacing w:val="-4"/>
          <w:sz w:val="24"/>
          <w:lang w:eastAsia="en-GB"/>
        </w:rPr>
        <w:sectPr w:rsidR="008D0CA6" w:rsidRPr="008D0CA6" w:rsidSect="00C6472C">
          <w:type w:val="continuous"/>
          <w:pgSz w:w="11907" w:h="16840" w:code="9"/>
          <w:pgMar w:top="720" w:right="1134" w:bottom="720" w:left="1134" w:header="851" w:footer="851" w:gutter="0"/>
          <w:cols w:space="454"/>
          <w:docGrid w:linePitch="360"/>
        </w:sectPr>
      </w:pPr>
    </w:p>
    <w:p w:rsidR="008D0CA6" w:rsidRPr="008D0CA6" w:rsidRDefault="008D0CA6" w:rsidP="008D0CA6">
      <w:pPr>
        <w:widowControl w:val="0"/>
        <w:spacing w:after="0" w:line="240" w:lineRule="auto"/>
        <w:jc w:val="both"/>
        <w:rPr>
          <w:rFonts w:ascii="Garamond" w:hAnsi="Garamond" w:cs="CG Times"/>
          <w:sz w:val="24"/>
        </w:rPr>
      </w:pPr>
    </w:p>
    <w:p w:rsidR="008008A0" w:rsidRPr="009628FC" w:rsidRDefault="008008A0" w:rsidP="007E3E14">
      <w:pPr>
        <w:tabs>
          <w:tab w:val="left" w:pos="4032"/>
        </w:tabs>
        <w:jc w:val="both"/>
        <w:rPr>
          <w:rFonts w:ascii="Garamond" w:hAnsi="Garamond"/>
          <w:sz w:val="24"/>
          <w:szCs w:val="24"/>
        </w:rPr>
      </w:pPr>
    </w:p>
    <w:p w:rsidR="008008A0" w:rsidRPr="009628FC" w:rsidRDefault="008008A0" w:rsidP="007E3E14">
      <w:pPr>
        <w:tabs>
          <w:tab w:val="left" w:pos="4032"/>
        </w:tabs>
        <w:jc w:val="both"/>
        <w:rPr>
          <w:rFonts w:ascii="Garamond" w:hAnsi="Garamond"/>
          <w:sz w:val="24"/>
          <w:szCs w:val="24"/>
        </w:rPr>
      </w:pPr>
    </w:p>
    <w:p w:rsidR="008008A0" w:rsidRPr="009628FC" w:rsidRDefault="008008A0" w:rsidP="007E3E14">
      <w:pPr>
        <w:tabs>
          <w:tab w:val="left" w:pos="4032"/>
        </w:tabs>
        <w:jc w:val="both"/>
        <w:rPr>
          <w:rFonts w:ascii="Garamond" w:hAnsi="Garamond"/>
          <w:sz w:val="24"/>
          <w:szCs w:val="24"/>
        </w:rPr>
      </w:pPr>
    </w:p>
    <w:p w:rsidR="008008A0" w:rsidRPr="009628FC" w:rsidRDefault="008008A0" w:rsidP="007E3E14">
      <w:pPr>
        <w:tabs>
          <w:tab w:val="left" w:pos="4032"/>
        </w:tabs>
        <w:jc w:val="both"/>
        <w:rPr>
          <w:rFonts w:ascii="Garamond" w:hAnsi="Garamond"/>
          <w:sz w:val="24"/>
          <w:szCs w:val="24"/>
        </w:rPr>
      </w:pPr>
    </w:p>
    <w:p w:rsidR="00640132" w:rsidRPr="009628FC" w:rsidRDefault="00640132" w:rsidP="007E3E14">
      <w:pPr>
        <w:tabs>
          <w:tab w:val="left" w:pos="4032"/>
        </w:tabs>
        <w:jc w:val="both"/>
        <w:rPr>
          <w:rFonts w:ascii="Garamond" w:hAnsi="Garamond"/>
          <w:sz w:val="24"/>
          <w:szCs w:val="24"/>
        </w:rPr>
      </w:pPr>
    </w:p>
    <w:p w:rsidR="005903EF" w:rsidRPr="009628FC" w:rsidRDefault="005903EF" w:rsidP="007E3E14">
      <w:pPr>
        <w:tabs>
          <w:tab w:val="left" w:pos="4032"/>
        </w:tabs>
        <w:jc w:val="both"/>
        <w:rPr>
          <w:rFonts w:ascii="Garamond" w:hAnsi="Garamond"/>
          <w:sz w:val="24"/>
          <w:szCs w:val="24"/>
        </w:rPr>
      </w:pPr>
    </w:p>
    <w:p w:rsidR="00B5733F" w:rsidRPr="009628FC" w:rsidRDefault="00B5733F" w:rsidP="007E3E14">
      <w:pPr>
        <w:tabs>
          <w:tab w:val="left" w:pos="4032"/>
        </w:tabs>
        <w:jc w:val="both"/>
        <w:rPr>
          <w:rFonts w:ascii="Garamond" w:hAnsi="Garamond"/>
          <w:sz w:val="24"/>
          <w:szCs w:val="24"/>
        </w:rPr>
      </w:pPr>
    </w:p>
    <w:p w:rsidR="00B5733F" w:rsidRPr="009628FC" w:rsidRDefault="00B5733F" w:rsidP="007E3E14">
      <w:pPr>
        <w:tabs>
          <w:tab w:val="left" w:pos="4032"/>
        </w:tabs>
        <w:jc w:val="both"/>
        <w:rPr>
          <w:rFonts w:ascii="Garamond" w:hAnsi="Garamond"/>
          <w:sz w:val="24"/>
          <w:szCs w:val="24"/>
        </w:rPr>
      </w:pPr>
    </w:p>
    <w:p w:rsidR="00B5733F" w:rsidRPr="009628FC" w:rsidRDefault="00B5733F" w:rsidP="007E3E14">
      <w:pPr>
        <w:tabs>
          <w:tab w:val="left" w:pos="4032"/>
        </w:tabs>
        <w:jc w:val="both"/>
        <w:rPr>
          <w:rFonts w:ascii="Garamond" w:hAnsi="Garamond"/>
          <w:sz w:val="24"/>
          <w:szCs w:val="24"/>
        </w:rPr>
      </w:pPr>
    </w:p>
    <w:p w:rsidR="00704E00" w:rsidRPr="009628FC" w:rsidRDefault="00704E00" w:rsidP="007E3E14">
      <w:pPr>
        <w:tabs>
          <w:tab w:val="left" w:pos="4032"/>
        </w:tabs>
        <w:jc w:val="both"/>
        <w:rPr>
          <w:rFonts w:ascii="Garamond" w:hAnsi="Garamond"/>
          <w:sz w:val="24"/>
          <w:szCs w:val="24"/>
        </w:rPr>
      </w:pPr>
    </w:p>
    <w:p w:rsidR="00E01893" w:rsidRPr="009628FC" w:rsidRDefault="00E01893" w:rsidP="007E3E14">
      <w:pPr>
        <w:tabs>
          <w:tab w:val="left" w:pos="4032"/>
        </w:tabs>
        <w:jc w:val="both"/>
        <w:rPr>
          <w:rFonts w:ascii="Garamond" w:hAnsi="Garamond"/>
          <w:sz w:val="24"/>
          <w:szCs w:val="24"/>
        </w:rPr>
      </w:pPr>
    </w:p>
    <w:p w:rsidR="00E01893" w:rsidRPr="009628FC" w:rsidRDefault="00E01893" w:rsidP="007E3E14">
      <w:pPr>
        <w:tabs>
          <w:tab w:val="left" w:pos="4032"/>
        </w:tabs>
        <w:jc w:val="both"/>
        <w:rPr>
          <w:rFonts w:ascii="Garamond" w:hAnsi="Garamond"/>
          <w:sz w:val="24"/>
          <w:szCs w:val="24"/>
        </w:rPr>
      </w:pPr>
    </w:p>
    <w:p w:rsidR="000526C7" w:rsidRPr="009628FC" w:rsidRDefault="000526C7" w:rsidP="007E3E14">
      <w:pPr>
        <w:tabs>
          <w:tab w:val="left" w:pos="4032"/>
        </w:tabs>
        <w:jc w:val="both"/>
        <w:rPr>
          <w:rFonts w:ascii="Garamond" w:hAnsi="Garamond"/>
          <w:sz w:val="24"/>
          <w:szCs w:val="24"/>
        </w:rPr>
      </w:pPr>
    </w:p>
    <w:p w:rsidR="00D1084A" w:rsidRPr="009628FC" w:rsidRDefault="00D1084A" w:rsidP="007E3E14">
      <w:pPr>
        <w:tabs>
          <w:tab w:val="left" w:pos="4032"/>
        </w:tabs>
        <w:jc w:val="both"/>
        <w:rPr>
          <w:rFonts w:ascii="Garamond" w:hAnsi="Garamond"/>
          <w:sz w:val="24"/>
          <w:szCs w:val="24"/>
        </w:rPr>
      </w:pPr>
    </w:p>
    <w:p w:rsidR="00D1084A" w:rsidRDefault="00D1084A" w:rsidP="007E3E14">
      <w:pPr>
        <w:tabs>
          <w:tab w:val="left" w:pos="4032"/>
        </w:tabs>
        <w:jc w:val="both"/>
        <w:rPr>
          <w:rFonts w:ascii="Garamond" w:hAnsi="Garamond"/>
          <w:sz w:val="24"/>
          <w:szCs w:val="24"/>
        </w:rPr>
      </w:pPr>
    </w:p>
    <w:p w:rsidR="00532A93" w:rsidRPr="009628FC" w:rsidRDefault="00532A93" w:rsidP="007E3E14">
      <w:pPr>
        <w:tabs>
          <w:tab w:val="left" w:pos="4032"/>
        </w:tabs>
        <w:jc w:val="both"/>
        <w:rPr>
          <w:rFonts w:ascii="Garamond" w:hAnsi="Garamond"/>
          <w:sz w:val="24"/>
          <w:szCs w:val="24"/>
        </w:rPr>
      </w:pPr>
    </w:p>
    <w:p w:rsidR="00C44B30" w:rsidRPr="009628FC" w:rsidRDefault="00C44B3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9628FC" w:rsidTr="005C676D">
        <w:tc>
          <w:tcPr>
            <w:tcW w:w="5016" w:type="dxa"/>
            <w:tcBorders>
              <w:top w:val="single" w:sz="4" w:space="0" w:color="auto"/>
              <w:left w:val="single" w:sz="4" w:space="0" w:color="auto"/>
              <w:bottom w:val="single" w:sz="4" w:space="0" w:color="auto"/>
              <w:right w:val="single" w:sz="4" w:space="0" w:color="auto"/>
            </w:tcBorders>
          </w:tcPr>
          <w:p w:rsidR="008A5FB5" w:rsidRPr="009628FC"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9628FC" w:rsidRDefault="008A5FB5" w:rsidP="005C676D">
            <w:pPr>
              <w:spacing w:after="0" w:line="240" w:lineRule="auto"/>
              <w:jc w:val="right"/>
              <w:rPr>
                <w:rFonts w:ascii="Garamond" w:hAnsi="Garamond"/>
                <w:sz w:val="24"/>
                <w:szCs w:val="24"/>
              </w:rPr>
            </w:pPr>
            <w:r w:rsidRPr="009628FC">
              <w:rPr>
                <w:rFonts w:ascii="Garamond" w:hAnsi="Garamond"/>
                <w:sz w:val="24"/>
                <w:szCs w:val="24"/>
              </w:rPr>
              <w:t>Formati 61x86/8</w:t>
            </w:r>
          </w:p>
        </w:tc>
      </w:tr>
    </w:tbl>
    <w:p w:rsidR="00BC4469" w:rsidRPr="009628FC" w:rsidRDefault="00BC4469" w:rsidP="008A5FB5">
      <w:pPr>
        <w:pStyle w:val="NoSpacing"/>
        <w:jc w:val="center"/>
        <w:rPr>
          <w:rFonts w:ascii="Garamond" w:hAnsi="Garamond"/>
          <w:b/>
          <w:sz w:val="12"/>
          <w:szCs w:val="20"/>
        </w:rPr>
      </w:pPr>
    </w:p>
    <w:p w:rsidR="006E16EC" w:rsidRPr="009628FC" w:rsidRDefault="006E16EC" w:rsidP="006E16EC">
      <w:pPr>
        <w:pStyle w:val="NoSpacing"/>
        <w:jc w:val="center"/>
        <w:rPr>
          <w:rFonts w:ascii="Garamond" w:hAnsi="Garamond"/>
          <w:sz w:val="20"/>
          <w:szCs w:val="20"/>
        </w:rPr>
      </w:pPr>
      <w:r w:rsidRPr="009628FC">
        <w:rPr>
          <w:rFonts w:ascii="Garamond" w:hAnsi="Garamond"/>
          <w:sz w:val="20"/>
          <w:szCs w:val="20"/>
        </w:rPr>
        <w:t>Shtypshkronja e Qendrës së Botimeve Zyrtare</w:t>
      </w:r>
    </w:p>
    <w:p w:rsidR="006E16EC" w:rsidRPr="009628FC" w:rsidRDefault="002A1E1D" w:rsidP="006E16EC">
      <w:pPr>
        <w:pStyle w:val="NoSpacing"/>
        <w:jc w:val="center"/>
        <w:rPr>
          <w:rFonts w:ascii="Garamond" w:hAnsi="Garamond"/>
          <w:sz w:val="20"/>
          <w:szCs w:val="20"/>
        </w:rPr>
      </w:pPr>
      <w:r w:rsidRPr="009628FC">
        <w:rPr>
          <w:rFonts w:ascii="Garamond" w:hAnsi="Garamond"/>
          <w:sz w:val="20"/>
          <w:szCs w:val="20"/>
        </w:rPr>
        <w:t>Tiranë, 2019</w:t>
      </w:r>
    </w:p>
    <w:p w:rsidR="006E16EC" w:rsidRPr="009628FC" w:rsidRDefault="006E16EC" w:rsidP="006E16EC">
      <w:pPr>
        <w:pStyle w:val="NoSpacing"/>
        <w:jc w:val="center"/>
        <w:rPr>
          <w:rFonts w:ascii="Garamond" w:hAnsi="Garamond"/>
          <w:sz w:val="20"/>
          <w:szCs w:val="20"/>
        </w:rPr>
      </w:pPr>
    </w:p>
    <w:p w:rsidR="006E16EC" w:rsidRPr="009628FC" w:rsidRDefault="006E16EC" w:rsidP="006E16EC">
      <w:pPr>
        <w:spacing w:after="0" w:line="240" w:lineRule="auto"/>
        <w:jc w:val="center"/>
        <w:rPr>
          <w:rFonts w:ascii="Garamond" w:eastAsia="Times New Roman" w:hAnsi="Garamond"/>
          <w:sz w:val="20"/>
          <w:szCs w:val="20"/>
          <w:u w:val="single"/>
        </w:rPr>
      </w:pPr>
      <w:r w:rsidRPr="009628FC">
        <w:rPr>
          <w:rFonts w:ascii="Garamond" w:eastAsia="Times New Roman" w:hAnsi="Garamond"/>
          <w:sz w:val="20"/>
          <w:szCs w:val="20"/>
        </w:rPr>
        <w:t>Adresa: Rr. “Nikolla Jorga”, Tiranë</w:t>
      </w:r>
    </w:p>
    <w:p w:rsidR="006E16EC" w:rsidRPr="009628FC" w:rsidRDefault="006E16EC" w:rsidP="006E16EC">
      <w:pPr>
        <w:tabs>
          <w:tab w:val="left" w:pos="5760"/>
        </w:tabs>
        <w:spacing w:after="0" w:line="240" w:lineRule="auto"/>
        <w:jc w:val="center"/>
        <w:rPr>
          <w:rFonts w:ascii="Garamond" w:eastAsia="Times New Roman" w:hAnsi="Garamond"/>
          <w:sz w:val="20"/>
          <w:szCs w:val="20"/>
        </w:rPr>
      </w:pPr>
      <w:r w:rsidRPr="009628FC">
        <w:rPr>
          <w:rFonts w:ascii="Garamond" w:eastAsia="Times New Roman" w:hAnsi="Garamond"/>
          <w:sz w:val="20"/>
          <w:szCs w:val="20"/>
        </w:rPr>
        <w:t>Tel./fax: +355 4 24 27 004 Tel.: +355 4 24 27 006</w:t>
      </w:r>
    </w:p>
    <w:p w:rsidR="00881EF2" w:rsidRPr="009628FC" w:rsidRDefault="00881EF2" w:rsidP="00881EF2">
      <w:pPr>
        <w:pStyle w:val="NoSpacing"/>
        <w:jc w:val="center"/>
        <w:rPr>
          <w:rFonts w:ascii="Garamond" w:hAnsi="Garamond"/>
          <w:sz w:val="20"/>
          <w:szCs w:val="20"/>
        </w:rPr>
      </w:pPr>
    </w:p>
    <w:p w:rsidR="00847BD7" w:rsidRPr="009628FC" w:rsidRDefault="00847BD7" w:rsidP="00881EF2">
      <w:pPr>
        <w:spacing w:after="0" w:line="240" w:lineRule="auto"/>
        <w:jc w:val="center"/>
        <w:rPr>
          <w:rFonts w:ascii="Garamond" w:eastAsia="Times New Roman" w:hAnsi="Garamond"/>
          <w:sz w:val="20"/>
          <w:szCs w:val="20"/>
        </w:rPr>
      </w:pPr>
    </w:p>
    <w:p w:rsidR="00BA0616" w:rsidRPr="009628FC" w:rsidRDefault="00BA0616" w:rsidP="00C8159D">
      <w:pPr>
        <w:pStyle w:val="NoSpacing"/>
        <w:jc w:val="right"/>
        <w:rPr>
          <w:rFonts w:ascii="Garamond" w:hAnsi="Garamond"/>
          <w:sz w:val="20"/>
          <w:szCs w:val="20"/>
        </w:rPr>
      </w:pPr>
    </w:p>
    <w:p w:rsidR="00BA0616" w:rsidRPr="009628FC" w:rsidRDefault="00BA0616" w:rsidP="00C8159D">
      <w:pPr>
        <w:pStyle w:val="NoSpacing"/>
        <w:jc w:val="right"/>
        <w:rPr>
          <w:rFonts w:ascii="Garamond" w:hAnsi="Garamond"/>
          <w:sz w:val="20"/>
          <w:szCs w:val="20"/>
        </w:rPr>
      </w:pPr>
    </w:p>
    <w:p w:rsidR="008A5FB5" w:rsidRPr="009628FC" w:rsidRDefault="008A5FB5" w:rsidP="000B3D7A">
      <w:pPr>
        <w:pStyle w:val="NoSpacing"/>
        <w:jc w:val="right"/>
        <w:rPr>
          <w:rFonts w:ascii="Garamond" w:hAnsi="Garamond"/>
          <w:sz w:val="20"/>
          <w:szCs w:val="20"/>
        </w:rPr>
      </w:pPr>
      <w:bookmarkStart w:id="0" w:name="_GoBack"/>
      <w:r w:rsidRPr="009628FC">
        <w:rPr>
          <w:rFonts w:ascii="Garamond" w:hAnsi="Garamond"/>
          <w:sz w:val="20"/>
          <w:szCs w:val="20"/>
        </w:rPr>
        <w:t>Çmi</w:t>
      </w:r>
      <w:r w:rsidR="006E5C4F" w:rsidRPr="009628FC">
        <w:rPr>
          <w:rFonts w:ascii="Garamond" w:hAnsi="Garamond"/>
          <w:sz w:val="20"/>
          <w:szCs w:val="20"/>
        </w:rPr>
        <w:t>mi</w:t>
      </w:r>
      <w:r w:rsidR="00A14081" w:rsidRPr="009628FC">
        <w:rPr>
          <w:rFonts w:ascii="Garamond" w:hAnsi="Garamond"/>
          <w:sz w:val="20"/>
          <w:szCs w:val="20"/>
        </w:rPr>
        <w:t xml:space="preserve"> </w:t>
      </w:r>
      <w:r w:rsidR="00EE76E2">
        <w:rPr>
          <w:rFonts w:ascii="Garamond" w:hAnsi="Garamond"/>
          <w:sz w:val="20"/>
          <w:szCs w:val="20"/>
        </w:rPr>
        <w:t>56</w:t>
      </w:r>
      <w:r w:rsidR="000310D9" w:rsidRPr="009628FC">
        <w:rPr>
          <w:rFonts w:ascii="Garamond" w:hAnsi="Garamond"/>
          <w:sz w:val="20"/>
          <w:szCs w:val="20"/>
        </w:rPr>
        <w:t xml:space="preserve"> </w:t>
      </w:r>
      <w:r w:rsidRPr="009628FC">
        <w:rPr>
          <w:rFonts w:ascii="Garamond" w:hAnsi="Garamond"/>
          <w:sz w:val="20"/>
          <w:szCs w:val="20"/>
        </w:rPr>
        <w:t>lek</w:t>
      </w:r>
      <w:r w:rsidR="00CF7600" w:rsidRPr="009628FC">
        <w:rPr>
          <w:rFonts w:ascii="Garamond" w:hAnsi="Garamond"/>
          <w:sz w:val="20"/>
          <w:szCs w:val="20"/>
        </w:rPr>
        <w:t>ë</w:t>
      </w:r>
      <w:bookmarkEnd w:id="0"/>
    </w:p>
    <w:sectPr w:rsidR="008A5FB5" w:rsidRPr="009628FC" w:rsidSect="003D4C90">
      <w:headerReference w:type="default" r:id="rId15"/>
      <w:footerReference w:type="default" r:id="rId16"/>
      <w:headerReference w:type="first" r:id="rId17"/>
      <w:footerReference w:type="first" r:id="rId18"/>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F29" w:rsidRDefault="00195F29" w:rsidP="009723E2">
      <w:pPr>
        <w:spacing w:after="0" w:line="240" w:lineRule="auto"/>
      </w:pPr>
      <w:r>
        <w:separator/>
      </w:r>
    </w:p>
  </w:endnote>
  <w:endnote w:type="continuationSeparator" w:id="0">
    <w:p w:rsidR="00195F29" w:rsidRDefault="00195F29"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F29" w:rsidRDefault="008D0CA6" w:rsidP="003D4C90">
    <w:pPr>
      <w:tabs>
        <w:tab w:val="left" w:pos="1418"/>
      </w:tabs>
      <w:spacing w:after="0" w:line="240" w:lineRule="auto"/>
    </w:pPr>
    <w:r>
      <w:rPr>
        <w:noProof/>
        <w:lang w:val="en-US"/>
      </w:rPr>
      <w:pict>
        <v:line id="Straight Connector 8" o:spid="_x0000_s21504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195F29" w:rsidRPr="00CA4B50" w:rsidRDefault="00195F29"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195F29" w:rsidRPr="009723E2" w:rsidRDefault="00195F29" w:rsidP="00537ABF">
    <w:pPr>
      <w:tabs>
        <w:tab w:val="left" w:pos="1418"/>
      </w:tabs>
      <w:spacing w:before="18" w:after="0" w:line="240" w:lineRule="auto"/>
      <w:jc w:val="center"/>
      <w:rPr>
        <w:sz w:val="10"/>
      </w:rPr>
    </w:pPr>
  </w:p>
  <w:p w:rsidR="00195F29" w:rsidRDefault="00195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Pr="000F5341" w:rsidRDefault="008D0CA6" w:rsidP="000F5341">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294</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Pr="000F5341" w:rsidRDefault="008D0CA6" w:rsidP="000F5341">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295</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Default="008D0CA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Default="008D0CA6" w:rsidP="003D4C90">
    <w:pPr>
      <w:tabs>
        <w:tab w:val="left" w:pos="1418"/>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F29" w:rsidRDefault="00195F29" w:rsidP="009723E2">
      <w:pPr>
        <w:spacing w:after="0" w:line="240" w:lineRule="auto"/>
      </w:pPr>
      <w:r>
        <w:separator/>
      </w:r>
    </w:p>
  </w:footnote>
  <w:footnote w:type="continuationSeparator" w:id="0">
    <w:p w:rsidR="00195F29" w:rsidRDefault="00195F29"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Default="008D0CA6" w:rsidP="008D0CA6">
    <w:pPr>
      <w:pStyle w:val="Header"/>
      <w:tabs>
        <w:tab w:val="clear" w:pos="4680"/>
        <w:tab w:val="clear" w:pos="9360"/>
        <w:tab w:val="left" w:pos="15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D0CA6" w:rsidRPr="00EB260B" w:rsidTr="00E33805">
      <w:trPr>
        <w:trHeight w:val="936"/>
        <w:jc w:val="center"/>
      </w:trPr>
      <w:tc>
        <w:tcPr>
          <w:tcW w:w="1392" w:type="pct"/>
          <w:shd w:val="pct5" w:color="auto" w:fill="F2F2F2"/>
          <w:vAlign w:val="center"/>
        </w:tcPr>
        <w:p w:rsidR="008D0CA6" w:rsidRPr="00EB260B" w:rsidRDefault="008D0CA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0CA6" w:rsidRPr="00EB260B" w:rsidRDefault="008D0CA6" w:rsidP="00680B77">
          <w:pPr>
            <w:pStyle w:val="NoSpacing"/>
            <w:spacing w:before="100" w:after="100"/>
            <w:jc w:val="center"/>
            <w:rPr>
              <w:rFonts w:ascii="Garamond" w:hAnsi="Garamond"/>
              <w:b/>
              <w:sz w:val="28"/>
              <w:szCs w:val="28"/>
            </w:rPr>
          </w:pPr>
          <w:r>
            <w:rPr>
              <w:noProof/>
              <w:lang w:val="en-US"/>
            </w:rPr>
            <w:drawing>
              <wp:inline distT="0" distB="0" distL="0" distR="0" wp14:anchorId="6385A8E1" wp14:editId="19ACB5A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0CA6" w:rsidRPr="00EB260B" w:rsidRDefault="008D0CA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11</w:t>
          </w:r>
        </w:p>
      </w:tc>
    </w:tr>
  </w:tbl>
  <w:p w:rsidR="008D0CA6" w:rsidRPr="00385E2C" w:rsidRDefault="008D0CA6" w:rsidP="00F52BB7">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D0CA6" w:rsidRPr="00EB260B" w:rsidTr="00E33805">
      <w:trPr>
        <w:trHeight w:val="936"/>
        <w:jc w:val="center"/>
      </w:trPr>
      <w:tc>
        <w:tcPr>
          <w:tcW w:w="1392" w:type="pct"/>
          <w:shd w:val="pct5" w:color="auto" w:fill="F2F2F2"/>
          <w:vAlign w:val="center"/>
        </w:tcPr>
        <w:p w:rsidR="008D0CA6" w:rsidRPr="00EB260B" w:rsidRDefault="008D0C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0CA6" w:rsidRPr="00EB260B" w:rsidRDefault="008D0CA6" w:rsidP="00BB433C">
          <w:pPr>
            <w:pStyle w:val="NoSpacing"/>
            <w:spacing w:before="100" w:after="100"/>
            <w:jc w:val="center"/>
            <w:rPr>
              <w:rFonts w:ascii="Garamond" w:hAnsi="Garamond"/>
              <w:b/>
              <w:sz w:val="28"/>
              <w:szCs w:val="28"/>
            </w:rPr>
          </w:pPr>
          <w:r>
            <w:rPr>
              <w:noProof/>
              <w:lang w:val="en-US"/>
            </w:rPr>
            <w:drawing>
              <wp:inline distT="0" distB="0" distL="0" distR="0" wp14:anchorId="11C283F2" wp14:editId="6E4C8313">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0CA6" w:rsidRPr="00EB260B" w:rsidRDefault="008D0CA6" w:rsidP="008B7F0C">
          <w:pPr>
            <w:pStyle w:val="NoSpacing"/>
            <w:spacing w:before="100" w:after="100"/>
            <w:jc w:val="center"/>
            <w:rPr>
              <w:rFonts w:ascii="Garamond" w:hAnsi="Garamond"/>
              <w:b/>
              <w:sz w:val="28"/>
              <w:szCs w:val="28"/>
            </w:rPr>
          </w:pPr>
          <w:r>
            <w:rPr>
              <w:rFonts w:ascii="Garamond" w:hAnsi="Garamond"/>
              <w:b/>
              <w:sz w:val="28"/>
              <w:szCs w:val="28"/>
            </w:rPr>
            <w:t>Viti 2019 – Numri 11</w:t>
          </w:r>
        </w:p>
      </w:tc>
    </w:tr>
  </w:tbl>
  <w:p w:rsidR="008D0CA6" w:rsidRDefault="008D0CA6" w:rsidP="00F52BB7">
    <w:pPr>
      <w:pStyle w:val="Paragraf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Default="008D0CA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CA6" w:rsidRDefault="008D0CA6" w:rsidP="008D0CA6">
    <w:pPr>
      <w:pStyle w:val="Header"/>
      <w:tabs>
        <w:tab w:val="clear" w:pos="4680"/>
        <w:tab w:val="clear" w:pos="9360"/>
        <w:tab w:val="left" w:pos="15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F418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24B1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38CD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D84D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F064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5044"/>
    <o:shapelayout v:ext="edit">
      <o:idmap v:ext="edit" data="210"/>
    </o:shapelayout>
  </w:hdrShapeDefaults>
  <w:footnotePr>
    <w:footnote w:id="-1"/>
    <w:footnote w:id="0"/>
  </w:footnotePr>
  <w:endnotePr>
    <w:endnote w:id="-1"/>
    <w:endnote w:id="0"/>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CA6"/>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4"/>
    <o:shapelayout v:ext="edit">
      <o:idmap v:ext="edit" data="1"/>
    </o:shapelayout>
  </w:shapeDefaults>
  <w:decimalSymbol w:val="."/>
  <w:listSeparator w:val=","/>
  <w15:docId w15:val="{60653434-D7C8-4DFF-8775-ADF63C0C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table" w:styleId="TableGrid">
    <w:name w:val="Table Grid"/>
    <w:basedOn w:val="TableNormal"/>
    <w:uiPriority w:val="59"/>
    <w:rsid w:val="008D0CA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DABE5-7491-42D2-8655-7938B6168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67</TotalTime>
  <Pages>8</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103</cp:revision>
  <cp:lastPrinted>2019-02-06T15:24:00Z</cp:lastPrinted>
  <dcterms:created xsi:type="dcterms:W3CDTF">2019-01-31T14:14:00Z</dcterms:created>
  <dcterms:modified xsi:type="dcterms:W3CDTF">2019-03-21T16:15:00Z</dcterms:modified>
</cp:coreProperties>
</file>