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7C9" w:rsidRPr="00296717" w:rsidRDefault="006517C9" w:rsidP="006517C9">
      <w:pPr>
        <w:jc w:val="center"/>
        <w:rPr>
          <w:rFonts w:ascii="CG Times" w:hAnsi="CG Times"/>
          <w:b/>
          <w:sz w:val="22"/>
          <w:szCs w:val="22"/>
          <w:lang w:val="sq-AL"/>
        </w:rPr>
      </w:pPr>
      <w:r w:rsidRPr="00296717">
        <w:rPr>
          <w:rFonts w:ascii="CG Times" w:hAnsi="CG Times"/>
          <w:b/>
          <w:sz w:val="22"/>
          <w:szCs w:val="22"/>
          <w:lang w:val="sq-AL"/>
        </w:rPr>
        <w:t>PROTOKOLLI NR. 14</w:t>
      </w:r>
      <w:r w:rsidRPr="00296717">
        <w:rPr>
          <w:rFonts w:ascii="CG Times" w:hAnsi="CG Times"/>
          <w:b/>
          <w:sz w:val="22"/>
          <w:szCs w:val="22"/>
          <w:lang w:val="sq-AL"/>
        </w:rPr>
        <w:br/>
        <w:t>I KONVENTËS PËR MBROJTJEN E TË DREJTAVE TË NJERIUT DHE LIRIVE THEMELORE, QË NDRYSHON SISTEMIN E KONTROLLIT TË KONVENTËS</w:t>
      </w:r>
      <w:r w:rsidRPr="00296717">
        <w:rPr>
          <w:rFonts w:ascii="CG Times" w:hAnsi="CG Times"/>
          <w:b/>
          <w:sz w:val="22"/>
          <w:szCs w:val="22"/>
          <w:lang w:val="sq-AL"/>
        </w:rPr>
        <w:br/>
      </w:r>
    </w:p>
    <w:p w:rsidR="006517C9" w:rsidRPr="003C6D89" w:rsidRDefault="006517C9" w:rsidP="006517C9">
      <w:pPr>
        <w:pStyle w:val="Paragrafi"/>
        <w:rPr>
          <w:rFonts w:cs="Courier New"/>
          <w:lang w:val="sq-AL"/>
        </w:rPr>
      </w:pPr>
      <w:r w:rsidRPr="003C6D89">
        <w:rPr>
          <w:lang w:val="sq-AL"/>
        </w:rPr>
        <w:t>Shtetet anëtare të Këshillit të Evropës, nënshkruese të këtij protokolli të Konventës për Mbrojtjen e të Drejtave të Njeriut dhe Lirive Themelore, nënshkruar në Romë, më 4 nëntor 1950 (që këtu do të quhet "Konventa"),</w:t>
      </w:r>
    </w:p>
    <w:p w:rsidR="006517C9" w:rsidRDefault="006517C9" w:rsidP="006517C9">
      <w:pPr>
        <w:pStyle w:val="Paragrafi"/>
        <w:rPr>
          <w:lang w:val="sq-AL"/>
        </w:rPr>
      </w:pPr>
    </w:p>
    <w:p w:rsidR="006517C9" w:rsidRPr="003C6D89" w:rsidRDefault="006517C9" w:rsidP="006517C9">
      <w:pPr>
        <w:pStyle w:val="Paragrafi"/>
        <w:rPr>
          <w:lang w:val="sq-AL"/>
        </w:rPr>
      </w:pPr>
      <w:r w:rsidRPr="003C6D89">
        <w:rPr>
          <w:lang w:val="sq-AL"/>
        </w:rPr>
        <w:t>Duke pasur parasysh Rezolutën Nr.1 dhe Deklaratën e miratuar nga Konferenca Ndërministrore Evropiane mbi të Drejtat e Njeriut, mbajtur në Romë më 3 dhe 4 nëntor 2000;</w:t>
      </w:r>
    </w:p>
    <w:p w:rsidR="006517C9" w:rsidRDefault="006517C9" w:rsidP="006517C9">
      <w:pPr>
        <w:pStyle w:val="Paragrafi"/>
        <w:rPr>
          <w:lang w:val="sq-AL"/>
        </w:rPr>
      </w:pPr>
    </w:p>
    <w:p w:rsidR="006517C9" w:rsidRPr="003C6D89" w:rsidRDefault="006517C9" w:rsidP="006517C9">
      <w:pPr>
        <w:pStyle w:val="Paragrafi"/>
        <w:rPr>
          <w:lang w:val="sq-AL"/>
        </w:rPr>
      </w:pPr>
      <w:r w:rsidRPr="003C6D89">
        <w:rPr>
          <w:lang w:val="sq-AL"/>
        </w:rPr>
        <w:t>Duke pasur parasysh Deklaratat e miratuara nga Komiteti i Ministrave më 8 nëntor 2001, 7 nëntor 2002 dhe 15 maj 2003, në sesionin e tij, përkatësisht në Sesionet  109-të, 111-të dhe l12-të;</w:t>
      </w:r>
    </w:p>
    <w:p w:rsidR="006517C9" w:rsidRPr="00A15E1A"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Duke pasur parasysh Opinionin Nr. 251 (2004) të miratuar nga Asambleja Parlamentare e Këshillit të Evropës më 28 Prill 2004;</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Duke ditur nevojën urgjente për ndryshimin e disa dispozitave të Konventës, me qëllim që të ruhet dhe përmirësohet efikasiteti i sistemit të kontrollit afatgjatë, kryesisht për shkak të rritjes së vazhdueshme të ngarkesës së punës së Gjykatës Evropiane për të Drejtat e Njeriut dhe të Komitetit të Ministrave të Këshillit të Evropës;</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Duke ditur veçanërisht nevojën për të garantuar që Gjykata të vazhdojë të luajë rolin e saj të madh në ruajtjen e të drejtave të njeriut në Evropë,</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Kanë rënë dakord si më poshtë:</w:t>
      </w:r>
    </w:p>
    <w:p w:rsidR="006517C9" w:rsidRDefault="006517C9" w:rsidP="006517C9">
      <w:pPr>
        <w:ind w:firstLine="720"/>
        <w:jc w:val="both"/>
        <w:rPr>
          <w:rFonts w:ascii="CG Times" w:hAnsi="CG Times" w:cs="Courier New"/>
          <w:sz w:val="22"/>
          <w:szCs w:val="22"/>
          <w:lang w:val="sq-AL"/>
        </w:rPr>
      </w:pPr>
    </w:p>
    <w:p w:rsidR="006517C9" w:rsidRPr="00424401" w:rsidRDefault="006517C9" w:rsidP="006517C9">
      <w:pPr>
        <w:ind w:firstLine="720"/>
        <w:jc w:val="center"/>
        <w:rPr>
          <w:rStyle w:val="ParagrafiChar"/>
          <w:rFonts w:cs="Courier New"/>
          <w:szCs w:val="22"/>
          <w:lang w:val="sq-AL"/>
        </w:rPr>
      </w:pPr>
      <w:r w:rsidRPr="00424401">
        <w:rPr>
          <w:rStyle w:val="ParagrafiChar"/>
          <w:lang w:val="sq-AL"/>
        </w:rPr>
        <w:t>Neni 1</w:t>
      </w:r>
    </w:p>
    <w:p w:rsidR="006517C9" w:rsidRDefault="006517C9" w:rsidP="006517C9">
      <w:pPr>
        <w:jc w:val="center"/>
        <w:rPr>
          <w:rStyle w:val="ParagrafiChar"/>
          <w:lang w:val="sq-AL"/>
        </w:rPr>
      </w:pPr>
    </w:p>
    <w:p w:rsidR="006517C9" w:rsidRDefault="006517C9" w:rsidP="006517C9">
      <w:pPr>
        <w:ind w:firstLine="720"/>
        <w:rPr>
          <w:rStyle w:val="ParagrafiChar"/>
          <w:lang w:val="sq-AL"/>
        </w:rPr>
      </w:pPr>
      <w:r w:rsidRPr="00424401">
        <w:rPr>
          <w:rStyle w:val="ParagrafiChar"/>
          <w:lang w:val="sq-AL"/>
        </w:rPr>
        <w:t>Paragrafi 2 i nenit 22 të K</w:t>
      </w:r>
      <w:r>
        <w:rPr>
          <w:rStyle w:val="ParagrafiChar"/>
          <w:lang w:val="sq-AL"/>
        </w:rPr>
        <w:t>onventës shfuqizohet.</w:t>
      </w:r>
    </w:p>
    <w:p w:rsidR="006517C9" w:rsidRDefault="006517C9" w:rsidP="006517C9">
      <w:pPr>
        <w:ind w:firstLine="720"/>
        <w:jc w:val="center"/>
        <w:rPr>
          <w:rStyle w:val="ParagrafiChar"/>
          <w:lang w:val="sq-AL"/>
        </w:rPr>
      </w:pPr>
    </w:p>
    <w:p w:rsidR="006517C9" w:rsidRDefault="006517C9" w:rsidP="006517C9">
      <w:pPr>
        <w:ind w:firstLine="720"/>
        <w:jc w:val="center"/>
        <w:rPr>
          <w:rStyle w:val="ParagrafiChar"/>
          <w:lang w:val="sq-AL"/>
        </w:rPr>
      </w:pPr>
      <w:r w:rsidRPr="00424401">
        <w:rPr>
          <w:rStyle w:val="ParagrafiChar"/>
          <w:lang w:val="sq-AL"/>
        </w:rPr>
        <w:t>Neni 2</w:t>
      </w:r>
    </w:p>
    <w:p w:rsidR="006517C9" w:rsidRDefault="006517C9" w:rsidP="006517C9">
      <w:pPr>
        <w:ind w:firstLine="720"/>
        <w:jc w:val="center"/>
        <w:rPr>
          <w:rStyle w:val="ParagrafiChar"/>
          <w:lang w:val="sq-AL"/>
        </w:rPr>
      </w:pPr>
    </w:p>
    <w:p w:rsidR="006517C9" w:rsidRDefault="006517C9" w:rsidP="006517C9">
      <w:pPr>
        <w:ind w:firstLine="720"/>
        <w:rPr>
          <w:rStyle w:val="ParagrafiChar"/>
          <w:lang w:val="sq-AL"/>
        </w:rPr>
      </w:pPr>
      <w:r w:rsidRPr="00424401">
        <w:rPr>
          <w:rStyle w:val="ParagrafiChar"/>
          <w:lang w:val="sq-AL"/>
        </w:rPr>
        <w:t>Neni 23 i Konventës ndrysh</w:t>
      </w:r>
      <w:r>
        <w:rPr>
          <w:rStyle w:val="ParagrafiChar"/>
          <w:lang w:val="sq-AL"/>
        </w:rPr>
        <w:t>ohet me formulimin e mëposhtëm:</w:t>
      </w:r>
    </w:p>
    <w:p w:rsidR="006517C9" w:rsidRDefault="006517C9" w:rsidP="006517C9">
      <w:pPr>
        <w:ind w:firstLine="720"/>
        <w:rPr>
          <w:rStyle w:val="ParagrafiChar"/>
          <w:lang w:val="sq-AL"/>
        </w:rPr>
      </w:pPr>
    </w:p>
    <w:p w:rsidR="006517C9" w:rsidRDefault="006517C9" w:rsidP="006517C9">
      <w:pPr>
        <w:ind w:firstLine="720"/>
        <w:jc w:val="center"/>
        <w:rPr>
          <w:rStyle w:val="ParagrafiChar"/>
          <w:lang w:val="sq-AL"/>
        </w:rPr>
      </w:pPr>
      <w:r w:rsidRPr="00424401">
        <w:rPr>
          <w:rStyle w:val="ParagrafiChar"/>
          <w:lang w:val="sq-AL"/>
        </w:rPr>
        <w:t>"Neni 23</w:t>
      </w:r>
    </w:p>
    <w:p w:rsidR="006517C9" w:rsidRPr="00424401" w:rsidRDefault="006517C9" w:rsidP="006517C9">
      <w:pPr>
        <w:ind w:firstLine="720"/>
        <w:jc w:val="center"/>
        <w:rPr>
          <w:rStyle w:val="ParagrafiChar"/>
          <w:b/>
          <w:lang w:val="sq-AL"/>
        </w:rPr>
      </w:pPr>
      <w:r w:rsidRPr="00424401">
        <w:rPr>
          <w:rStyle w:val="ParagrafiChar"/>
          <w:b/>
          <w:lang w:val="sq-AL"/>
        </w:rPr>
        <w:t>Mandati dhe largimi nga detyra</w:t>
      </w:r>
    </w:p>
    <w:p w:rsidR="006517C9" w:rsidRDefault="006517C9" w:rsidP="006517C9">
      <w:pPr>
        <w:ind w:firstLine="720"/>
        <w:jc w:val="both"/>
        <w:rPr>
          <w:rStyle w:val="ParagrafiChar"/>
          <w:lang w:val="sq-AL"/>
        </w:rPr>
      </w:pPr>
    </w:p>
    <w:p w:rsidR="006517C9" w:rsidRDefault="006517C9" w:rsidP="006517C9">
      <w:pPr>
        <w:ind w:firstLine="720"/>
        <w:jc w:val="both"/>
        <w:rPr>
          <w:rStyle w:val="ParagrafiChar"/>
          <w:lang w:val="sq-AL"/>
        </w:rPr>
      </w:pPr>
      <w:r w:rsidRPr="00424401">
        <w:rPr>
          <w:rStyle w:val="ParagrafiChar"/>
          <w:lang w:val="sq-AL"/>
        </w:rPr>
        <w:t>1. Gjyqtarët zgjidhen për një afat prej nëntë vjetë</w:t>
      </w:r>
      <w:r>
        <w:rPr>
          <w:rStyle w:val="ParagrafiChar"/>
          <w:lang w:val="sq-AL"/>
        </w:rPr>
        <w:t>sh. Ata nuk mund të rizgjidhen.</w:t>
      </w:r>
    </w:p>
    <w:p w:rsidR="006517C9" w:rsidRDefault="006517C9" w:rsidP="006517C9">
      <w:pPr>
        <w:ind w:firstLine="720"/>
        <w:jc w:val="both"/>
        <w:rPr>
          <w:rStyle w:val="ParagrafiChar"/>
        </w:rPr>
      </w:pPr>
      <w:r w:rsidRPr="00424401">
        <w:rPr>
          <w:rStyle w:val="ParagrafiChar"/>
          <w:lang w:val="sq-AL"/>
        </w:rPr>
        <w:t>2. Mandati i gjyqtarëve përfundon kur ata arrij</w:t>
      </w:r>
      <w:proofErr w:type="spellStart"/>
      <w:r>
        <w:rPr>
          <w:rStyle w:val="ParagrafiChar"/>
        </w:rPr>
        <w:t>në</w:t>
      </w:r>
      <w:proofErr w:type="spellEnd"/>
      <w:r>
        <w:rPr>
          <w:rStyle w:val="ParagrafiChar"/>
        </w:rPr>
        <w:t xml:space="preserve"> </w:t>
      </w:r>
      <w:proofErr w:type="spellStart"/>
      <w:r>
        <w:rPr>
          <w:rStyle w:val="ParagrafiChar"/>
        </w:rPr>
        <w:t>moshën</w:t>
      </w:r>
      <w:proofErr w:type="spellEnd"/>
      <w:r>
        <w:rPr>
          <w:rStyle w:val="ParagrafiChar"/>
        </w:rPr>
        <w:t xml:space="preserve"> 70 </w:t>
      </w:r>
      <w:proofErr w:type="spellStart"/>
      <w:r>
        <w:rPr>
          <w:rStyle w:val="ParagrafiChar"/>
        </w:rPr>
        <w:t>vjeç</w:t>
      </w:r>
      <w:proofErr w:type="spellEnd"/>
      <w:r>
        <w:rPr>
          <w:rStyle w:val="ParagrafiChar"/>
        </w:rPr>
        <w:t>.</w:t>
      </w:r>
    </w:p>
    <w:p w:rsidR="006517C9" w:rsidRDefault="006517C9" w:rsidP="006517C9">
      <w:pPr>
        <w:ind w:firstLine="720"/>
        <w:jc w:val="both"/>
        <w:rPr>
          <w:rStyle w:val="ParagrafiChar"/>
        </w:rPr>
      </w:pPr>
      <w:r w:rsidRPr="00424401">
        <w:rPr>
          <w:rStyle w:val="ParagrafiChar"/>
        </w:rPr>
        <w:t xml:space="preserve">3. </w:t>
      </w:r>
      <w:proofErr w:type="spellStart"/>
      <w:r w:rsidRPr="00424401">
        <w:rPr>
          <w:rStyle w:val="ParagrafiChar"/>
        </w:rPr>
        <w:t>Gjyqtarët</w:t>
      </w:r>
      <w:proofErr w:type="spellEnd"/>
      <w:r w:rsidRPr="00424401">
        <w:rPr>
          <w:rStyle w:val="ParagrafiChar"/>
        </w:rPr>
        <w:t xml:space="preserve"> </w:t>
      </w:r>
      <w:proofErr w:type="spellStart"/>
      <w:r w:rsidRPr="00424401">
        <w:rPr>
          <w:rStyle w:val="ParagrafiChar"/>
        </w:rPr>
        <w:t>qëndrojnë</w:t>
      </w:r>
      <w:proofErr w:type="spellEnd"/>
      <w:r w:rsidRPr="00424401">
        <w:rPr>
          <w:rStyle w:val="ParagrafiChar"/>
        </w:rPr>
        <w:t xml:space="preserve"> </w:t>
      </w:r>
      <w:proofErr w:type="spellStart"/>
      <w:r w:rsidRPr="00424401">
        <w:rPr>
          <w:rStyle w:val="ParagrafiChar"/>
        </w:rPr>
        <w:t>në</w:t>
      </w:r>
      <w:proofErr w:type="spellEnd"/>
      <w:r w:rsidRPr="00424401">
        <w:rPr>
          <w:rStyle w:val="ParagrafiChar"/>
        </w:rPr>
        <w:t xml:space="preserve"> </w:t>
      </w:r>
      <w:proofErr w:type="spellStart"/>
      <w:r w:rsidRPr="00424401">
        <w:rPr>
          <w:rStyle w:val="ParagrafiChar"/>
        </w:rPr>
        <w:t>detyrë</w:t>
      </w:r>
      <w:proofErr w:type="spellEnd"/>
      <w:r w:rsidRPr="00424401">
        <w:rPr>
          <w:rStyle w:val="ParagrafiChar"/>
        </w:rPr>
        <w:t xml:space="preserve"> </w:t>
      </w:r>
      <w:proofErr w:type="spellStart"/>
      <w:r w:rsidRPr="00424401">
        <w:rPr>
          <w:rStyle w:val="ParagrafiChar"/>
        </w:rPr>
        <w:t>derisa</w:t>
      </w:r>
      <w:proofErr w:type="spellEnd"/>
      <w:r w:rsidRPr="00424401">
        <w:rPr>
          <w:rStyle w:val="ParagrafiChar"/>
        </w:rPr>
        <w:t xml:space="preserve"> </w:t>
      </w:r>
      <w:proofErr w:type="spellStart"/>
      <w:r w:rsidRPr="00424401">
        <w:rPr>
          <w:rStyle w:val="ParagrafiChar"/>
        </w:rPr>
        <w:t>të</w:t>
      </w:r>
      <w:proofErr w:type="spellEnd"/>
      <w:r w:rsidRPr="00424401">
        <w:rPr>
          <w:rStyle w:val="ParagrafiChar"/>
        </w:rPr>
        <w:t xml:space="preserve"> </w:t>
      </w:r>
      <w:proofErr w:type="spellStart"/>
      <w:r w:rsidRPr="00424401">
        <w:rPr>
          <w:rStyle w:val="ParagrafiChar"/>
        </w:rPr>
        <w:t>zëvendësohen</w:t>
      </w:r>
      <w:proofErr w:type="spellEnd"/>
      <w:r w:rsidRPr="00424401">
        <w:rPr>
          <w:rStyle w:val="ParagrafiChar"/>
        </w:rPr>
        <w:t xml:space="preserve">. </w:t>
      </w:r>
      <w:proofErr w:type="spellStart"/>
      <w:r w:rsidRPr="00424401">
        <w:rPr>
          <w:rStyle w:val="ParagrafiChar"/>
        </w:rPr>
        <w:t>Megjithatë</w:t>
      </w:r>
      <w:proofErr w:type="spellEnd"/>
      <w:r w:rsidRPr="00424401">
        <w:rPr>
          <w:rStyle w:val="ParagrafiChar"/>
        </w:rPr>
        <w:t xml:space="preserve">, </w:t>
      </w:r>
      <w:proofErr w:type="spellStart"/>
      <w:r w:rsidRPr="00424401">
        <w:rPr>
          <w:rStyle w:val="ParagrafiChar"/>
        </w:rPr>
        <w:t>ata</w:t>
      </w:r>
      <w:proofErr w:type="spellEnd"/>
      <w:r w:rsidRPr="00424401">
        <w:rPr>
          <w:rStyle w:val="ParagrafiChar"/>
        </w:rPr>
        <w:t xml:space="preserve"> </w:t>
      </w:r>
      <w:proofErr w:type="spellStart"/>
      <w:r w:rsidRPr="00424401">
        <w:rPr>
          <w:rStyle w:val="ParagrafiChar"/>
        </w:rPr>
        <w:t>vazhdojnë</w:t>
      </w:r>
      <w:proofErr w:type="spellEnd"/>
      <w:r w:rsidRPr="00424401">
        <w:rPr>
          <w:rStyle w:val="ParagrafiChar"/>
        </w:rPr>
        <w:t xml:space="preserve"> me</w:t>
      </w:r>
      <w:r w:rsidRPr="00424401">
        <w:rPr>
          <w:rStyle w:val="ParagrafiChar"/>
        </w:rPr>
        <w:br/>
      </w:r>
      <w:proofErr w:type="spellStart"/>
      <w:r w:rsidRPr="00424401">
        <w:rPr>
          <w:rStyle w:val="ParagrafiChar"/>
        </w:rPr>
        <w:t>shqyrtimin</w:t>
      </w:r>
      <w:proofErr w:type="spellEnd"/>
      <w:r w:rsidRPr="00424401">
        <w:rPr>
          <w:rStyle w:val="ParagrafiChar"/>
        </w:rPr>
        <w:t xml:space="preserve"> e </w:t>
      </w:r>
      <w:proofErr w:type="spellStart"/>
      <w:r>
        <w:rPr>
          <w:rStyle w:val="ParagrafiChar"/>
        </w:rPr>
        <w:t>çështjeve</w:t>
      </w:r>
      <w:proofErr w:type="spellEnd"/>
      <w:r>
        <w:rPr>
          <w:rStyle w:val="ParagrafiChar"/>
        </w:rPr>
        <w:t xml:space="preserve"> </w:t>
      </w:r>
      <w:proofErr w:type="spellStart"/>
      <w:r>
        <w:rPr>
          <w:rStyle w:val="ParagrafiChar"/>
        </w:rPr>
        <w:t>që</w:t>
      </w:r>
      <w:proofErr w:type="spellEnd"/>
      <w:r>
        <w:rPr>
          <w:rStyle w:val="ParagrafiChar"/>
        </w:rPr>
        <w:t xml:space="preserve"> </w:t>
      </w:r>
      <w:proofErr w:type="spellStart"/>
      <w:r>
        <w:rPr>
          <w:rStyle w:val="ParagrafiChar"/>
        </w:rPr>
        <w:t>kanë</w:t>
      </w:r>
      <w:proofErr w:type="spellEnd"/>
      <w:r>
        <w:rPr>
          <w:rStyle w:val="ParagrafiChar"/>
        </w:rPr>
        <w:t xml:space="preserve"> </w:t>
      </w:r>
      <w:proofErr w:type="spellStart"/>
      <w:r>
        <w:rPr>
          <w:rStyle w:val="ParagrafiChar"/>
        </w:rPr>
        <w:t>nën</w:t>
      </w:r>
      <w:proofErr w:type="spellEnd"/>
      <w:r>
        <w:rPr>
          <w:rStyle w:val="ParagrafiChar"/>
        </w:rPr>
        <w:t xml:space="preserve"> </w:t>
      </w:r>
      <w:proofErr w:type="spellStart"/>
      <w:r>
        <w:rPr>
          <w:rStyle w:val="ParagrafiChar"/>
        </w:rPr>
        <w:t>shqyrtim</w:t>
      </w:r>
      <w:proofErr w:type="spellEnd"/>
      <w:r>
        <w:rPr>
          <w:rStyle w:val="ParagrafiChar"/>
        </w:rPr>
        <w:t>.</w:t>
      </w:r>
    </w:p>
    <w:p w:rsidR="006517C9" w:rsidRDefault="006517C9" w:rsidP="006517C9">
      <w:pPr>
        <w:ind w:firstLine="720"/>
        <w:jc w:val="both"/>
        <w:rPr>
          <w:rStyle w:val="ParagrafiChar"/>
        </w:rPr>
      </w:pPr>
      <w:r w:rsidRPr="00424401">
        <w:rPr>
          <w:rStyle w:val="ParagrafiChar"/>
        </w:rPr>
        <w:t xml:space="preserve">4. </w:t>
      </w:r>
      <w:proofErr w:type="spellStart"/>
      <w:r w:rsidRPr="00424401">
        <w:rPr>
          <w:rStyle w:val="ParagrafiChar"/>
        </w:rPr>
        <w:t>Asnjë</w:t>
      </w:r>
      <w:proofErr w:type="spellEnd"/>
      <w:r w:rsidRPr="00424401">
        <w:rPr>
          <w:rStyle w:val="ParagrafiChar"/>
        </w:rPr>
        <w:t xml:space="preserve"> </w:t>
      </w:r>
      <w:proofErr w:type="spellStart"/>
      <w:r w:rsidRPr="00424401">
        <w:rPr>
          <w:rStyle w:val="ParagrafiChar"/>
        </w:rPr>
        <w:t>gjyqtar</w:t>
      </w:r>
      <w:proofErr w:type="spellEnd"/>
      <w:r w:rsidRPr="00424401">
        <w:rPr>
          <w:rStyle w:val="ParagrafiChar"/>
        </w:rPr>
        <w:t xml:space="preserve"> </w:t>
      </w:r>
      <w:proofErr w:type="spellStart"/>
      <w:r w:rsidRPr="00424401">
        <w:rPr>
          <w:rStyle w:val="ParagrafiChar"/>
        </w:rPr>
        <w:t>nuk</w:t>
      </w:r>
      <w:proofErr w:type="spellEnd"/>
      <w:r w:rsidRPr="00424401">
        <w:rPr>
          <w:rStyle w:val="ParagrafiChar"/>
        </w:rPr>
        <w:t xml:space="preserve"> </w:t>
      </w:r>
      <w:proofErr w:type="spellStart"/>
      <w:r w:rsidRPr="00424401">
        <w:rPr>
          <w:rStyle w:val="ParagrafiChar"/>
        </w:rPr>
        <w:t>mund</w:t>
      </w:r>
      <w:proofErr w:type="spellEnd"/>
      <w:r w:rsidRPr="00424401">
        <w:rPr>
          <w:rStyle w:val="ParagrafiChar"/>
        </w:rPr>
        <w:t xml:space="preserve"> </w:t>
      </w:r>
      <w:proofErr w:type="spellStart"/>
      <w:r w:rsidRPr="00424401">
        <w:rPr>
          <w:rStyle w:val="ParagrafiChar"/>
        </w:rPr>
        <w:t>të</w:t>
      </w:r>
      <w:proofErr w:type="spellEnd"/>
      <w:r w:rsidRPr="00424401">
        <w:rPr>
          <w:rStyle w:val="ParagrafiChar"/>
        </w:rPr>
        <w:t xml:space="preserve"> </w:t>
      </w:r>
      <w:proofErr w:type="spellStart"/>
      <w:r w:rsidRPr="00424401">
        <w:rPr>
          <w:rStyle w:val="ParagrafiChar"/>
        </w:rPr>
        <w:t>largohet</w:t>
      </w:r>
      <w:proofErr w:type="spellEnd"/>
      <w:r w:rsidRPr="00424401">
        <w:rPr>
          <w:rStyle w:val="ParagrafiChar"/>
        </w:rPr>
        <w:t xml:space="preserve"> </w:t>
      </w:r>
      <w:proofErr w:type="spellStart"/>
      <w:r w:rsidRPr="00424401">
        <w:rPr>
          <w:rStyle w:val="ParagrafiChar"/>
        </w:rPr>
        <w:t>nga</w:t>
      </w:r>
      <w:proofErr w:type="spellEnd"/>
      <w:r w:rsidRPr="00424401">
        <w:rPr>
          <w:rStyle w:val="ParagrafiChar"/>
        </w:rPr>
        <w:t xml:space="preserve"> </w:t>
      </w:r>
      <w:proofErr w:type="spellStart"/>
      <w:r w:rsidRPr="00424401">
        <w:rPr>
          <w:rStyle w:val="ParagrafiChar"/>
        </w:rPr>
        <w:t>detyra</w:t>
      </w:r>
      <w:proofErr w:type="spellEnd"/>
      <w:r w:rsidRPr="00424401">
        <w:rPr>
          <w:rStyle w:val="ParagrafiChar"/>
        </w:rPr>
        <w:t xml:space="preserve">, </w:t>
      </w:r>
      <w:proofErr w:type="spellStart"/>
      <w:r w:rsidRPr="00424401">
        <w:rPr>
          <w:rStyle w:val="ParagrafiChar"/>
        </w:rPr>
        <w:t>përveç</w:t>
      </w:r>
      <w:proofErr w:type="spellEnd"/>
      <w:r w:rsidRPr="00424401">
        <w:rPr>
          <w:rStyle w:val="ParagrafiChar"/>
        </w:rPr>
        <w:t xml:space="preserve"> </w:t>
      </w:r>
      <w:proofErr w:type="spellStart"/>
      <w:r w:rsidRPr="00424401">
        <w:rPr>
          <w:rStyle w:val="ParagrafiChar"/>
        </w:rPr>
        <w:t>kur</w:t>
      </w:r>
      <w:proofErr w:type="spellEnd"/>
      <w:r w:rsidRPr="00424401">
        <w:rPr>
          <w:rStyle w:val="ParagrafiChar"/>
        </w:rPr>
        <w:t xml:space="preserve"> </w:t>
      </w:r>
      <w:proofErr w:type="spellStart"/>
      <w:r w:rsidRPr="00424401">
        <w:rPr>
          <w:rStyle w:val="ParagrafiChar"/>
        </w:rPr>
        <w:t>gjyqtarët</w:t>
      </w:r>
      <w:proofErr w:type="spellEnd"/>
      <w:r w:rsidRPr="00424401">
        <w:rPr>
          <w:rStyle w:val="ParagrafiChar"/>
        </w:rPr>
        <w:t xml:space="preserve"> e </w:t>
      </w:r>
      <w:proofErr w:type="spellStart"/>
      <w:r w:rsidRPr="00424401">
        <w:rPr>
          <w:rStyle w:val="ParagrafiChar"/>
        </w:rPr>
        <w:t>tjerë</w:t>
      </w:r>
      <w:proofErr w:type="spellEnd"/>
      <w:r w:rsidRPr="00424401">
        <w:rPr>
          <w:rStyle w:val="ParagrafiChar"/>
        </w:rPr>
        <w:t xml:space="preserve"> </w:t>
      </w:r>
      <w:proofErr w:type="spellStart"/>
      <w:r w:rsidRPr="00424401">
        <w:rPr>
          <w:rStyle w:val="ParagrafiChar"/>
        </w:rPr>
        <w:t>vendosin</w:t>
      </w:r>
      <w:proofErr w:type="spellEnd"/>
      <w:r w:rsidRPr="00424401">
        <w:rPr>
          <w:rStyle w:val="ParagrafiChar"/>
        </w:rPr>
        <w:t xml:space="preserve"> me </w:t>
      </w:r>
      <w:proofErr w:type="spellStart"/>
      <w:r w:rsidRPr="00424401">
        <w:rPr>
          <w:rStyle w:val="ParagrafiChar"/>
        </w:rPr>
        <w:t>një</w:t>
      </w:r>
      <w:proofErr w:type="spellEnd"/>
      <w:r w:rsidRPr="00424401">
        <w:rPr>
          <w:rStyle w:val="ParagrafiChar"/>
        </w:rPr>
        <w:t xml:space="preserve"> </w:t>
      </w:r>
      <w:proofErr w:type="spellStart"/>
      <w:r w:rsidRPr="00424401">
        <w:rPr>
          <w:rStyle w:val="ParagrafiChar"/>
        </w:rPr>
        <w:t>shumicë</w:t>
      </w:r>
      <w:proofErr w:type="spellEnd"/>
      <w:r w:rsidRPr="00424401">
        <w:rPr>
          <w:rStyle w:val="ParagrafiChar"/>
        </w:rPr>
        <w:t xml:space="preserve"> </w:t>
      </w:r>
      <w:proofErr w:type="spellStart"/>
      <w:r w:rsidRPr="00424401">
        <w:rPr>
          <w:rStyle w:val="ParagrafiChar"/>
        </w:rPr>
        <w:t>prej</w:t>
      </w:r>
      <w:proofErr w:type="spellEnd"/>
      <w:r w:rsidRPr="00424401">
        <w:rPr>
          <w:rStyle w:val="ParagrafiChar"/>
        </w:rPr>
        <w:t xml:space="preserve"> </w:t>
      </w:r>
      <w:proofErr w:type="spellStart"/>
      <w:r w:rsidRPr="00424401">
        <w:rPr>
          <w:rStyle w:val="ParagrafiChar"/>
        </w:rPr>
        <w:t>dy</w:t>
      </w:r>
      <w:proofErr w:type="spellEnd"/>
      <w:r w:rsidRPr="00424401">
        <w:rPr>
          <w:rStyle w:val="ParagrafiChar"/>
        </w:rPr>
        <w:t xml:space="preserve"> </w:t>
      </w:r>
      <w:proofErr w:type="spellStart"/>
      <w:r w:rsidRPr="00424401">
        <w:rPr>
          <w:rStyle w:val="ParagrafiChar"/>
        </w:rPr>
        <w:t>të</w:t>
      </w:r>
      <w:proofErr w:type="spellEnd"/>
      <w:r w:rsidRPr="00424401">
        <w:rPr>
          <w:rStyle w:val="ParagrafiChar"/>
        </w:rPr>
        <w:t xml:space="preserve"> </w:t>
      </w:r>
      <w:proofErr w:type="spellStart"/>
      <w:r w:rsidRPr="00424401">
        <w:rPr>
          <w:rStyle w:val="ParagrafiChar"/>
        </w:rPr>
        <w:t>tretave</w:t>
      </w:r>
      <w:proofErr w:type="spellEnd"/>
      <w:r w:rsidRPr="00424401">
        <w:rPr>
          <w:rStyle w:val="ParagrafiChar"/>
        </w:rPr>
        <w:t xml:space="preserve"> se ai </w:t>
      </w:r>
      <w:proofErr w:type="spellStart"/>
      <w:r w:rsidRPr="00424401">
        <w:rPr>
          <w:rStyle w:val="ParagrafiChar"/>
        </w:rPr>
        <w:t>gjyqtar</w:t>
      </w:r>
      <w:proofErr w:type="spellEnd"/>
      <w:r w:rsidRPr="00424401">
        <w:rPr>
          <w:rStyle w:val="ParagrafiChar"/>
        </w:rPr>
        <w:t xml:space="preserve"> </w:t>
      </w:r>
      <w:proofErr w:type="spellStart"/>
      <w:r w:rsidRPr="00424401">
        <w:rPr>
          <w:rStyle w:val="ParagrafiChar"/>
        </w:rPr>
        <w:t>nuk</w:t>
      </w:r>
      <w:proofErr w:type="spellEnd"/>
      <w:r w:rsidRPr="00424401">
        <w:rPr>
          <w:rStyle w:val="ParagrafiChar"/>
        </w:rPr>
        <w:t xml:space="preserve"> ka</w:t>
      </w:r>
      <w:r>
        <w:rPr>
          <w:rStyle w:val="ParagrafiChar"/>
        </w:rPr>
        <w:t xml:space="preserve"> </w:t>
      </w:r>
      <w:proofErr w:type="spellStart"/>
      <w:r>
        <w:rPr>
          <w:rStyle w:val="ParagrafiChar"/>
        </w:rPr>
        <w:t>përmbushur</w:t>
      </w:r>
      <w:proofErr w:type="spellEnd"/>
      <w:r>
        <w:rPr>
          <w:rStyle w:val="ParagrafiChar"/>
        </w:rPr>
        <w:t xml:space="preserve"> </w:t>
      </w:r>
      <w:proofErr w:type="spellStart"/>
      <w:r>
        <w:rPr>
          <w:rStyle w:val="ParagrafiChar"/>
        </w:rPr>
        <w:t>kushtet</w:t>
      </w:r>
      <w:proofErr w:type="spellEnd"/>
      <w:r>
        <w:rPr>
          <w:rStyle w:val="ParagrafiChar"/>
        </w:rPr>
        <w:t xml:space="preserve"> e </w:t>
      </w:r>
      <w:proofErr w:type="spellStart"/>
      <w:r>
        <w:rPr>
          <w:rStyle w:val="ParagrafiChar"/>
        </w:rPr>
        <w:t>caktuara</w:t>
      </w:r>
      <w:proofErr w:type="spellEnd"/>
      <w:r>
        <w:rPr>
          <w:rStyle w:val="ParagrafiChar"/>
        </w:rPr>
        <w:t>.</w:t>
      </w:r>
      <w:r w:rsidRPr="00424401">
        <w:rPr>
          <w:rStyle w:val="ParagrafiChar"/>
        </w:rPr>
        <w:t>"</w:t>
      </w:r>
    </w:p>
    <w:p w:rsidR="006517C9" w:rsidRDefault="006517C9" w:rsidP="006517C9">
      <w:pPr>
        <w:ind w:firstLine="720"/>
        <w:jc w:val="both"/>
        <w:rPr>
          <w:rStyle w:val="ParagrafiChar"/>
        </w:rPr>
      </w:pPr>
    </w:p>
    <w:p w:rsidR="006517C9" w:rsidRPr="0006593A" w:rsidRDefault="006517C9" w:rsidP="006517C9">
      <w:pPr>
        <w:ind w:firstLine="720"/>
        <w:jc w:val="center"/>
        <w:rPr>
          <w:rFonts w:ascii="CG Times" w:hAnsi="CG Times" w:cs="Courier New"/>
          <w:sz w:val="22"/>
          <w:szCs w:val="22"/>
          <w:lang w:val="sq-AL"/>
        </w:rPr>
      </w:pPr>
      <w:r w:rsidRPr="0006593A">
        <w:rPr>
          <w:rFonts w:ascii="CG Times" w:hAnsi="CG Times" w:cs="Courier New"/>
          <w:sz w:val="22"/>
          <w:szCs w:val="22"/>
          <w:lang w:val="sq-AL"/>
        </w:rPr>
        <w:t>Neni 3</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24 i Konventës shfuqizohet</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center"/>
        <w:rPr>
          <w:rFonts w:ascii="CG Times" w:hAnsi="CG Times" w:cs="Courier New"/>
          <w:sz w:val="22"/>
          <w:szCs w:val="22"/>
          <w:lang w:val="sq-AL"/>
        </w:rPr>
      </w:pPr>
      <w:r w:rsidRPr="0006593A">
        <w:rPr>
          <w:rFonts w:ascii="CG Times" w:hAnsi="CG Times" w:cs="Courier New"/>
          <w:sz w:val="22"/>
          <w:szCs w:val="22"/>
          <w:lang w:val="sq-AL"/>
        </w:rPr>
        <w:t>Neni 4</w:t>
      </w:r>
    </w:p>
    <w:p w:rsidR="006517C9" w:rsidRPr="0006593A" w:rsidRDefault="006517C9" w:rsidP="006517C9">
      <w:pPr>
        <w:ind w:firstLine="720"/>
        <w:jc w:val="center"/>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25 i Konventës bëhet Neni 24 dhe teksti i tij ndryshohet me formulimin e mëposhtëm:</w:t>
      </w:r>
    </w:p>
    <w:p w:rsidR="006517C9" w:rsidRDefault="006517C9" w:rsidP="006517C9">
      <w:pPr>
        <w:ind w:firstLine="720"/>
        <w:jc w:val="both"/>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24</w:t>
      </w:r>
    </w:p>
    <w:p w:rsidR="006517C9" w:rsidRDefault="006517C9" w:rsidP="006517C9">
      <w:pPr>
        <w:ind w:firstLine="720"/>
        <w:jc w:val="center"/>
        <w:rPr>
          <w:rFonts w:ascii="CG Times" w:hAnsi="CG Times" w:cs="Courier New"/>
          <w:sz w:val="22"/>
          <w:szCs w:val="22"/>
          <w:lang w:val="sq-AL"/>
        </w:rPr>
      </w:pPr>
      <w:r w:rsidRPr="00A15E1A">
        <w:rPr>
          <w:rFonts w:ascii="CG Times" w:hAnsi="CG Times" w:cs="Courier New"/>
          <w:b/>
          <w:sz w:val="22"/>
          <w:szCs w:val="22"/>
          <w:lang w:val="sq-AL"/>
        </w:rPr>
        <w:t>Sekretarja dhe relatorët</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Gjykata ka një sekretari, funksionet dhe organizimi i të cilës përcakt</w:t>
      </w:r>
      <w:r>
        <w:rPr>
          <w:rFonts w:ascii="CG Times" w:hAnsi="CG Times" w:cs="Courier New"/>
          <w:sz w:val="22"/>
          <w:szCs w:val="22"/>
          <w:lang w:val="sq-AL"/>
        </w:rPr>
        <w:t>ohen në rregulloren e Gjykatës.</w:t>
      </w:r>
    </w:p>
    <w:p w:rsidR="006517C9" w:rsidRDefault="006517C9" w:rsidP="006517C9">
      <w:pPr>
        <w:pStyle w:val="Paragrafi"/>
      </w:pPr>
      <w:r w:rsidRPr="00A15E1A">
        <w:t xml:space="preserve">2. Kur </w:t>
      </w:r>
      <w:proofErr w:type="spellStart"/>
      <w:r w:rsidRPr="00A15E1A">
        <w:t>trupi</w:t>
      </w:r>
      <w:proofErr w:type="spellEnd"/>
      <w:r w:rsidRPr="00A15E1A">
        <w:t xml:space="preserve"> </w:t>
      </w:r>
      <w:proofErr w:type="spellStart"/>
      <w:r w:rsidRPr="00A15E1A">
        <w:t>gjykues</w:t>
      </w:r>
      <w:proofErr w:type="spellEnd"/>
      <w:r w:rsidRPr="00A15E1A">
        <w:t xml:space="preserve"> </w:t>
      </w:r>
      <w:proofErr w:type="spellStart"/>
      <w:r w:rsidRPr="00A15E1A">
        <w:t>përbëhet</w:t>
      </w:r>
      <w:proofErr w:type="spellEnd"/>
      <w:r w:rsidRPr="00A15E1A">
        <w:t xml:space="preserve"> </w:t>
      </w:r>
      <w:proofErr w:type="spellStart"/>
      <w:r w:rsidRPr="00A15E1A">
        <w:t>nga</w:t>
      </w:r>
      <w:proofErr w:type="spellEnd"/>
      <w:r w:rsidRPr="00A15E1A">
        <w:t xml:space="preserve"> </w:t>
      </w:r>
      <w:proofErr w:type="spellStart"/>
      <w:r w:rsidRPr="00A15E1A">
        <w:t>një</w:t>
      </w:r>
      <w:proofErr w:type="spellEnd"/>
      <w:r w:rsidRPr="00A15E1A">
        <w:t xml:space="preserve"> </w:t>
      </w:r>
      <w:proofErr w:type="spellStart"/>
      <w:r w:rsidRPr="00A15E1A">
        <w:t>gjyqtar</w:t>
      </w:r>
      <w:proofErr w:type="spellEnd"/>
      <w:r w:rsidRPr="00A15E1A">
        <w:t xml:space="preserve">, </w:t>
      </w:r>
      <w:proofErr w:type="spellStart"/>
      <w:r w:rsidRPr="00A15E1A">
        <w:t>Gjykata</w:t>
      </w:r>
      <w:proofErr w:type="spellEnd"/>
      <w:r w:rsidRPr="00A15E1A">
        <w:t xml:space="preserve"> </w:t>
      </w:r>
      <w:proofErr w:type="spellStart"/>
      <w:r w:rsidRPr="00A15E1A">
        <w:t>asistohet</w:t>
      </w:r>
      <w:proofErr w:type="spellEnd"/>
      <w:r w:rsidRPr="00A15E1A">
        <w:t xml:space="preserve"> </w:t>
      </w:r>
      <w:proofErr w:type="spellStart"/>
      <w:r w:rsidRPr="00A15E1A">
        <w:t>nga</w:t>
      </w:r>
      <w:proofErr w:type="spellEnd"/>
      <w:r w:rsidRPr="00A15E1A">
        <w:t xml:space="preserve"> </w:t>
      </w:r>
      <w:proofErr w:type="spellStart"/>
      <w:r w:rsidRPr="00A15E1A">
        <w:t>relatorët</w:t>
      </w:r>
      <w:proofErr w:type="spellEnd"/>
      <w:r w:rsidRPr="00A15E1A">
        <w:t xml:space="preserve"> </w:t>
      </w:r>
      <w:proofErr w:type="spellStart"/>
      <w:r w:rsidRPr="00A15E1A">
        <w:t>që</w:t>
      </w:r>
      <w:proofErr w:type="spellEnd"/>
      <w:r w:rsidRPr="00A15E1A">
        <w:t xml:space="preserve"> </w:t>
      </w:r>
      <w:proofErr w:type="spellStart"/>
      <w:r w:rsidRPr="00A15E1A">
        <w:t>funksionojnë</w:t>
      </w:r>
      <w:proofErr w:type="spellEnd"/>
      <w:r w:rsidRPr="00A15E1A">
        <w:t xml:space="preserve"> në </w:t>
      </w:r>
      <w:proofErr w:type="spellStart"/>
      <w:r w:rsidRPr="00A15E1A">
        <w:t>autoritetin</w:t>
      </w:r>
      <w:proofErr w:type="spellEnd"/>
      <w:r w:rsidRPr="00A15E1A">
        <w:t xml:space="preserve"> e </w:t>
      </w:r>
      <w:proofErr w:type="spellStart"/>
      <w:r w:rsidRPr="00A15E1A">
        <w:t>kryetarit</w:t>
      </w:r>
      <w:proofErr w:type="spellEnd"/>
      <w:r w:rsidRPr="00A15E1A">
        <w:t xml:space="preserve"> të </w:t>
      </w:r>
      <w:proofErr w:type="spellStart"/>
      <w:r w:rsidRPr="00A15E1A">
        <w:t>Gjykatës</w:t>
      </w:r>
      <w:proofErr w:type="spellEnd"/>
      <w:r w:rsidRPr="00A15E1A">
        <w:t xml:space="preserve">. Ata </w:t>
      </w:r>
      <w:proofErr w:type="spellStart"/>
      <w:r w:rsidRPr="00A15E1A">
        <w:t>janë</w:t>
      </w:r>
      <w:proofErr w:type="spellEnd"/>
      <w:r w:rsidRPr="00A15E1A">
        <w:t xml:space="preserve"> </w:t>
      </w:r>
      <w:proofErr w:type="spellStart"/>
      <w:r w:rsidRPr="00A15E1A">
        <w:t>pjesë</w:t>
      </w:r>
      <w:proofErr w:type="spellEnd"/>
      <w:r w:rsidRPr="00A15E1A">
        <w:t xml:space="preserve"> e </w:t>
      </w:r>
      <w:proofErr w:type="spellStart"/>
      <w:r w:rsidRPr="00A15E1A">
        <w:t>sekretarisë</w:t>
      </w:r>
      <w:proofErr w:type="spellEnd"/>
      <w:r w:rsidRPr="00A15E1A">
        <w:t xml:space="preserve"> së </w:t>
      </w:r>
      <w:proofErr w:type="spellStart"/>
      <w:r w:rsidRPr="00A15E1A">
        <w:t>Gjykatës</w:t>
      </w:r>
      <w:proofErr w:type="spellEnd"/>
      <w:r w:rsidRPr="00A15E1A">
        <w:t>."</w:t>
      </w:r>
    </w:p>
    <w:p w:rsidR="006517C9" w:rsidRDefault="006517C9" w:rsidP="006517C9">
      <w:pPr>
        <w:ind w:firstLine="720"/>
        <w:jc w:val="center"/>
        <w:rPr>
          <w:rFonts w:ascii="CG Times" w:hAnsi="CG Times" w:cs="Courier New"/>
          <w:b/>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5</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26 i Konventës bëhet Neni 25 ("Gjykata Plenare") dhe teksti</w:t>
      </w:r>
      <w:r>
        <w:rPr>
          <w:rFonts w:ascii="CG Times" w:hAnsi="CG Times" w:cs="Courier New"/>
          <w:sz w:val="22"/>
          <w:szCs w:val="22"/>
          <w:lang w:val="sq-AL"/>
        </w:rPr>
        <w:t xml:space="preserve"> i saj ndryshohet si më poshtë: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Në fund të paragrafit d, presja zëvendësohet me pikë</w:t>
      </w:r>
      <w:r>
        <w:rPr>
          <w:rFonts w:ascii="CG Times" w:hAnsi="CG Times" w:cs="Courier New"/>
          <w:sz w:val="22"/>
          <w:szCs w:val="22"/>
          <w:lang w:val="sq-AL"/>
        </w:rPr>
        <w:t>presje dhe fjala "dhe" fshihet.</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Në fund të paragrafit e, pika zëvendës</w:t>
      </w:r>
      <w:r>
        <w:rPr>
          <w:rFonts w:ascii="CG Times" w:hAnsi="CG Times" w:cs="Courier New"/>
          <w:sz w:val="22"/>
          <w:szCs w:val="22"/>
          <w:lang w:val="sq-AL"/>
        </w:rPr>
        <w:t>ohet me pikëpresje.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Shtohet një paragraf i ri f, i </w:t>
      </w:r>
      <w:r>
        <w:rPr>
          <w:rFonts w:ascii="CG Times" w:hAnsi="CG Times" w:cs="Courier New"/>
          <w:sz w:val="22"/>
          <w:szCs w:val="22"/>
          <w:lang w:val="sq-AL"/>
        </w:rPr>
        <w:t>cili ka formulimin e mëposhtëm:</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"f. Bën çdo kërkesë në pajtim me Nenin 26 paragrafi 2."</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6</w:t>
      </w:r>
    </w:p>
    <w:p w:rsidR="006517C9" w:rsidRPr="00E16170" w:rsidRDefault="006517C9" w:rsidP="006517C9">
      <w:pPr>
        <w:ind w:firstLine="720"/>
        <w:jc w:val="center"/>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27 i Konventës bëhet Neni 26 dhe teksti i tij ndryshohet me formulimin e mëposhtëm:</w:t>
      </w:r>
    </w:p>
    <w:p w:rsidR="006517C9" w:rsidRDefault="006517C9" w:rsidP="006517C9">
      <w:pPr>
        <w:ind w:firstLine="720"/>
        <w:jc w:val="both"/>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26</w:t>
      </w:r>
    </w:p>
    <w:p w:rsidR="006517C9" w:rsidRDefault="006517C9" w:rsidP="006517C9">
      <w:pPr>
        <w:ind w:firstLine="720"/>
        <w:jc w:val="center"/>
        <w:rPr>
          <w:rFonts w:ascii="CG Times" w:hAnsi="CG Times" w:cs="Courier New"/>
          <w:sz w:val="22"/>
          <w:szCs w:val="22"/>
          <w:lang w:val="sq-AL"/>
        </w:rPr>
      </w:pPr>
      <w:r w:rsidRPr="00A15E1A">
        <w:rPr>
          <w:rFonts w:ascii="CG Times" w:hAnsi="CG Times" w:cs="Courier New"/>
          <w:b/>
          <w:sz w:val="22"/>
          <w:szCs w:val="22"/>
          <w:lang w:val="sq-AL"/>
        </w:rPr>
        <w:t>Trupi gjykues me një gjyqtar, komitetet, Dhomat dhe Dhoma e Lartë</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Gjykata i shqyrton çështjet e sjella para saj në trup gjykues me një gjyqtar, në komitete me tre gjyqtarë, në Dhoma me shtatë gjyqtarë dhe në Dhomën e Lartë me shtatëmbëdhjetë gjyqtarë. Dhomat e Gjykatës formojnë komitete pë</w:t>
      </w:r>
      <w:r>
        <w:rPr>
          <w:rFonts w:ascii="CG Times" w:hAnsi="CG Times" w:cs="Courier New"/>
          <w:sz w:val="22"/>
          <w:szCs w:val="22"/>
          <w:lang w:val="sq-AL"/>
        </w:rPr>
        <w:t>r një periudhë të caktuar kohe.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Me kërkesë të Gjykatës plenare, Komiteti i Ministrave, me vendim unanim</w:t>
      </w:r>
      <w:r w:rsidRPr="00A15E1A">
        <w:rPr>
          <w:rFonts w:ascii="CG Times" w:hAnsi="CG Times" w:cs="Courier New"/>
          <w:sz w:val="22"/>
          <w:szCs w:val="22"/>
          <w:lang w:val="sq-AL"/>
        </w:rPr>
        <w:br/>
        <w:t>dhe për një periudhë të caktuar kohe, mund të reduktojë numrin e</w:t>
      </w:r>
      <w:r>
        <w:rPr>
          <w:rFonts w:ascii="CG Times" w:hAnsi="CG Times" w:cs="Courier New"/>
          <w:sz w:val="22"/>
          <w:szCs w:val="22"/>
          <w:lang w:val="sq-AL"/>
        </w:rPr>
        <w:t xml:space="preserve"> gjyqtarëve të Dhomave në pesë.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Kur është në një trup gjykues me një gjyqtar, gjyqtari nuk shqyrton asnjë kërkesë kundër Palës së Lartë Kontraktuese, </w:t>
      </w:r>
      <w:r>
        <w:rPr>
          <w:rFonts w:ascii="CG Times" w:hAnsi="CG Times" w:cs="Courier New"/>
          <w:sz w:val="22"/>
          <w:szCs w:val="22"/>
          <w:lang w:val="sq-AL"/>
        </w:rPr>
        <w:t>për të cilën ai është zgjedhur.</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4. Gjyqtari që është zgjedhur për Palën e Lartë Kontraktuese të interesuar merr pjesë si anëtar zyrtar i Dhomës ose Dhomës së Lartë. Nëse nuk ka asnjë gjyqtar ose nëse gjyqtari nuk është në gjendje të marrë pjesë, një person i zgjedhur nga kryetari i Gjykatës nga një listë e dhënë paraprakisht nga ajo Palë do të marri  pjesë në cilësinë e gjyqtarit .</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5. Dhoma e Lartë ka në përbërje të saj Kryetarin e Gjykatës, Zëvendëskryetarët, Kryetarët e Dhomave ose gjyqtarë të tjerë të zgjedhur në pajtim me rregulloren e Gjykatës. Nëse në Dhomën e Lartë vjen një çështje në bazë të Nenit 43, në Dhomën e Lartë nuk merr pjesë asnjë nga gjyqtarët e Dhomës që ka dhënë vendimin, me përjashtim të Kryetarit të Gjykatës dhe gjyqtarit që merrte pjesë në lidhje me Palën e Lartë Kontraktuese të interesuar.</w:t>
      </w:r>
    </w:p>
    <w:p w:rsidR="006517C9" w:rsidRDefault="006517C9" w:rsidP="006517C9">
      <w:pPr>
        <w:ind w:firstLine="720"/>
        <w:jc w:val="both"/>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7</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Pas Nenit të ri 26, në Konventë shtohet edhe një Nen i ri, që ka formulimin e mëposhtëm:</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center"/>
        <w:rPr>
          <w:rFonts w:ascii="CG Times" w:hAnsi="CG Times" w:cs="Courier New"/>
          <w:sz w:val="22"/>
          <w:szCs w:val="22"/>
          <w:lang w:val="sq-AL"/>
        </w:rPr>
      </w:pPr>
    </w:p>
    <w:p w:rsidR="006517C9" w:rsidRDefault="006517C9" w:rsidP="006517C9">
      <w:pPr>
        <w:ind w:firstLine="720"/>
        <w:jc w:val="center"/>
        <w:rPr>
          <w:rFonts w:ascii="CG Times" w:hAnsi="CG Times" w:cs="Courier New"/>
          <w:sz w:val="22"/>
          <w:szCs w:val="22"/>
          <w:lang w:val="sq-AL"/>
        </w:rPr>
      </w:pPr>
    </w:p>
    <w:p w:rsidR="006517C9" w:rsidRDefault="006517C9" w:rsidP="006517C9">
      <w:pPr>
        <w:ind w:firstLine="720"/>
        <w:jc w:val="center"/>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27</w:t>
      </w:r>
    </w:p>
    <w:p w:rsidR="006517C9" w:rsidRDefault="006517C9" w:rsidP="006517C9">
      <w:pPr>
        <w:ind w:firstLine="720"/>
        <w:jc w:val="center"/>
        <w:rPr>
          <w:rFonts w:ascii="CG Times" w:hAnsi="CG Times" w:cs="Courier New"/>
          <w:b/>
          <w:sz w:val="22"/>
          <w:szCs w:val="22"/>
          <w:lang w:val="sq-AL"/>
        </w:rPr>
      </w:pPr>
      <w:r w:rsidRPr="00A15E1A">
        <w:rPr>
          <w:rFonts w:ascii="CG Times" w:hAnsi="CG Times" w:cs="Courier New"/>
          <w:b/>
          <w:sz w:val="22"/>
          <w:szCs w:val="22"/>
          <w:lang w:val="sq-AL"/>
        </w:rPr>
        <w:t>Kompetenca e gjyqtarit të vetëm</w:t>
      </w:r>
    </w:p>
    <w:p w:rsidR="006517C9" w:rsidRPr="009F5B42" w:rsidRDefault="006517C9" w:rsidP="006517C9">
      <w:pPr>
        <w:ind w:firstLine="720"/>
        <w:jc w:val="both"/>
        <w:rPr>
          <w:rFonts w:ascii="CG Times" w:hAnsi="CG Times" w:cs="Courier New"/>
          <w:b/>
          <w:sz w:val="14"/>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Gjyqtari i vetëm mund ta deklarojë të papranueshëm ose ta heqë nga lista e çështjeve të Gjykatës një kërkesë të bërë në bazë të Nenit 34, nëse një vendim i tillë mund të m</w:t>
      </w:r>
      <w:r>
        <w:rPr>
          <w:rFonts w:ascii="CG Times" w:hAnsi="CG Times" w:cs="Courier New"/>
          <w:sz w:val="22"/>
          <w:szCs w:val="22"/>
          <w:lang w:val="sq-AL"/>
        </w:rPr>
        <w:t>erret pa shqyrtim të mëtejshëm.</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Vendi</w:t>
      </w:r>
      <w:r>
        <w:rPr>
          <w:rFonts w:ascii="CG Times" w:hAnsi="CG Times" w:cs="Courier New"/>
          <w:sz w:val="22"/>
          <w:szCs w:val="22"/>
          <w:lang w:val="sq-AL"/>
        </w:rPr>
        <w:t>mi është i formës së prerë.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3. Nëse një gjyqtar i vetëm nuk e deklaron një kërkesë të papranueshme ose e heq atë nga lista, gjyqtari ia paraqet atë një komiteti ose një Dhome për shqyrtim të mëtejshëm."</w:t>
      </w:r>
    </w:p>
    <w:p w:rsidR="006517C9" w:rsidRPr="009F5B42" w:rsidRDefault="006517C9" w:rsidP="006517C9">
      <w:pPr>
        <w:ind w:firstLine="720"/>
        <w:jc w:val="both"/>
        <w:rPr>
          <w:rFonts w:ascii="CG Times" w:hAnsi="CG Times" w:cs="Courier New"/>
          <w:sz w:val="16"/>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8</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28 i Konventës ndryshohet me formulimin e mëposhtëm:</w:t>
      </w:r>
    </w:p>
    <w:p w:rsidR="006517C9" w:rsidRPr="009F5B42" w:rsidRDefault="006517C9" w:rsidP="006517C9">
      <w:pPr>
        <w:ind w:firstLine="720"/>
        <w:jc w:val="both"/>
        <w:rPr>
          <w:rFonts w:ascii="CG Times" w:hAnsi="CG Times" w:cs="Courier New"/>
          <w:sz w:val="16"/>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28</w:t>
      </w:r>
    </w:p>
    <w:p w:rsidR="006517C9" w:rsidRDefault="006517C9" w:rsidP="006517C9">
      <w:pPr>
        <w:ind w:firstLine="720"/>
        <w:jc w:val="center"/>
        <w:rPr>
          <w:rFonts w:ascii="CG Times" w:hAnsi="CG Times" w:cs="Courier New"/>
          <w:sz w:val="22"/>
          <w:szCs w:val="22"/>
          <w:lang w:val="sq-AL"/>
        </w:rPr>
      </w:pPr>
      <w:r w:rsidRPr="00A15E1A">
        <w:rPr>
          <w:rFonts w:ascii="CG Times" w:hAnsi="CG Times" w:cs="Courier New"/>
          <w:b/>
          <w:sz w:val="22"/>
          <w:szCs w:val="22"/>
          <w:lang w:val="sq-AL"/>
        </w:rPr>
        <w:t>Kompetenca e komiteteve</w:t>
      </w:r>
      <w:r>
        <w:rPr>
          <w:rFonts w:ascii="CG Times" w:hAnsi="CG Times" w:cs="Courier New"/>
          <w:sz w:val="22"/>
          <w:szCs w:val="22"/>
          <w:lang w:val="sq-AL"/>
        </w:rPr>
        <w:br/>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Në lidhje me një kërkesë të bërë në bazë të Nenit 34</w:t>
      </w:r>
      <w:r>
        <w:rPr>
          <w:rFonts w:ascii="CG Times" w:hAnsi="CG Times" w:cs="Courier New"/>
          <w:sz w:val="22"/>
          <w:szCs w:val="22"/>
          <w:lang w:val="sq-AL"/>
        </w:rPr>
        <w:t>, një komitet, me votë unanime: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a) mund ta deklarojë atë të papranueshme ose ta heqë atë nga lista e çështjeve, nëse një vendim i tillë mund të merret p</w:t>
      </w:r>
      <w:r>
        <w:rPr>
          <w:rFonts w:ascii="CG Times" w:hAnsi="CG Times" w:cs="Courier New"/>
          <w:sz w:val="22"/>
          <w:szCs w:val="22"/>
          <w:lang w:val="sq-AL"/>
        </w:rPr>
        <w:t>a shqyrtim të mëtejshëm; ose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b) mund ta deklarojë atë të papranueshme dhe të nxjerrë në të njëjtën kohë një vendim mbi themelin e çështjes, nëse problemi i përfshirë në çështjen gjyqësore, përsa i takon interpretimit ose zbatimit të Konventës ose të protokolleve të saj, është një subjekt që ka gjetur zgjidhje në p</w:t>
      </w:r>
      <w:r>
        <w:rPr>
          <w:rFonts w:ascii="CG Times" w:hAnsi="CG Times" w:cs="Courier New"/>
          <w:sz w:val="22"/>
          <w:szCs w:val="22"/>
          <w:lang w:val="sq-AL"/>
        </w:rPr>
        <w:t>raktikën gjyqësore të Gjykatës.</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Vendimet e ndërmjetme dhe përfundimtare në bazë të paragr</w:t>
      </w:r>
      <w:r>
        <w:rPr>
          <w:rFonts w:ascii="CG Times" w:hAnsi="CG Times" w:cs="Courier New"/>
          <w:sz w:val="22"/>
          <w:szCs w:val="22"/>
          <w:lang w:val="sq-AL"/>
        </w:rPr>
        <w:t>afit 1 janë të formës së prerë.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3. Nëse gjyqtari i zgjedhur për një Pale të Lartë Kontraktuese të interesuar nuk është anëtar i komitetit, komiteti mund ta ftojë atë gjyqtar në çdo fazë të gjykimit të zërë vendin e një prej anëtarëve të komitetit, duke marrë parasysh të gjithë faktorët përkatës, duke përfshirë edhe faktin nëse ajo Palë ka kundërshtuar zbatimin e procedurës në bazë të paragrafit 1. b. "</w:t>
      </w:r>
    </w:p>
    <w:p w:rsidR="006517C9" w:rsidRDefault="006517C9" w:rsidP="006517C9">
      <w:pPr>
        <w:ind w:firstLine="720"/>
        <w:jc w:val="both"/>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9</w:t>
      </w:r>
    </w:p>
    <w:p w:rsidR="006517C9" w:rsidRPr="009F5B42" w:rsidRDefault="006517C9" w:rsidP="006517C9">
      <w:pPr>
        <w:ind w:firstLine="720"/>
        <w:jc w:val="both"/>
        <w:rPr>
          <w:rFonts w:ascii="CG Times" w:hAnsi="CG Times" w:cs="Courier New"/>
          <w:sz w:val="16"/>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29 i Kon</w:t>
      </w:r>
      <w:r>
        <w:rPr>
          <w:rFonts w:ascii="CG Times" w:hAnsi="CG Times" w:cs="Courier New"/>
          <w:sz w:val="22"/>
          <w:szCs w:val="22"/>
          <w:lang w:val="sq-AL"/>
        </w:rPr>
        <w:t>ventës ndryshohet si më poshtë: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Paragrafi 1 ndryshohet me formulimin e mëposhtëm: "Nëse nuk merret asnjë vendim në bazë të Nenit 27 ose 28, ose në bazë të Nenit 28, Dhoma vendos në lidhje me pranueshmërinë dhe themelin e kërkesave individuale të bëra në bazë të Nenit 34. Vendimi mbi pranues</w:t>
      </w:r>
      <w:r>
        <w:rPr>
          <w:rFonts w:ascii="CG Times" w:hAnsi="CG Times" w:cs="Courier New"/>
          <w:sz w:val="22"/>
          <w:szCs w:val="22"/>
          <w:lang w:val="sq-AL"/>
        </w:rPr>
        <w:t>hmërinë mund të merret veçmas."</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Në fund të paragrafit 2 shtohet një fjali e re që ka formulimin e mëposhtëm: "Vendimi</w:t>
      </w:r>
      <w:r w:rsidRPr="00A15E1A">
        <w:rPr>
          <w:rFonts w:ascii="CG Times" w:hAnsi="CG Times" w:cs="Courier New"/>
          <w:sz w:val="22"/>
          <w:szCs w:val="22"/>
          <w:lang w:val="sq-AL"/>
        </w:rPr>
        <w:br/>
        <w:t>mbi pranueshmërinë merre veçmas përveç, kur gjykata, në ras</w:t>
      </w:r>
      <w:r>
        <w:rPr>
          <w:rFonts w:ascii="CG Times" w:hAnsi="CG Times" w:cs="Courier New"/>
          <w:sz w:val="22"/>
          <w:szCs w:val="22"/>
          <w:lang w:val="sq-AL"/>
        </w:rPr>
        <w:t>te të veçanta, vendos ndryshe."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3. Paragrafi 3 shfuqizohet.</w:t>
      </w:r>
    </w:p>
    <w:p w:rsidR="006517C9" w:rsidRPr="009F5B42" w:rsidRDefault="006517C9" w:rsidP="006517C9">
      <w:pPr>
        <w:ind w:firstLine="720"/>
        <w:jc w:val="both"/>
        <w:rPr>
          <w:rFonts w:ascii="CG Times" w:hAnsi="CG Times" w:cs="Courier New"/>
          <w:sz w:val="16"/>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10</w:t>
      </w:r>
    </w:p>
    <w:p w:rsidR="006517C9" w:rsidRPr="009F5B42" w:rsidRDefault="006517C9" w:rsidP="006517C9">
      <w:pPr>
        <w:ind w:firstLine="720"/>
        <w:jc w:val="both"/>
        <w:rPr>
          <w:rFonts w:ascii="CG Times" w:hAnsi="CG Times" w:cs="Courier New"/>
          <w:b/>
          <w:sz w:val="16"/>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Neni 31 i Konventës ndryshohet si më poshtë: </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Në fund të par</w:t>
      </w:r>
      <w:r>
        <w:rPr>
          <w:rFonts w:ascii="CG Times" w:hAnsi="CG Times" w:cs="Courier New"/>
          <w:sz w:val="22"/>
          <w:szCs w:val="22"/>
          <w:lang w:val="sq-AL"/>
        </w:rPr>
        <w:t>agrafit a, fshihet fjala "dhe".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2. Paragrafi b bëhet paragrafi c dhe shtohet një paragraf b me </w:t>
      </w:r>
      <w:r>
        <w:rPr>
          <w:rFonts w:ascii="CG Times" w:hAnsi="CG Times" w:cs="Courier New"/>
          <w:sz w:val="22"/>
          <w:szCs w:val="22"/>
          <w:lang w:val="sq-AL"/>
        </w:rPr>
        <w:t xml:space="preserve">formulimin e mëposhtëm: </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"b. Vendos për çështje që i vijnë Gjykatës nga Komiteti i Ministrave në pajtim me Nenin 46, paragrafi 4; dhe".</w:t>
      </w:r>
    </w:p>
    <w:p w:rsidR="006517C9" w:rsidRDefault="006517C9" w:rsidP="006517C9">
      <w:pPr>
        <w:ind w:firstLine="720"/>
        <w:jc w:val="both"/>
        <w:rPr>
          <w:rFonts w:ascii="CG Times" w:hAnsi="CG Times" w:cs="Courier New"/>
          <w:sz w:val="22"/>
          <w:szCs w:val="22"/>
          <w:lang w:val="sq-AL"/>
        </w:rPr>
      </w:pPr>
    </w:p>
    <w:p w:rsidR="006517C9" w:rsidRPr="00E16170" w:rsidRDefault="006517C9" w:rsidP="006517C9">
      <w:pPr>
        <w:ind w:firstLine="720"/>
        <w:jc w:val="center"/>
        <w:rPr>
          <w:rFonts w:ascii="CG Times" w:hAnsi="CG Times" w:cs="Courier New"/>
          <w:sz w:val="22"/>
          <w:szCs w:val="22"/>
          <w:lang w:val="sq-AL"/>
        </w:rPr>
      </w:pPr>
      <w:r w:rsidRPr="00E16170">
        <w:rPr>
          <w:rFonts w:ascii="CG Times" w:hAnsi="CG Times" w:cs="Courier New"/>
          <w:sz w:val="22"/>
          <w:szCs w:val="22"/>
          <w:lang w:val="sq-AL"/>
        </w:rPr>
        <w:t>Neni 11</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32 i Kon</w:t>
      </w:r>
      <w:r>
        <w:rPr>
          <w:rFonts w:ascii="CG Times" w:hAnsi="CG Times" w:cs="Courier New"/>
          <w:sz w:val="22"/>
          <w:szCs w:val="22"/>
          <w:lang w:val="sq-AL"/>
        </w:rPr>
        <w:t>ventës ndryshohet si më poshtë:</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Në fund të paragrafit 1 shtohet një presje dhe numri 46 pas numrit 34.</w:t>
      </w:r>
    </w:p>
    <w:p w:rsidR="006517C9" w:rsidRDefault="006517C9" w:rsidP="006517C9">
      <w:pPr>
        <w:ind w:firstLine="720"/>
        <w:jc w:val="both"/>
        <w:rPr>
          <w:rFonts w:ascii="CG Times" w:hAnsi="CG Times" w:cs="Courier New"/>
          <w:sz w:val="22"/>
          <w:szCs w:val="22"/>
          <w:lang w:val="sq-AL"/>
        </w:rPr>
      </w:pPr>
    </w:p>
    <w:p w:rsidR="006517C9" w:rsidRPr="00285048" w:rsidRDefault="006517C9" w:rsidP="006517C9">
      <w:pPr>
        <w:ind w:firstLine="720"/>
        <w:jc w:val="center"/>
        <w:rPr>
          <w:rFonts w:ascii="CG Times" w:hAnsi="CG Times" w:cs="Courier New"/>
          <w:sz w:val="22"/>
          <w:szCs w:val="22"/>
          <w:lang w:val="sq-AL"/>
        </w:rPr>
      </w:pPr>
      <w:r w:rsidRPr="00285048">
        <w:rPr>
          <w:rFonts w:ascii="CG Times" w:hAnsi="CG Times" w:cs="Courier New"/>
          <w:sz w:val="22"/>
          <w:szCs w:val="22"/>
          <w:lang w:val="sq-AL"/>
        </w:rPr>
        <w:t>Neni 12</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Paragrafi 3 i nenit 35 të Konventës ndrysh</w:t>
      </w:r>
      <w:r>
        <w:rPr>
          <w:rFonts w:ascii="CG Times" w:hAnsi="CG Times" w:cs="Courier New"/>
          <w:sz w:val="22"/>
          <w:szCs w:val="22"/>
          <w:lang w:val="sq-AL"/>
        </w:rPr>
        <w:t>ohet me formulimin e mëposhtëm:</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Gjykata deklaron çdo kërkesë individuale të bërë në bazë të Nenit 34 </w:t>
      </w:r>
      <w:r>
        <w:rPr>
          <w:rFonts w:ascii="CG Times" w:hAnsi="CG Times" w:cs="Courier New"/>
          <w:sz w:val="22"/>
          <w:szCs w:val="22"/>
          <w:lang w:val="sq-AL"/>
        </w:rPr>
        <w:t>të papranueshme, kur mendon se: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a) kërkesa është e papajtueshme me dispozitat e Konventës ose protokollet e saj, haptazi e pabazuar ose një shpërdorim të së drejt</w:t>
      </w:r>
      <w:r>
        <w:rPr>
          <w:rFonts w:ascii="CG Times" w:hAnsi="CG Times" w:cs="Courier New"/>
          <w:sz w:val="22"/>
          <w:szCs w:val="22"/>
          <w:lang w:val="sq-AL"/>
        </w:rPr>
        <w:t>ës për kërkesë individuale; ose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b) paraqitësi i kërkesës nuk ka pësuar ndonjë dëm të konsiderueshëm, përveç kur respektimi i të drejtave të njeriut sipas përcaktimit të Konventës dhe protokolleve të saj kërkon shqyrtimin e kërkesës në lidhje me themelin e saj, me kusht që për këtë shkak asnjë çështje të mos refuzohet nëse nuk është shqyrtuar si duhet nga një gjykatë kombëtare.</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13</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Shtohet një paragraf i ri 3 në fund të Nenit 36 të Konventës, i cili ka formulimin e</w:t>
      </w:r>
      <w:r w:rsidRPr="00A15E1A">
        <w:rPr>
          <w:rFonts w:ascii="CG Times" w:hAnsi="CG Times" w:cs="Courier New"/>
          <w:sz w:val="22"/>
          <w:szCs w:val="22"/>
          <w:lang w:val="sq-AL"/>
        </w:rPr>
        <w:br/>
        <w:t>mëposhtëm:</w:t>
      </w:r>
      <w:r w:rsidRPr="00A15E1A">
        <w:rPr>
          <w:rFonts w:ascii="CG Times" w:hAnsi="CG Times" w:cs="Courier New"/>
          <w:sz w:val="22"/>
          <w:szCs w:val="22"/>
          <w:lang w:val="sq-AL"/>
        </w:rPr>
        <w:br/>
        <w:t>"3. Komisioneri i Këshillit të Europës për të Drejtat e Njeriut mund të paraqesë komente me shkrim dhe të marrë pjesë në seanca në të gjitha çështjet para një Dhome ose Dhomës së Lartë." .</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14</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38 i Konventës ndryshohet me formulimin e mëposhtëm:</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38</w:t>
      </w:r>
    </w:p>
    <w:p w:rsidR="006517C9" w:rsidRDefault="006517C9" w:rsidP="006517C9">
      <w:pPr>
        <w:ind w:firstLine="720"/>
        <w:jc w:val="center"/>
        <w:rPr>
          <w:rFonts w:ascii="CG Times" w:hAnsi="CG Times" w:cs="Courier New"/>
          <w:b/>
          <w:sz w:val="22"/>
          <w:szCs w:val="22"/>
          <w:lang w:val="sq-AL"/>
        </w:rPr>
      </w:pPr>
      <w:r w:rsidRPr="00A15E1A">
        <w:rPr>
          <w:rFonts w:ascii="CG Times" w:hAnsi="CG Times" w:cs="Courier New"/>
          <w:b/>
          <w:sz w:val="22"/>
          <w:szCs w:val="22"/>
          <w:lang w:val="sq-AL"/>
        </w:rPr>
        <w:t>Shqyrtimi i çështjes</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Gjykata e shqyrton çështjen së bashku me përfaqësuesit e palëve dhe, nëse është e nevojshme, ndërmerr një hetim, për kryerjen e efektshme të të cilit Palët e Larta Kontraktuese të interesuara ofrojnë të gjitha lehtësitë e nevojshme."</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15</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39 i Konventës ndryshohet me formulimin e mëposhtëm:</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39</w:t>
      </w:r>
    </w:p>
    <w:p w:rsidR="006517C9" w:rsidRDefault="006517C9" w:rsidP="006517C9">
      <w:pPr>
        <w:ind w:firstLine="720"/>
        <w:jc w:val="center"/>
        <w:rPr>
          <w:rFonts w:ascii="CG Times" w:hAnsi="CG Times" w:cs="Courier New"/>
          <w:sz w:val="22"/>
          <w:szCs w:val="22"/>
          <w:lang w:val="sq-AL"/>
        </w:rPr>
      </w:pPr>
      <w:r w:rsidRPr="00A15E1A">
        <w:rPr>
          <w:rFonts w:ascii="CG Times" w:hAnsi="CG Times" w:cs="Courier New"/>
          <w:b/>
          <w:sz w:val="22"/>
          <w:szCs w:val="22"/>
          <w:lang w:val="sq-AL"/>
        </w:rPr>
        <w:t>Zgjidhjet me pajtim</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Në çdo fazë të gjykimit, Gjykata mund të vihet në dispozicion të palëve të interesuara, me qëllim që të arrihet një zgjidhje me pajtim për çështjen mbi bazën e respektimit të të drejtave të njeriut sipas përcaktimit në </w:t>
      </w:r>
      <w:r>
        <w:rPr>
          <w:rFonts w:ascii="CG Times" w:hAnsi="CG Times" w:cs="Courier New"/>
          <w:sz w:val="22"/>
          <w:szCs w:val="22"/>
          <w:lang w:val="sq-AL"/>
        </w:rPr>
        <w:t>Konventë dhe protokollet e saj.</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Gjykimi i zhvilluar sipas p</w:t>
      </w:r>
      <w:r>
        <w:rPr>
          <w:rFonts w:ascii="CG Times" w:hAnsi="CG Times" w:cs="Courier New"/>
          <w:sz w:val="22"/>
          <w:szCs w:val="22"/>
          <w:lang w:val="sq-AL"/>
        </w:rPr>
        <w:t>aragrafit 1 është konfidencial.</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3. Nëse arrihet një zgjidhje me pajtim, Gjykata e heq çështjen nga lista nëpërmjet një</w:t>
      </w:r>
      <w:r w:rsidRPr="00A15E1A">
        <w:rPr>
          <w:rFonts w:ascii="CG Times" w:hAnsi="CG Times" w:cs="Courier New"/>
          <w:sz w:val="22"/>
          <w:szCs w:val="22"/>
          <w:lang w:val="sq-AL"/>
        </w:rPr>
        <w:br/>
        <w:t>vendimi që kufizohet në një përmbledhje të shkurtër të fa</w:t>
      </w:r>
      <w:r>
        <w:rPr>
          <w:rFonts w:ascii="CG Times" w:hAnsi="CG Times" w:cs="Courier New"/>
          <w:sz w:val="22"/>
          <w:szCs w:val="22"/>
          <w:lang w:val="sq-AL"/>
        </w:rPr>
        <w:t>kteve dhe zgjidhjes së arritur.</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4. Vendimi i përcillet Komitetit të Ministrave, i cili mbikëqyr zbatimin e kushteve të</w:t>
      </w:r>
      <w:r w:rsidRPr="00A15E1A">
        <w:rPr>
          <w:rFonts w:ascii="CG Times" w:hAnsi="CG Times" w:cs="Courier New"/>
          <w:sz w:val="22"/>
          <w:szCs w:val="22"/>
          <w:lang w:val="sq-AL"/>
        </w:rPr>
        <w:br/>
        <w:t>zgjidhjes me pajtim sipas përcaktimit në vendim."</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16</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Vendimi i 46 i Konventës ndryshohet me formulimin e mëposhtëm:</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46</w:t>
      </w:r>
    </w:p>
    <w:p w:rsidR="006517C9" w:rsidRDefault="006517C9" w:rsidP="006517C9">
      <w:pPr>
        <w:ind w:firstLine="720"/>
        <w:jc w:val="center"/>
        <w:rPr>
          <w:rFonts w:ascii="CG Times" w:hAnsi="CG Times" w:cs="Courier New"/>
          <w:b/>
          <w:sz w:val="22"/>
          <w:szCs w:val="22"/>
          <w:lang w:val="sq-AL"/>
        </w:rPr>
      </w:pPr>
      <w:r w:rsidRPr="00A15E1A">
        <w:rPr>
          <w:rFonts w:ascii="CG Times" w:hAnsi="CG Times" w:cs="Courier New"/>
          <w:b/>
          <w:sz w:val="22"/>
          <w:szCs w:val="22"/>
          <w:lang w:val="sq-AL"/>
        </w:rPr>
        <w:t>Forca detyruese dhe ekzekutimi i vendimeve</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Palët e Larta Kontraktuese marrin përsipër të respektojnë vendimin e formës së prerë të Gjykatës në çdo çështje </w:t>
      </w:r>
      <w:r>
        <w:rPr>
          <w:rFonts w:ascii="CG Times" w:hAnsi="CG Times" w:cs="Courier New"/>
          <w:sz w:val="22"/>
          <w:szCs w:val="22"/>
          <w:lang w:val="sq-AL"/>
        </w:rPr>
        <w:t>ku ato janë palë.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Vendimi i formës së prerë i Gjykatës i përcillet Komitetit të Ministrave, i c</w:t>
      </w:r>
      <w:r>
        <w:rPr>
          <w:rFonts w:ascii="CG Times" w:hAnsi="CG Times" w:cs="Courier New"/>
          <w:sz w:val="22"/>
          <w:szCs w:val="22"/>
          <w:lang w:val="sq-AL"/>
        </w:rPr>
        <w:t>ili mbikëqyr</w:t>
      </w:r>
      <w:r>
        <w:rPr>
          <w:rFonts w:ascii="CG Times" w:hAnsi="CG Times" w:cs="Courier New"/>
          <w:sz w:val="22"/>
          <w:szCs w:val="22"/>
          <w:lang w:val="sq-AL"/>
        </w:rPr>
        <w:br/>
        <w:t>ekzekutimin e tij.</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3. Nëse Komiteti i Ministrave është i mendimit se mbikëqyrja e ekzekutimit të vendimit të formës së prerë pengohet nga një problem i interpretimit të vendimit, ai mund t'ia referojë çështjen Gjykatës për t'u shprehur me vendim për çështjen e interpretimit. Një vendim i tillë kërkon një shumicë prej dy të tretave të përfaqësuesve që kanë të dre</w:t>
      </w:r>
      <w:r>
        <w:rPr>
          <w:rFonts w:ascii="CG Times" w:hAnsi="CG Times" w:cs="Courier New"/>
          <w:sz w:val="22"/>
          <w:szCs w:val="22"/>
          <w:lang w:val="sq-AL"/>
        </w:rPr>
        <w:t>jtë të marrin pjesë në Komitet.</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4. Nëse Komiteti i Ministrave është i mendimit se një Palë e Lartë Kontraktuese refuzon të respektojë një vendim të formës së prerë të Gjykatës në një çështje ku ajo është palë, pasi t'i ketë dërguar një njoftim formal asaj Pale dhe me vendim që merret me një shumicë prej dy të tretave të përfaqësuesve që marrin pjesë në Komitet, ai mund t'ia referojë Gjykatës çështjen nëse Pala e ka përmbushur detyrimin</w:t>
      </w:r>
      <w:r>
        <w:rPr>
          <w:rFonts w:ascii="CG Times" w:hAnsi="CG Times" w:cs="Courier New"/>
          <w:sz w:val="22"/>
          <w:szCs w:val="22"/>
          <w:lang w:val="sq-AL"/>
        </w:rPr>
        <w:t xml:space="preserve"> e saj në bazë të paragrafit 1.</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5. Nëse Gjykata gjen një shkelje të paragrafit 1, ajo ia referon çështjen Komitetit të Ministrave për shqyrtimin e masave që duhen marrë. Nëse Gjykata nuk gjen asnjë shkelje të paragrafit 1, ajo ia referon çështjen Komitetit të Ministrave, i cili e mbyll shqyrtimin e çështjes."</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17</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Neni 59 i Kon</w:t>
      </w:r>
      <w:r>
        <w:rPr>
          <w:rFonts w:ascii="CG Times" w:hAnsi="CG Times" w:cs="Courier New"/>
          <w:sz w:val="22"/>
          <w:szCs w:val="22"/>
          <w:lang w:val="sq-AL"/>
        </w:rPr>
        <w:t>ventës ndryshohet si më poshtë: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Futet një paragraf i ri 2, i </w:t>
      </w:r>
      <w:r>
        <w:rPr>
          <w:rFonts w:ascii="CG Times" w:hAnsi="CG Times" w:cs="Courier New"/>
          <w:sz w:val="22"/>
          <w:szCs w:val="22"/>
          <w:lang w:val="sq-AL"/>
        </w:rPr>
        <w:t>cili ka formulimin e mëposhtëm:</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Bashkimi Evropian mun</w:t>
      </w:r>
      <w:r>
        <w:rPr>
          <w:rFonts w:ascii="CG Times" w:hAnsi="CG Times" w:cs="Courier New"/>
          <w:sz w:val="22"/>
          <w:szCs w:val="22"/>
          <w:lang w:val="sq-AL"/>
        </w:rPr>
        <w:t>d të aderojë në këtë Konventë."</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Paragrafët 2, 3 dhe 4 bëhen përkatësisht paragrafët 3, 4 dhe 5.</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center"/>
        <w:rPr>
          <w:rFonts w:ascii="CG Times" w:hAnsi="CG Times" w:cs="Courier New"/>
          <w:b/>
          <w:sz w:val="22"/>
          <w:szCs w:val="22"/>
          <w:lang w:val="sq-AL"/>
        </w:rPr>
      </w:pPr>
      <w:r w:rsidRPr="00A15E1A">
        <w:rPr>
          <w:rFonts w:ascii="CG Times" w:hAnsi="CG Times" w:cs="Courier New"/>
          <w:b/>
          <w:sz w:val="22"/>
          <w:szCs w:val="22"/>
          <w:lang w:val="sq-AL"/>
        </w:rPr>
        <w:t>Dis</w:t>
      </w:r>
      <w:r>
        <w:rPr>
          <w:rFonts w:ascii="CG Times" w:hAnsi="CG Times" w:cs="Courier New"/>
          <w:b/>
          <w:sz w:val="22"/>
          <w:szCs w:val="22"/>
          <w:lang w:val="sq-AL"/>
        </w:rPr>
        <w:t>pozita të fundit dhe transitore</w:t>
      </w: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18</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Ky protokoll është i hapur për nënshkrim nga shtetet anëtare të Këshillit të Evropës,</w:t>
      </w:r>
      <w:r w:rsidRPr="00A15E1A">
        <w:rPr>
          <w:rFonts w:ascii="CG Times" w:hAnsi="CG Times" w:cs="Courier New"/>
          <w:sz w:val="22"/>
          <w:szCs w:val="22"/>
          <w:lang w:val="sq-AL"/>
        </w:rPr>
        <w:br/>
        <w:t>nënshkruese të Konventës, që mund ta shprehin pëlqimin e t</w:t>
      </w:r>
      <w:r>
        <w:rPr>
          <w:rFonts w:ascii="CG Times" w:hAnsi="CG Times" w:cs="Courier New"/>
          <w:sz w:val="22"/>
          <w:szCs w:val="22"/>
          <w:lang w:val="sq-AL"/>
        </w:rPr>
        <w:t>yre për t'u detyruar nëpërmjet:</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a) nënshkrimit pa rezerva në lidhje me ratifikim</w:t>
      </w:r>
      <w:r>
        <w:rPr>
          <w:rFonts w:ascii="CG Times" w:hAnsi="CG Times" w:cs="Courier New"/>
          <w:sz w:val="22"/>
          <w:szCs w:val="22"/>
          <w:lang w:val="sq-AL"/>
        </w:rPr>
        <w:t>in, pranimin ose aprovimin; ose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b) nënshkrimit që i nënshtrohet ratifikimit, pranimit ose aprovimit, pasuar nga ra</w:t>
      </w:r>
      <w:r>
        <w:rPr>
          <w:rFonts w:ascii="CG Times" w:hAnsi="CG Times" w:cs="Courier New"/>
          <w:sz w:val="22"/>
          <w:szCs w:val="22"/>
          <w:lang w:val="sq-AL"/>
        </w:rPr>
        <w:t>tifikimi, pranimi ose aprovimi.</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Instrumentet e ratifikimit, pranimit ose aprovimit depozitohen te Sekretari i Përgjithshëm i Këshillit të Evropës.</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19</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Ky protokoll hyn në fuqi në ditën e parë të muajit pas kalimit të një periudhe tremujore pas datës në të cilën të gjitha Palët në Konventë kanë shprehur pëlqimin e tyre për t'iu nënshtruar këtij protokolli në pajtim me dispozitat e Nenit 18.</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20</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1. Duke filluar nga data e hyrjes në fuqi të këtij protokolli, dispozitat e tij zbatohen për të gjitha kërkesat që janë në shqyrtim e sipër në gjykatë, si dhe për të gjitha vendimet, ekzekutimi i të cilave është nën mbikëqy</w:t>
      </w:r>
      <w:r>
        <w:rPr>
          <w:rFonts w:ascii="CG Times" w:hAnsi="CG Times" w:cs="Courier New"/>
          <w:sz w:val="22"/>
          <w:szCs w:val="22"/>
          <w:lang w:val="sq-AL"/>
        </w:rPr>
        <w:t>rjen e Komitetit të Ministrave.</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2. Kriteri i ri i pranueshmërisë i prezantuar nëpërmjet Nenit 12 të këtij protokolli në Nenin 35, paragrafi 3.b të Konventës nuk zbatohet në lidhje me kërkesat e deklaruara të pranueshme para hyrjes në fuqi të këtij Protokolli. Në dy vitet e para pas hyrjes në fuqi të këtij Protokolli, kriteri i ri i pranueshmërisë mund të zbatohet vetëm nga Dhomat dhe Dhoma e Lartë e Gjykatës.</w:t>
      </w:r>
    </w:p>
    <w:p w:rsidR="006517C9" w:rsidRDefault="006517C9" w:rsidP="006517C9">
      <w:pPr>
        <w:ind w:firstLine="720"/>
        <w:jc w:val="center"/>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21</w:t>
      </w:r>
    </w:p>
    <w:p w:rsidR="006517C9" w:rsidRDefault="006517C9" w:rsidP="006517C9">
      <w:pPr>
        <w:ind w:firstLine="720"/>
        <w:jc w:val="both"/>
        <w:rPr>
          <w:rFonts w:ascii="CG Times" w:hAnsi="CG Times" w:cs="Courier New"/>
          <w:b/>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Mandati i gjyqtarëve që kanë mandatin e parë në datën e hyrjes në fuqi të këtij Protokolli zgjatet ipso jure deri në një afat total prej nëntë vjetësh. Gjyqtarët e tjerë përfundojnë mandatin e tyre, i cili zgjatet ipso jure me dy vjet.</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center"/>
        <w:rPr>
          <w:rFonts w:ascii="CG Times" w:hAnsi="CG Times" w:cs="Courier New"/>
          <w:sz w:val="22"/>
          <w:szCs w:val="22"/>
          <w:lang w:val="sq-AL"/>
        </w:rPr>
      </w:pPr>
      <w:r w:rsidRPr="007C453D">
        <w:rPr>
          <w:rFonts w:ascii="CG Times" w:hAnsi="CG Times" w:cs="Courier New"/>
          <w:sz w:val="22"/>
          <w:szCs w:val="22"/>
          <w:lang w:val="sq-AL"/>
        </w:rPr>
        <w:t>Neni 22</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Sekretari i Përgjithshëm i Këshillit të Evropës njofton shtetet anëtar</w:t>
      </w:r>
      <w:r>
        <w:rPr>
          <w:rFonts w:ascii="CG Times" w:hAnsi="CG Times" w:cs="Courier New"/>
          <w:sz w:val="22"/>
          <w:szCs w:val="22"/>
          <w:lang w:val="sq-AL"/>
        </w:rPr>
        <w:t>e të Këshillit të Evropës për:</w:t>
      </w:r>
    </w:p>
    <w:p w:rsidR="006517C9" w:rsidRDefault="006517C9" w:rsidP="006517C9">
      <w:pPr>
        <w:ind w:firstLine="720"/>
        <w:jc w:val="both"/>
        <w:rPr>
          <w:rFonts w:ascii="CG Times" w:hAnsi="CG Times" w:cs="Courier New"/>
          <w:sz w:val="22"/>
          <w:szCs w:val="22"/>
          <w:lang w:val="sq-AL"/>
        </w:rPr>
      </w:pPr>
      <w:r>
        <w:rPr>
          <w:rFonts w:ascii="CG Times" w:hAnsi="CG Times" w:cs="Courier New"/>
          <w:sz w:val="22"/>
          <w:szCs w:val="22"/>
          <w:lang w:val="sq-AL"/>
        </w:rPr>
        <w:t>a) çdo nënshkrim;</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b) depozitimin e çdo instrumenti ratifikimi, pran</w:t>
      </w:r>
      <w:r>
        <w:rPr>
          <w:rFonts w:ascii="CG Times" w:hAnsi="CG Times" w:cs="Courier New"/>
          <w:sz w:val="22"/>
          <w:szCs w:val="22"/>
          <w:lang w:val="sq-AL"/>
        </w:rPr>
        <w:t>imi ose aprovimi;</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e) datën e hyrjes në fuqi të këtij Pr</w:t>
      </w:r>
      <w:r>
        <w:rPr>
          <w:rFonts w:ascii="CG Times" w:hAnsi="CG Times" w:cs="Courier New"/>
          <w:sz w:val="22"/>
          <w:szCs w:val="22"/>
          <w:lang w:val="sq-AL"/>
        </w:rPr>
        <w:t>otokolli në pajtim me Nenin 19;</w:t>
      </w: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d) çdo akt, njoftim ose komunikim tjetër që ka të bëjë me këtë Protokoll.</w:t>
      </w:r>
    </w:p>
    <w:p w:rsidR="006517C9" w:rsidRDefault="006517C9" w:rsidP="006517C9">
      <w:pPr>
        <w:ind w:firstLine="720"/>
        <w:jc w:val="both"/>
        <w:rPr>
          <w:rFonts w:ascii="CG Times" w:hAnsi="CG Times" w:cs="Courier New"/>
          <w:sz w:val="22"/>
          <w:szCs w:val="22"/>
          <w:lang w:val="sq-AL"/>
        </w:rPr>
      </w:pPr>
    </w:p>
    <w:p w:rsidR="006517C9" w:rsidRDefault="006517C9" w:rsidP="006517C9">
      <w:pPr>
        <w:ind w:firstLine="720"/>
        <w:jc w:val="both"/>
        <w:rPr>
          <w:rFonts w:ascii="CG Times" w:hAnsi="CG Times" w:cs="Courier New"/>
          <w:sz w:val="22"/>
          <w:szCs w:val="22"/>
          <w:lang w:val="sq-AL"/>
        </w:rPr>
      </w:pPr>
      <w:r w:rsidRPr="00A15E1A">
        <w:rPr>
          <w:rFonts w:ascii="CG Times" w:hAnsi="CG Times" w:cs="Courier New"/>
          <w:sz w:val="22"/>
          <w:szCs w:val="22"/>
          <w:lang w:val="sq-AL"/>
        </w:rPr>
        <w:t>Në dëshmi të kësaj,  të nënshkruarit, duke qenë të autorizuar rregullisht, kanë nënshkruar këtë Protokoll.</w:t>
      </w:r>
    </w:p>
    <w:p w:rsidR="006517C9" w:rsidRDefault="006517C9" w:rsidP="006517C9">
      <w:pPr>
        <w:ind w:firstLine="720"/>
        <w:jc w:val="both"/>
        <w:rPr>
          <w:rFonts w:ascii="CG Times" w:hAnsi="CG Times" w:cs="Courier New"/>
          <w:sz w:val="22"/>
          <w:szCs w:val="22"/>
          <w:lang w:val="sq-AL"/>
        </w:rPr>
      </w:pPr>
    </w:p>
    <w:p w:rsidR="006517C9" w:rsidRPr="007C453D" w:rsidRDefault="006517C9" w:rsidP="006517C9">
      <w:pPr>
        <w:ind w:firstLine="720"/>
        <w:jc w:val="both"/>
        <w:rPr>
          <w:rFonts w:ascii="CG Times" w:hAnsi="CG Times" w:cs="Courier New"/>
          <w:b/>
          <w:sz w:val="22"/>
          <w:szCs w:val="22"/>
          <w:lang w:val="sq-AL"/>
        </w:rPr>
      </w:pPr>
      <w:r w:rsidRPr="00A15E1A">
        <w:rPr>
          <w:rFonts w:ascii="CG Times" w:hAnsi="CG Times" w:cs="Courier New"/>
          <w:sz w:val="22"/>
          <w:szCs w:val="22"/>
          <w:lang w:val="sq-AL"/>
        </w:rPr>
        <w:t>Bërë në Strasburg, më 13 maj 2004, në anglisht dhe frëngjisht, të dyja tekstet janë njëlloj autentike, në një kopje të vetme të cilat depozitohen në arkivat e Këshillit të Evropës. Sekretari i Përgjithshëm i Këshillit të Evropës u dërgon kopje të njësuara me origjinalin të gjitha shteteve anëtare të Këshillit të Evropës.</w:t>
      </w: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tabs>
          <w:tab w:val="left" w:pos="360"/>
        </w:tabs>
        <w:ind w:firstLine="720"/>
        <w:jc w:val="both"/>
        <w:rPr>
          <w:rFonts w:ascii="CG Times" w:hAnsi="CG Times"/>
          <w:sz w:val="22"/>
          <w:szCs w:val="22"/>
          <w:lang w:val="sq-AL"/>
        </w:rPr>
      </w:pPr>
    </w:p>
    <w:p w:rsidR="006517C9" w:rsidRPr="00A15E1A" w:rsidRDefault="006517C9" w:rsidP="006517C9">
      <w:pPr>
        <w:ind w:firstLine="720"/>
        <w:rPr>
          <w:rFonts w:ascii="CG Times" w:hAnsi="CG Times"/>
          <w:sz w:val="22"/>
          <w:szCs w:val="22"/>
          <w:lang w:val="sq-AL"/>
        </w:rPr>
      </w:pPr>
    </w:p>
    <w:p w:rsidR="006517C9" w:rsidRPr="00A15E1A" w:rsidRDefault="006517C9" w:rsidP="006517C9">
      <w:pPr>
        <w:ind w:firstLine="720"/>
        <w:rPr>
          <w:rFonts w:ascii="CG Times" w:hAnsi="CG Time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jc w:val="both"/>
        <w:rPr>
          <w:rFonts w:ascii="CG Times" w:hAnsi="CG Times"/>
          <w:b/>
          <w:bCs/>
          <w:sz w:val="22"/>
          <w:szCs w:val="22"/>
          <w:lang w:val="sq-AL"/>
        </w:rPr>
      </w:pPr>
    </w:p>
    <w:p w:rsidR="006517C9" w:rsidRPr="00A15E1A" w:rsidRDefault="006517C9" w:rsidP="006517C9">
      <w:pPr>
        <w:ind w:firstLine="720"/>
        <w:rPr>
          <w:rFonts w:ascii="CG Times" w:hAnsi="CG Times"/>
          <w:sz w:val="22"/>
          <w:szCs w:val="22"/>
          <w:lang w:val="sq-AL"/>
        </w:rPr>
      </w:pPr>
    </w:p>
    <w:p w:rsidR="006517C9" w:rsidRPr="00A15E1A" w:rsidRDefault="006517C9" w:rsidP="006517C9">
      <w:pPr>
        <w:ind w:firstLine="720"/>
        <w:jc w:val="both"/>
        <w:rPr>
          <w:rFonts w:ascii="CG Times" w:hAnsi="CG Times" w:cs="Arial"/>
          <w:color w:val="000000"/>
          <w:sz w:val="22"/>
          <w:szCs w:val="22"/>
          <w:lang w:val="sq-AL"/>
        </w:rPr>
      </w:pPr>
    </w:p>
    <w:p w:rsidR="006517C9" w:rsidRPr="00A15E1A" w:rsidRDefault="006517C9" w:rsidP="006517C9">
      <w:pPr>
        <w:ind w:firstLine="720"/>
        <w:jc w:val="both"/>
        <w:rPr>
          <w:rFonts w:ascii="CG Times" w:hAnsi="CG Times" w:cs="Arial"/>
          <w:color w:val="000000"/>
          <w:sz w:val="22"/>
          <w:szCs w:val="22"/>
          <w:lang w:val="sq-AL"/>
        </w:rPr>
      </w:pPr>
    </w:p>
    <w:p w:rsidR="009B538E" w:rsidRDefault="009B538E">
      <w:bookmarkStart w:id="0" w:name="_GoBack"/>
      <w:bookmarkEnd w:id="0"/>
    </w:p>
    <w:sectPr w:rsidR="009B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C9"/>
    <w:rsid w:val="006517C9"/>
    <w:rsid w:val="009B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7DBF6-79BD-43AD-B64B-D011E51F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7C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17C9"/>
    <w:pPr>
      <w:widowControl w:val="0"/>
      <w:spacing w:after="0" w:line="240" w:lineRule="auto"/>
      <w:ind w:firstLine="720"/>
      <w:jc w:val="both"/>
    </w:pPr>
    <w:rPr>
      <w:rFonts w:ascii="CG Times" w:eastAsia="Times New Roman" w:hAnsi="CG Times" w:cs="Times New Roman"/>
      <w:szCs w:val="20"/>
    </w:rPr>
  </w:style>
  <w:style w:type="character" w:customStyle="1" w:styleId="ParagrafiChar">
    <w:name w:val="Paragrafi Char"/>
    <w:link w:val="Paragrafi"/>
    <w:rsid w:val="006517C9"/>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1981</Words>
  <Characters>11292</Characters>
  <Application>Microsoft Office Word</Application>
  <DocSecurity>0</DocSecurity>
  <Lines>94</Lines>
  <Paragraphs>26</Paragraphs>
  <ScaleCrop>false</ScaleCrop>
  <Company>AKSHI</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Luljeta Hoti</dc:creator>
  <cp:keywords/>
  <dc:description/>
  <cp:lastModifiedBy>Luljeta Hoti</cp:lastModifiedBy>
  <cp:revision>1</cp:revision>
  <dcterms:created xsi:type="dcterms:W3CDTF">2024-05-15T10:10:00Z</dcterms:created>
  <dcterms:modified xsi:type="dcterms:W3CDTF">2024-05-15T10:11:00Z</dcterms:modified>
</cp:coreProperties>
</file>