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65B2E" w14:textId="2B937074" w:rsidR="009B28AB" w:rsidRDefault="009B28AB" w:rsidP="009B28AB">
      <w:pPr>
        <w:spacing w:after="60"/>
        <w:jc w:val="center"/>
        <w:rPr>
          <w:b/>
          <w:bCs/>
          <w:color w:val="000000"/>
        </w:rPr>
      </w:pPr>
      <w:r w:rsidRPr="00603654">
        <w:rPr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55CF4700" wp14:editId="4ADCEB9E">
            <wp:simplePos x="0" y="0"/>
            <wp:positionH relativeFrom="page">
              <wp:posOffset>894080</wp:posOffset>
            </wp:positionH>
            <wp:positionV relativeFrom="paragraph">
              <wp:posOffset>-628650</wp:posOffset>
            </wp:positionV>
            <wp:extent cx="5768201" cy="792480"/>
            <wp:effectExtent l="0" t="0" r="444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201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9633E" w14:textId="4655F004" w:rsidR="00221535" w:rsidRPr="00603654" w:rsidRDefault="00C45BE8" w:rsidP="00603654">
      <w:pPr>
        <w:spacing w:after="60"/>
        <w:jc w:val="center"/>
        <w:rPr>
          <w:b/>
          <w:bCs/>
          <w:color w:val="000000"/>
          <w:sz w:val="28"/>
          <w:szCs w:val="28"/>
        </w:rPr>
      </w:pPr>
      <w:r w:rsidRPr="00603654">
        <w:rPr>
          <w:b/>
          <w:bCs/>
          <w:color w:val="000000"/>
        </w:rPr>
        <w:t>ENTI RREGULLATOR I ENERGJISË</w:t>
      </w:r>
    </w:p>
    <w:p w14:paraId="10D111B4" w14:textId="77777777" w:rsidR="00221535" w:rsidRPr="00603654" w:rsidRDefault="00C45BE8" w:rsidP="00603654">
      <w:pPr>
        <w:spacing w:after="200"/>
        <w:jc w:val="center"/>
      </w:pPr>
      <w:r w:rsidRPr="00603654">
        <w:rPr>
          <w:b/>
          <w:bCs/>
          <w:color w:val="000000"/>
        </w:rPr>
        <w:t>BORDI</w:t>
      </w:r>
    </w:p>
    <w:p w14:paraId="3FA0D825" w14:textId="318D8E63" w:rsidR="00221535" w:rsidRPr="00603654" w:rsidRDefault="00C45BE8" w:rsidP="00603654">
      <w:pPr>
        <w:spacing w:after="60"/>
        <w:jc w:val="center"/>
      </w:pPr>
      <w:r w:rsidRPr="00603654">
        <w:rPr>
          <w:b/>
          <w:bCs/>
          <w:color w:val="000000"/>
        </w:rPr>
        <w:t>VENDIM</w:t>
      </w:r>
    </w:p>
    <w:p w14:paraId="1890CE4C" w14:textId="3437E1A8" w:rsidR="00221535" w:rsidRPr="00603654" w:rsidRDefault="00C45BE8" w:rsidP="00603654">
      <w:pPr>
        <w:spacing w:after="160"/>
        <w:jc w:val="center"/>
      </w:pPr>
      <w:bookmarkStart w:id="0" w:name="_GoBack"/>
      <w:r w:rsidRPr="00603654">
        <w:rPr>
          <w:b/>
          <w:bCs/>
          <w:color w:val="000000"/>
        </w:rPr>
        <w:t xml:space="preserve">Nr. </w:t>
      </w:r>
      <w:r w:rsidR="00603654" w:rsidRPr="00603654">
        <w:rPr>
          <w:b/>
          <w:bCs/>
          <w:color w:val="000000"/>
        </w:rPr>
        <w:t>156</w:t>
      </w:r>
      <w:r w:rsidRPr="00603654">
        <w:rPr>
          <w:b/>
          <w:bCs/>
          <w:color w:val="000000"/>
        </w:rPr>
        <w:t xml:space="preserve">, Datë </w:t>
      </w:r>
      <w:r w:rsidR="00603654" w:rsidRPr="00603654">
        <w:rPr>
          <w:b/>
          <w:bCs/>
          <w:color w:val="000000"/>
        </w:rPr>
        <w:t>28</w:t>
      </w:r>
      <w:r w:rsidR="002721ED" w:rsidRPr="00603654">
        <w:rPr>
          <w:b/>
          <w:bCs/>
          <w:color w:val="000000"/>
        </w:rPr>
        <w:t>.</w:t>
      </w:r>
      <w:r w:rsidR="00BF6BFE" w:rsidRPr="00603654">
        <w:rPr>
          <w:b/>
          <w:bCs/>
          <w:color w:val="000000"/>
        </w:rPr>
        <w:t>05</w:t>
      </w:r>
      <w:r w:rsidRPr="00603654">
        <w:rPr>
          <w:b/>
          <w:bCs/>
          <w:color w:val="000000"/>
        </w:rPr>
        <w:t>.2026</w:t>
      </w:r>
    </w:p>
    <w:bookmarkEnd w:id="0"/>
    <w:p w14:paraId="0646FEB2" w14:textId="77777777" w:rsidR="00221535" w:rsidRPr="00603654" w:rsidRDefault="00C45BE8" w:rsidP="009B28AB">
      <w:pPr>
        <w:spacing w:before="240" w:after="60"/>
        <w:jc w:val="center"/>
      </w:pPr>
      <w:r w:rsidRPr="00603654">
        <w:rPr>
          <w:b/>
          <w:bCs/>
          <w:color w:val="000000"/>
        </w:rPr>
        <w:t>MBI</w:t>
      </w:r>
    </w:p>
    <w:p w14:paraId="6CA5B845" w14:textId="6EC56FF0" w:rsidR="00221535" w:rsidRPr="00603654" w:rsidRDefault="00C45BE8" w:rsidP="009B28AB">
      <w:pPr>
        <w:spacing w:before="240" w:after="300"/>
        <w:jc w:val="center"/>
      </w:pPr>
      <w:r w:rsidRPr="00603654">
        <w:rPr>
          <w:b/>
          <w:bCs/>
          <w:color w:val="000000"/>
        </w:rPr>
        <w:t>MIRATIMIN E VLËRËSIMIT TË ERE-S PËR GATISHMËRINË E TREGUT TË DITËS</w:t>
      </w:r>
      <w:r w:rsidR="00BF6BFE" w:rsidRPr="00603654">
        <w:rPr>
          <w:b/>
          <w:bCs/>
          <w:color w:val="000000"/>
        </w:rPr>
        <w:t xml:space="preserve"> </w:t>
      </w:r>
      <w:r w:rsidRPr="00603654">
        <w:rPr>
          <w:b/>
          <w:bCs/>
          <w:color w:val="000000"/>
        </w:rPr>
        <w:t>NË</w:t>
      </w:r>
      <w:r w:rsidR="00BF6BFE" w:rsidRPr="00603654">
        <w:rPr>
          <w:b/>
          <w:bCs/>
          <w:color w:val="000000"/>
        </w:rPr>
        <w:t xml:space="preserve"> </w:t>
      </w:r>
      <w:r w:rsidRPr="00603654">
        <w:rPr>
          <w:b/>
          <w:bCs/>
          <w:color w:val="000000"/>
        </w:rPr>
        <w:t>AVANCË NË SHQIPËRI</w:t>
      </w:r>
    </w:p>
    <w:p w14:paraId="2C9B2574" w14:textId="50BD2B5E" w:rsidR="00221535" w:rsidRPr="00603654" w:rsidRDefault="00C45BE8" w:rsidP="009B28AB">
      <w:pPr>
        <w:spacing w:after="40" w:line="276" w:lineRule="auto"/>
        <w:jc w:val="both"/>
        <w:rPr>
          <w:color w:val="000000"/>
        </w:rPr>
      </w:pPr>
      <w:r w:rsidRPr="00603654">
        <w:rPr>
          <w:color w:val="000000"/>
        </w:rPr>
        <w:t>Në mbështetje të nenit 16 të ligjit nr. 43/2015</w:t>
      </w:r>
      <w:r w:rsidRPr="00603654">
        <w:rPr>
          <w:i/>
          <w:iCs/>
          <w:color w:val="000000"/>
        </w:rPr>
        <w:t xml:space="preserve"> “Për sektorin e energjisë elektrike”, </w:t>
      </w:r>
      <w:r w:rsidRPr="00603654">
        <w:rPr>
          <w:color w:val="000000"/>
        </w:rPr>
        <w:t>të ndryshuar; nenit 30</w:t>
      </w:r>
      <w:r w:rsidR="00BF6BFE" w:rsidRPr="00603654">
        <w:rPr>
          <w:color w:val="000000"/>
        </w:rPr>
        <w:t>, pika 5</w:t>
      </w:r>
      <w:r w:rsidRPr="00603654">
        <w:rPr>
          <w:color w:val="000000"/>
        </w:rPr>
        <w:t xml:space="preserve"> të ligjit nr. 24/2023</w:t>
      </w:r>
      <w:r w:rsidRPr="00603654">
        <w:rPr>
          <w:i/>
          <w:iCs/>
          <w:color w:val="000000"/>
        </w:rPr>
        <w:t xml:space="preserve"> “Për nxitjen e përdorimit të energjisë nga burimet e rinovueshme”</w:t>
      </w:r>
      <w:r w:rsidRPr="00603654">
        <w:rPr>
          <w:color w:val="000000"/>
        </w:rPr>
        <w:t>; si dhe nen</w:t>
      </w:r>
      <w:r w:rsidR="00BF6BFE" w:rsidRPr="00603654">
        <w:rPr>
          <w:color w:val="000000"/>
        </w:rPr>
        <w:t>it</w:t>
      </w:r>
      <w:r w:rsidRPr="00603654">
        <w:rPr>
          <w:color w:val="000000"/>
        </w:rPr>
        <w:t xml:space="preserve"> 15</w:t>
      </w:r>
      <w:r w:rsidRPr="00603654">
        <w:rPr>
          <w:i/>
          <w:iCs/>
          <w:color w:val="000000"/>
        </w:rPr>
        <w:t xml:space="preserve"> Rregullores për organizimin, funksionimin dhe procedurat e ERE-s, </w:t>
      </w:r>
      <w:r w:rsidRPr="00603654">
        <w:rPr>
          <w:color w:val="000000"/>
        </w:rPr>
        <w:t xml:space="preserve">miratuar me vendimin e bordit të Entit Rregullator të Energjisë (ERE) nr. 96, datë 17.06.2016; Bordi i ERE-s, në mbledhjen e tij të datës </w:t>
      </w:r>
      <w:r w:rsidR="00603654" w:rsidRPr="00603654">
        <w:rPr>
          <w:color w:val="000000"/>
        </w:rPr>
        <w:t>28</w:t>
      </w:r>
      <w:r w:rsidR="00B51F32" w:rsidRPr="00603654">
        <w:rPr>
          <w:color w:val="000000"/>
        </w:rPr>
        <w:t>.</w:t>
      </w:r>
      <w:r w:rsidR="00BF6BFE" w:rsidRPr="00603654">
        <w:rPr>
          <w:color w:val="000000"/>
        </w:rPr>
        <w:t>05</w:t>
      </w:r>
      <w:r w:rsidRPr="00603654">
        <w:rPr>
          <w:color w:val="000000"/>
        </w:rPr>
        <w:t xml:space="preserve">.2026, mbasi shqyrtoi relacionin me nr. </w:t>
      </w:r>
      <w:r w:rsidR="00603654" w:rsidRPr="00603654">
        <w:rPr>
          <w:color w:val="000000"/>
        </w:rPr>
        <w:t>1684</w:t>
      </w:r>
      <w:r w:rsidRPr="00603654">
        <w:rPr>
          <w:color w:val="000000"/>
        </w:rPr>
        <w:t xml:space="preserve"> prot., datë </w:t>
      </w:r>
      <w:r w:rsidR="00603654" w:rsidRPr="00603654">
        <w:rPr>
          <w:color w:val="000000"/>
        </w:rPr>
        <w:t>25</w:t>
      </w:r>
      <w:r w:rsidR="00B51F32" w:rsidRPr="00603654">
        <w:rPr>
          <w:color w:val="000000"/>
        </w:rPr>
        <w:t>.</w:t>
      </w:r>
      <w:r w:rsidR="00BF6BFE" w:rsidRPr="00603654">
        <w:rPr>
          <w:color w:val="000000"/>
        </w:rPr>
        <w:t>05</w:t>
      </w:r>
      <w:r w:rsidRPr="00603654">
        <w:rPr>
          <w:color w:val="000000"/>
        </w:rPr>
        <w:t xml:space="preserve">.2026, të </w:t>
      </w:r>
      <w:r w:rsidR="00603654" w:rsidRPr="00603654">
        <w:rPr>
          <w:color w:val="000000"/>
        </w:rPr>
        <w:t xml:space="preserve">përgatitur nga Drejtoria Juridike dhe Zgjidhjes së Mosmarrëveshjeve, </w:t>
      </w:r>
      <w:r w:rsidR="00603654" w:rsidRPr="00603654">
        <w:t>Drejtoria e Monitorimit të Tregut dhe Zhvillimit të Burimeve të Rinovueshme</w:t>
      </w:r>
      <w:r w:rsidR="00603654" w:rsidRPr="00603654">
        <w:rPr>
          <w:color w:val="000000"/>
        </w:rPr>
        <w:t xml:space="preserve"> dhe Sektori i Koordinimit dhe Marrdhënieve me Jashtë</w:t>
      </w:r>
      <w:r w:rsidR="00603654" w:rsidRPr="00603654">
        <w:t xml:space="preserve"> </w:t>
      </w:r>
      <w:r w:rsidRPr="00F5181B">
        <w:rPr>
          <w:color w:val="000000"/>
        </w:rPr>
        <w:t>“</w:t>
      </w:r>
      <w:r w:rsidRPr="00F5181B">
        <w:rPr>
          <w:i/>
          <w:iCs/>
          <w:color w:val="000000"/>
        </w:rPr>
        <w:t>Mbi miratimin e Vlerësimit të ERE-s për Gatishmërinë e Tregut të Ditës-Në-Avancë në Shqipëri</w:t>
      </w:r>
      <w:r w:rsidRPr="00F5181B">
        <w:rPr>
          <w:color w:val="000000"/>
        </w:rPr>
        <w:t>”,</w:t>
      </w:r>
    </w:p>
    <w:p w14:paraId="56F8ACAE" w14:textId="77777777" w:rsidR="00221535" w:rsidRPr="00603654" w:rsidRDefault="00C45BE8" w:rsidP="009B28AB">
      <w:pPr>
        <w:spacing w:after="120" w:line="276" w:lineRule="auto"/>
        <w:jc w:val="both"/>
      </w:pPr>
      <w:r w:rsidRPr="00603654">
        <w:rPr>
          <w:b/>
          <w:bCs/>
          <w:color w:val="000000"/>
        </w:rPr>
        <w:t>Konstatoi se:</w:t>
      </w:r>
    </w:p>
    <w:p w14:paraId="1D056B60" w14:textId="77777777" w:rsidR="00221535" w:rsidRPr="00603654" w:rsidRDefault="00C45BE8" w:rsidP="009B28AB">
      <w:pPr>
        <w:spacing w:after="80" w:line="276" w:lineRule="auto"/>
        <w:jc w:val="both"/>
      </w:pPr>
      <w:r w:rsidRPr="00603654">
        <w:rPr>
          <w:b/>
          <w:bCs/>
          <w:color w:val="000000"/>
        </w:rPr>
        <w:t>1. Baza metodologjike dhe procedura paraprake</w:t>
      </w:r>
    </w:p>
    <w:p w14:paraId="73F50562" w14:textId="08424D43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 xml:space="preserve">Bordi i ERE-s, me vendimin nr. 279, datë 06.11.2025, miratoi </w:t>
      </w:r>
      <w:r w:rsidRPr="00603654">
        <w:rPr>
          <w:i/>
          <w:iCs/>
          <w:color w:val="000000"/>
          <w:lang w:val="sq-AL"/>
        </w:rPr>
        <w:t>“Metodologjinë për Vlerësimin e Gatishmërisë së Tregut Shqiptar të Energjisë Elektrike të Ditës</w:t>
      </w:r>
      <w:r w:rsidR="009776C4" w:rsidRPr="00603654">
        <w:rPr>
          <w:i/>
          <w:iCs/>
          <w:color w:val="000000"/>
          <w:lang w:val="sq-AL"/>
        </w:rPr>
        <w:t xml:space="preserve"> </w:t>
      </w:r>
      <w:r w:rsidRPr="00603654">
        <w:rPr>
          <w:i/>
          <w:iCs/>
          <w:color w:val="000000"/>
          <w:lang w:val="sq-AL"/>
        </w:rPr>
        <w:t>Në</w:t>
      </w:r>
      <w:r w:rsidR="009776C4" w:rsidRPr="00603654">
        <w:rPr>
          <w:i/>
          <w:iCs/>
          <w:color w:val="000000"/>
          <w:lang w:val="sq-AL"/>
        </w:rPr>
        <w:t xml:space="preserve"> </w:t>
      </w:r>
      <w:r w:rsidRPr="00603654">
        <w:rPr>
          <w:i/>
          <w:iCs/>
          <w:color w:val="000000"/>
          <w:lang w:val="sq-AL"/>
        </w:rPr>
        <w:t>Avancë”</w:t>
      </w:r>
      <w:r w:rsidRPr="00603654">
        <w:rPr>
          <w:color w:val="000000"/>
          <w:lang w:val="sq-AL"/>
        </w:rPr>
        <w:t>, e cila përcakton parimet, treguesit dhe metodologjinë e vlerësimit të gatishmërisë së tregut DAM, si kusht paraprak për kalimin nga marrëveshjet e blerjes së energjisë (PPA) në kontratat për diferencë (CfD), në zbatim të nenit 30 të ligjit nr. 24/2023.</w:t>
      </w:r>
    </w:p>
    <w:p w14:paraId="394F2724" w14:textId="0435A6BE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Në mbledhjen e datës 14.04.2026, Bordi i ERE-s shqyrtoi informacionin mbi vijimin e procedurës për vlerësimin e gatishmërisë së tregut të ditës-në-avancë, duke autorizuar vijimin e procesit të konsultimit publik të draft-</w:t>
      </w:r>
      <w:r w:rsidR="009B28AB">
        <w:rPr>
          <w:color w:val="000000"/>
          <w:lang w:val="sq-AL"/>
        </w:rPr>
        <w:t>v</w:t>
      </w:r>
      <w:r w:rsidRPr="00603654">
        <w:rPr>
          <w:color w:val="000000"/>
          <w:lang w:val="sq-AL"/>
        </w:rPr>
        <w:t>lerësimit.</w:t>
      </w:r>
    </w:p>
    <w:p w14:paraId="2C9D61C0" w14:textId="77777777" w:rsidR="00221535" w:rsidRPr="00603654" w:rsidRDefault="00C45BE8" w:rsidP="009B28AB">
      <w:pPr>
        <w:spacing w:after="80" w:line="276" w:lineRule="auto"/>
        <w:jc w:val="both"/>
      </w:pPr>
      <w:r w:rsidRPr="00603654">
        <w:rPr>
          <w:b/>
          <w:bCs/>
          <w:color w:val="000000"/>
        </w:rPr>
        <w:t>2. Konsultimi publik dhe njoftimi i palëve</w:t>
      </w:r>
    </w:p>
    <w:p w14:paraId="2CBBDC24" w14:textId="0EF4FED2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Draft-Vlerësimi u publikua në faqen zyrtare të ERE-s, nën zërin “Konsultime”,</w:t>
      </w:r>
      <w:r w:rsidR="00D43B4E">
        <w:rPr>
          <w:color w:val="000000"/>
          <w:lang w:val="sq-AL"/>
        </w:rPr>
        <w:t xml:space="preserve"> </w:t>
      </w:r>
      <w:r w:rsidRPr="00603654">
        <w:rPr>
          <w:color w:val="000000"/>
          <w:lang w:val="sq-AL"/>
        </w:rPr>
        <w:t xml:space="preserve">datë 15.04.2026, në përputhje me nenin 30 të ligjit nr. 24/2023 dhe nenin 12 të </w:t>
      </w:r>
      <w:r w:rsidRPr="00603654">
        <w:rPr>
          <w:i/>
          <w:iCs/>
          <w:color w:val="000000"/>
          <w:lang w:val="sq-AL"/>
        </w:rPr>
        <w:t>Rregullores mbi Procedurat e Njoftimit dhe Konsultimit Publik të Akteve të Miratuara nga ERE</w:t>
      </w:r>
      <w:r w:rsidRPr="00603654">
        <w:rPr>
          <w:color w:val="000000"/>
          <w:lang w:val="sq-AL"/>
        </w:rPr>
        <w:t xml:space="preserve">, miratuar me </w:t>
      </w:r>
      <w:r w:rsidR="00D43B4E">
        <w:rPr>
          <w:color w:val="000000"/>
          <w:lang w:val="sq-AL"/>
        </w:rPr>
        <w:t>v</w:t>
      </w:r>
      <w:r w:rsidRPr="00603654">
        <w:rPr>
          <w:color w:val="000000"/>
          <w:lang w:val="sq-AL"/>
        </w:rPr>
        <w:t xml:space="preserve">endimin e </w:t>
      </w:r>
      <w:r w:rsidR="00D43B4E">
        <w:rPr>
          <w:color w:val="000000"/>
          <w:lang w:val="sq-AL"/>
        </w:rPr>
        <w:t>b</w:t>
      </w:r>
      <w:r w:rsidRPr="00603654">
        <w:rPr>
          <w:color w:val="000000"/>
          <w:lang w:val="sq-AL"/>
        </w:rPr>
        <w:t>ordit të ERE-s nr. 162, datë 20.10.2020.</w:t>
      </w:r>
    </w:p>
    <w:p w14:paraId="3DF91F4E" w14:textId="2B89FA92" w:rsidR="00221535" w:rsidRPr="0080177E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 xml:space="preserve">Gjatë procesit të konsultimit publik, ERE mori sugjerime nga palë interesi. Me shkresë nr. 4-05/26, datë 04.05.2026, </w:t>
      </w:r>
      <w:r w:rsidR="00D43B4E">
        <w:rPr>
          <w:color w:val="000000"/>
          <w:lang w:val="sq-AL"/>
        </w:rPr>
        <w:t>“</w:t>
      </w:r>
      <w:r w:rsidRPr="00603654">
        <w:rPr>
          <w:bCs/>
          <w:color w:val="000000"/>
          <w:lang w:val="sq-AL"/>
        </w:rPr>
        <w:t>GEN-I Tirana</w:t>
      </w:r>
      <w:r w:rsidR="00D43B4E">
        <w:rPr>
          <w:bCs/>
          <w:color w:val="000000"/>
          <w:lang w:val="sq-AL"/>
        </w:rPr>
        <w:t>”</w:t>
      </w:r>
      <w:r w:rsidRPr="00603654">
        <w:rPr>
          <w:bCs/>
          <w:color w:val="000000"/>
          <w:lang w:val="sq-AL"/>
        </w:rPr>
        <w:t xml:space="preserve"> </w:t>
      </w:r>
      <w:r w:rsidR="00BF6BFE" w:rsidRPr="00603654">
        <w:rPr>
          <w:bCs/>
          <w:color w:val="000000"/>
          <w:lang w:val="sq-AL"/>
        </w:rPr>
        <w:t>s</w:t>
      </w:r>
      <w:r w:rsidRPr="00603654">
        <w:rPr>
          <w:bCs/>
          <w:color w:val="000000"/>
          <w:lang w:val="sq-AL"/>
        </w:rPr>
        <w:t>h.p.k.</w:t>
      </w:r>
      <w:r w:rsidRPr="00603654">
        <w:rPr>
          <w:color w:val="000000"/>
          <w:lang w:val="sq-AL"/>
        </w:rPr>
        <w:t xml:space="preserve"> paraqiti sugjerime mbi Vlerësimin. Sugjerimet e kësaj pale janë shqyrtuar nga ERE dhe </w:t>
      </w:r>
      <w:r w:rsidR="009B28AB">
        <w:rPr>
          <w:color w:val="000000"/>
          <w:lang w:val="sq-AL"/>
        </w:rPr>
        <w:t xml:space="preserve">nuk </w:t>
      </w:r>
      <w:r w:rsidRPr="00603654">
        <w:rPr>
          <w:color w:val="000000"/>
          <w:lang w:val="sq-AL"/>
        </w:rPr>
        <w:t>janë mar</w:t>
      </w:r>
      <w:r w:rsidR="00D43B4E">
        <w:rPr>
          <w:color w:val="000000"/>
          <w:lang w:val="sq-AL"/>
        </w:rPr>
        <w:t>rë</w:t>
      </w:r>
      <w:r w:rsidRPr="00603654">
        <w:rPr>
          <w:color w:val="000000"/>
          <w:lang w:val="sq-AL"/>
        </w:rPr>
        <w:t xml:space="preserve"> në konsideratë në finalizimin e dokumentit.</w:t>
      </w:r>
    </w:p>
    <w:p w14:paraId="7D3160E5" w14:textId="14122002" w:rsidR="009B28AB" w:rsidRPr="00603654" w:rsidRDefault="009B28AB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>
        <w:rPr>
          <w:lang w:val="sq-AL"/>
        </w:rPr>
        <w:t>S</w:t>
      </w:r>
      <w:r w:rsidRPr="0080177E">
        <w:rPr>
          <w:lang w:val="sq-AL"/>
        </w:rPr>
        <w:t>ugjerimet e paraqitura nga shoqëria “GEN-I Tirana” sh.p.k.,</w:t>
      </w:r>
      <w:r>
        <w:rPr>
          <w:lang w:val="sq-AL"/>
        </w:rPr>
        <w:t xml:space="preserve"> u shqyrtuan</w:t>
      </w:r>
      <w:r w:rsidRPr="0080177E">
        <w:rPr>
          <w:lang w:val="sq-AL"/>
        </w:rPr>
        <w:t xml:space="preserve"> </w:t>
      </w:r>
      <w:r>
        <w:rPr>
          <w:lang w:val="sq-AL"/>
        </w:rPr>
        <w:t>dhe u konstatua</w:t>
      </w:r>
      <w:r w:rsidRPr="0080177E">
        <w:rPr>
          <w:lang w:val="sq-AL"/>
        </w:rPr>
        <w:t xml:space="preserve"> se metodologjia e vlerësimit është miratuar paraprakisht me vendimin nr. 279, datë 06.11.2025 të </w:t>
      </w:r>
      <w:r w:rsidR="0080177E">
        <w:rPr>
          <w:lang w:val="sq-AL"/>
        </w:rPr>
        <w:t>b</w:t>
      </w:r>
      <w:r w:rsidRPr="0080177E">
        <w:rPr>
          <w:lang w:val="sq-AL"/>
        </w:rPr>
        <w:t xml:space="preserve">ordit të ERE-s, pas një procesi konsultimi publik, dhe se vlerësimi i gatishmërisë së tregut është kryer në përputhje me treguesit dhe kriteret e përcaktuara në këtë metodologji. Gjithashtu, u vlerësua se çështjet e ngritura në lidhje me strukturën dhe organizimin e tregut </w:t>
      </w:r>
      <w:r w:rsidRPr="0080177E">
        <w:rPr>
          <w:lang w:val="sq-AL"/>
        </w:rPr>
        <w:lastRenderedPageBreak/>
        <w:t xml:space="preserve">përbëjnë elemente me karakter strategjik dhe nuk ndikojnë në rezultatet e vlerësimit të kryer sipas metodologjisë në fuqi, ndaj </w:t>
      </w:r>
      <w:r w:rsidR="0080177E">
        <w:rPr>
          <w:lang w:val="sq-AL"/>
        </w:rPr>
        <w:t>u vler</w:t>
      </w:r>
      <w:r w:rsidR="0080177E" w:rsidRPr="008C012D">
        <w:rPr>
          <w:lang w:val="sq-AL"/>
        </w:rPr>
        <w:t>ë</w:t>
      </w:r>
      <w:r w:rsidR="0080177E">
        <w:rPr>
          <w:lang w:val="sq-AL"/>
        </w:rPr>
        <w:t>sua q</w:t>
      </w:r>
      <w:r w:rsidR="0080177E" w:rsidRPr="008C012D">
        <w:rPr>
          <w:lang w:val="sq-AL"/>
        </w:rPr>
        <w:t>ë</w:t>
      </w:r>
      <w:r w:rsidR="0080177E">
        <w:rPr>
          <w:lang w:val="sq-AL"/>
        </w:rPr>
        <w:t xml:space="preserve"> </w:t>
      </w:r>
      <w:r w:rsidRPr="0080177E">
        <w:rPr>
          <w:lang w:val="sq-AL"/>
        </w:rPr>
        <w:t xml:space="preserve">sugjerimet </w:t>
      </w:r>
      <w:r w:rsidR="0080177E">
        <w:rPr>
          <w:lang w:val="sq-AL"/>
        </w:rPr>
        <w:t>t</w:t>
      </w:r>
      <w:r w:rsidR="0080177E" w:rsidRPr="008C012D">
        <w:rPr>
          <w:lang w:val="sq-AL"/>
        </w:rPr>
        <w:t>ë</w:t>
      </w:r>
      <w:r w:rsidR="0080177E">
        <w:rPr>
          <w:lang w:val="sq-AL"/>
        </w:rPr>
        <w:t xml:space="preserve"> mos reflektohen</w:t>
      </w:r>
      <w:r w:rsidRPr="0080177E">
        <w:rPr>
          <w:lang w:val="sq-AL"/>
        </w:rPr>
        <w:t xml:space="preserve"> në dokumentin përfundimtar.</w:t>
      </w:r>
    </w:p>
    <w:p w14:paraId="5B80D081" w14:textId="4C69A4BE" w:rsidR="00BF6BFE" w:rsidRPr="00F5181B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Komentet e subjektit janë publikuar gjithashtu në faqen zyrtare të ERE-s, nën zërin “Konsultime”, në frymën e transparencës dhe procesit të konsultimit publik.</w:t>
      </w:r>
    </w:p>
    <w:p w14:paraId="1A0F1AC4" w14:textId="77777777" w:rsidR="00221535" w:rsidRPr="00603654" w:rsidRDefault="00C45BE8" w:rsidP="009B28AB">
      <w:pPr>
        <w:spacing w:after="80" w:line="276" w:lineRule="auto"/>
        <w:jc w:val="both"/>
      </w:pPr>
      <w:r w:rsidRPr="00603654">
        <w:rPr>
          <w:b/>
          <w:bCs/>
          <w:color w:val="000000"/>
        </w:rPr>
        <w:t xml:space="preserve">3. </w:t>
      </w:r>
      <w:r w:rsidR="00662136" w:rsidRPr="00603654">
        <w:rPr>
          <w:b/>
          <w:bCs/>
        </w:rPr>
        <w:t xml:space="preserve">Përmbajtja dhe treguesit e </w:t>
      </w:r>
      <w:r w:rsidR="00662136" w:rsidRPr="00603654">
        <w:rPr>
          <w:b/>
          <w:bCs/>
          <w:color w:val="000000"/>
        </w:rPr>
        <w:t>Vlerësimit</w:t>
      </w:r>
    </w:p>
    <w:p w14:paraId="50827F5C" w14:textId="092F1C55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Vlerësimi mbështetet në të dhënat e periudhës 12-mujore</w:t>
      </w:r>
      <w:r w:rsidR="002113F2">
        <w:rPr>
          <w:color w:val="000000"/>
          <w:lang w:val="sq-AL"/>
        </w:rPr>
        <w:t>,</w:t>
      </w:r>
      <w:r w:rsidRPr="00603654">
        <w:rPr>
          <w:color w:val="000000"/>
          <w:lang w:val="sq-AL"/>
        </w:rPr>
        <w:t xml:space="preserve"> nga </w:t>
      </w:r>
      <w:r w:rsidR="002113F2">
        <w:rPr>
          <w:color w:val="000000"/>
          <w:lang w:val="sq-AL"/>
        </w:rPr>
        <w:t xml:space="preserve">data </w:t>
      </w:r>
      <w:r w:rsidRPr="00603654">
        <w:rPr>
          <w:color w:val="000000"/>
          <w:lang w:val="sq-AL"/>
        </w:rPr>
        <w:t>1 nëntor 2024 deri më 31 tetor 2025 për tregun e bashkuar Shqipëri</w:t>
      </w:r>
      <w:r w:rsidR="00BF6BFE" w:rsidRPr="00603654">
        <w:rPr>
          <w:color w:val="000000"/>
          <w:lang w:val="sq-AL"/>
        </w:rPr>
        <w:t>-</w:t>
      </w:r>
      <w:r w:rsidRPr="00603654">
        <w:rPr>
          <w:color w:val="000000"/>
          <w:lang w:val="sq-AL"/>
        </w:rPr>
        <w:t>Kosovë të ALPEX, dhe analizon katër tregues të detyrueshëm dhe dy tregues plotësues, në përputhje me metodologjinë e miratuar.</w:t>
      </w:r>
    </w:p>
    <w:p w14:paraId="395CC211" w14:textId="77777777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Treguesi i disponueshmërisë së çmimit: ALPEX ka siguruar çmim klerimi për çdo orë gjatë gjithë periudhës së analizuar (12 muaj), duke plotësuar pragun minimal të këtij treguesi.</w:t>
      </w:r>
    </w:p>
    <w:p w14:paraId="368DD141" w14:textId="77777777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Faktori i qarkullimit (churn factor): vlera e llogaritur është 0.102, ndjeshëm më e ulët se të gjithë tregjet krahasuese (HUPX 0.511, CROPEX 0.359, TGE 0.168), duke treguar se pjesë e vogël e energjisë tregtohet nëpërmjet mekanizmave të hapura konkurrente.</w:t>
      </w:r>
    </w:p>
    <w:p w14:paraId="79A18499" w14:textId="77777777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Diferenca ofertë-kërkesë (bid-ask spread): mediana në ALPEX është 9.7% e çmimit mesatar, pesë herë më e lartë se në HUPX (1.2% në 2019), duke treguar kapacitet të kufizuar të tregut për të përthithur vëllime shtesë.</w:t>
      </w:r>
    </w:p>
    <w:p w14:paraId="4468E78E" w14:textId="675E7FEA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Thellësia e tregut: në 25% të orëve, tregu nuk do të kishte qenë i aftë të përthithte më shumë se 146 MW ofertë të re me çmim zero duke ruajtur çmim pozitiv klerimi, nivel i pamjaftuesh</w:t>
      </w:r>
      <w:r w:rsidR="0080177E" w:rsidRPr="00603654">
        <w:rPr>
          <w:color w:val="000000"/>
          <w:lang w:val="sq-AL"/>
        </w:rPr>
        <w:t>ë</w:t>
      </w:r>
      <w:r w:rsidRPr="00603654">
        <w:rPr>
          <w:color w:val="000000"/>
          <w:lang w:val="sq-AL"/>
        </w:rPr>
        <w:t>m për të mbështetur konvertimin në CfD.</w:t>
      </w:r>
    </w:p>
    <w:p w14:paraId="078803BD" w14:textId="38DD9B33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Konkurrueshmëria (HHI): ana e shitjes është konkurrues</w:t>
      </w:r>
      <w:r w:rsidR="0080177E">
        <w:rPr>
          <w:color w:val="000000"/>
          <w:lang w:val="sq-AL"/>
        </w:rPr>
        <w:t>e</w:t>
      </w:r>
      <w:r w:rsidRPr="00603654">
        <w:rPr>
          <w:color w:val="000000"/>
          <w:lang w:val="sq-AL"/>
        </w:rPr>
        <w:t xml:space="preserve"> (HHI = 853), ndërsa ana e blerjes është mesatarisht e përqendruar (HHI = 1,220). Numri i pjesëmarrësve (32 shitës dhe 33 blerës) është i krahasueshëm me tregjet e BE-së.</w:t>
      </w:r>
    </w:p>
    <w:p w14:paraId="1F3DCC24" w14:textId="10A3FC07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Çmimet e tregut të Shqipërisë dhe Kosovës konvergjojnë në mbi 99% të orëve të periudhës së analizuar, duke justifikuar trajtimin e tyre si treg i bashkuar në llogaritjen e treguesve.</w:t>
      </w:r>
    </w:p>
    <w:p w14:paraId="20CD4A36" w14:textId="77777777" w:rsidR="00221535" w:rsidRPr="00603654" w:rsidRDefault="00C45BE8" w:rsidP="009B28AB">
      <w:pPr>
        <w:spacing w:after="80" w:line="276" w:lineRule="auto"/>
        <w:jc w:val="both"/>
      </w:pPr>
      <w:r w:rsidRPr="00603654">
        <w:rPr>
          <w:b/>
          <w:bCs/>
          <w:color w:val="000000"/>
        </w:rPr>
        <w:t>4. Vlerësimet e ERE-s</w:t>
      </w:r>
    </w:p>
    <w:p w14:paraId="7EA4B7E1" w14:textId="485CB773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 xml:space="preserve">Vlerësimi është hartuar në përputhje të plotë me metodologjinë e miratuar me </w:t>
      </w:r>
      <w:r w:rsidR="002113F2">
        <w:rPr>
          <w:color w:val="000000"/>
          <w:lang w:val="sq-AL"/>
        </w:rPr>
        <w:t>v</w:t>
      </w:r>
      <w:r w:rsidRPr="00603654">
        <w:rPr>
          <w:color w:val="000000"/>
          <w:lang w:val="sq-AL"/>
        </w:rPr>
        <w:t xml:space="preserve">endimin e </w:t>
      </w:r>
      <w:r w:rsidR="009776C4" w:rsidRPr="00603654">
        <w:rPr>
          <w:color w:val="000000"/>
          <w:lang w:val="sq-AL"/>
        </w:rPr>
        <w:t>b</w:t>
      </w:r>
      <w:r w:rsidRPr="00603654">
        <w:rPr>
          <w:color w:val="000000"/>
          <w:lang w:val="sq-AL"/>
        </w:rPr>
        <w:t>ordit të ERE-s nr. 279, datë 06.11.2025 dhe me kërkesat e nenit 30 të ligjit nr. 24/2023.</w:t>
      </w:r>
    </w:p>
    <w:p w14:paraId="102F30C5" w14:textId="742C667D" w:rsidR="00221535" w:rsidRPr="00603654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Në b</w:t>
      </w:r>
      <w:r w:rsidR="002113F2">
        <w:rPr>
          <w:color w:val="000000"/>
          <w:lang w:val="sq-AL"/>
        </w:rPr>
        <w:t>a</w:t>
      </w:r>
      <w:r w:rsidRPr="00603654">
        <w:rPr>
          <w:color w:val="000000"/>
          <w:lang w:val="sq-AL"/>
        </w:rPr>
        <w:t xml:space="preserve">zë të analizës së të gjithë treguesve të vlerësuar, tregu i ditës-në-avancë i ALPEX, gjatë periudhës nëntor 2024 </w:t>
      </w:r>
      <w:r w:rsidR="00BF6BFE" w:rsidRPr="00603654">
        <w:rPr>
          <w:color w:val="000000"/>
          <w:lang w:val="sq-AL"/>
        </w:rPr>
        <w:t xml:space="preserve">- </w:t>
      </w:r>
      <w:r w:rsidRPr="00603654">
        <w:rPr>
          <w:color w:val="000000"/>
          <w:lang w:val="sq-AL"/>
        </w:rPr>
        <w:t xml:space="preserve">tetor 2025, </w:t>
      </w:r>
      <w:r w:rsidRPr="00603654">
        <w:rPr>
          <w:bCs/>
          <w:color w:val="000000"/>
          <w:lang w:val="sq-AL"/>
        </w:rPr>
        <w:t>ende nuk plotëson kriteret e gatishmërisë</w:t>
      </w:r>
      <w:r w:rsidRPr="00603654">
        <w:rPr>
          <w:color w:val="000000"/>
          <w:lang w:val="sq-AL"/>
        </w:rPr>
        <w:t xml:space="preserve"> për t’u përdorur si çmim referenc</w:t>
      </w:r>
      <w:r w:rsidR="002113F2">
        <w:rPr>
          <w:color w:val="000000"/>
          <w:lang w:val="sq-AL"/>
        </w:rPr>
        <w:t>e</w:t>
      </w:r>
      <w:r w:rsidRPr="00603654">
        <w:rPr>
          <w:color w:val="000000"/>
          <w:lang w:val="sq-AL"/>
        </w:rPr>
        <w:t xml:space="preserve"> në mekanizmat mbështet</w:t>
      </w:r>
      <w:r w:rsidR="002113F2">
        <w:rPr>
          <w:color w:val="000000"/>
          <w:lang w:val="sq-AL"/>
        </w:rPr>
        <w:t>ës</w:t>
      </w:r>
      <w:r w:rsidRPr="00603654">
        <w:rPr>
          <w:color w:val="000000"/>
          <w:lang w:val="sq-AL"/>
        </w:rPr>
        <w:t xml:space="preserve"> CfD për prodhuesit e energjisë nga burimet e rinovueshme në Shqipëri, kryesisht për shkak të faktorit të ulët të qarkullimit dhe thellësisë së pamjaftueshme të tregut.</w:t>
      </w:r>
    </w:p>
    <w:p w14:paraId="3324C922" w14:textId="6664BF7F" w:rsidR="0080177E" w:rsidRPr="0080177E" w:rsidRDefault="00C45BE8" w:rsidP="0080177E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Treguesit pozitivë të evidentuar</w:t>
      </w:r>
      <w:r w:rsidR="00BF6BFE" w:rsidRPr="00603654">
        <w:rPr>
          <w:color w:val="000000"/>
          <w:lang w:val="sq-AL"/>
        </w:rPr>
        <w:t>,</w:t>
      </w:r>
      <w:r w:rsidRPr="00603654">
        <w:rPr>
          <w:color w:val="000000"/>
          <w:lang w:val="sq-AL"/>
        </w:rPr>
        <w:t xml:space="preserve"> si disponueshmëria e vazhdueshme e çmimit referencë për 12 muaj, konkurrueshmëria e anës së shitjes dhe bid-ask spread i </w:t>
      </w:r>
      <w:r w:rsidR="0080177E">
        <w:rPr>
          <w:color w:val="000000"/>
          <w:lang w:val="sq-AL"/>
        </w:rPr>
        <w:t>cili rezulton i disponuesh</w:t>
      </w:r>
      <w:r w:rsidR="0080177E" w:rsidRPr="00603654">
        <w:rPr>
          <w:color w:val="000000"/>
          <w:lang w:val="sq-AL"/>
        </w:rPr>
        <w:t>ë</w:t>
      </w:r>
      <w:r w:rsidR="0080177E">
        <w:rPr>
          <w:color w:val="000000"/>
          <w:lang w:val="sq-AL"/>
        </w:rPr>
        <w:t>m</w:t>
      </w:r>
      <w:r w:rsidR="0080177E" w:rsidRPr="00603654">
        <w:rPr>
          <w:color w:val="000000"/>
          <w:lang w:val="sq-AL"/>
        </w:rPr>
        <w:t xml:space="preserve"> </w:t>
      </w:r>
      <w:r w:rsidRPr="00603654">
        <w:rPr>
          <w:color w:val="000000"/>
          <w:lang w:val="sq-AL"/>
        </w:rPr>
        <w:t>në 97.5% të orëve</w:t>
      </w:r>
      <w:r w:rsidR="00BF6BFE" w:rsidRPr="00603654">
        <w:rPr>
          <w:color w:val="000000"/>
          <w:lang w:val="sq-AL"/>
        </w:rPr>
        <w:t xml:space="preserve">, </w:t>
      </w:r>
      <w:r w:rsidRPr="00603654">
        <w:rPr>
          <w:color w:val="000000"/>
          <w:lang w:val="sq-AL"/>
        </w:rPr>
        <w:t>konfirmojnë drejtimin pozitiv të zhvillimit të tregut.</w:t>
      </w:r>
    </w:p>
    <w:p w14:paraId="61B32D64" w14:textId="190C239E" w:rsidR="0080177E" w:rsidRPr="0080177E" w:rsidRDefault="00BF6BFE" w:rsidP="0080177E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80177E">
        <w:rPr>
          <w:color w:val="000000"/>
          <w:lang w:val="sq-AL"/>
        </w:rPr>
        <w:t xml:space="preserve">Kryerjen e vlerësimit të radhës </w:t>
      </w:r>
      <w:r w:rsidR="002113F2" w:rsidRPr="0080177E">
        <w:rPr>
          <w:color w:val="000000"/>
          <w:lang w:val="sq-AL"/>
        </w:rPr>
        <w:t>s</w:t>
      </w:r>
      <w:r w:rsidRPr="0080177E">
        <w:rPr>
          <w:color w:val="000000"/>
          <w:lang w:val="sq-AL"/>
        </w:rPr>
        <w:t>ë gatishmërisë së tregut të ditës</w:t>
      </w:r>
      <w:r w:rsidR="009B28AB" w:rsidRPr="0080177E">
        <w:rPr>
          <w:color w:val="000000"/>
          <w:lang w:val="sq-AL"/>
        </w:rPr>
        <w:t xml:space="preserve"> </w:t>
      </w:r>
      <w:r w:rsidRPr="0080177E">
        <w:rPr>
          <w:color w:val="000000"/>
          <w:lang w:val="sq-AL"/>
        </w:rPr>
        <w:t>në</w:t>
      </w:r>
      <w:r w:rsidR="009B28AB" w:rsidRPr="0080177E">
        <w:rPr>
          <w:color w:val="000000"/>
          <w:lang w:val="sq-AL"/>
        </w:rPr>
        <w:t xml:space="preserve"> </w:t>
      </w:r>
      <w:r w:rsidRPr="0080177E">
        <w:rPr>
          <w:color w:val="000000"/>
          <w:lang w:val="sq-AL"/>
        </w:rPr>
        <w:t xml:space="preserve">avancë të ALPEX, sipas ciklit të parashikuar nga metodologjia e miratuar, me qëllim rivlerësimin e treguesve </w:t>
      </w:r>
      <w:r w:rsidR="0080177E" w:rsidRPr="0080177E">
        <w:rPr>
          <w:color w:val="000000"/>
          <w:lang w:val="sq-AL"/>
        </w:rPr>
        <w:t xml:space="preserve">me qëllim rivlerësimin e treguesve pas 6 muajsh nga </w:t>
      </w:r>
      <w:r w:rsidR="001D3CCD" w:rsidRPr="0080177E">
        <w:rPr>
          <w:color w:val="000000"/>
          <w:lang w:val="sq-AL"/>
        </w:rPr>
        <w:t>kryerja</w:t>
      </w:r>
      <w:r w:rsidR="0080177E" w:rsidRPr="0080177E">
        <w:rPr>
          <w:color w:val="000000"/>
          <w:lang w:val="sq-AL"/>
        </w:rPr>
        <w:t xml:space="preserve"> e këtij vlerësimi.</w:t>
      </w:r>
    </w:p>
    <w:p w14:paraId="1C5A3A03" w14:textId="77777777" w:rsidR="00221535" w:rsidRPr="0080177E" w:rsidRDefault="00C45BE8" w:rsidP="009B28AB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lang w:val="sq-AL"/>
        </w:rPr>
      </w:pPr>
      <w:r w:rsidRPr="0080177E">
        <w:rPr>
          <w:color w:val="000000"/>
          <w:lang w:val="sq-AL"/>
        </w:rPr>
        <w:t>Procedura e konsultimit publik është kryer në përputhje me kuadrin ligjor dhe rregullator në fuqi, duke siguruar transparencë dhe gjithëpërfshirje të palëve të interesit.</w:t>
      </w:r>
    </w:p>
    <w:p w14:paraId="4C70405C" w14:textId="77777777" w:rsidR="00221535" w:rsidRPr="00603654" w:rsidRDefault="00C45BE8" w:rsidP="009B28AB">
      <w:pPr>
        <w:spacing w:after="60" w:line="276" w:lineRule="auto"/>
        <w:jc w:val="both"/>
      </w:pPr>
      <w:r w:rsidRPr="00603654">
        <w:rPr>
          <w:color w:val="000000"/>
        </w:rPr>
        <w:t xml:space="preserve"> </w:t>
      </w:r>
    </w:p>
    <w:p w14:paraId="0961D6E7" w14:textId="1574335A" w:rsidR="00221535" w:rsidRPr="00603654" w:rsidRDefault="00C45BE8" w:rsidP="009B28AB">
      <w:pPr>
        <w:spacing w:after="120" w:line="276" w:lineRule="auto"/>
        <w:jc w:val="both"/>
      </w:pPr>
      <w:r w:rsidRPr="00603654">
        <w:rPr>
          <w:color w:val="000000"/>
        </w:rPr>
        <w:lastRenderedPageBreak/>
        <w:t>Për gjithë sa më sipër, bordi i ERE-s,</w:t>
      </w:r>
    </w:p>
    <w:p w14:paraId="097E085B" w14:textId="77777777" w:rsidR="00221535" w:rsidRPr="00603654" w:rsidRDefault="00C45BE8" w:rsidP="009B28AB">
      <w:pPr>
        <w:spacing w:after="120" w:line="276" w:lineRule="auto"/>
        <w:ind w:left="3600" w:firstLine="720"/>
        <w:jc w:val="both"/>
      </w:pPr>
      <w:r w:rsidRPr="00603654">
        <w:rPr>
          <w:b/>
          <w:bCs/>
          <w:color w:val="000000"/>
        </w:rPr>
        <w:t>Vendosi:</w:t>
      </w:r>
    </w:p>
    <w:p w14:paraId="43133385" w14:textId="64326F5C" w:rsidR="00221535" w:rsidRPr="0080177E" w:rsidRDefault="00C45BE8" w:rsidP="009B28AB">
      <w:pPr>
        <w:pStyle w:val="ListParagraph"/>
        <w:numPr>
          <w:ilvl w:val="0"/>
          <w:numId w:val="4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 xml:space="preserve">Miratimin e </w:t>
      </w:r>
      <w:r w:rsidRPr="00603654">
        <w:rPr>
          <w:i/>
          <w:iCs/>
          <w:color w:val="000000"/>
          <w:lang w:val="sq-AL"/>
        </w:rPr>
        <w:t>“Vlerësimit të ERE-s për Gatishmërinë e Tregut të Ditës-Në-Avancë në Shqipëri”</w:t>
      </w:r>
      <w:r w:rsidR="0080177E">
        <w:rPr>
          <w:i/>
          <w:iCs/>
          <w:color w:val="000000"/>
          <w:lang w:val="sq-AL"/>
        </w:rPr>
        <w:t>.</w:t>
      </w:r>
      <w:r w:rsidRPr="00603654">
        <w:rPr>
          <w:color w:val="000000"/>
          <w:lang w:val="sq-AL"/>
        </w:rPr>
        <w:t xml:space="preserve"> (Bashkëlidhur)</w:t>
      </w:r>
    </w:p>
    <w:p w14:paraId="7DE708EA" w14:textId="77777777" w:rsidR="0080177E" w:rsidRPr="00603654" w:rsidRDefault="0080177E" w:rsidP="0080177E">
      <w:pPr>
        <w:pStyle w:val="ListParagraph"/>
        <w:spacing w:before="60" w:after="60" w:line="276" w:lineRule="auto"/>
        <w:ind w:left="360"/>
        <w:jc w:val="both"/>
        <w:rPr>
          <w:lang w:val="sq-AL"/>
        </w:rPr>
      </w:pPr>
    </w:p>
    <w:p w14:paraId="37E3FD83" w14:textId="586EF846" w:rsidR="00662136" w:rsidRPr="00603654" w:rsidRDefault="00662136" w:rsidP="009B28AB">
      <w:pPr>
        <w:pStyle w:val="ListParagraph"/>
        <w:numPr>
          <w:ilvl w:val="0"/>
          <w:numId w:val="4"/>
        </w:numPr>
        <w:spacing w:before="60" w:after="60" w:line="276" w:lineRule="auto"/>
        <w:jc w:val="both"/>
        <w:rPr>
          <w:lang w:val="sq-AL"/>
        </w:rPr>
      </w:pPr>
      <w:r w:rsidRPr="00603654">
        <w:rPr>
          <w:color w:val="000000"/>
          <w:lang w:val="sq-AL"/>
        </w:rPr>
        <w:t>Drejtoria Juridike dhe Zgjidhjes së Mosmarrëveshjeve</w:t>
      </w:r>
      <w:r w:rsidR="00BF6BFE" w:rsidRPr="00603654">
        <w:rPr>
          <w:color w:val="000000"/>
          <w:lang w:val="sq-AL"/>
        </w:rPr>
        <w:t>,</w:t>
      </w:r>
      <w:r w:rsidRPr="00603654">
        <w:rPr>
          <w:color w:val="000000"/>
          <w:lang w:val="sq-AL"/>
        </w:rPr>
        <w:t xml:space="preserve"> të njoftojë palët e interesit përfshirë MIE, ALPEX sh.a., AAES, AREA, FTL sh.a. dhe Sekretariatin e Komunitetit të Energjisë, </w:t>
      </w:r>
      <w:r w:rsidR="00487208">
        <w:rPr>
          <w:color w:val="000000"/>
          <w:lang w:val="sq-AL"/>
        </w:rPr>
        <w:t>për</w:t>
      </w:r>
      <w:r w:rsidRPr="00603654">
        <w:rPr>
          <w:color w:val="000000"/>
          <w:lang w:val="sq-AL"/>
        </w:rPr>
        <w:t xml:space="preserve"> me vendimin e bordit të ERE-s.</w:t>
      </w:r>
    </w:p>
    <w:p w14:paraId="40816E78" w14:textId="5EA3EEF7" w:rsidR="00221535" w:rsidRDefault="00221535" w:rsidP="009B28AB">
      <w:pPr>
        <w:spacing w:after="60" w:line="276" w:lineRule="auto"/>
        <w:jc w:val="both"/>
      </w:pPr>
    </w:p>
    <w:p w14:paraId="4077D04E" w14:textId="64857EDA" w:rsidR="00221535" w:rsidRPr="00603654" w:rsidRDefault="00221535" w:rsidP="009B28AB">
      <w:pPr>
        <w:spacing w:after="60" w:line="276" w:lineRule="auto"/>
        <w:jc w:val="both"/>
      </w:pPr>
    </w:p>
    <w:p w14:paraId="4F7F0A97" w14:textId="5B14DD8E" w:rsidR="00221535" w:rsidRPr="00603654" w:rsidRDefault="00C45BE8" w:rsidP="009B28AB">
      <w:pPr>
        <w:spacing w:after="120" w:line="276" w:lineRule="auto"/>
        <w:jc w:val="both"/>
      </w:pPr>
      <w:r w:rsidRPr="00603654">
        <w:rPr>
          <w:color w:val="000000"/>
        </w:rPr>
        <w:t xml:space="preserve">Ky vendim hyn në fuqi </w:t>
      </w:r>
      <w:r w:rsidR="00BF6BFE" w:rsidRPr="00603654">
        <w:rPr>
          <w:color w:val="000000"/>
        </w:rPr>
        <w:t>menjëherë</w:t>
      </w:r>
      <w:r w:rsidRPr="00603654">
        <w:rPr>
          <w:color w:val="000000"/>
        </w:rPr>
        <w:t>.</w:t>
      </w:r>
    </w:p>
    <w:p w14:paraId="57C61CEB" w14:textId="51A9DF8A" w:rsidR="00221535" w:rsidRPr="00603654" w:rsidRDefault="00C45BE8" w:rsidP="009B28AB">
      <w:pPr>
        <w:spacing w:after="120" w:line="276" w:lineRule="auto"/>
        <w:jc w:val="both"/>
      </w:pPr>
      <w:r w:rsidRPr="00603654">
        <w:rPr>
          <w:color w:val="000000"/>
        </w:rPr>
        <w:t>Çdo palë e përfshirë në këtë procedurë mund t’i kërkojë ERE-s, brenda 7 ditëve kalendarike nga data e marrës dijeni, rishikimin e vendimit të bordit në rast se ka siguruar prova të reja që mund ta çojnë bordin në marrjen e një vendimi të ndryshëm nga i mëparshmi apo për gabime materiale të konstatuara. Për këtë vendim mund të bëhet ankim në Gjykatën Administrative Tiranë, brenda 30 ditëve kalendarike nga dita e publikimit në Fletoren Zyrtare.</w:t>
      </w:r>
    </w:p>
    <w:p w14:paraId="665049F2" w14:textId="7A034CA2" w:rsidR="00221535" w:rsidRDefault="00C45BE8" w:rsidP="00603654">
      <w:pPr>
        <w:spacing w:after="120"/>
        <w:jc w:val="both"/>
        <w:rPr>
          <w:color w:val="000000"/>
        </w:rPr>
      </w:pPr>
      <w:r w:rsidRPr="00603654">
        <w:rPr>
          <w:color w:val="000000"/>
        </w:rPr>
        <w:t>Ky vendim botohet në Fletoren Zyrtare.</w:t>
      </w:r>
    </w:p>
    <w:p w14:paraId="6B9FEB85" w14:textId="711B3324" w:rsidR="009B28AB" w:rsidRDefault="009B28AB" w:rsidP="00603654">
      <w:pPr>
        <w:spacing w:after="120"/>
        <w:jc w:val="both"/>
        <w:rPr>
          <w:color w:val="000000"/>
        </w:rPr>
      </w:pPr>
    </w:p>
    <w:p w14:paraId="33DF34D0" w14:textId="236B379C" w:rsidR="00013146" w:rsidRDefault="00013146" w:rsidP="00013146">
      <w:pPr>
        <w:tabs>
          <w:tab w:val="left" w:pos="7514"/>
        </w:tabs>
        <w:rPr>
          <w:rFonts w:eastAsia="Batang"/>
          <w:b/>
          <w:bCs/>
        </w:rPr>
      </w:pPr>
      <w:r>
        <w:rPr>
          <w:color w:val="000000"/>
        </w:rPr>
        <w:tab/>
      </w:r>
      <w:r>
        <w:rPr>
          <w:rFonts w:eastAsia="Batang"/>
          <w:b/>
          <w:bCs/>
        </w:rPr>
        <w:t>KRYETARI</w:t>
      </w:r>
    </w:p>
    <w:p w14:paraId="63412DF1" w14:textId="77777777" w:rsidR="00013146" w:rsidRDefault="00013146" w:rsidP="00013146">
      <w:pPr>
        <w:tabs>
          <w:tab w:val="left" w:pos="7514"/>
        </w:tabs>
        <w:rPr>
          <w:rFonts w:eastAsia="Batang"/>
          <w:b/>
          <w:bCs/>
        </w:rPr>
      </w:pPr>
    </w:p>
    <w:p w14:paraId="14F9D8EC" w14:textId="35B84DBB" w:rsidR="00013146" w:rsidRDefault="00013146" w:rsidP="00013146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 Petrit AHMETI</w:t>
      </w:r>
    </w:p>
    <w:p w14:paraId="3B85E696" w14:textId="5003828A" w:rsidR="009B28AB" w:rsidRDefault="009B28AB" w:rsidP="00013146">
      <w:pPr>
        <w:tabs>
          <w:tab w:val="left" w:pos="7745"/>
        </w:tabs>
        <w:spacing w:after="120"/>
        <w:jc w:val="both"/>
        <w:rPr>
          <w:color w:val="000000"/>
        </w:rPr>
      </w:pPr>
    </w:p>
    <w:p w14:paraId="663FA995" w14:textId="3359B37D" w:rsidR="009B28AB" w:rsidRDefault="009B28AB" w:rsidP="00603654">
      <w:pPr>
        <w:spacing w:after="120"/>
        <w:jc w:val="both"/>
        <w:rPr>
          <w:color w:val="000000"/>
        </w:rPr>
      </w:pPr>
    </w:p>
    <w:p w14:paraId="13478DA4" w14:textId="3B118E24" w:rsidR="009B28AB" w:rsidRDefault="009B28AB" w:rsidP="00603654">
      <w:pPr>
        <w:spacing w:after="120"/>
        <w:jc w:val="both"/>
        <w:rPr>
          <w:color w:val="000000"/>
        </w:rPr>
      </w:pPr>
    </w:p>
    <w:p w14:paraId="61806A05" w14:textId="1C95A517" w:rsidR="009776C4" w:rsidRPr="00603654" w:rsidRDefault="009776C4" w:rsidP="00013146">
      <w:pPr>
        <w:spacing w:after="60"/>
      </w:pPr>
    </w:p>
    <w:p w14:paraId="6CE9B98E" w14:textId="77777777" w:rsidR="00BF6BFE" w:rsidRPr="00BF6BFE" w:rsidRDefault="00BF6BFE" w:rsidP="009776C4">
      <w:pPr>
        <w:spacing w:after="300" w:line="276" w:lineRule="auto"/>
        <w:rPr>
          <w:lang w:val="it-IT"/>
        </w:rPr>
      </w:pPr>
    </w:p>
    <w:sectPr w:rsidR="00BF6BFE" w:rsidRPr="00BF6BFE" w:rsidSect="00F5181B">
      <w:footerReference w:type="default" r:id="rId9"/>
      <w:pgSz w:w="11906" w:h="16838"/>
      <w:pgMar w:top="1134" w:right="1134" w:bottom="1134" w:left="1418" w:header="708" w:footer="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E2BD8" w14:textId="77777777" w:rsidR="0067686E" w:rsidRPr="00603654" w:rsidRDefault="0067686E">
      <w:r w:rsidRPr="00603654">
        <w:separator/>
      </w:r>
    </w:p>
  </w:endnote>
  <w:endnote w:type="continuationSeparator" w:id="0">
    <w:p w14:paraId="1F3A7EDD" w14:textId="77777777" w:rsidR="0067686E" w:rsidRPr="00603654" w:rsidRDefault="0067686E">
      <w:r w:rsidRPr="006036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A4980" w14:textId="77777777" w:rsidR="002721ED" w:rsidRPr="00603654" w:rsidRDefault="002721ED">
    <w:pPr>
      <w:pStyle w:val="Footer"/>
      <w:jc w:val="center"/>
    </w:pPr>
  </w:p>
  <w:tbl>
    <w:tblPr>
      <w:tblW w:w="9806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91"/>
      <w:gridCol w:w="4915"/>
    </w:tblGrid>
    <w:tr w:rsidR="002721ED" w:rsidRPr="00F5181B" w14:paraId="2FE292E2" w14:textId="77777777" w:rsidTr="00BD2F6E">
      <w:trPr>
        <w:trHeight w:val="671"/>
        <w:jc w:val="center"/>
      </w:trPr>
      <w:tc>
        <w:tcPr>
          <w:tcW w:w="4891" w:type="dxa"/>
        </w:tcPr>
        <w:p w14:paraId="6CD270DD" w14:textId="27ECB7CE" w:rsidR="002721ED" w:rsidRPr="00F5181B" w:rsidRDefault="002721ED" w:rsidP="002721ED">
          <w:pPr>
            <w:tabs>
              <w:tab w:val="center" w:pos="4680"/>
              <w:tab w:val="right" w:pos="9360"/>
            </w:tabs>
            <w:rPr>
              <w:sz w:val="20"/>
              <w:szCs w:val="20"/>
            </w:rPr>
          </w:pPr>
          <w:r w:rsidRPr="00F5181B">
            <w:rPr>
              <w:sz w:val="20"/>
              <w:szCs w:val="20"/>
            </w:rPr>
            <w:t>Adresa: Rruga ”Irfan Tomini”, Njësia Administrative Nr. 7, Tiranë</w:t>
          </w:r>
          <w:r w:rsidR="00BF6BFE" w:rsidRPr="00F5181B">
            <w:rPr>
              <w:sz w:val="20"/>
              <w:szCs w:val="20"/>
            </w:rPr>
            <w:t xml:space="preserve">; </w:t>
          </w:r>
          <w:r w:rsidRPr="00F5181B">
            <w:rPr>
              <w:sz w:val="20"/>
              <w:szCs w:val="20"/>
            </w:rPr>
            <w:t xml:space="preserve">web: </w:t>
          </w:r>
          <w:hyperlink r:id="rId1" w:history="1">
            <w:r w:rsidRPr="00F5181B">
              <w:rPr>
                <w:color w:val="0563C1"/>
                <w:sz w:val="20"/>
                <w:szCs w:val="20"/>
                <w:u w:val="single"/>
              </w:rPr>
              <w:t>www.ere.gov.al</w:t>
            </w:r>
          </w:hyperlink>
          <w:r w:rsidRPr="00F5181B">
            <w:rPr>
              <w:sz w:val="20"/>
              <w:szCs w:val="20"/>
            </w:rPr>
            <w:t xml:space="preserve">           </w:t>
          </w:r>
        </w:p>
      </w:tc>
      <w:tc>
        <w:tcPr>
          <w:tcW w:w="4915" w:type="dxa"/>
        </w:tcPr>
        <w:p w14:paraId="6040C56B" w14:textId="77777777" w:rsidR="002721ED" w:rsidRPr="00F5181B" w:rsidRDefault="002721ED" w:rsidP="002721ED">
          <w:pPr>
            <w:tabs>
              <w:tab w:val="center" w:pos="4680"/>
              <w:tab w:val="right" w:pos="9360"/>
            </w:tabs>
            <w:jc w:val="right"/>
            <w:rPr>
              <w:sz w:val="20"/>
              <w:szCs w:val="20"/>
            </w:rPr>
          </w:pPr>
          <w:r w:rsidRPr="00F5181B">
            <w:rPr>
              <w:sz w:val="20"/>
              <w:szCs w:val="20"/>
            </w:rPr>
            <w:t xml:space="preserve">Tel: +355 45 620 820, +355 45 620 821                                                                                                                 E-mail: </w:t>
          </w:r>
          <w:hyperlink r:id="rId2" w:history="1">
            <w:r w:rsidRPr="00F5181B">
              <w:rPr>
                <w:color w:val="0563C1"/>
                <w:sz w:val="20"/>
                <w:szCs w:val="20"/>
                <w:u w:val="single"/>
              </w:rPr>
              <w:t>erealb@ere.gov.al</w:t>
            </w:r>
          </w:hyperlink>
        </w:p>
      </w:tc>
    </w:tr>
  </w:tbl>
  <w:sdt>
    <w:sdtPr>
      <w:rPr>
        <w:sz w:val="20"/>
        <w:szCs w:val="20"/>
      </w:rPr>
      <w:id w:val="1627113320"/>
      <w:docPartObj>
        <w:docPartGallery w:val="Page Numbers (Bottom of Page)"/>
        <w:docPartUnique/>
      </w:docPartObj>
    </w:sdtPr>
    <w:sdtEndPr/>
    <w:sdtContent>
      <w:p w14:paraId="2229A8FE" w14:textId="77777777" w:rsidR="002721ED" w:rsidRPr="00F5181B" w:rsidRDefault="002721ED" w:rsidP="002721ED">
        <w:pPr>
          <w:pStyle w:val="Footer"/>
          <w:jc w:val="center"/>
          <w:rPr>
            <w:sz w:val="20"/>
            <w:szCs w:val="20"/>
          </w:rPr>
        </w:pPr>
        <w:r w:rsidRPr="00F5181B">
          <w:rPr>
            <w:sz w:val="20"/>
            <w:szCs w:val="20"/>
          </w:rPr>
          <w:fldChar w:fldCharType="begin"/>
        </w:r>
        <w:r w:rsidRPr="00F5181B">
          <w:rPr>
            <w:sz w:val="20"/>
            <w:szCs w:val="20"/>
          </w:rPr>
          <w:instrText xml:space="preserve"> PAGE   \* MERGEFORMAT </w:instrText>
        </w:r>
        <w:r w:rsidRPr="00F5181B">
          <w:rPr>
            <w:sz w:val="20"/>
            <w:szCs w:val="20"/>
          </w:rPr>
          <w:fldChar w:fldCharType="separate"/>
        </w:r>
        <w:r w:rsidR="00B63358">
          <w:rPr>
            <w:noProof/>
            <w:sz w:val="20"/>
            <w:szCs w:val="20"/>
          </w:rPr>
          <w:t>2</w:t>
        </w:r>
        <w:r w:rsidRPr="00F5181B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B3032" w14:textId="77777777" w:rsidR="0067686E" w:rsidRPr="00603654" w:rsidRDefault="0067686E">
      <w:r w:rsidRPr="00603654">
        <w:separator/>
      </w:r>
    </w:p>
  </w:footnote>
  <w:footnote w:type="continuationSeparator" w:id="0">
    <w:p w14:paraId="60461E6D" w14:textId="77777777" w:rsidR="0067686E" w:rsidRPr="00603654" w:rsidRDefault="0067686E">
      <w:r w:rsidRPr="00603654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11B45"/>
    <w:multiLevelType w:val="hybridMultilevel"/>
    <w:tmpl w:val="BE30C3A4"/>
    <w:lvl w:ilvl="0" w:tplc="14BCF78A">
      <w:start w:val="1"/>
      <w:numFmt w:val="bullet"/>
      <w:lvlText w:val="●"/>
      <w:lvlJc w:val="left"/>
      <w:pPr>
        <w:ind w:left="720" w:hanging="360"/>
      </w:pPr>
    </w:lvl>
    <w:lvl w:ilvl="1" w:tplc="EC1A59AC">
      <w:start w:val="1"/>
      <w:numFmt w:val="bullet"/>
      <w:lvlText w:val="○"/>
      <w:lvlJc w:val="left"/>
      <w:pPr>
        <w:ind w:left="1440" w:hanging="360"/>
      </w:pPr>
    </w:lvl>
    <w:lvl w:ilvl="2" w:tplc="B0F6400C">
      <w:start w:val="1"/>
      <w:numFmt w:val="bullet"/>
      <w:lvlText w:val="■"/>
      <w:lvlJc w:val="left"/>
      <w:pPr>
        <w:ind w:left="2160" w:hanging="360"/>
      </w:pPr>
    </w:lvl>
    <w:lvl w:ilvl="3" w:tplc="596CD576">
      <w:start w:val="1"/>
      <w:numFmt w:val="bullet"/>
      <w:lvlText w:val="●"/>
      <w:lvlJc w:val="left"/>
      <w:pPr>
        <w:ind w:left="2880" w:hanging="360"/>
      </w:pPr>
    </w:lvl>
    <w:lvl w:ilvl="4" w:tplc="96B2D510">
      <w:start w:val="1"/>
      <w:numFmt w:val="bullet"/>
      <w:lvlText w:val="○"/>
      <w:lvlJc w:val="left"/>
      <w:pPr>
        <w:ind w:left="3600" w:hanging="360"/>
      </w:pPr>
    </w:lvl>
    <w:lvl w:ilvl="5" w:tplc="8600563A">
      <w:start w:val="1"/>
      <w:numFmt w:val="bullet"/>
      <w:lvlText w:val="■"/>
      <w:lvlJc w:val="left"/>
      <w:pPr>
        <w:ind w:left="4320" w:hanging="360"/>
      </w:pPr>
    </w:lvl>
    <w:lvl w:ilvl="6" w:tplc="858000E2">
      <w:start w:val="1"/>
      <w:numFmt w:val="bullet"/>
      <w:lvlText w:val="●"/>
      <w:lvlJc w:val="left"/>
      <w:pPr>
        <w:ind w:left="5040" w:hanging="360"/>
      </w:pPr>
    </w:lvl>
    <w:lvl w:ilvl="7" w:tplc="32AA1BF8">
      <w:start w:val="1"/>
      <w:numFmt w:val="bullet"/>
      <w:lvlText w:val="●"/>
      <w:lvlJc w:val="left"/>
      <w:pPr>
        <w:ind w:left="5760" w:hanging="360"/>
      </w:pPr>
    </w:lvl>
    <w:lvl w:ilvl="8" w:tplc="40123E2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C6673C2"/>
    <w:multiLevelType w:val="hybridMultilevel"/>
    <w:tmpl w:val="D35ACFD4"/>
    <w:lvl w:ilvl="0" w:tplc="15C81B6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BE2B4E"/>
    <w:multiLevelType w:val="hybridMultilevel"/>
    <w:tmpl w:val="29343B12"/>
    <w:lvl w:ilvl="0" w:tplc="87041A78">
      <w:start w:val="1"/>
      <w:numFmt w:val="bullet"/>
      <w:lvlText w:val="-"/>
      <w:lvlJc w:val="left"/>
      <w:pPr>
        <w:ind w:left="360" w:hanging="360"/>
      </w:pPr>
    </w:lvl>
    <w:lvl w:ilvl="1" w:tplc="B6100354">
      <w:numFmt w:val="decimal"/>
      <w:lvlText w:val=""/>
      <w:lvlJc w:val="left"/>
    </w:lvl>
    <w:lvl w:ilvl="2" w:tplc="0206064A">
      <w:numFmt w:val="decimal"/>
      <w:lvlText w:val=""/>
      <w:lvlJc w:val="left"/>
    </w:lvl>
    <w:lvl w:ilvl="3" w:tplc="C48E1F80">
      <w:numFmt w:val="decimal"/>
      <w:lvlText w:val=""/>
      <w:lvlJc w:val="left"/>
    </w:lvl>
    <w:lvl w:ilvl="4" w:tplc="D53E6744">
      <w:numFmt w:val="decimal"/>
      <w:lvlText w:val=""/>
      <w:lvlJc w:val="left"/>
    </w:lvl>
    <w:lvl w:ilvl="5" w:tplc="38BE5764">
      <w:numFmt w:val="decimal"/>
      <w:lvlText w:val=""/>
      <w:lvlJc w:val="left"/>
    </w:lvl>
    <w:lvl w:ilvl="6" w:tplc="0E18173E">
      <w:numFmt w:val="decimal"/>
      <w:lvlText w:val=""/>
      <w:lvlJc w:val="left"/>
    </w:lvl>
    <w:lvl w:ilvl="7" w:tplc="21D8BE66">
      <w:numFmt w:val="decimal"/>
      <w:lvlText w:val=""/>
      <w:lvlJc w:val="left"/>
    </w:lvl>
    <w:lvl w:ilvl="8" w:tplc="008C79EA">
      <w:numFmt w:val="decimal"/>
      <w:lvlText w:val=""/>
      <w:lvlJc w:val="left"/>
    </w:lvl>
  </w:abstractNum>
  <w:abstractNum w:abstractNumId="3" w15:restartNumberingAfterBreak="0">
    <w:nsid w:val="70320197"/>
    <w:multiLevelType w:val="hybridMultilevel"/>
    <w:tmpl w:val="0994C4C4"/>
    <w:lvl w:ilvl="0" w:tplc="8A206EB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35"/>
    <w:rsid w:val="00013146"/>
    <w:rsid w:val="001D3CCD"/>
    <w:rsid w:val="00200037"/>
    <w:rsid w:val="002113F2"/>
    <w:rsid w:val="00221535"/>
    <w:rsid w:val="002721ED"/>
    <w:rsid w:val="002B16B1"/>
    <w:rsid w:val="002F1F16"/>
    <w:rsid w:val="00487208"/>
    <w:rsid w:val="004E5553"/>
    <w:rsid w:val="00603654"/>
    <w:rsid w:val="00662136"/>
    <w:rsid w:val="0067686E"/>
    <w:rsid w:val="0075040A"/>
    <w:rsid w:val="00781FCA"/>
    <w:rsid w:val="007A15F0"/>
    <w:rsid w:val="0080177E"/>
    <w:rsid w:val="009776C4"/>
    <w:rsid w:val="009B28AB"/>
    <w:rsid w:val="00B51F32"/>
    <w:rsid w:val="00B63358"/>
    <w:rsid w:val="00BF6BFE"/>
    <w:rsid w:val="00C45BE8"/>
    <w:rsid w:val="00D43B4E"/>
    <w:rsid w:val="00DB08BA"/>
    <w:rsid w:val="00EB59B1"/>
    <w:rsid w:val="00F5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B75A8"/>
  <w15:docId w15:val="{4DDC03ED-AC79-461E-BD58-1733D362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21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136"/>
  </w:style>
  <w:style w:type="paragraph" w:styleId="Footer">
    <w:name w:val="footer"/>
    <w:basedOn w:val="Normal"/>
    <w:link w:val="FooterChar"/>
    <w:uiPriority w:val="99"/>
    <w:unhideWhenUsed/>
    <w:rsid w:val="006621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136"/>
  </w:style>
  <w:style w:type="paragraph" w:styleId="Revision">
    <w:name w:val="Revision"/>
    <w:hidden/>
    <w:uiPriority w:val="99"/>
    <w:semiHidden/>
    <w:rsid w:val="00603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6F960-07F0-4473-8D89-42D32E7B1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Agron Como</dc:creator>
  <cp:lastModifiedBy>Entela Suli</cp:lastModifiedBy>
  <cp:revision>2</cp:revision>
  <dcterms:created xsi:type="dcterms:W3CDTF">2026-06-12T07:11:00Z</dcterms:created>
  <dcterms:modified xsi:type="dcterms:W3CDTF">2026-06-12T07:11:00Z</dcterms:modified>
</cp:coreProperties>
</file>