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8874A0" w14:textId="4436B209" w:rsidR="0004482E" w:rsidRDefault="00BD3D7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sq-AL"/>
        </w:rPr>
        <w:drawing>
          <wp:anchor distT="0" distB="0" distL="0" distR="0" simplePos="0" relativeHeight="2" behindDoc="0" locked="0" layoutInCell="1" allowOverlap="1" wp14:anchorId="41D0A91C" wp14:editId="1AF27528">
            <wp:simplePos x="0" y="0"/>
            <wp:positionH relativeFrom="margin">
              <wp:posOffset>-60960</wp:posOffset>
            </wp:positionH>
            <wp:positionV relativeFrom="paragraph">
              <wp:posOffset>-713105</wp:posOffset>
            </wp:positionV>
            <wp:extent cx="6111240" cy="708660"/>
            <wp:effectExtent l="0" t="0" r="3810" b="0"/>
            <wp:wrapNone/>
            <wp:docPr id="1026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9" cstate="print"/>
                    <a:srcRect/>
                    <a:stretch/>
                  </pic:blipFill>
                  <pic:spPr>
                    <a:xfrm>
                      <a:off x="0" y="0"/>
                      <a:ext cx="6111240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en-GB"/>
        </w:rPr>
        <w:t>ENTI RREGULLATOR I ENERGJISË</w:t>
      </w:r>
    </w:p>
    <w:p w14:paraId="23EECBFC" w14:textId="77777777" w:rsidR="0004482E" w:rsidRDefault="00BD3D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hAnsi="Times New Roman" w:cs="Times New Roman"/>
          <w:b/>
          <w:sz w:val="24"/>
          <w:szCs w:val="24"/>
          <w:lang w:eastAsia="en-GB"/>
        </w:rPr>
        <w:t>BORDI</w:t>
      </w:r>
    </w:p>
    <w:p w14:paraId="1B143C52" w14:textId="77777777" w:rsidR="0004482E" w:rsidRDefault="0004482E">
      <w:pPr>
        <w:spacing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725ACAFC" w14:textId="77777777" w:rsidR="0004482E" w:rsidRDefault="00BD3D75">
      <w:pPr>
        <w:spacing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VENDIM</w:t>
      </w:r>
    </w:p>
    <w:p w14:paraId="0BC34AD4" w14:textId="4F0B85F5" w:rsidR="0004482E" w:rsidRDefault="00BD3D75">
      <w:pPr>
        <w:spacing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bookmarkStart w:id="1" w:name="_Hlk73823563"/>
      <w:r>
        <w:rPr>
          <w:rFonts w:ascii="Times New Roman" w:hAnsi="Times New Roman" w:cs="Times New Roman"/>
          <w:b/>
          <w:iCs/>
          <w:sz w:val="24"/>
          <w:szCs w:val="24"/>
        </w:rPr>
        <w:t>Nr. 24, Datë 30.01.202</w:t>
      </w:r>
      <w:bookmarkStart w:id="2" w:name="_Hlk59535045"/>
      <w:bookmarkEnd w:id="1"/>
      <w:r>
        <w:rPr>
          <w:rFonts w:ascii="Times New Roman" w:hAnsi="Times New Roman" w:cs="Times New Roman"/>
          <w:b/>
          <w:iCs/>
          <w:sz w:val="24"/>
          <w:szCs w:val="24"/>
        </w:rPr>
        <w:t>6</w:t>
      </w:r>
    </w:p>
    <w:p w14:paraId="5E1A5E76" w14:textId="77777777" w:rsidR="0004482E" w:rsidRDefault="00BD3D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Hlk97069157"/>
      <w:bookmarkEnd w:id="2"/>
      <w:r>
        <w:rPr>
          <w:rFonts w:ascii="Times New Roman" w:hAnsi="Times New Roman" w:cs="Times New Roman"/>
          <w:b/>
          <w:sz w:val="24"/>
          <w:szCs w:val="24"/>
        </w:rPr>
        <w:t>MBI</w:t>
      </w:r>
    </w:p>
    <w:bookmarkEnd w:id="3"/>
    <w:p w14:paraId="34A6BE98" w14:textId="77777777" w:rsidR="0004482E" w:rsidRDefault="00BD3D7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VLERËSIMIN E RAPORTIT VJETOR TË ZYRTARIT TË PËRPUTHSHMËRISË SË SHOQËRISË “ALBGAZ” SH.A.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Strong"/>
          <w:rFonts w:ascii="Times New Roman" w:hAnsi="Times New Roman" w:cs="Times New Roman"/>
          <w:sz w:val="24"/>
          <w:szCs w:val="24"/>
        </w:rPr>
        <w:t>PËR ZBATIMIN E PROGRAMIT TË PËRPUTHSHMËRISË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Strong"/>
          <w:rFonts w:ascii="Times New Roman" w:hAnsi="Times New Roman" w:cs="Times New Roman"/>
          <w:sz w:val="24"/>
          <w:szCs w:val="24"/>
        </w:rPr>
        <w:t>PËR VITIN 2024</w:t>
      </w:r>
    </w:p>
    <w:p w14:paraId="7BEA8C01" w14:textId="2903E6B1" w:rsidR="0004482E" w:rsidRDefault="00BD3D75" w:rsidP="00525E4D">
      <w:pPr>
        <w:tabs>
          <w:tab w:val="left" w:pos="27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Në mbështetje të nenit 16 të ligjit nr. 43/2015, “</w:t>
      </w:r>
      <w:r>
        <w:rPr>
          <w:rFonts w:ascii="Times New Roman" w:hAnsi="Times New Roman" w:cs="Times New Roman"/>
          <w:i/>
          <w:iCs/>
          <w:sz w:val="24"/>
          <w:szCs w:val="24"/>
        </w:rPr>
        <w:t>Për sektorin e energjisë elektrike</w:t>
      </w:r>
      <w:r>
        <w:rPr>
          <w:rFonts w:ascii="Times New Roman" w:hAnsi="Times New Roman" w:cs="Times New Roman"/>
          <w:sz w:val="24"/>
          <w:szCs w:val="24"/>
        </w:rPr>
        <w:t>”, të ndryshuar; neneve 16 dhe 47, të ligjit nr. 102/2015 “</w:t>
      </w:r>
      <w:r>
        <w:rPr>
          <w:rFonts w:ascii="Times New Roman" w:hAnsi="Times New Roman" w:cs="Times New Roman"/>
          <w:i/>
          <w:iCs/>
          <w:sz w:val="24"/>
          <w:szCs w:val="24"/>
        </w:rPr>
        <w:t>Për sektorin e gazit natyror</w:t>
      </w:r>
      <w:r>
        <w:rPr>
          <w:rFonts w:ascii="Times New Roman" w:hAnsi="Times New Roman" w:cs="Times New Roman"/>
          <w:sz w:val="24"/>
          <w:szCs w:val="24"/>
        </w:rPr>
        <w:t xml:space="preserve">”, të ndryshuar; vendimit të bordit të Entit Rregullator të Energjisë (ERE) nr. 171, datë 16.08.2021, </w:t>
      </w:r>
      <w:r>
        <w:rPr>
          <w:rFonts w:ascii="Times New Roman" w:hAnsi="Times New Roman" w:cs="Times New Roman"/>
          <w:i/>
          <w:iCs/>
          <w:sz w:val="24"/>
          <w:szCs w:val="24"/>
        </w:rPr>
        <w:t>“Për miratimin e Programit të Përputhshmërisë së Operatorit të Sistemit të Transmetimit për Gazin Natyror, “ALBGAZ” sh.a.”</w:t>
      </w:r>
      <w:r>
        <w:rPr>
          <w:rFonts w:ascii="Times New Roman" w:hAnsi="Times New Roman" w:cs="Times New Roman"/>
          <w:sz w:val="24"/>
          <w:szCs w:val="24"/>
        </w:rPr>
        <w:t xml:space="preserve">, i ndryshuar me vendimin nr. 345, datë 21.12.2022; </w:t>
      </w:r>
      <w:r w:rsidRPr="00525E4D">
        <w:rPr>
          <w:rFonts w:ascii="Times New Roman" w:hAnsi="Times New Roman" w:cs="Times New Roman"/>
          <w:sz w:val="24"/>
          <w:szCs w:val="24"/>
        </w:rPr>
        <w:t>vendimit të bordit të ERE-s nr. 355, datë 28.12.2022, i ndryshuar,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“Mbi miratimin paraprak të Zyrtarit të Përputhshmërisë së Albgaz sh.a</w:t>
      </w:r>
      <w:r>
        <w:rPr>
          <w:rFonts w:ascii="Times New Roman" w:hAnsi="Times New Roman" w:cs="Times New Roman"/>
          <w:sz w:val="24"/>
          <w:szCs w:val="24"/>
        </w:rPr>
        <w:t xml:space="preserve">.” i  ndryshuar me vendimin nr. 133, datë 07.04.2023; si dhe nenit 15 të </w:t>
      </w:r>
      <w:r>
        <w:rPr>
          <w:rFonts w:ascii="Times New Roman" w:hAnsi="Times New Roman" w:cs="Times New Roman"/>
          <w:i/>
          <w:iCs/>
          <w:sz w:val="24"/>
          <w:szCs w:val="24"/>
        </w:rPr>
        <w:t>Rregullores për organizimin, funksionimin dhe procedurat e ERE-s</w:t>
      </w:r>
      <w:r>
        <w:rPr>
          <w:rFonts w:ascii="Times New Roman" w:hAnsi="Times New Roman" w:cs="Times New Roman"/>
          <w:sz w:val="24"/>
          <w:szCs w:val="24"/>
        </w:rPr>
        <w:t>, miratuar me vendimin e bordit të ERE-s nr. 96, datë 17.06.2016; Bordi i ERE-s, në mbledhjen e tij të datës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30.01.</w:t>
      </w:r>
      <w:r>
        <w:rPr>
          <w:rFonts w:ascii="Times New Roman" w:hAnsi="Times New Roman" w:cs="Times New Roman"/>
          <w:sz w:val="24"/>
          <w:szCs w:val="24"/>
        </w:rPr>
        <w:t xml:space="preserve">2026, mbasi shqyrtoi relacionin e përgatitur nga Drejtoria e Pajtueshmërisë dhe Vlerësimit të Impaktit Rregullator dhe Drejtoria e Gazit Natyror, me nr. 321 prot., datë 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23.01.</w:t>
      </w:r>
      <w:r>
        <w:rPr>
          <w:rFonts w:ascii="Times New Roman" w:hAnsi="Times New Roman" w:cs="Times New Roman"/>
          <w:sz w:val="24"/>
          <w:szCs w:val="24"/>
        </w:rPr>
        <w:t>2026, “</w:t>
      </w:r>
      <w:r>
        <w:rPr>
          <w:rFonts w:ascii="Times New Roman" w:hAnsi="Times New Roman" w:cs="Times New Roman"/>
          <w:i/>
          <w:iCs/>
          <w:sz w:val="24"/>
          <w:szCs w:val="24"/>
        </w:rPr>
        <w:t>Mbi vlerësimin e Raportit Vjetor të Përputhshmërisë së operatorit të gazit natyror ‘Albgaz’ sh.a. për vitin 2024</w:t>
      </w:r>
      <w:r>
        <w:rPr>
          <w:rFonts w:ascii="Times New Roman" w:hAnsi="Times New Roman" w:cs="Times New Roman"/>
          <w:sz w:val="24"/>
          <w:szCs w:val="24"/>
        </w:rPr>
        <w:t>”,</w:t>
      </w:r>
    </w:p>
    <w:p w14:paraId="700A0ACE" w14:textId="77777777" w:rsidR="0004482E" w:rsidRDefault="00BD3D75" w:rsidP="00525E4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Konstatoi se:</w:t>
      </w:r>
    </w:p>
    <w:p w14:paraId="5308FDA4" w14:textId="4E81CE1E" w:rsidR="0004482E" w:rsidRDefault="00BD3D75" w:rsidP="00525E4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Në zbatim të ligjit nr. 102/2015, “Për sektorin e gazit natyror”, të ndryshuar dhe të Programit të Përputhshmërisë të miratuar nga </w:t>
      </w:r>
      <w:r w:rsidR="00525E4D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ordi i ERE-s, përputhshmëria me </w:t>
      </w:r>
      <w:r w:rsidR="00525E4D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rogramin monitorohet në mënyrë të pavarur nga Zyrtari i Përputhshmërisë, i cili përgatit dhe depoziton pranë ERE raportin vjetor mbi masat e marra për zbatimin e Programit, brenda afateve të përcaktuara.</w:t>
      </w:r>
    </w:p>
    <w:p w14:paraId="1CD802C3" w14:textId="7D19684B" w:rsidR="0004482E" w:rsidRDefault="00BD3D75" w:rsidP="00525E4D">
      <w:pPr>
        <w:pStyle w:val="ListParagraph"/>
        <w:spacing w:line="276" w:lineRule="auto"/>
        <w:ind w:left="36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ERE, në ushtrim të kompetencave të saj mbikëqyrëse dhe vlerësuese, shqyrton raportimin e paraqitur nga Zyrtari i Përputhshmërisë, me qëllim garantimin e pavarësisë funksionale/menaxheriale, transparencës dhe trajtimit jo-diskriminues në sektorin e gazit natyror.</w:t>
      </w:r>
    </w:p>
    <w:p w14:paraId="25EEB886" w14:textId="77777777" w:rsidR="0004482E" w:rsidRDefault="0004482E" w:rsidP="00525E4D">
      <w:pPr>
        <w:pStyle w:val="ListParagraph"/>
        <w:spacing w:line="276" w:lineRule="auto"/>
        <w:ind w:left="360"/>
        <w:jc w:val="both"/>
        <w:rPr>
          <w:bCs/>
          <w:i/>
          <w:iCs/>
        </w:rPr>
      </w:pPr>
    </w:p>
    <w:p w14:paraId="5229C3AC" w14:textId="77777777" w:rsidR="0004482E" w:rsidRDefault="00BD3D75" w:rsidP="00525E4D">
      <w:pPr>
        <w:pStyle w:val="ListParagraph"/>
        <w:numPr>
          <w:ilvl w:val="0"/>
          <w:numId w:val="24"/>
        </w:numPr>
        <w:spacing w:after="0" w:line="276" w:lineRule="auto"/>
        <w:ind w:left="3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Dorëzimi dhe shqyrtimi i raportit për vitin 2024</w:t>
      </w:r>
    </w:p>
    <w:p w14:paraId="07F8E475" w14:textId="52C3006D" w:rsidR="0004482E" w:rsidRDefault="00BD3D75" w:rsidP="00525E4D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Zyrtari i Përputhshmërisë i “Albgaz” sh.a., me shkresën nr. 1141/2 prot., datë 25.04.2025, ka depozituar pranë ERE Raportin Vjetor të Përputhshmërisë së “Albgaz” sh.a. për vitin 2024.</w:t>
      </w:r>
    </w:p>
    <w:p w14:paraId="128EEC43" w14:textId="1DF4471E" w:rsidR="0004482E" w:rsidRDefault="00BD3D75" w:rsidP="00525E4D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Pas analizës së kryer, ERE, me shkresën nr. 1141/5 prot., datë 01.08.2025, i ka kërkuar Zyrtarit plotësim me informacion dhe dokumentacion shtesë mbi përmbajtjen e raportit, lidhur me: (i) respektimin e afateve ligjore për dorëzimin e raportit; (ii) pasaktësitë në përmbajtjen e raportit; (iii) mungesat e dokumentacionit që dëshmojnë përfshirjen e Zyrtarit në proceset e ndarjes së pronësisë dhe pavarësisë funksionale; (iv) funksionalitetin dhe transparencën e faqes zyrtare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të shoqërisë; (v) masat për garantimin e konfidencialitetit të informacionit; (vi) përfshirjen e Zyrtarit në planifikimin afatgjatë të rrjetit; (vii) projektet e gazifikimit; si dhe (viii) raportimin mbi statusin e rekomandimeve të mëparshme.</w:t>
      </w:r>
    </w:p>
    <w:p w14:paraId="7D3AD53B" w14:textId="0A21734B" w:rsidR="0004482E" w:rsidRDefault="00BD3D75" w:rsidP="00525E4D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Në vijim, Zyrtari, me shkresën nr. 1141/6 prot., datë 16.08.2025, ka paraqitur informacion plotësues, i cili nuk ka shteruar plotësisht kërkesat e ERE-s</w:t>
      </w:r>
      <w:r w:rsidR="00525E4D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për këtë arsye në përputhje me kuadrin ligjor dhe aktet e brendshme procedurale, ERE ka zhvilluar seancë dëgjimore me Zyrtarin dhe është dakordësuar ridërgimi i raportit përfundimtar me plotësimet përkatëse.</w:t>
      </w:r>
    </w:p>
    <w:p w14:paraId="5E900A07" w14:textId="12DFDC0A" w:rsidR="0004482E" w:rsidRDefault="00BD3D75" w:rsidP="00525E4D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Në përfundim, Zyrtari, me shkresën nr. 1141/14 prot., datë 20.10.2025, ka dorëzuar në ERE Raportin Vjetor përfundimtar të Përputhshmërisë së “Albgaz” sh.a. për vitin 2024.</w:t>
      </w:r>
    </w:p>
    <w:p w14:paraId="31092A59" w14:textId="77777777" w:rsidR="00525E4D" w:rsidRPr="00525E4D" w:rsidRDefault="00525E4D" w:rsidP="00525E4D">
      <w:pPr>
        <w:pStyle w:val="ListParagraph"/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DD98CA" w14:textId="77777777" w:rsidR="0004482E" w:rsidRDefault="00BD3D75" w:rsidP="00525E4D">
      <w:pPr>
        <w:pStyle w:val="ListParagraph"/>
        <w:numPr>
          <w:ilvl w:val="0"/>
          <w:numId w:val="24"/>
        </w:numPr>
        <w:spacing w:line="276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Vlerësimi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përmbajtjes së raportit</w:t>
      </w:r>
    </w:p>
    <w:p w14:paraId="18CF91E1" w14:textId="550E3143" w:rsidR="0004482E" w:rsidRDefault="00BD3D75" w:rsidP="00525E4D">
      <w:pPr>
        <w:pStyle w:val="ListParagraph"/>
        <w:numPr>
          <w:ilvl w:val="0"/>
          <w:numId w:val="26"/>
        </w:numPr>
        <w:spacing w:line="276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Raporti vjetor përbëhet nga: (i) informacion i përgjithshëm mbi zbatimin e Programit; (ii) rekomandimet e Zyrtarit; (iii) konkluzione. </w:t>
      </w:r>
    </w:p>
    <w:p w14:paraId="45E85284" w14:textId="1C84A8DD" w:rsidR="0004482E" w:rsidRDefault="00BD3D75" w:rsidP="00525E4D">
      <w:pPr>
        <w:pStyle w:val="ListParagraph"/>
        <w:numPr>
          <w:ilvl w:val="0"/>
          <w:numId w:val="26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ERE, në vlerësimin e tij, ka marrë në konsideratë informacionin që lidhet me përmbushjen e kërkesave të Programit të Përputhshmërisë, duke u fokusuar në elementet dhe kriteret që lidhen drejtpërdrejt me këto detyrime. </w:t>
      </w:r>
      <w:r>
        <w:rPr>
          <w:rFonts w:ascii="Times New Roman" w:hAnsi="Times New Roman" w:cs="Times New Roman"/>
          <w:sz w:val="24"/>
          <w:szCs w:val="24"/>
        </w:rPr>
        <w:t>Çdo informacion tjetër i trajtuar nga Zyrtari, që nuk është pjesë e kërkesave të Programit, nuk është përfshirë dhe nuk përbën qëllim të vlerësimit.</w:t>
      </w:r>
    </w:p>
    <w:p w14:paraId="63F51B62" w14:textId="7F734971" w:rsidR="0004482E" w:rsidRPr="00937DF1" w:rsidRDefault="00BD3D75" w:rsidP="00525E4D">
      <w:pPr>
        <w:pStyle w:val="ListParagraph"/>
        <w:numPr>
          <w:ilvl w:val="0"/>
          <w:numId w:val="26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2C2">
        <w:rPr>
          <w:rFonts w:ascii="Times New Roman" w:hAnsi="Times New Roman" w:cs="Times New Roman"/>
          <w:sz w:val="24"/>
          <w:szCs w:val="24"/>
        </w:rPr>
        <w:t xml:space="preserve">Bordi i ERE-s me vendimin nr. 179, datë 08.11.2017, “Mbi certifikimin e shoqërisë </w:t>
      </w:r>
      <w:r w:rsidR="00525E4D">
        <w:rPr>
          <w:rFonts w:ascii="Times New Roman" w:hAnsi="Times New Roman" w:cs="Times New Roman"/>
          <w:sz w:val="24"/>
          <w:szCs w:val="24"/>
        </w:rPr>
        <w:t>“</w:t>
      </w:r>
      <w:r w:rsidRPr="001302C2">
        <w:rPr>
          <w:rFonts w:ascii="Times New Roman" w:hAnsi="Times New Roman" w:cs="Times New Roman"/>
          <w:sz w:val="24"/>
          <w:szCs w:val="24"/>
        </w:rPr>
        <w:t>Operatori i Kombinuar i Gazit Natyror</w:t>
      </w:r>
      <w:r w:rsidR="00525E4D">
        <w:rPr>
          <w:rFonts w:ascii="Times New Roman" w:hAnsi="Times New Roman" w:cs="Times New Roman"/>
          <w:sz w:val="24"/>
          <w:szCs w:val="24"/>
        </w:rPr>
        <w:t>”</w:t>
      </w:r>
      <w:r w:rsidRPr="001302C2">
        <w:rPr>
          <w:rFonts w:ascii="Times New Roman" w:hAnsi="Times New Roman" w:cs="Times New Roman"/>
          <w:sz w:val="24"/>
          <w:szCs w:val="24"/>
        </w:rPr>
        <w:t xml:space="preserve"> Albgaz sh.a.”, ka përcaktuar, ndër të tjera, kërkesa për: pavarësinë e audituesit financiar si dhe bashkëpunimin ndër-institucional për realizimin e ndryshimeve në kuadrin ligjor (neni 11 dhe neni 46, pika 10, të ligjit nr. 102/2015) dhe transferimin e kompetencave tek Ministria e Ekonomisë dhe Financave.</w:t>
      </w:r>
    </w:p>
    <w:p w14:paraId="1602FB48" w14:textId="12AF21F9" w:rsidR="001302C2" w:rsidRPr="001302C2" w:rsidRDefault="001302C2" w:rsidP="00525E4D">
      <w:pPr>
        <w:pStyle w:val="ListParagraph"/>
        <w:numPr>
          <w:ilvl w:val="0"/>
          <w:numId w:val="26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2C2">
        <w:rPr>
          <w:rFonts w:ascii="Times New Roman" w:hAnsi="Times New Roman" w:cs="Times New Roman"/>
          <w:sz w:val="24"/>
          <w:szCs w:val="24"/>
        </w:rPr>
        <w:t xml:space="preserve">Në lidhje me ndarjen ligjore të shoqërisë “Albgaz” sh.a., në raportin e Zyrtarit nuk është trajtuar në mënyrë eksplicite struktura e pronësisë dhe raporti me autoritetin që ushtron të drejtat e aksionarit, megjithëse kjo çështje rezulton e përcaktuar në aktet e krijimit dhe organizimit të shoqërisë “Albgaz” sh.a., sipas VKM nr. 848/2016 dhe akteve përkatëse të organizimit shtetëror. Për rrjedhojë, kjo nuk përbën mungesë të ndarjes ligjore, por mungesë referimi të plotë në raportim. </w:t>
      </w:r>
    </w:p>
    <w:p w14:paraId="20992FEE" w14:textId="04D57A7A" w:rsidR="0004482E" w:rsidRDefault="00BD3D75" w:rsidP="00525E4D">
      <w:pPr>
        <w:pStyle w:val="ListParagraph"/>
        <w:numPr>
          <w:ilvl w:val="0"/>
          <w:numId w:val="26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Nga vlerësimi i kryer rezultojnë çështje që kërkojnë përmirësim dhe plotësim në raportimet pasardhëse, veçanërisht lidhur me: (i) raportimin e dokumentuar mbi pavarësinë e audituesit financiar dhe përmbushjen e kushteve të certifikimit; (ii) pasqyrimin e ndryshimeve në strukturën organizative dhe provat miratuese përkatëse; (iii) identifikimin dhe dokumentimin e ndarjes ligjore/ funksionale dhe pavarësisë menaxheriale; (iv) monitorimin e detyrimeve për publikim/transparencë (përfshirë aksesueshmërinë e dokumenteve dhe vendimeve përkatëse); (v) masat konkrete për konfidencialitetin e informacionit; (vi) metodologjinë e monitorimit dhe evidencat e pjesëmarrjes/njoftimeve në mbledhje; (vii) respektimin e afateve të raportimit sipas Programit; (viii) pasqyrimin e statusit të rekomandimeve dhe detyrave specifike të lëna nga ERE.</w:t>
      </w:r>
    </w:p>
    <w:p w14:paraId="0CC848B4" w14:textId="77777777" w:rsidR="00525E4D" w:rsidRPr="00525E4D" w:rsidRDefault="00525E4D" w:rsidP="00525E4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975358" w14:textId="77777777" w:rsidR="001302C2" w:rsidRPr="001302C2" w:rsidRDefault="001302C2" w:rsidP="00525E4D">
      <w:pPr>
        <w:pStyle w:val="ListParagraph"/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D08B2A" w14:textId="77777777" w:rsidR="0004482E" w:rsidRDefault="00BD3D75" w:rsidP="00525E4D">
      <w:pPr>
        <w:pStyle w:val="ListParagraph"/>
        <w:numPr>
          <w:ilvl w:val="0"/>
          <w:numId w:val="24"/>
        </w:numPr>
        <w:spacing w:after="0" w:line="276" w:lineRule="auto"/>
        <w:ind w:left="36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Nevoja për përmirësim dhe rekomandime për periudhën pasardhëse</w:t>
      </w:r>
    </w:p>
    <w:p w14:paraId="6E778B98" w14:textId="1AC10E61" w:rsidR="0004482E" w:rsidRDefault="00BD3D75" w:rsidP="00525E4D">
      <w:pPr>
        <w:pStyle w:val="ListParagraph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Bazuar në vlerësimin e mësipërm, ERE çmon të nevojshme që Zyrtari i Përputhshmërisë dhe “Albgaz” sh.a. të marrin masa për adresimin e rekomandimeve/detyrimeve të evidentuara, sipas Aneks</w:t>
      </w:r>
      <w:r w:rsidR="00525E4D">
        <w:rPr>
          <w:rFonts w:ascii="Times New Roman" w:hAnsi="Times New Roman" w:cs="Times New Roman"/>
          <w:sz w:val="24"/>
          <w:szCs w:val="24"/>
        </w:rPr>
        <w:t>eve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  <w:r w:rsidR="00525E4D">
        <w:rPr>
          <w:rFonts w:ascii="Times New Roman" w:hAnsi="Times New Roman" w:cs="Times New Roman"/>
          <w:sz w:val="24"/>
          <w:szCs w:val="24"/>
        </w:rPr>
        <w:t xml:space="preserve">dhe 2 </w:t>
      </w:r>
      <w:r>
        <w:rPr>
          <w:rFonts w:ascii="Times New Roman" w:hAnsi="Times New Roman" w:cs="Times New Roman"/>
          <w:sz w:val="24"/>
          <w:szCs w:val="24"/>
        </w:rPr>
        <w:t>bashkëlidhur këtij vendimi.</w:t>
      </w:r>
    </w:p>
    <w:p w14:paraId="7C23AE06" w14:textId="77777777" w:rsidR="00525E4D" w:rsidRDefault="00525E4D" w:rsidP="00525E4D">
      <w:pPr>
        <w:pStyle w:val="CommentText"/>
        <w:spacing w:line="276" w:lineRule="auto"/>
        <w:jc w:val="both"/>
        <w:rPr>
          <w:sz w:val="24"/>
          <w:szCs w:val="24"/>
        </w:rPr>
      </w:pPr>
    </w:p>
    <w:p w14:paraId="2CDA65BB" w14:textId="7FD82778" w:rsidR="0004482E" w:rsidRDefault="00BD3D75" w:rsidP="00525E4D">
      <w:pPr>
        <w:pStyle w:val="CommentText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Për gjithë sa më sipër, bordi i ERE-s, </w:t>
      </w:r>
    </w:p>
    <w:p w14:paraId="517D8648" w14:textId="77777777" w:rsidR="0004482E" w:rsidRDefault="00BD3D75" w:rsidP="00525E4D">
      <w:pPr>
        <w:pStyle w:val="CommentText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Vendosi:</w:t>
      </w:r>
    </w:p>
    <w:p w14:paraId="57955FB5" w14:textId="77777777" w:rsidR="0004482E" w:rsidRDefault="0004482E" w:rsidP="00525E4D">
      <w:pPr>
        <w:pStyle w:val="CommentText"/>
        <w:spacing w:line="276" w:lineRule="auto"/>
        <w:jc w:val="both"/>
        <w:rPr>
          <w:b/>
          <w:sz w:val="24"/>
          <w:szCs w:val="24"/>
        </w:rPr>
      </w:pPr>
    </w:p>
    <w:p w14:paraId="18857DA5" w14:textId="77777777" w:rsidR="0004482E" w:rsidRDefault="00BD3D75" w:rsidP="00525E4D">
      <w:pPr>
        <w:pStyle w:val="CommentText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Miratimin e pjesshëm të  Raportit Vjetor të Zyrtarit të Përputhshmërisë së shoqërisë “Albgaz” sh.a., për vitin 2024, në kuptim të vlerësimeve/konstatimeve të ERE-s të pasqyruara në këtë vendim.</w:t>
      </w:r>
    </w:p>
    <w:p w14:paraId="5431E314" w14:textId="77777777" w:rsidR="0004482E" w:rsidRDefault="0004482E" w:rsidP="00525E4D">
      <w:pPr>
        <w:pStyle w:val="CommentText"/>
        <w:spacing w:line="276" w:lineRule="auto"/>
        <w:ind w:left="360"/>
        <w:jc w:val="both"/>
        <w:rPr>
          <w:sz w:val="24"/>
          <w:szCs w:val="24"/>
        </w:rPr>
      </w:pPr>
    </w:p>
    <w:p w14:paraId="18E162B1" w14:textId="26FE256A" w:rsidR="0004482E" w:rsidRDefault="00BD3D75" w:rsidP="00525E4D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Zyrtari i Përputhshmërisë dhe shoqëria “ALBGAZ” sh.a. të marrin masat për zbatimin e rekomandimeve sipas Aneksit </w:t>
      </w:r>
      <w:r w:rsidR="00525E4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dhe Aneksit </w:t>
      </w:r>
      <w:r w:rsidR="00525E4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bashkëlidhur këtij vendimi.</w:t>
      </w:r>
    </w:p>
    <w:p w14:paraId="1993CD69" w14:textId="7EEE0987" w:rsidR="0004482E" w:rsidRDefault="00BD3D75" w:rsidP="00525E4D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GB"/>
        </w:rPr>
        <w:t>Drejtoria e Pajtueshm</w:t>
      </w:r>
      <w:r>
        <w:rPr>
          <w:rFonts w:ascii="Times New Roman" w:hAnsi="Times New Roman" w:cs="Times New Roman"/>
          <w:sz w:val="24"/>
          <w:szCs w:val="24"/>
        </w:rPr>
        <w:t>ërisë dhe Impaktit Rregullator, të njoftojë Ministrin</w:t>
      </w:r>
      <w:r>
        <w:rPr>
          <w:rFonts w:ascii="Times New Roman" w:hAnsi="Times New Roman" w:cs="Times New Roman"/>
          <w:sz w:val="24"/>
          <w:szCs w:val="24"/>
          <w:lang w:eastAsia="en-GB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e Infrastruktur</w:t>
      </w:r>
      <w:r>
        <w:rPr>
          <w:rFonts w:ascii="Times New Roman" w:hAnsi="Times New Roman" w:cs="Times New Roman"/>
          <w:sz w:val="24"/>
          <w:szCs w:val="24"/>
          <w:lang w:eastAsia="en-GB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s dhe Energjis</w:t>
      </w:r>
      <w:r>
        <w:rPr>
          <w:rFonts w:ascii="Times New Roman" w:hAnsi="Times New Roman" w:cs="Times New Roman"/>
          <w:sz w:val="24"/>
          <w:szCs w:val="24"/>
          <w:lang w:eastAsia="en-GB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, të njoftojë shoqërinë  “Albgaz” sh.a., Zyrtarin e Përputhshmërisë, Sekretariatin e Komunitetit të Energjisë, 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për </w:t>
      </w:r>
      <w:r>
        <w:rPr>
          <w:rFonts w:ascii="Times New Roman" w:hAnsi="Times New Roman" w:cs="Times New Roman"/>
          <w:sz w:val="24"/>
          <w:szCs w:val="24"/>
        </w:rPr>
        <w:t>vendimin e bordit të ERE-s.</w:t>
      </w:r>
    </w:p>
    <w:p w14:paraId="563BF5F5" w14:textId="77777777" w:rsidR="0004482E" w:rsidRDefault="0004482E" w:rsidP="00525E4D">
      <w:pPr>
        <w:pStyle w:val="CommentText"/>
        <w:spacing w:line="276" w:lineRule="auto"/>
        <w:jc w:val="both"/>
        <w:rPr>
          <w:sz w:val="24"/>
          <w:szCs w:val="24"/>
        </w:rPr>
      </w:pPr>
    </w:p>
    <w:p w14:paraId="5557966A" w14:textId="77777777" w:rsidR="0004482E" w:rsidRDefault="0004482E" w:rsidP="00525E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323541" w14:textId="77777777" w:rsidR="0004482E" w:rsidRDefault="00BD3D75" w:rsidP="00525E4D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Ky vendim hyn në fuqi menjëherë.</w:t>
      </w:r>
    </w:p>
    <w:p w14:paraId="4D31C2CC" w14:textId="77777777" w:rsidR="0004482E" w:rsidRDefault="00BD3D75" w:rsidP="00525E4D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Çdo palë e përfshirë në këtë procedurë mund t’i kërkojë ERE-s, brenda 7 ditëve kalendarike nga data e marrjes dijeni, rishikimin e vendimit të bordit në rast se ka siguruar prova të reja që mund ta çojnë bordin në marrjen e një vendimi të ndryshëm nga i mëparshmi apo për gabime materiale të konstatuara. Për këtë vendim mund të bëhet ankim në Gjykatën Administrative Tiranë, brenda 45 ditëve kalendarike nga dita e publikimit në Fletoren Zyrtare.</w:t>
      </w:r>
    </w:p>
    <w:p w14:paraId="090AF131" w14:textId="77777777" w:rsidR="0004482E" w:rsidRDefault="00BD3D75" w:rsidP="00525E4D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Ky vendim botohet në Fletoren Zyrtare.</w:t>
      </w:r>
    </w:p>
    <w:p w14:paraId="03D3998E" w14:textId="6760CB66" w:rsidR="0004482E" w:rsidRPr="00E548AF" w:rsidRDefault="008546FB" w:rsidP="00E548AF">
      <w:pPr>
        <w:tabs>
          <w:tab w:val="left" w:pos="7590"/>
        </w:tabs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548AF">
        <w:rPr>
          <w:rFonts w:ascii="Times New Roman" w:hAnsi="Times New Roman" w:cs="Times New Roman"/>
          <w:b/>
          <w:bCs/>
          <w:sz w:val="24"/>
          <w:szCs w:val="24"/>
        </w:rPr>
        <w:t>KRYETARI</w:t>
      </w:r>
    </w:p>
    <w:p w14:paraId="0767FD06" w14:textId="65BF4BF8" w:rsidR="008546FB" w:rsidRPr="00E548AF" w:rsidRDefault="00E548AF" w:rsidP="00E548AF">
      <w:pPr>
        <w:tabs>
          <w:tab w:val="left" w:pos="7590"/>
        </w:tabs>
        <w:spacing w:before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8546FB" w:rsidRPr="00E548AF">
        <w:rPr>
          <w:rFonts w:ascii="Times New Roman" w:hAnsi="Times New Roman" w:cs="Times New Roman"/>
          <w:b/>
          <w:bCs/>
          <w:sz w:val="24"/>
          <w:szCs w:val="24"/>
        </w:rPr>
        <w:t>Petrit AHMETI</w:t>
      </w:r>
    </w:p>
    <w:p w14:paraId="67B68B44" w14:textId="77777777" w:rsidR="0004482E" w:rsidRDefault="0004482E" w:rsidP="00525E4D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098FC2" w14:textId="77777777" w:rsidR="0004482E" w:rsidRDefault="0004482E" w:rsidP="00525E4D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DD006F" w14:textId="77777777" w:rsidR="0004482E" w:rsidRDefault="0004482E" w:rsidP="00525E4D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3E2505" w14:textId="77777777" w:rsidR="00525E4D" w:rsidRDefault="00525E4D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DE888B" w14:textId="74571608" w:rsidR="001302C2" w:rsidRDefault="00BD3D75">
      <w:pPr>
        <w:pStyle w:val="NormalWeb"/>
        <w:jc w:val="both"/>
        <w:rPr>
          <w:lang w:val="sq-AL"/>
        </w:rPr>
      </w:pPr>
      <w:bookmarkStart w:id="4" w:name="_Hlk220510475"/>
      <w:r>
        <w:rPr>
          <w:b/>
          <w:bCs/>
          <w:lang w:val="sq-AL"/>
        </w:rPr>
        <w:lastRenderedPageBreak/>
        <w:t xml:space="preserve">Aneksi 1 - Rekomandime për Zyrtarin e Përputhshmërisë </w:t>
      </w:r>
      <w:r w:rsidR="001302C2" w:rsidRPr="001302C2">
        <w:rPr>
          <w:b/>
          <w:bCs/>
          <w:lang w:val="sq-AL"/>
        </w:rPr>
        <w:t>në vijim të vlerësimit të Raportit Vjetor të Përputhshmërisë</w:t>
      </w:r>
      <w:r w:rsidR="001302C2" w:rsidRPr="001302C2">
        <w:rPr>
          <w:lang w:val="sq-AL"/>
        </w:rPr>
        <w:t xml:space="preserve"> </w:t>
      </w:r>
      <w:r w:rsidR="001302C2" w:rsidRPr="001302C2">
        <w:rPr>
          <w:b/>
          <w:bCs/>
          <w:lang w:val="sq-AL"/>
        </w:rPr>
        <w:t>për vitin 2024</w:t>
      </w:r>
    </w:p>
    <w:p w14:paraId="42F472C6" w14:textId="4614DA4D" w:rsidR="0004482E" w:rsidRDefault="00BD3D75" w:rsidP="00FD0C01">
      <w:pPr>
        <w:pStyle w:val="NormalWeb"/>
        <w:numPr>
          <w:ilvl w:val="0"/>
          <w:numId w:val="36"/>
        </w:numPr>
        <w:spacing w:after="0" w:afterAutospacing="0"/>
        <w:jc w:val="both"/>
        <w:rPr>
          <w:b/>
          <w:bCs/>
          <w:lang w:val="sq-AL"/>
        </w:rPr>
      </w:pPr>
      <w:r>
        <w:rPr>
          <w:b/>
          <w:bCs/>
          <w:lang w:val="sq-AL"/>
        </w:rPr>
        <w:t>Statusi Ligjor dhe Struktura e Albgaz sh.a,</w:t>
      </w:r>
    </w:p>
    <w:p w14:paraId="36E3F35E" w14:textId="1D1F67F3" w:rsidR="0004482E" w:rsidRDefault="00BD3D75" w:rsidP="00FD0C01">
      <w:pPr>
        <w:pStyle w:val="NormalWeb"/>
        <w:numPr>
          <w:ilvl w:val="0"/>
          <w:numId w:val="16"/>
        </w:numPr>
        <w:spacing w:before="0" w:beforeAutospacing="0" w:after="0" w:afterAutospacing="0"/>
        <w:contextualSpacing/>
        <w:jc w:val="both"/>
        <w:rPr>
          <w:lang w:val="sq-AL"/>
        </w:rPr>
      </w:pPr>
      <w:r>
        <w:rPr>
          <w:lang w:val="sq-AL"/>
        </w:rPr>
        <w:t xml:space="preserve">Zyrtari </w:t>
      </w:r>
      <w:r w:rsidR="003B12C6">
        <w:rPr>
          <w:lang w:val="sq-AL"/>
        </w:rPr>
        <w:t>P</w:t>
      </w:r>
      <w:r>
        <w:rPr>
          <w:lang w:val="sq-AL"/>
        </w:rPr>
        <w:t>ër</w:t>
      </w:r>
      <w:r w:rsidR="003B12C6">
        <w:rPr>
          <w:lang w:val="sq-AL"/>
        </w:rPr>
        <w:t xml:space="preserve">puthshmërisë </w:t>
      </w:r>
      <w:r>
        <w:rPr>
          <w:lang w:val="sq-AL"/>
        </w:rPr>
        <w:t>të monitorojë zbatimin e kërkesës për pavarësinë e audituesit financiar, në përputhje me pikën 5.</w:t>
      </w:r>
      <w:r w:rsidR="003B12C6">
        <w:rPr>
          <w:lang w:val="sq-AL"/>
        </w:rPr>
        <w:t xml:space="preserve">1 </w:t>
      </w:r>
      <w:r>
        <w:rPr>
          <w:lang w:val="sq-AL"/>
        </w:rPr>
        <w:t xml:space="preserve">të </w:t>
      </w:r>
      <w:r w:rsidR="00525E4D">
        <w:rPr>
          <w:lang w:val="sq-AL"/>
        </w:rPr>
        <w:t>v</w:t>
      </w:r>
      <w:r>
        <w:rPr>
          <w:lang w:val="sq-AL"/>
        </w:rPr>
        <w:t>endimit</w:t>
      </w:r>
      <w:r w:rsidR="003B12C6">
        <w:rPr>
          <w:lang w:val="sq-AL"/>
        </w:rPr>
        <w:t xml:space="preserve"> </w:t>
      </w:r>
      <w:r w:rsidR="003B12C6" w:rsidRPr="003B12C6">
        <w:rPr>
          <w:lang w:val="sq-AL"/>
        </w:rPr>
        <w:t xml:space="preserve">të </w:t>
      </w:r>
      <w:r w:rsidR="00525E4D">
        <w:rPr>
          <w:lang w:val="sq-AL"/>
        </w:rPr>
        <w:t>b</w:t>
      </w:r>
      <w:r w:rsidR="003B12C6" w:rsidRPr="003B12C6">
        <w:rPr>
          <w:lang w:val="sq-AL"/>
        </w:rPr>
        <w:t xml:space="preserve">ordit të ERE-s nr. 179, datë 08.11.2017, “Mbi certifikimin e shoqërisë </w:t>
      </w:r>
      <w:r w:rsidR="003B12C6">
        <w:rPr>
          <w:lang w:val="sq-AL"/>
        </w:rPr>
        <w:t>“</w:t>
      </w:r>
      <w:r w:rsidR="003B12C6" w:rsidRPr="003B12C6">
        <w:rPr>
          <w:lang w:val="sq-AL"/>
        </w:rPr>
        <w:t>Operatori i Kombinuar i Gazit Natyror</w:t>
      </w:r>
      <w:r w:rsidR="00FD0C01">
        <w:rPr>
          <w:lang w:val="sq-AL"/>
        </w:rPr>
        <w:t xml:space="preserve">” </w:t>
      </w:r>
      <w:r w:rsidR="003B12C6" w:rsidRPr="003B12C6">
        <w:rPr>
          <w:lang w:val="sq-AL"/>
        </w:rPr>
        <w:t>ALBGAZ sh.a.”</w:t>
      </w:r>
      <w:r>
        <w:rPr>
          <w:lang w:val="sq-AL"/>
        </w:rPr>
        <w:t xml:space="preserve">, dhe të pasqyrojë në raportimet në vijim nivelin e përmbushjes së kësaj kërkese, duke </w:t>
      </w:r>
      <w:r>
        <w:rPr>
          <w:rStyle w:val="Strong"/>
          <w:b w:val="0"/>
          <w:bCs w:val="0"/>
          <w:lang w:val="sq-AL"/>
        </w:rPr>
        <w:t>monitoruar dhe raportuar</w:t>
      </w:r>
      <w:r>
        <w:rPr>
          <w:lang w:val="sq-AL"/>
        </w:rPr>
        <w:t xml:space="preserve"> mbi respektimin nga operatori që të mos emërojë auditues financiarë që auditojnë ose kryejnë detyra për ndërmarrje që ushtrojnë veprimtari të prodhimit ose furnizimit të gazit natyror.</w:t>
      </w:r>
    </w:p>
    <w:p w14:paraId="61FC2407" w14:textId="77777777" w:rsidR="0004482E" w:rsidRDefault="0004482E">
      <w:pPr>
        <w:pStyle w:val="NormalWeb"/>
        <w:spacing w:before="120" w:beforeAutospacing="0" w:after="120" w:afterAutospacing="0"/>
        <w:ind w:left="360"/>
        <w:contextualSpacing/>
        <w:jc w:val="both"/>
        <w:rPr>
          <w:lang w:val="sq-AL"/>
        </w:rPr>
      </w:pPr>
    </w:p>
    <w:p w14:paraId="20FF1A4E" w14:textId="438EA241" w:rsidR="0004482E" w:rsidRDefault="00BD3D75">
      <w:pPr>
        <w:pStyle w:val="NormalWeb"/>
        <w:numPr>
          <w:ilvl w:val="0"/>
          <w:numId w:val="16"/>
        </w:numPr>
        <w:spacing w:before="120" w:beforeAutospacing="0" w:after="120" w:afterAutospacing="0"/>
        <w:contextualSpacing/>
        <w:jc w:val="both"/>
        <w:rPr>
          <w:lang w:val="sq-AL"/>
        </w:rPr>
      </w:pPr>
      <w:r>
        <w:rPr>
          <w:lang w:val="sq-AL"/>
        </w:rPr>
        <w:t xml:space="preserve"> Zyrtari </w:t>
      </w:r>
      <w:r w:rsidR="00957FEB">
        <w:rPr>
          <w:lang w:val="sq-AL"/>
        </w:rPr>
        <w:t xml:space="preserve">i Përputhshmërisë </w:t>
      </w:r>
      <w:r>
        <w:rPr>
          <w:lang w:val="sq-AL"/>
        </w:rPr>
        <w:t xml:space="preserve">të vijojë të raportojë në raportimet pasardhëse për çdo ndryshim të ndodhur mbi strukturën organizative të operatorit </w:t>
      </w:r>
      <w:r w:rsidR="00957FEB">
        <w:rPr>
          <w:lang w:val="sq-AL"/>
        </w:rPr>
        <w:t>“</w:t>
      </w:r>
      <w:r>
        <w:rPr>
          <w:lang w:val="sq-AL"/>
        </w:rPr>
        <w:t>Albgaz</w:t>
      </w:r>
      <w:r w:rsidR="00957FEB">
        <w:rPr>
          <w:lang w:val="sq-AL"/>
        </w:rPr>
        <w:t>”</w:t>
      </w:r>
      <w:r>
        <w:rPr>
          <w:lang w:val="sq-AL"/>
        </w:rPr>
        <w:t xml:space="preserve"> sh.a. Raportimi të bëhet duke përfshirë dhe deklarimin mbi aktet e miratimit të kësaj strukture të re në përputhje me </w:t>
      </w:r>
      <w:r w:rsidR="00957FEB">
        <w:rPr>
          <w:lang w:val="sq-AL"/>
        </w:rPr>
        <w:t xml:space="preserve">detyrimet e përcaktuara në pikën </w:t>
      </w:r>
      <w:r>
        <w:rPr>
          <w:lang w:val="sq-AL"/>
        </w:rPr>
        <w:t xml:space="preserve">16.4 të </w:t>
      </w:r>
      <w:r w:rsidR="00957FEB">
        <w:rPr>
          <w:lang w:val="sq-AL"/>
        </w:rPr>
        <w:t>P</w:t>
      </w:r>
      <w:r>
        <w:rPr>
          <w:lang w:val="sq-AL"/>
        </w:rPr>
        <w:t>rogramit</w:t>
      </w:r>
      <w:r w:rsidR="00957FEB">
        <w:rPr>
          <w:lang w:val="sq-AL"/>
        </w:rPr>
        <w:t xml:space="preserve"> të Përputhshmërisë</w:t>
      </w:r>
      <w:r>
        <w:rPr>
          <w:lang w:val="sq-AL"/>
        </w:rPr>
        <w:t xml:space="preserve">. Në vijim Zyrtari duhet të </w:t>
      </w:r>
      <w:r w:rsidR="00957FEB" w:rsidRPr="00B46B0C">
        <w:rPr>
          <w:lang w:val="sq-AL"/>
        </w:rPr>
        <w:t>pasqyrojë çdo ndryshim në nivelet drejtuese apo ekzekutive gjatë periudhës së monitorimit, me qëllim rritjen e transparencës dhe mundësimin e një vlerësimi të plotë mbi strukturën organizative të shoqërisë</w:t>
      </w:r>
      <w:r>
        <w:rPr>
          <w:lang w:val="sq-AL"/>
        </w:rPr>
        <w:t>.</w:t>
      </w:r>
    </w:p>
    <w:p w14:paraId="75A0DC2D" w14:textId="77777777" w:rsidR="0004482E" w:rsidRDefault="0004482E">
      <w:pPr>
        <w:pStyle w:val="NormalWeb"/>
        <w:spacing w:before="120" w:beforeAutospacing="0" w:after="120" w:afterAutospacing="0"/>
        <w:contextualSpacing/>
        <w:jc w:val="both"/>
        <w:rPr>
          <w:lang w:val="sq-AL"/>
        </w:rPr>
      </w:pPr>
    </w:p>
    <w:p w14:paraId="52D492AE" w14:textId="69A82EA5" w:rsidR="00FD0C01" w:rsidRPr="00FD0C01" w:rsidRDefault="00BD3D75" w:rsidP="00FD0C01">
      <w:pPr>
        <w:pStyle w:val="NormalWeb"/>
        <w:numPr>
          <w:ilvl w:val="0"/>
          <w:numId w:val="36"/>
        </w:numPr>
        <w:spacing w:before="0" w:beforeAutospacing="0" w:after="0" w:afterAutospacing="0"/>
        <w:contextualSpacing/>
        <w:jc w:val="both"/>
        <w:rPr>
          <w:b/>
          <w:bCs/>
          <w:lang w:val="sq-AL"/>
        </w:rPr>
      </w:pPr>
      <w:r>
        <w:rPr>
          <w:b/>
          <w:bCs/>
          <w:lang w:val="sq-AL"/>
        </w:rPr>
        <w:t>Ndarja dhe Pavarësia e “Albgaz” sh.a</w:t>
      </w:r>
    </w:p>
    <w:p w14:paraId="4ACA4F17" w14:textId="4AD31833" w:rsidR="002F299B" w:rsidRDefault="00BD3D75" w:rsidP="00FD0C01">
      <w:pPr>
        <w:pStyle w:val="NormalWeb"/>
        <w:spacing w:before="0" w:beforeAutospacing="0" w:after="0" w:afterAutospacing="0"/>
        <w:ind w:left="360"/>
        <w:contextualSpacing/>
        <w:jc w:val="both"/>
        <w:rPr>
          <w:lang w:val="sq-AL"/>
        </w:rPr>
      </w:pPr>
      <w:r w:rsidRPr="002F299B">
        <w:rPr>
          <w:lang w:val="sq-AL"/>
        </w:rPr>
        <w:t>Ndarja funksionale dhe Pavarësia drejtuese</w:t>
      </w:r>
      <w:r w:rsidR="0035685D" w:rsidRPr="002F299B">
        <w:rPr>
          <w:lang w:val="sq-AL"/>
        </w:rPr>
        <w:t xml:space="preserve"> </w:t>
      </w:r>
      <w:r w:rsidRPr="002F299B">
        <w:rPr>
          <w:lang w:val="sq-AL"/>
        </w:rPr>
        <w:t>funksionale dhe vendimmarrëse</w:t>
      </w:r>
      <w:r w:rsidR="0035685D" w:rsidRPr="002F299B">
        <w:rPr>
          <w:lang w:val="sq-AL"/>
        </w:rPr>
        <w:t>:</w:t>
      </w:r>
      <w:r w:rsidRPr="002F299B">
        <w:rPr>
          <w:lang w:val="sq-AL"/>
        </w:rPr>
        <w:t xml:space="preserve"> Në raportin pasardhës, Zyrtari i </w:t>
      </w:r>
      <w:r w:rsidR="002F299B" w:rsidRPr="002F299B">
        <w:rPr>
          <w:lang w:val="sq-AL"/>
        </w:rPr>
        <w:t>Përputhshmërisë</w:t>
      </w:r>
      <w:r w:rsidRPr="002F299B">
        <w:rPr>
          <w:lang w:val="sq-AL"/>
        </w:rPr>
        <w:t xml:space="preserve"> duhet të pasqyrojë në mënyrë të qartë</w:t>
      </w:r>
      <w:r w:rsidR="002F299B" w:rsidRPr="002F299B">
        <w:rPr>
          <w:lang w:val="sq-AL"/>
        </w:rPr>
        <w:t>,</w:t>
      </w:r>
      <w:r w:rsidRPr="002F299B">
        <w:rPr>
          <w:lang w:val="sq-AL"/>
        </w:rPr>
        <w:t xml:space="preserve"> </w:t>
      </w:r>
      <w:r w:rsidR="002F299B" w:rsidRPr="002F299B">
        <w:rPr>
          <w:lang w:val="sq-AL"/>
        </w:rPr>
        <w:t>të mbështetur në evidenca dhe informacion të verifikueshëm pranë operatorit, veprimet që lidhen me sigurimin e pavarësisë funksionale dhe menaxheriale të shoqërisë, duke shmangur raportimin vetëm në formë deklarative.</w:t>
      </w:r>
      <w:r w:rsidR="00FD0C01">
        <w:rPr>
          <w:lang w:val="sq-AL"/>
        </w:rPr>
        <w:t xml:space="preserve"> </w:t>
      </w:r>
      <w:r w:rsidR="002F299B" w:rsidRPr="002F299B">
        <w:rPr>
          <w:lang w:val="sq-AL"/>
        </w:rPr>
        <w:t xml:space="preserve">Raportimi duhet të demonstrojë përputhshmërinë me detyrimet e përcaktuara në </w:t>
      </w:r>
      <w:r w:rsidR="002F299B" w:rsidRPr="002F299B">
        <w:rPr>
          <w:rStyle w:val="Strong"/>
          <w:b w:val="0"/>
          <w:bCs w:val="0"/>
          <w:lang w:val="sq-AL"/>
        </w:rPr>
        <w:t>Programin e Përputhshmërisë</w:t>
      </w:r>
      <w:r w:rsidR="002F299B" w:rsidRPr="00FD0C01">
        <w:rPr>
          <w:lang w:val="sq-AL"/>
        </w:rPr>
        <w:t>,</w:t>
      </w:r>
      <w:r w:rsidR="002F299B" w:rsidRPr="002F299B">
        <w:rPr>
          <w:lang w:val="sq-AL"/>
        </w:rPr>
        <w:t xml:space="preserve"> nëpërmjet përshkrimit të masave të ndërmarra, mekanizmave të kontrollit dhe mënyrës së zbatimit të tyre gjatë periudhës së monitorimit.</w:t>
      </w:r>
    </w:p>
    <w:p w14:paraId="1C1F61EE" w14:textId="77777777" w:rsidR="00FD0C01" w:rsidRPr="002F299B" w:rsidRDefault="00FD0C01" w:rsidP="00FD0C01">
      <w:pPr>
        <w:pStyle w:val="NormalWeb"/>
        <w:spacing w:before="120" w:beforeAutospacing="0" w:after="120" w:afterAutospacing="0"/>
        <w:ind w:left="360"/>
        <w:contextualSpacing/>
        <w:jc w:val="both"/>
        <w:rPr>
          <w:lang w:val="sq-AL"/>
        </w:rPr>
      </w:pPr>
    </w:p>
    <w:p w14:paraId="7DE1785E" w14:textId="22FD5EFC" w:rsidR="00FD0C01" w:rsidRPr="00FD0C01" w:rsidRDefault="00BD3D75" w:rsidP="00FD0C01">
      <w:pPr>
        <w:pStyle w:val="NormalWeb"/>
        <w:numPr>
          <w:ilvl w:val="0"/>
          <w:numId w:val="12"/>
        </w:numPr>
        <w:spacing w:before="0" w:beforeAutospacing="0" w:after="0" w:afterAutospacing="0"/>
        <w:contextualSpacing/>
        <w:jc w:val="both"/>
        <w:rPr>
          <w:b/>
          <w:bCs/>
          <w:lang w:val="sq-AL"/>
        </w:rPr>
      </w:pPr>
      <w:r>
        <w:rPr>
          <w:b/>
          <w:bCs/>
          <w:lang w:val="sq-AL"/>
        </w:rPr>
        <w:t>Përjashtimi i sjelljes diskriminuese</w:t>
      </w:r>
    </w:p>
    <w:p w14:paraId="6086F51A" w14:textId="6D31AAE2" w:rsidR="00FD0C01" w:rsidRDefault="00BD3D75" w:rsidP="00FD0C01">
      <w:pPr>
        <w:pStyle w:val="NormalWeb"/>
        <w:spacing w:before="0" w:beforeAutospacing="0" w:after="0" w:afterAutospacing="0"/>
        <w:ind w:left="360"/>
        <w:contextualSpacing/>
        <w:jc w:val="both"/>
        <w:rPr>
          <w:lang w:val="sq-AL"/>
        </w:rPr>
      </w:pPr>
      <w:r>
        <w:rPr>
          <w:lang w:val="sq-AL"/>
        </w:rPr>
        <w:t>Aksesi në sistemin e transmetimit:</w:t>
      </w:r>
      <w:r w:rsidR="00FD0C01">
        <w:rPr>
          <w:lang w:val="sq-AL"/>
        </w:rPr>
        <w:t xml:space="preserve"> </w:t>
      </w:r>
      <w:r w:rsidR="002F299B" w:rsidRPr="002F299B">
        <w:rPr>
          <w:lang w:val="sq-AL"/>
        </w:rPr>
        <w:t xml:space="preserve">Në kuadër të monitorimit të përmbushjes së detyrimeve të përcaktuara në pikën 27 të Programit të Përputhshmërisë, Zyrtari i Përputhshmërisë duhet të kryejë verifikime periodike mbi publikimin, përditësimin dhe aksesueshmërinë në faqen zyrtare të </w:t>
      </w:r>
      <w:r w:rsidR="002F299B" w:rsidRPr="002F299B">
        <w:rPr>
          <w:rStyle w:val="whitespace-normal"/>
          <w:lang w:val="sq-AL"/>
        </w:rPr>
        <w:t>ALBGAZ</w:t>
      </w:r>
      <w:r w:rsidR="002F299B" w:rsidRPr="002F299B">
        <w:rPr>
          <w:lang w:val="sq-AL"/>
        </w:rPr>
        <w:t xml:space="preserve"> sh.a. të tarifave të transmetimit dhe vendimmarrjeve përkatëse të </w:t>
      </w:r>
      <w:r w:rsidR="002F299B" w:rsidRPr="002F299B">
        <w:rPr>
          <w:rStyle w:val="whitespace-normal"/>
          <w:lang w:val="sq-AL"/>
        </w:rPr>
        <w:t>Enti Rregullator i Energjisë</w:t>
      </w:r>
      <w:r w:rsidR="002F299B" w:rsidRPr="002F299B">
        <w:rPr>
          <w:lang w:val="sq-AL"/>
        </w:rPr>
        <w:t>. Këto verifikime duhet të pasqyrohen në raportimet pranë ERE në mënyrë të detajuar, duke evidentuar elementet e verifikuara, kohën e kryerjes së verifikimeve, konstatimet e rezultuara (përfshirë raste të mungesës së publikimit, vonesave apo pasaktësive), si dhe masat e marra ose të rekomanduara për korrigjimin e tyre. Raportimi nuk duhet të kufizohet në deklarime të përgjithshme të përputhshmërisë, por duhet të mbështetet në evidenca dhe konstatime konkrete që rrjedhin nga veprimtaria monitoruese e ushtruar nga Zyrtari.</w:t>
      </w:r>
    </w:p>
    <w:p w14:paraId="259D93D7" w14:textId="77777777" w:rsidR="00FD0C01" w:rsidRDefault="00FD0C01" w:rsidP="00FD0C01">
      <w:pPr>
        <w:pStyle w:val="NormalWeb"/>
        <w:spacing w:before="120" w:beforeAutospacing="0" w:after="120" w:afterAutospacing="0"/>
        <w:contextualSpacing/>
        <w:jc w:val="both"/>
        <w:rPr>
          <w:lang w:val="sq-AL"/>
        </w:rPr>
      </w:pPr>
    </w:p>
    <w:p w14:paraId="3D1BDDD7" w14:textId="6138F45B" w:rsidR="00FD0C01" w:rsidRPr="00FD0C01" w:rsidRDefault="00BD3D75" w:rsidP="00FD0C01">
      <w:pPr>
        <w:pStyle w:val="NormalWeb"/>
        <w:numPr>
          <w:ilvl w:val="0"/>
          <w:numId w:val="12"/>
        </w:numPr>
        <w:spacing w:before="0" w:beforeAutospacing="0" w:after="0" w:afterAutospacing="0"/>
        <w:contextualSpacing/>
        <w:jc w:val="both"/>
        <w:rPr>
          <w:b/>
          <w:bCs/>
          <w:lang w:val="sq-AL"/>
        </w:rPr>
      </w:pPr>
      <w:r>
        <w:rPr>
          <w:b/>
          <w:bCs/>
          <w:lang w:val="sq-AL"/>
        </w:rPr>
        <w:t xml:space="preserve">Politika e informacionit të </w:t>
      </w:r>
      <w:r w:rsidR="00FD0C01">
        <w:rPr>
          <w:b/>
          <w:bCs/>
          <w:lang w:val="sq-AL"/>
        </w:rPr>
        <w:t>“</w:t>
      </w:r>
      <w:r>
        <w:rPr>
          <w:b/>
          <w:bCs/>
          <w:lang w:val="sq-AL"/>
        </w:rPr>
        <w:t>Albgaz</w:t>
      </w:r>
      <w:r w:rsidR="00FD0C01">
        <w:rPr>
          <w:b/>
          <w:bCs/>
          <w:lang w:val="sq-AL"/>
        </w:rPr>
        <w:t>” sh.a.</w:t>
      </w:r>
    </w:p>
    <w:p w14:paraId="3C7BF29F" w14:textId="711A4D3B" w:rsidR="0004482E" w:rsidRDefault="00BD3D75" w:rsidP="00FD0C01">
      <w:pPr>
        <w:pStyle w:val="NormalWeb"/>
        <w:numPr>
          <w:ilvl w:val="0"/>
          <w:numId w:val="22"/>
        </w:numPr>
        <w:spacing w:before="0" w:beforeAutospacing="0" w:after="0" w:afterAutospacing="0"/>
        <w:ind w:left="357" w:hanging="357"/>
        <w:contextualSpacing/>
        <w:jc w:val="both"/>
        <w:rPr>
          <w:lang w:val="sq-AL"/>
        </w:rPr>
      </w:pPr>
      <w:r>
        <w:rPr>
          <w:lang w:val="sq-AL"/>
        </w:rPr>
        <w:t>Sigurimi i informacionit: Zyrtari të monitorojë dhe të raportojë që publikimi dhe aksesi i këtij informacioni është në përputhje me përcaktimet e pikës 37 të programit.</w:t>
      </w:r>
    </w:p>
    <w:p w14:paraId="1911BF41" w14:textId="77777777" w:rsidR="00FD0C01" w:rsidRDefault="00FD0C01" w:rsidP="00FD0C01">
      <w:pPr>
        <w:pStyle w:val="NormalWeb"/>
        <w:spacing w:before="120" w:beforeAutospacing="0" w:after="120" w:afterAutospacing="0"/>
        <w:ind w:left="357"/>
        <w:contextualSpacing/>
        <w:jc w:val="both"/>
        <w:rPr>
          <w:lang w:val="sq-AL"/>
        </w:rPr>
      </w:pPr>
    </w:p>
    <w:p w14:paraId="42A1F540" w14:textId="77777777" w:rsidR="00FD0C01" w:rsidRDefault="003E2F42" w:rsidP="00FD0C01">
      <w:pPr>
        <w:pStyle w:val="NormalWeb"/>
        <w:numPr>
          <w:ilvl w:val="0"/>
          <w:numId w:val="22"/>
        </w:numPr>
        <w:spacing w:before="120" w:beforeAutospacing="0" w:after="120" w:afterAutospacing="0"/>
        <w:ind w:left="357" w:hanging="357"/>
        <w:contextualSpacing/>
        <w:jc w:val="both"/>
        <w:rPr>
          <w:lang w:val="sq-AL"/>
        </w:rPr>
      </w:pPr>
      <w:r w:rsidRPr="003E2F42">
        <w:rPr>
          <w:lang w:val="sq-AL"/>
        </w:rPr>
        <w:t xml:space="preserve">Zyrtari i Përputhshmërisë duhet, në kuadër të funksionit të tij monitorues, të verifikojë dhe të raportojë në raportimet pasardhëse mbi ekzistencën dhe zbatimin nga Operatori të masave që </w:t>
      </w:r>
      <w:r w:rsidRPr="003E2F42">
        <w:rPr>
          <w:lang w:val="sq-AL"/>
        </w:rPr>
        <w:lastRenderedPageBreak/>
        <w:t>lidhen me ruajtjen e konfidencialitetit të informacionit, përfshirë nëse në kontratat e punonjësve parashikohen dispozita për ruajtjen e informacionit konfidencial dhe pasoja financiare në rast të mosrespektimit të këtij detyrimi, në përputhje me pikën 50 të Programit të Përputhshmërisë.</w:t>
      </w:r>
    </w:p>
    <w:p w14:paraId="029BE6AE" w14:textId="77777777" w:rsidR="00FD0C01" w:rsidRDefault="00FD0C01" w:rsidP="00FD0C01">
      <w:pPr>
        <w:pStyle w:val="NormalWeb"/>
        <w:spacing w:before="120" w:beforeAutospacing="0" w:after="120" w:afterAutospacing="0"/>
        <w:ind w:left="357"/>
        <w:contextualSpacing/>
        <w:jc w:val="both"/>
        <w:rPr>
          <w:lang w:val="sq-AL"/>
        </w:rPr>
      </w:pPr>
    </w:p>
    <w:p w14:paraId="609E5520" w14:textId="73735C05" w:rsidR="0004482E" w:rsidRDefault="00937DF1" w:rsidP="00FD0C01">
      <w:pPr>
        <w:pStyle w:val="NormalWeb"/>
        <w:numPr>
          <w:ilvl w:val="0"/>
          <w:numId w:val="22"/>
        </w:numPr>
        <w:spacing w:before="120" w:beforeAutospacing="0" w:after="120" w:afterAutospacing="0"/>
        <w:ind w:left="357" w:hanging="357"/>
        <w:contextualSpacing/>
        <w:jc w:val="both"/>
        <w:rPr>
          <w:lang w:val="sq-AL"/>
        </w:rPr>
      </w:pPr>
      <w:r w:rsidRPr="00FD0C01">
        <w:rPr>
          <w:lang w:val="sq-AL"/>
        </w:rPr>
        <w:t>Zyrtari i Përputhshmërisë duhet të monitorojë dhe të raportojë mbi përmbushjen e detyrimeve të transparencës nga Operatori, duke verifikuar nëse informacioni i detyrueshëm sipas pikës 53 të Programit është i publikuar, i përditësuar dhe i aksesueshëm në faqen zyrtare.</w:t>
      </w:r>
    </w:p>
    <w:p w14:paraId="2B9E1791" w14:textId="77777777" w:rsidR="00FD0C01" w:rsidRPr="00FD0C01" w:rsidRDefault="00FD0C01" w:rsidP="00FD0C01">
      <w:pPr>
        <w:pStyle w:val="NormalWeb"/>
        <w:spacing w:before="120" w:beforeAutospacing="0" w:after="120" w:afterAutospacing="0"/>
        <w:contextualSpacing/>
        <w:jc w:val="both"/>
        <w:rPr>
          <w:lang w:val="sq-AL"/>
        </w:rPr>
      </w:pPr>
    </w:p>
    <w:p w14:paraId="35349C92" w14:textId="77777777" w:rsidR="0004482E" w:rsidRDefault="00BD3D75" w:rsidP="00FD0C01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b/>
          <w:bCs/>
          <w:lang w:val="sq-AL"/>
        </w:rPr>
      </w:pPr>
      <w:r>
        <w:rPr>
          <w:b/>
          <w:bCs/>
          <w:lang w:val="sq-AL"/>
        </w:rPr>
        <w:t>Zbatimi i Programit</w:t>
      </w:r>
    </w:p>
    <w:p w14:paraId="3E674EC0" w14:textId="49F66EFF" w:rsidR="0004482E" w:rsidRDefault="00BD3D75" w:rsidP="00FD0C01">
      <w:pPr>
        <w:pStyle w:val="NormalWeb"/>
        <w:numPr>
          <w:ilvl w:val="1"/>
          <w:numId w:val="23"/>
        </w:numPr>
        <w:spacing w:before="0" w:beforeAutospacing="0" w:after="0" w:afterAutospacing="0"/>
        <w:ind w:left="357" w:hanging="357"/>
        <w:contextualSpacing/>
        <w:jc w:val="both"/>
        <w:rPr>
          <w:lang w:val="sq-AL"/>
        </w:rPr>
      </w:pPr>
      <w:r>
        <w:rPr>
          <w:lang w:val="sq-AL"/>
        </w:rPr>
        <w:t>Karakteri detyrues i programit: Raporti i Zyrtarit duhet të pasqyrojë në mënyrë të përmbledhur rekomandimet e dhëna gjatë periudhës së raportimit, si dhe çdo zhvillim që lidhet me licencimin dhe detyrimet rregullatore, me qëllim sigurimin e një pamjeje të qartë mbi përputhshmërinë dhe veprimtarinë e Operatorit.</w:t>
      </w:r>
    </w:p>
    <w:p w14:paraId="1C45010E" w14:textId="77777777" w:rsidR="0004482E" w:rsidRDefault="0004482E">
      <w:pPr>
        <w:pStyle w:val="NormalWeb"/>
        <w:spacing w:before="120" w:beforeAutospacing="0" w:after="120" w:afterAutospacing="0"/>
        <w:ind w:left="357"/>
        <w:contextualSpacing/>
        <w:jc w:val="both"/>
        <w:rPr>
          <w:lang w:val="sq-AL"/>
        </w:rPr>
      </w:pPr>
    </w:p>
    <w:p w14:paraId="3B74EE93" w14:textId="6F9226A8" w:rsidR="0004482E" w:rsidRDefault="00BD3D75" w:rsidP="003E2F42">
      <w:pPr>
        <w:pStyle w:val="NormalWeb"/>
        <w:numPr>
          <w:ilvl w:val="1"/>
          <w:numId w:val="23"/>
        </w:numPr>
        <w:spacing w:before="120" w:beforeAutospacing="0" w:after="120" w:afterAutospacing="0"/>
        <w:ind w:left="357" w:hanging="357"/>
        <w:contextualSpacing/>
        <w:jc w:val="both"/>
        <w:rPr>
          <w:rStyle w:val="Strong"/>
          <w:b w:val="0"/>
          <w:bCs w:val="0"/>
          <w:lang w:val="sq-AL"/>
        </w:rPr>
      </w:pPr>
      <w:r w:rsidRPr="003E2F42">
        <w:rPr>
          <w:lang w:val="sq-AL"/>
        </w:rPr>
        <w:t>Monitorimi i zbatimit të programit: Zyrtari duhet të ushtrojë në mënyrë aktive të gjitha të drejtat dhe detyrimet e monitorimit që i ngarkohen nga legjislacioni në fuqi dhe Programi i Pajtueshmërisë</w:t>
      </w:r>
      <w:r w:rsidR="00525E4D">
        <w:rPr>
          <w:lang w:val="sq-AL"/>
        </w:rPr>
        <w:t xml:space="preserve"> </w:t>
      </w:r>
      <w:r w:rsidR="003E2F42" w:rsidRPr="003E2F42">
        <w:rPr>
          <w:rStyle w:val="Strong"/>
          <w:b w:val="0"/>
          <w:bCs w:val="0"/>
          <w:lang w:val="sq-AL"/>
        </w:rPr>
        <w:t>të cilat përfshijnë, ndër të tjera:</w:t>
      </w:r>
      <w:r w:rsidR="003E2F42" w:rsidRPr="003E2F42">
        <w:rPr>
          <w:lang w:val="sq-AL"/>
        </w:rPr>
        <w:t xml:space="preserve"> </w:t>
      </w:r>
      <w:r w:rsidR="003E2F42" w:rsidRPr="003E2F42">
        <w:rPr>
          <w:rStyle w:val="Strong"/>
          <w:b w:val="0"/>
          <w:bCs w:val="0"/>
          <w:lang w:val="sq-AL"/>
        </w:rPr>
        <w:t>pjesëmarrjen në mbledhjet e organeve drejtuese dhe strukturave përkatëse të Operatorit, kur trajtohen çështje që lidhen me Programin e Përputhshmërisë;</w:t>
      </w:r>
      <w:r w:rsidR="003E2F42">
        <w:rPr>
          <w:lang w:val="sq-AL"/>
        </w:rPr>
        <w:t xml:space="preserve"> </w:t>
      </w:r>
      <w:r w:rsidR="003E2F42" w:rsidRPr="003E2F42">
        <w:rPr>
          <w:rStyle w:val="Strong"/>
          <w:b w:val="0"/>
          <w:bCs w:val="0"/>
          <w:lang w:val="sq-AL"/>
        </w:rPr>
        <w:t>verifikimin periodik të zbatimit të masave dhe detyrimeve të Programit në strukturat e Operatorit;</w:t>
      </w:r>
      <w:r w:rsidR="003E2F42">
        <w:rPr>
          <w:lang w:val="sq-AL"/>
        </w:rPr>
        <w:t xml:space="preserve"> </w:t>
      </w:r>
      <w:r w:rsidR="003E2F42" w:rsidRPr="003E2F42">
        <w:rPr>
          <w:rStyle w:val="Strong"/>
          <w:b w:val="0"/>
          <w:bCs w:val="0"/>
          <w:lang w:val="sq-AL"/>
        </w:rPr>
        <w:t>mbledhjen dhe shqyrtimin e dokumentacionit përkatës lidhur me zbatimin e Programit;</w:t>
      </w:r>
      <w:r w:rsidR="003E2F42">
        <w:rPr>
          <w:lang w:val="sq-AL"/>
        </w:rPr>
        <w:t xml:space="preserve"> </w:t>
      </w:r>
      <w:r w:rsidR="003E2F42" w:rsidRPr="003E2F42">
        <w:rPr>
          <w:rStyle w:val="Strong"/>
          <w:b w:val="0"/>
          <w:bCs w:val="0"/>
          <w:lang w:val="sq-AL"/>
        </w:rPr>
        <w:t>ndjekjen e publikimeve dhe transparencës së informacionit të detyrueshëm;</w:t>
      </w:r>
      <w:r w:rsidR="003E2F42">
        <w:rPr>
          <w:lang w:val="sq-AL"/>
        </w:rPr>
        <w:t xml:space="preserve"> </w:t>
      </w:r>
      <w:r w:rsidR="003E2F42" w:rsidRPr="003E2F42">
        <w:rPr>
          <w:rStyle w:val="Strong"/>
          <w:b w:val="0"/>
          <w:bCs w:val="0"/>
          <w:lang w:val="sq-AL"/>
        </w:rPr>
        <w:t>dokumentimin e veprimtarive monitoruese dhe pasqyrimin e tyre në raportimet periodike dhe vjetore pranë ERE-s.</w:t>
      </w:r>
    </w:p>
    <w:p w14:paraId="54E1E042" w14:textId="77777777" w:rsidR="00FD0C01" w:rsidRPr="003E2F42" w:rsidRDefault="00FD0C01" w:rsidP="00FD0C01">
      <w:pPr>
        <w:pStyle w:val="NormalWeb"/>
        <w:spacing w:before="120" w:beforeAutospacing="0" w:after="120" w:afterAutospacing="0"/>
        <w:contextualSpacing/>
        <w:jc w:val="both"/>
        <w:rPr>
          <w:lang w:val="sq-AL"/>
        </w:rPr>
      </w:pPr>
    </w:p>
    <w:p w14:paraId="0FF1476F" w14:textId="213A768F" w:rsidR="0004482E" w:rsidRDefault="00BD3D75">
      <w:pPr>
        <w:pStyle w:val="NormalWeb"/>
        <w:numPr>
          <w:ilvl w:val="1"/>
          <w:numId w:val="23"/>
        </w:numPr>
        <w:spacing w:before="120" w:beforeAutospacing="0" w:after="120" w:afterAutospacing="0"/>
        <w:ind w:left="357" w:hanging="357"/>
        <w:contextualSpacing/>
        <w:jc w:val="both"/>
        <w:rPr>
          <w:lang w:val="sq-AL"/>
        </w:rPr>
      </w:pPr>
      <w:r>
        <w:rPr>
          <w:lang w:val="sq-AL"/>
        </w:rPr>
        <w:t>Metoda e monitorimit të zbatimit të Programit të P</w:t>
      </w:r>
      <w:r w:rsidR="00D04E96" w:rsidRPr="00091BD4">
        <w:rPr>
          <w:lang w:val="sq-AL"/>
        </w:rPr>
        <w:t>ë</w:t>
      </w:r>
      <w:r w:rsidR="00D04E96">
        <w:rPr>
          <w:lang w:val="sq-AL"/>
        </w:rPr>
        <w:t>rputhshm</w:t>
      </w:r>
      <w:r w:rsidR="00D04E96" w:rsidRPr="00091BD4">
        <w:rPr>
          <w:lang w:val="sq-AL"/>
        </w:rPr>
        <w:t>ë</w:t>
      </w:r>
      <w:r w:rsidR="00D04E96">
        <w:rPr>
          <w:lang w:val="sq-AL"/>
        </w:rPr>
        <w:t>ris</w:t>
      </w:r>
      <w:r w:rsidR="00D04E96" w:rsidRPr="00091BD4">
        <w:rPr>
          <w:lang w:val="sq-AL"/>
        </w:rPr>
        <w:t>ë</w:t>
      </w:r>
      <w:r>
        <w:rPr>
          <w:lang w:val="sq-AL"/>
        </w:rPr>
        <w:t xml:space="preserve">: Zyrtari duhet të përforcojë mekanizmat  e monitorimit të zbatimit të Programit, duke mos u kufizuar vetëm në shkëmbimin e korrespondencës shkresore, por duke ushtruar një monitorim aktiv, të vazhdueshëm dhe të dokumentuar. </w:t>
      </w:r>
    </w:p>
    <w:p w14:paraId="364E327C" w14:textId="77777777" w:rsidR="0004482E" w:rsidRDefault="0004482E">
      <w:pPr>
        <w:pStyle w:val="NormalWeb"/>
        <w:spacing w:before="120" w:beforeAutospacing="0" w:after="120" w:afterAutospacing="0"/>
        <w:contextualSpacing/>
        <w:jc w:val="both"/>
        <w:rPr>
          <w:lang w:val="sq-AL"/>
        </w:rPr>
      </w:pPr>
    </w:p>
    <w:p w14:paraId="2548E774" w14:textId="77777777" w:rsidR="00FD0C01" w:rsidRDefault="00BD3D75" w:rsidP="00D04E96">
      <w:pPr>
        <w:pStyle w:val="NormalWeb"/>
        <w:numPr>
          <w:ilvl w:val="1"/>
          <w:numId w:val="23"/>
        </w:numPr>
        <w:spacing w:before="120" w:beforeAutospacing="0" w:after="120" w:afterAutospacing="0"/>
        <w:contextualSpacing/>
        <w:jc w:val="both"/>
        <w:rPr>
          <w:lang w:val="sq-AL"/>
        </w:rPr>
      </w:pPr>
      <w:r w:rsidRPr="00091BD4">
        <w:rPr>
          <w:lang w:val="sq-AL"/>
        </w:rPr>
        <w:t>Raportimi dhe zbatimi programit: Zyrtari i P</w:t>
      </w:r>
      <w:r w:rsidR="00D04E96" w:rsidRPr="00091BD4">
        <w:rPr>
          <w:lang w:val="sq-AL"/>
        </w:rPr>
        <w:t>ë</w:t>
      </w:r>
      <w:r w:rsidR="00D04E96">
        <w:rPr>
          <w:lang w:val="sq-AL"/>
        </w:rPr>
        <w:t>rputhshm</w:t>
      </w:r>
      <w:r w:rsidR="00D04E96" w:rsidRPr="00091BD4">
        <w:rPr>
          <w:lang w:val="sq-AL"/>
        </w:rPr>
        <w:t>ë</w:t>
      </w:r>
      <w:r w:rsidR="00D04E96">
        <w:rPr>
          <w:lang w:val="sq-AL"/>
        </w:rPr>
        <w:t>ris</w:t>
      </w:r>
      <w:r w:rsidR="00D04E96" w:rsidRPr="00091BD4">
        <w:rPr>
          <w:lang w:val="sq-AL"/>
        </w:rPr>
        <w:t>ë</w:t>
      </w:r>
      <w:r w:rsidRPr="00091BD4">
        <w:rPr>
          <w:lang w:val="sq-AL"/>
        </w:rPr>
        <w:t xml:space="preserve"> duhet të sigurojë respektimin e afateve të raportimit të përcaktuara në pikën 73 të Programit të </w:t>
      </w:r>
      <w:r w:rsidR="00FD0C01" w:rsidRPr="00091BD4">
        <w:rPr>
          <w:lang w:val="sq-AL"/>
        </w:rPr>
        <w:t>Pë</w:t>
      </w:r>
      <w:r w:rsidR="00FD0C01">
        <w:rPr>
          <w:lang w:val="sq-AL"/>
        </w:rPr>
        <w:t>rputhshm</w:t>
      </w:r>
      <w:r w:rsidR="00FD0C01" w:rsidRPr="00091BD4">
        <w:rPr>
          <w:lang w:val="sq-AL"/>
        </w:rPr>
        <w:t>ë</w:t>
      </w:r>
      <w:r w:rsidR="00FD0C01">
        <w:rPr>
          <w:lang w:val="sq-AL"/>
        </w:rPr>
        <w:t>ris</w:t>
      </w:r>
      <w:r w:rsidR="00FD0C01" w:rsidRPr="00091BD4">
        <w:rPr>
          <w:lang w:val="sq-AL"/>
        </w:rPr>
        <w:t>ë</w:t>
      </w:r>
      <w:r w:rsidRPr="00091BD4">
        <w:rPr>
          <w:lang w:val="sq-AL"/>
        </w:rPr>
        <w:t xml:space="preserve">. Në rast </w:t>
      </w:r>
      <w:r w:rsidR="00091BD4" w:rsidRPr="00091BD4">
        <w:rPr>
          <w:lang w:val="sq-AL"/>
        </w:rPr>
        <w:t>se konstaton pamundësi objektive për respektimin e këtyre afateve, ai duhet të njoftojë paraprakisht ERE-n, duke paraqitur një arsyetim të dokumentuar dhe të argumentuar mbi shkaqet e vonesës, si dhe masat e marra për të shmangur përsëritjen e rasteve të tilla në raportimet pasardhëse.</w:t>
      </w:r>
    </w:p>
    <w:p w14:paraId="7BF96AB7" w14:textId="77777777" w:rsidR="00FD0C01" w:rsidRDefault="00FD0C01" w:rsidP="00FD0C01">
      <w:pPr>
        <w:pStyle w:val="NormalWeb"/>
        <w:tabs>
          <w:tab w:val="left" w:pos="360"/>
        </w:tabs>
        <w:spacing w:before="120" w:beforeAutospacing="0" w:after="120" w:afterAutospacing="0"/>
        <w:ind w:left="360"/>
        <w:contextualSpacing/>
        <w:jc w:val="both"/>
        <w:rPr>
          <w:lang w:val="sq-AL"/>
        </w:rPr>
      </w:pPr>
    </w:p>
    <w:p w14:paraId="4B9DE5A6" w14:textId="5A8D5B6E" w:rsidR="00D04E96" w:rsidRPr="00FD0C01" w:rsidRDefault="00BD3D75" w:rsidP="00D04E96">
      <w:pPr>
        <w:pStyle w:val="NormalWeb"/>
        <w:numPr>
          <w:ilvl w:val="1"/>
          <w:numId w:val="23"/>
        </w:numPr>
        <w:spacing w:before="120" w:beforeAutospacing="0" w:after="120" w:afterAutospacing="0"/>
        <w:contextualSpacing/>
        <w:jc w:val="both"/>
        <w:rPr>
          <w:lang w:val="sq-AL"/>
        </w:rPr>
      </w:pPr>
      <w:r w:rsidRPr="00FD0C01">
        <w:rPr>
          <w:lang w:val="sq-AL"/>
        </w:rPr>
        <w:t xml:space="preserve">Zbatimi i </w:t>
      </w:r>
      <w:r w:rsidR="00D04E96" w:rsidRPr="00FD0C01">
        <w:rPr>
          <w:lang w:val="sq-AL"/>
        </w:rPr>
        <w:t>Përputhshmërisë duhet të sigurojë që në raportet vjetore të përfshihet një pasqyrë e qartë mbi statusin e rekomandimeve të dhëna nga ERE në raportimin e mëparshëm, duke evidentuar nivelin e përmbushjes së tyre, masat e ndërmarra për zbatimin e rekomandimeve të papërfunduara dhe ecurinë e tyre gjatë periudhës së monitorimit.</w:t>
      </w:r>
    </w:p>
    <w:bookmarkEnd w:id="4"/>
    <w:p w14:paraId="08A8F69B" w14:textId="71573950" w:rsidR="0004482E" w:rsidRDefault="0004482E" w:rsidP="00FD0C01">
      <w:pPr>
        <w:pStyle w:val="NormalWeb"/>
        <w:tabs>
          <w:tab w:val="left" w:pos="360"/>
        </w:tabs>
        <w:spacing w:before="120" w:beforeAutospacing="0" w:after="120" w:afterAutospacing="0"/>
        <w:ind w:left="360"/>
        <w:contextualSpacing/>
        <w:jc w:val="both"/>
        <w:rPr>
          <w:lang w:val="sq-AL"/>
        </w:rPr>
      </w:pPr>
    </w:p>
    <w:p w14:paraId="3A3EB3D7" w14:textId="128609AA" w:rsidR="00A61D1F" w:rsidRDefault="00A61D1F" w:rsidP="00FD0C01">
      <w:pPr>
        <w:pStyle w:val="NormalWeb"/>
        <w:tabs>
          <w:tab w:val="left" w:pos="360"/>
        </w:tabs>
        <w:spacing w:before="120" w:beforeAutospacing="0" w:after="120" w:afterAutospacing="0"/>
        <w:ind w:left="360"/>
        <w:contextualSpacing/>
        <w:jc w:val="both"/>
        <w:rPr>
          <w:lang w:val="sq-AL"/>
        </w:rPr>
      </w:pPr>
    </w:p>
    <w:p w14:paraId="3B2D67F8" w14:textId="57FA6B2F" w:rsidR="00A61D1F" w:rsidRDefault="00A61D1F" w:rsidP="00FD0C01">
      <w:pPr>
        <w:pStyle w:val="NormalWeb"/>
        <w:tabs>
          <w:tab w:val="left" w:pos="360"/>
        </w:tabs>
        <w:spacing w:before="120" w:beforeAutospacing="0" w:after="120" w:afterAutospacing="0"/>
        <w:ind w:left="360"/>
        <w:contextualSpacing/>
        <w:jc w:val="both"/>
        <w:rPr>
          <w:lang w:val="sq-AL"/>
        </w:rPr>
      </w:pPr>
    </w:p>
    <w:p w14:paraId="3CEEDEF6" w14:textId="32EC6AFE" w:rsidR="00A61D1F" w:rsidRDefault="00A61D1F" w:rsidP="00FD0C01">
      <w:pPr>
        <w:pStyle w:val="NormalWeb"/>
        <w:tabs>
          <w:tab w:val="left" w:pos="360"/>
        </w:tabs>
        <w:spacing w:before="120" w:beforeAutospacing="0" w:after="120" w:afterAutospacing="0"/>
        <w:ind w:left="360"/>
        <w:contextualSpacing/>
        <w:jc w:val="both"/>
        <w:rPr>
          <w:lang w:val="sq-AL"/>
        </w:rPr>
      </w:pPr>
    </w:p>
    <w:p w14:paraId="32D17422" w14:textId="77777777" w:rsidR="00A61D1F" w:rsidRPr="00D04E96" w:rsidRDefault="00A61D1F" w:rsidP="00FD0C01">
      <w:pPr>
        <w:pStyle w:val="NormalWeb"/>
        <w:tabs>
          <w:tab w:val="left" w:pos="360"/>
        </w:tabs>
        <w:spacing w:before="120" w:beforeAutospacing="0" w:after="120" w:afterAutospacing="0"/>
        <w:ind w:left="360"/>
        <w:contextualSpacing/>
        <w:jc w:val="both"/>
        <w:rPr>
          <w:lang w:val="sq-AL"/>
        </w:rPr>
      </w:pPr>
    </w:p>
    <w:p w14:paraId="5F0C6271" w14:textId="498785DD" w:rsidR="0004482E" w:rsidRDefault="00BD3D75" w:rsidP="00A61D1F">
      <w:pPr>
        <w:pStyle w:val="NormalWeb"/>
        <w:spacing w:line="276" w:lineRule="auto"/>
        <w:jc w:val="both"/>
        <w:rPr>
          <w:rStyle w:val="Strong"/>
          <w:lang w:val="sq-AL"/>
        </w:rPr>
      </w:pPr>
      <w:r>
        <w:rPr>
          <w:b/>
          <w:bCs/>
          <w:lang w:val="sq-AL"/>
        </w:rPr>
        <w:lastRenderedPageBreak/>
        <w:t>Aneksi 2 - Rekomandime për shoqërinë “Albgaz”</w:t>
      </w:r>
      <w:r w:rsidR="00A61D1F">
        <w:rPr>
          <w:b/>
          <w:bCs/>
          <w:lang w:val="sq-AL"/>
        </w:rPr>
        <w:t xml:space="preserve"> </w:t>
      </w:r>
      <w:r>
        <w:rPr>
          <w:b/>
          <w:bCs/>
          <w:lang w:val="sq-AL"/>
        </w:rPr>
        <w:t xml:space="preserve">sh.a. </w:t>
      </w:r>
      <w:r w:rsidR="00091BD4" w:rsidRPr="001302C2">
        <w:rPr>
          <w:b/>
          <w:bCs/>
          <w:lang w:val="sq-AL"/>
        </w:rPr>
        <w:t>në vijim të vlerësimit të Raportit Vjetor të Përputhshmërisë</w:t>
      </w:r>
      <w:r w:rsidR="00091BD4" w:rsidRPr="001302C2">
        <w:rPr>
          <w:lang w:val="sq-AL"/>
        </w:rPr>
        <w:t xml:space="preserve"> </w:t>
      </w:r>
      <w:r w:rsidR="00091BD4" w:rsidRPr="001302C2">
        <w:rPr>
          <w:b/>
          <w:bCs/>
          <w:lang w:val="sq-AL"/>
        </w:rPr>
        <w:t>për vitin 2024</w:t>
      </w:r>
    </w:p>
    <w:p w14:paraId="7929788A" w14:textId="77777777" w:rsidR="0004482E" w:rsidRDefault="00BD3D75" w:rsidP="00A61D1F">
      <w:pPr>
        <w:pStyle w:val="Heading3"/>
        <w:spacing w:before="0" w:line="276" w:lineRule="auto"/>
        <w:rPr>
          <w:rFonts w:ascii="Times New Roman" w:hAnsi="Times New Roman" w:cs="Times New Roman"/>
          <w:color w:val="auto"/>
        </w:rPr>
      </w:pPr>
      <w:r>
        <w:rPr>
          <w:rStyle w:val="Strong"/>
          <w:rFonts w:ascii="Times New Roman" w:hAnsi="Times New Roman" w:cs="Times New Roman"/>
          <w:color w:val="auto"/>
        </w:rPr>
        <w:t>1. Statusi ligjor dhe struktura organizative</w:t>
      </w:r>
    </w:p>
    <w:p w14:paraId="335D0A4B" w14:textId="469A6436" w:rsidR="00A61D1F" w:rsidRDefault="00BD3D75" w:rsidP="00A61D1F">
      <w:pPr>
        <w:pStyle w:val="NormalWeb"/>
        <w:numPr>
          <w:ilvl w:val="0"/>
          <w:numId w:val="37"/>
        </w:numPr>
        <w:tabs>
          <w:tab w:val="left" w:pos="360"/>
        </w:tabs>
        <w:spacing w:before="120" w:beforeAutospacing="0" w:after="120" w:afterAutospacing="0" w:line="276" w:lineRule="auto"/>
        <w:contextualSpacing/>
        <w:jc w:val="both"/>
        <w:rPr>
          <w:lang w:val="sq-AL"/>
        </w:rPr>
      </w:pPr>
      <w:r w:rsidRPr="00091BD4">
        <w:rPr>
          <w:lang w:val="sq-AL"/>
        </w:rPr>
        <w:t xml:space="preserve">Shoqëria </w:t>
      </w:r>
      <w:r w:rsidR="00091BD4" w:rsidRPr="00091BD4">
        <w:rPr>
          <w:lang w:val="sq-AL"/>
        </w:rPr>
        <w:t>“Albgaz” sh.a. duhet të informojë dhe të vërë në dispozicion të Zyrtarit të Përputhshmërisë dhe ERE-s dokumentacionin që dëshmon respektimin e kërkesës për pavarësinë e audituesit financiar, në përputhje me kushtet e vendosura në vendimin e certifikimit, përfshirë deklarimin se audituesi financiar nuk ushtron veprimtari auditimi apo shërbime për ndërmarrje që kryejnë veprimtari prodhimi ose furnizimi me gaz natyror.</w:t>
      </w:r>
    </w:p>
    <w:p w14:paraId="2C034861" w14:textId="77777777" w:rsidR="00A61D1F" w:rsidRPr="00A61D1F" w:rsidRDefault="00A61D1F" w:rsidP="00A61D1F">
      <w:pPr>
        <w:pStyle w:val="NormalWeb"/>
        <w:tabs>
          <w:tab w:val="left" w:pos="360"/>
        </w:tabs>
        <w:spacing w:before="120" w:beforeAutospacing="0" w:after="120" w:afterAutospacing="0" w:line="276" w:lineRule="auto"/>
        <w:ind w:left="360"/>
        <w:contextualSpacing/>
        <w:jc w:val="both"/>
        <w:rPr>
          <w:lang w:val="sq-AL"/>
        </w:rPr>
      </w:pPr>
    </w:p>
    <w:p w14:paraId="57BD487D" w14:textId="336BB174" w:rsidR="00774572" w:rsidRPr="00D04E96" w:rsidRDefault="00BD3D75" w:rsidP="00A61D1F">
      <w:pPr>
        <w:pStyle w:val="NormalWeb"/>
        <w:numPr>
          <w:ilvl w:val="0"/>
          <w:numId w:val="37"/>
        </w:numPr>
        <w:spacing w:line="276" w:lineRule="auto"/>
        <w:jc w:val="both"/>
        <w:rPr>
          <w:rStyle w:val="Strong"/>
          <w:b w:val="0"/>
          <w:bCs w:val="0"/>
          <w:lang w:val="sq-AL"/>
        </w:rPr>
      </w:pPr>
      <w:r w:rsidRPr="00091BD4">
        <w:rPr>
          <w:lang w:val="sq-AL"/>
        </w:rPr>
        <w:t xml:space="preserve">Shoqëria duhet të dokumentojë çdo ndryshim në strukturën organizative dhe në nivelet drejtuese apo ekzekutive, si dhe të sigurojë </w:t>
      </w:r>
      <w:r w:rsidR="00774572">
        <w:rPr>
          <w:lang w:val="sq-AL"/>
        </w:rPr>
        <w:t xml:space="preserve"> akses t</w:t>
      </w:r>
      <w:r w:rsidR="00A61D1F" w:rsidRPr="00091BD4">
        <w:rPr>
          <w:lang w:val="sq-AL"/>
        </w:rPr>
        <w:t>ë</w:t>
      </w:r>
      <w:r w:rsidR="00774572">
        <w:rPr>
          <w:lang w:val="sq-AL"/>
        </w:rPr>
        <w:t xml:space="preserve"> </w:t>
      </w:r>
      <w:r w:rsidRPr="00091BD4">
        <w:rPr>
          <w:lang w:val="sq-AL"/>
        </w:rPr>
        <w:t xml:space="preserve">Zyrtarit të Përputhshmërisë </w:t>
      </w:r>
      <w:r w:rsidR="00774572">
        <w:rPr>
          <w:lang w:val="sq-AL"/>
        </w:rPr>
        <w:t>n</w:t>
      </w:r>
      <w:r w:rsidR="00A61D1F" w:rsidRPr="00091BD4">
        <w:rPr>
          <w:lang w:val="sq-AL"/>
        </w:rPr>
        <w:t>ë</w:t>
      </w:r>
      <w:r w:rsidR="00774572">
        <w:rPr>
          <w:lang w:val="sq-AL"/>
        </w:rPr>
        <w:t xml:space="preserve"> njohjen me aktet miratuese.</w:t>
      </w:r>
    </w:p>
    <w:p w14:paraId="4A41525E" w14:textId="514B7B12" w:rsidR="0004482E" w:rsidRPr="00774572" w:rsidRDefault="00BD3D75" w:rsidP="00A61D1F">
      <w:pPr>
        <w:pStyle w:val="NormalWeb"/>
        <w:spacing w:before="0" w:beforeAutospacing="0" w:after="0" w:afterAutospacing="0" w:line="276" w:lineRule="auto"/>
        <w:jc w:val="both"/>
      </w:pPr>
      <w:r w:rsidRPr="00774572">
        <w:rPr>
          <w:rStyle w:val="Strong"/>
        </w:rPr>
        <w:t>2. Ndarja dhe pavarësia e shoqërisë</w:t>
      </w:r>
    </w:p>
    <w:p w14:paraId="060CEF75" w14:textId="796CB91F" w:rsidR="00A61D1F" w:rsidRDefault="00BD3D75" w:rsidP="00A61D1F">
      <w:pPr>
        <w:pStyle w:val="NormalWeb"/>
        <w:spacing w:before="0" w:beforeAutospacing="0" w:after="0" w:afterAutospacing="0" w:line="276" w:lineRule="auto"/>
        <w:ind w:left="270"/>
        <w:jc w:val="both"/>
        <w:rPr>
          <w:lang w:val="sq-AL"/>
        </w:rPr>
      </w:pPr>
      <w:r w:rsidRPr="00091BD4">
        <w:rPr>
          <w:lang w:val="sq-AL"/>
        </w:rPr>
        <w:t xml:space="preserve">Shoqëria </w:t>
      </w:r>
      <w:r w:rsidR="00091BD4" w:rsidRPr="00091BD4">
        <w:rPr>
          <w:lang w:val="sq-AL"/>
        </w:rPr>
        <w:t>“Albgaz” sh.a. duhet të vijojë të sigurojë ruajtjen e ndarjes ligjore dhe organizative të veprimtarisë së transmetimit të gazit natyror si subjekt juridik i veçantë, në përputhje me aktet themeluese dhe Programin e Përputhshmërisë, si dhe të dokumentojë në raportimet pasardhëse çdo element që lidhet me strukturën e pronësisë dhe ushtrimin e të drejtave të aksionarit nga autoriteti publik përkatës.</w:t>
      </w:r>
    </w:p>
    <w:p w14:paraId="5B06DA9D" w14:textId="77777777" w:rsidR="00A61D1F" w:rsidRPr="00A61D1F" w:rsidRDefault="00A61D1F" w:rsidP="00A61D1F">
      <w:pPr>
        <w:pStyle w:val="NormalWeb"/>
        <w:spacing w:before="0" w:beforeAutospacing="0" w:after="0" w:afterAutospacing="0" w:line="276" w:lineRule="auto"/>
        <w:ind w:left="270"/>
        <w:jc w:val="both"/>
      </w:pPr>
    </w:p>
    <w:p w14:paraId="65A957D6" w14:textId="69ABFCC5" w:rsidR="0004482E" w:rsidRPr="000F48B2" w:rsidRDefault="00BD3D75" w:rsidP="00A61D1F">
      <w:pPr>
        <w:pStyle w:val="NormalWeb"/>
        <w:spacing w:before="0" w:beforeAutospacing="0" w:after="0" w:afterAutospacing="0" w:line="276" w:lineRule="auto"/>
        <w:jc w:val="both"/>
      </w:pPr>
      <w:r w:rsidRPr="000F48B2">
        <w:rPr>
          <w:rStyle w:val="Strong"/>
        </w:rPr>
        <w:t>3. Përjashtimi i sjelljes diskriminuese</w:t>
      </w:r>
    </w:p>
    <w:p w14:paraId="2C9BA993" w14:textId="30FD98B8" w:rsidR="0004482E" w:rsidRDefault="00BD3D75" w:rsidP="00A61D1F">
      <w:pPr>
        <w:pStyle w:val="NormalWeb"/>
        <w:spacing w:before="0" w:beforeAutospacing="0" w:after="0" w:afterAutospacing="0" w:line="276" w:lineRule="auto"/>
        <w:ind w:left="270"/>
        <w:jc w:val="both"/>
        <w:rPr>
          <w:lang w:val="sq-AL"/>
        </w:rPr>
      </w:pPr>
      <w:r>
        <w:rPr>
          <w:lang w:val="sq-AL"/>
        </w:rPr>
        <w:t>Shoqëria duhet të sigurojë publikimin në faqen zyrtare të internetit të vendimeve të ERE-s, tarifave dhe akteve rregullatore përkatëse, si dhe të garantojë që dokumentet që janë të detyrueshme për t’u publikuar të jenë të aksesueshme dhe të përditësuara.</w:t>
      </w:r>
    </w:p>
    <w:p w14:paraId="0BD8A2F7" w14:textId="77777777" w:rsidR="00A61D1F" w:rsidRDefault="00A61D1F" w:rsidP="00A61D1F">
      <w:pPr>
        <w:pStyle w:val="NormalWeb"/>
        <w:spacing w:before="0" w:beforeAutospacing="0" w:after="0" w:afterAutospacing="0" w:line="276" w:lineRule="auto"/>
        <w:ind w:left="270"/>
        <w:jc w:val="both"/>
        <w:rPr>
          <w:lang w:val="sq-AL"/>
        </w:rPr>
      </w:pPr>
    </w:p>
    <w:p w14:paraId="6AC53767" w14:textId="77777777" w:rsidR="0004482E" w:rsidRDefault="00BD3D75" w:rsidP="00A61D1F">
      <w:pPr>
        <w:pStyle w:val="Heading3"/>
        <w:spacing w:before="0" w:line="276" w:lineRule="auto"/>
        <w:rPr>
          <w:rFonts w:ascii="Times New Roman" w:hAnsi="Times New Roman" w:cs="Times New Roman"/>
          <w:color w:val="auto"/>
        </w:rPr>
      </w:pPr>
      <w:r>
        <w:rPr>
          <w:rStyle w:val="Strong"/>
          <w:rFonts w:ascii="Times New Roman" w:hAnsi="Times New Roman" w:cs="Times New Roman"/>
          <w:color w:val="auto"/>
        </w:rPr>
        <w:t>4. Politika e informacionit</w:t>
      </w:r>
    </w:p>
    <w:p w14:paraId="6B1916C4" w14:textId="3C8B485A" w:rsidR="00A61D1F" w:rsidRDefault="00BD3D75" w:rsidP="00A61D1F">
      <w:pPr>
        <w:pStyle w:val="NormalWeb"/>
        <w:numPr>
          <w:ilvl w:val="0"/>
          <w:numId w:val="38"/>
        </w:numPr>
        <w:spacing w:before="0" w:beforeAutospacing="0" w:after="0" w:afterAutospacing="0" w:line="276" w:lineRule="auto"/>
        <w:jc w:val="both"/>
        <w:rPr>
          <w:lang w:val="sq-AL"/>
        </w:rPr>
      </w:pPr>
      <w:r>
        <w:rPr>
          <w:lang w:val="sq-AL"/>
        </w:rPr>
        <w:t>Shoqëria duhet të zbatojë detyrimet për publikimin dhe aksesin në informacion në përputhje me kërkesat e Programit të Përputhshmërisë</w:t>
      </w:r>
      <w:r w:rsidR="00D04E96">
        <w:rPr>
          <w:lang w:val="sq-AL"/>
        </w:rPr>
        <w:t xml:space="preserve">, duke </w:t>
      </w:r>
      <w:r w:rsidR="00D04E96" w:rsidRPr="00D04E96">
        <w:rPr>
          <w:lang w:val="sq-AL"/>
        </w:rPr>
        <w:t>garantuar që informacioni i detyrueshëm për përdoruesit e sistemit dhe palët e interesuara të jetë i publikuar, i përditësuar dhe lehtësisht i aksesueshëm në faqen zyrtare, përfshirë listën e shërbimeve, kushtet dhe procedurat për përfitimin e tyre (pika 53)</w:t>
      </w:r>
      <w:r>
        <w:rPr>
          <w:lang w:val="sq-AL"/>
        </w:rPr>
        <w:t>.</w:t>
      </w:r>
    </w:p>
    <w:p w14:paraId="466374F2" w14:textId="77777777" w:rsidR="00A61D1F" w:rsidRDefault="00A61D1F" w:rsidP="00A61D1F">
      <w:pPr>
        <w:pStyle w:val="NormalWeb"/>
        <w:spacing w:before="0" w:beforeAutospacing="0" w:after="0" w:afterAutospacing="0" w:line="276" w:lineRule="auto"/>
        <w:ind w:left="360"/>
        <w:jc w:val="both"/>
        <w:rPr>
          <w:lang w:val="sq-AL"/>
        </w:rPr>
      </w:pPr>
    </w:p>
    <w:p w14:paraId="4AFC02AA" w14:textId="708A2FFE" w:rsidR="0004482E" w:rsidRDefault="00937DF1" w:rsidP="00A61D1F">
      <w:pPr>
        <w:pStyle w:val="NormalWeb"/>
        <w:numPr>
          <w:ilvl w:val="0"/>
          <w:numId w:val="38"/>
        </w:numPr>
        <w:spacing w:before="0" w:beforeAutospacing="0" w:after="0" w:afterAutospacing="0" w:line="276" w:lineRule="auto"/>
        <w:jc w:val="both"/>
        <w:rPr>
          <w:lang w:val="sq-AL"/>
        </w:rPr>
      </w:pPr>
      <w:r w:rsidRPr="00A61D1F">
        <w:rPr>
          <w:lang w:val="sq-AL"/>
        </w:rPr>
        <w:t xml:space="preserve">Shoqëria “Albgaz” sh.a. duhet të sigurojë që në kontratat e punonjësve të përfshihen dispozita mbi ruajtjen e informacionit konfidencial, si dhe pasoja financiare në rast të mosrespektimit të këtij detyrimi, në përputhje me pikën 50 të Programit të Përputhshmërisë. </w:t>
      </w:r>
      <w:r w:rsidR="00BD3D75" w:rsidRPr="00A61D1F">
        <w:rPr>
          <w:lang w:val="sq-AL"/>
        </w:rPr>
        <w:t>Shoqëria duhet të sigurojë publikimin e informacionit të detyrueshëm për përdoruesit e sistemit dhe palët e interesuara, përfshirë listën e shërbimeve, kushtet dhe procedurat për përfitimin e tyre.</w:t>
      </w:r>
    </w:p>
    <w:p w14:paraId="00601971" w14:textId="77777777" w:rsidR="00A61D1F" w:rsidRPr="00A61D1F" w:rsidRDefault="00A61D1F" w:rsidP="00A61D1F">
      <w:pPr>
        <w:pStyle w:val="NormalWeb"/>
        <w:spacing w:before="0" w:beforeAutospacing="0" w:after="0" w:afterAutospacing="0" w:line="276" w:lineRule="auto"/>
        <w:jc w:val="both"/>
        <w:rPr>
          <w:lang w:val="sq-AL"/>
        </w:rPr>
      </w:pPr>
    </w:p>
    <w:p w14:paraId="40FF0641" w14:textId="20E67548" w:rsidR="0004482E" w:rsidRDefault="00BD3D75" w:rsidP="00A61D1F">
      <w:pPr>
        <w:pStyle w:val="Heading3"/>
        <w:spacing w:before="0" w:line="276" w:lineRule="auto"/>
        <w:rPr>
          <w:rFonts w:ascii="Times New Roman" w:hAnsi="Times New Roman" w:cs="Times New Roman"/>
          <w:color w:val="auto"/>
        </w:rPr>
      </w:pPr>
      <w:r>
        <w:rPr>
          <w:rStyle w:val="Strong"/>
          <w:rFonts w:ascii="Times New Roman" w:hAnsi="Times New Roman" w:cs="Times New Roman"/>
          <w:color w:val="auto"/>
        </w:rPr>
        <w:lastRenderedPageBreak/>
        <w:t>5. Zbatimi i Programit të Përputhshmërisë</w:t>
      </w:r>
    </w:p>
    <w:p w14:paraId="7708F466" w14:textId="3DD88FD2" w:rsidR="00A61D1F" w:rsidRDefault="00BD3D75" w:rsidP="00A61D1F">
      <w:pPr>
        <w:pStyle w:val="NormalWeb"/>
        <w:numPr>
          <w:ilvl w:val="0"/>
          <w:numId w:val="39"/>
        </w:numPr>
        <w:spacing w:before="240" w:beforeAutospacing="0" w:line="276" w:lineRule="auto"/>
        <w:jc w:val="both"/>
        <w:rPr>
          <w:lang w:val="sq-AL"/>
        </w:rPr>
      </w:pPr>
      <w:r>
        <w:rPr>
          <w:lang w:val="sq-AL"/>
        </w:rPr>
        <w:t>Shoqëria duhet të sigurojë zbatimin e karakterit detyrues të Programit të Përputhshmërisë në të gjitha strukturat dhe nivelet organizative.</w:t>
      </w:r>
    </w:p>
    <w:p w14:paraId="23D36A45" w14:textId="7EAACB1A" w:rsidR="00A61D1F" w:rsidRPr="00A61D1F" w:rsidRDefault="00BD3D75" w:rsidP="00A61D1F">
      <w:pPr>
        <w:pStyle w:val="NormalWeb"/>
        <w:numPr>
          <w:ilvl w:val="0"/>
          <w:numId w:val="39"/>
        </w:numPr>
        <w:spacing w:before="240" w:beforeAutospacing="0" w:line="276" w:lineRule="auto"/>
        <w:jc w:val="both"/>
        <w:rPr>
          <w:lang w:val="sq-AL"/>
        </w:rPr>
      </w:pPr>
      <w:r>
        <w:rPr>
          <w:lang w:val="sq-AL"/>
        </w:rPr>
        <w:t xml:space="preserve">Shoqëria </w:t>
      </w:r>
      <w:r w:rsidR="00D04E96" w:rsidRPr="00D04E96">
        <w:rPr>
          <w:lang w:val="sq-AL"/>
        </w:rPr>
        <w:t>duhet të sigurojë njoftimin paraprak dhe në kohë të Zyrtarit të Përputhshmërisë për çdo mbledhje të organeve drejtuese ku trajtohen çështje që lidhen me zbatimin e Programit të Përputhshmërisë, duke i vënë në dispozicion rendin e ditës, materialet shoqëruese dhe vendimmarrjet përkatëse, si dhe duke dokumentuar këto njoftime dhe pjesëmarrjen e Zyrtarit për qëllime monitorimi.</w:t>
      </w:r>
    </w:p>
    <w:p w14:paraId="7BAC53B7" w14:textId="77777777" w:rsidR="0004482E" w:rsidRPr="00A61D1F" w:rsidRDefault="00BD3D75" w:rsidP="00A61D1F">
      <w:pPr>
        <w:pStyle w:val="NormalWeb"/>
        <w:numPr>
          <w:ilvl w:val="0"/>
          <w:numId w:val="39"/>
        </w:numPr>
        <w:spacing w:before="240" w:beforeAutospacing="0" w:line="276" w:lineRule="auto"/>
        <w:jc w:val="both"/>
        <w:rPr>
          <w:lang w:val="sq-AL"/>
        </w:rPr>
      </w:pPr>
      <w:r w:rsidRPr="00A61D1F">
        <w:rPr>
          <w:lang w:val="sq-AL"/>
        </w:rPr>
        <w:t>Shoqëria duhet të bashkëpunojë me Zyrtarin e Përputhshmërisë, duke i garantuar akses në dokumentacion, struktura dhe informacion të nevojshëm për monitorimin e zbatimit të Programit.</w:t>
      </w:r>
    </w:p>
    <w:p w14:paraId="1E55FCEC" w14:textId="77777777" w:rsidR="0004482E" w:rsidRDefault="0004482E" w:rsidP="00A61D1F">
      <w:pPr>
        <w:pStyle w:val="NormalWeb"/>
        <w:spacing w:before="120" w:beforeAutospacing="0" w:after="120" w:afterAutospacing="0" w:line="276" w:lineRule="auto"/>
        <w:contextualSpacing/>
        <w:jc w:val="both"/>
        <w:rPr>
          <w:lang w:val="sq-AL"/>
        </w:rPr>
      </w:pPr>
    </w:p>
    <w:p w14:paraId="63D4B962" w14:textId="77777777" w:rsidR="0004482E" w:rsidRDefault="0004482E" w:rsidP="00A61D1F">
      <w:pPr>
        <w:pStyle w:val="NormalWeb"/>
        <w:spacing w:before="120" w:beforeAutospacing="0" w:after="120" w:afterAutospacing="0" w:line="276" w:lineRule="auto"/>
        <w:contextualSpacing/>
        <w:jc w:val="both"/>
        <w:rPr>
          <w:lang w:val="sq-AL"/>
        </w:rPr>
      </w:pPr>
    </w:p>
    <w:p w14:paraId="72D8C1A9" w14:textId="77777777" w:rsidR="0004482E" w:rsidRDefault="0004482E">
      <w:pPr>
        <w:pStyle w:val="NormalWeb"/>
        <w:spacing w:before="120" w:beforeAutospacing="0" w:after="120" w:afterAutospacing="0"/>
        <w:contextualSpacing/>
        <w:jc w:val="both"/>
        <w:rPr>
          <w:lang w:val="sq-AL"/>
        </w:rPr>
      </w:pPr>
    </w:p>
    <w:p w14:paraId="008A612A" w14:textId="77777777" w:rsidR="0004482E" w:rsidRDefault="0004482E">
      <w:pPr>
        <w:pStyle w:val="NormalWeb"/>
        <w:spacing w:before="120" w:beforeAutospacing="0" w:after="120" w:afterAutospacing="0"/>
        <w:contextualSpacing/>
        <w:jc w:val="both"/>
        <w:rPr>
          <w:lang w:val="sq-AL"/>
        </w:rPr>
      </w:pPr>
    </w:p>
    <w:p w14:paraId="57BE49F8" w14:textId="77777777" w:rsidR="0004482E" w:rsidRDefault="0004482E">
      <w:pPr>
        <w:pStyle w:val="NormalWeb"/>
        <w:spacing w:before="120" w:beforeAutospacing="0" w:after="120" w:afterAutospacing="0"/>
        <w:contextualSpacing/>
        <w:jc w:val="both"/>
        <w:rPr>
          <w:lang w:val="sq-AL"/>
        </w:rPr>
      </w:pPr>
    </w:p>
    <w:p w14:paraId="3A289466" w14:textId="77777777" w:rsidR="0004482E" w:rsidRDefault="0004482E">
      <w:pPr>
        <w:pStyle w:val="NormalWeb"/>
        <w:spacing w:before="120" w:beforeAutospacing="0" w:after="120" w:afterAutospacing="0"/>
        <w:contextualSpacing/>
        <w:jc w:val="both"/>
        <w:rPr>
          <w:lang w:val="sq-AL"/>
        </w:rPr>
      </w:pPr>
    </w:p>
    <w:p w14:paraId="41D1E22C" w14:textId="77777777" w:rsidR="0004482E" w:rsidRDefault="0004482E">
      <w:pPr>
        <w:pStyle w:val="NormalWeb"/>
        <w:spacing w:before="120" w:beforeAutospacing="0" w:after="120" w:afterAutospacing="0"/>
        <w:contextualSpacing/>
        <w:jc w:val="both"/>
        <w:rPr>
          <w:lang w:val="sq-AL"/>
        </w:rPr>
      </w:pPr>
    </w:p>
    <w:p w14:paraId="2BDE9903" w14:textId="77777777" w:rsidR="0004482E" w:rsidRDefault="0004482E">
      <w:pPr>
        <w:pStyle w:val="NormalWeb"/>
        <w:spacing w:before="120" w:beforeAutospacing="0" w:after="120" w:afterAutospacing="0"/>
        <w:contextualSpacing/>
        <w:jc w:val="both"/>
        <w:rPr>
          <w:lang w:val="sq-AL"/>
        </w:rPr>
      </w:pPr>
    </w:p>
    <w:p w14:paraId="15A0D891" w14:textId="77777777" w:rsidR="0004482E" w:rsidRDefault="0004482E">
      <w:pPr>
        <w:pStyle w:val="NormalWeb"/>
        <w:spacing w:before="120" w:beforeAutospacing="0" w:after="120" w:afterAutospacing="0"/>
        <w:contextualSpacing/>
        <w:jc w:val="both"/>
        <w:rPr>
          <w:lang w:val="sq-AL"/>
        </w:rPr>
      </w:pPr>
    </w:p>
    <w:p w14:paraId="56A0E94C" w14:textId="77777777" w:rsidR="0004482E" w:rsidRDefault="0004482E">
      <w:pPr>
        <w:pStyle w:val="NormalWeb"/>
        <w:spacing w:before="120" w:beforeAutospacing="0" w:after="120" w:afterAutospacing="0"/>
        <w:contextualSpacing/>
        <w:jc w:val="both"/>
        <w:rPr>
          <w:lang w:val="sq-AL"/>
        </w:rPr>
      </w:pPr>
    </w:p>
    <w:p w14:paraId="7622F268" w14:textId="77777777" w:rsidR="0004482E" w:rsidRDefault="0004482E">
      <w:pPr>
        <w:pStyle w:val="NormalWeb"/>
        <w:spacing w:before="120" w:beforeAutospacing="0" w:after="120" w:afterAutospacing="0"/>
        <w:contextualSpacing/>
        <w:jc w:val="both"/>
        <w:rPr>
          <w:lang w:val="sq-AL"/>
        </w:rPr>
      </w:pPr>
    </w:p>
    <w:p w14:paraId="35BA6BE7" w14:textId="77777777" w:rsidR="0004482E" w:rsidRDefault="0004482E">
      <w:pPr>
        <w:pStyle w:val="NormalWeb"/>
        <w:spacing w:before="120" w:beforeAutospacing="0" w:after="120" w:afterAutospacing="0"/>
        <w:contextualSpacing/>
        <w:jc w:val="both"/>
        <w:rPr>
          <w:lang w:val="sq-AL"/>
        </w:rPr>
      </w:pPr>
    </w:p>
    <w:p w14:paraId="4BCA5AF4" w14:textId="77777777" w:rsidR="0004482E" w:rsidRDefault="0004482E">
      <w:pPr>
        <w:pStyle w:val="NormalWeb"/>
        <w:spacing w:before="120" w:beforeAutospacing="0" w:after="120" w:afterAutospacing="0"/>
        <w:contextualSpacing/>
        <w:jc w:val="both"/>
        <w:rPr>
          <w:lang w:val="sq-AL"/>
        </w:rPr>
      </w:pPr>
    </w:p>
    <w:p w14:paraId="2D101AE8" w14:textId="77777777" w:rsidR="0004482E" w:rsidRDefault="0004482E">
      <w:pPr>
        <w:pStyle w:val="NormalWeb"/>
        <w:spacing w:before="120" w:beforeAutospacing="0" w:after="120" w:afterAutospacing="0"/>
        <w:contextualSpacing/>
        <w:jc w:val="both"/>
        <w:rPr>
          <w:lang w:val="sq-AL"/>
        </w:rPr>
      </w:pPr>
    </w:p>
    <w:p w14:paraId="5DE50F12" w14:textId="77777777" w:rsidR="0004482E" w:rsidRDefault="0004482E">
      <w:pPr>
        <w:pStyle w:val="NormalWeb"/>
        <w:spacing w:before="120" w:beforeAutospacing="0" w:after="120" w:afterAutospacing="0"/>
        <w:contextualSpacing/>
        <w:jc w:val="both"/>
        <w:rPr>
          <w:lang w:val="sq-AL"/>
        </w:rPr>
      </w:pPr>
    </w:p>
    <w:p w14:paraId="378008BF" w14:textId="77777777" w:rsidR="0004482E" w:rsidRDefault="0004482E">
      <w:pPr>
        <w:pStyle w:val="NormalWeb"/>
        <w:spacing w:before="120" w:beforeAutospacing="0" w:after="120" w:afterAutospacing="0"/>
        <w:contextualSpacing/>
        <w:jc w:val="both"/>
        <w:rPr>
          <w:lang w:val="sq-AL"/>
        </w:rPr>
      </w:pPr>
    </w:p>
    <w:p w14:paraId="45DC4DBF" w14:textId="77777777" w:rsidR="0004482E" w:rsidRDefault="0004482E">
      <w:pPr>
        <w:pStyle w:val="NormalWeb"/>
        <w:spacing w:before="120" w:beforeAutospacing="0" w:after="120" w:afterAutospacing="0"/>
        <w:contextualSpacing/>
        <w:jc w:val="both"/>
        <w:rPr>
          <w:lang w:val="sq-AL"/>
        </w:rPr>
      </w:pPr>
    </w:p>
    <w:p w14:paraId="2F9F615E" w14:textId="77777777" w:rsidR="0004482E" w:rsidRDefault="0004482E">
      <w:pPr>
        <w:pStyle w:val="NormalWeb"/>
        <w:spacing w:before="120" w:beforeAutospacing="0" w:after="120" w:afterAutospacing="0"/>
        <w:contextualSpacing/>
        <w:jc w:val="both"/>
        <w:rPr>
          <w:lang w:val="sq-AL"/>
        </w:rPr>
      </w:pPr>
    </w:p>
    <w:p w14:paraId="106729D8" w14:textId="77777777" w:rsidR="0004482E" w:rsidRDefault="0004482E">
      <w:pPr>
        <w:pStyle w:val="NormalWeb"/>
        <w:spacing w:before="120" w:beforeAutospacing="0" w:after="120" w:afterAutospacing="0"/>
        <w:contextualSpacing/>
        <w:jc w:val="both"/>
        <w:rPr>
          <w:lang w:val="sq-AL"/>
        </w:rPr>
      </w:pPr>
    </w:p>
    <w:p w14:paraId="60BCFD03" w14:textId="77777777" w:rsidR="0004482E" w:rsidRDefault="0004482E">
      <w:pPr>
        <w:pStyle w:val="NormalWeb"/>
        <w:spacing w:before="120" w:beforeAutospacing="0" w:after="120" w:afterAutospacing="0"/>
        <w:contextualSpacing/>
        <w:jc w:val="both"/>
        <w:rPr>
          <w:lang w:val="sq-AL"/>
        </w:rPr>
      </w:pPr>
    </w:p>
    <w:p w14:paraId="4D43491C" w14:textId="77777777" w:rsidR="0004482E" w:rsidRDefault="0004482E">
      <w:pPr>
        <w:pStyle w:val="NormalWeb"/>
        <w:spacing w:before="120" w:beforeAutospacing="0" w:after="120" w:afterAutospacing="0"/>
        <w:contextualSpacing/>
        <w:jc w:val="both"/>
        <w:rPr>
          <w:lang w:val="sq-AL"/>
        </w:rPr>
      </w:pPr>
    </w:p>
    <w:p w14:paraId="4A782F20" w14:textId="02CC8C4D" w:rsidR="0004482E" w:rsidRDefault="0004482E" w:rsidP="008546F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B4CE57" w14:textId="77777777" w:rsidR="0004482E" w:rsidRDefault="0004482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5CD923" w14:textId="77777777" w:rsidR="0004482E" w:rsidRDefault="0004482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030588" w14:textId="77777777" w:rsidR="0004482E" w:rsidRDefault="0004482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F808DF" w14:textId="77777777" w:rsidR="0004482E" w:rsidRDefault="0004482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794460" w14:textId="77777777" w:rsidR="0004482E" w:rsidRDefault="000448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4482E">
      <w:footerReference w:type="default" r:id="rId20"/>
      <w:pgSz w:w="12240" w:h="15840"/>
      <w:pgMar w:top="1135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165485" w14:textId="77777777" w:rsidR="001473E4" w:rsidRDefault="001473E4">
      <w:pPr>
        <w:spacing w:after="0" w:line="240" w:lineRule="auto"/>
      </w:pPr>
      <w:r>
        <w:separator/>
      </w:r>
    </w:p>
  </w:endnote>
  <w:endnote w:type="continuationSeparator" w:id="0">
    <w:p w14:paraId="2736BBAB" w14:textId="77777777" w:rsidR="001473E4" w:rsidRDefault="00147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75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826"/>
      <w:gridCol w:w="4849"/>
    </w:tblGrid>
    <w:tr w:rsidR="00525E4D" w14:paraId="2E392208" w14:textId="77777777" w:rsidTr="009D630D">
      <w:trPr>
        <w:trHeight w:val="681"/>
      </w:trPr>
      <w:tc>
        <w:tcPr>
          <w:tcW w:w="4826" w:type="dxa"/>
        </w:tcPr>
        <w:p w14:paraId="045DE3F4" w14:textId="77777777" w:rsidR="00525E4D" w:rsidRDefault="00525E4D" w:rsidP="00525E4D">
          <w:pPr>
            <w:tabs>
              <w:tab w:val="center" w:pos="4680"/>
              <w:tab w:val="right" w:pos="9360"/>
            </w:tabs>
            <w:spacing w:after="0"/>
            <w:rPr>
              <w:rFonts w:ascii="Times New Roman" w:hAnsi="Times New Roman" w:cs="Times New Roman"/>
              <w:sz w:val="20"/>
              <w:szCs w:val="20"/>
              <w:lang w:val="it-IT"/>
            </w:rPr>
          </w:pPr>
          <w:r>
            <w:rPr>
              <w:rFonts w:ascii="Times New Roman" w:hAnsi="Times New Roman" w:cs="Times New Roman"/>
              <w:sz w:val="20"/>
              <w:szCs w:val="20"/>
              <w:lang w:val="sv-SE"/>
            </w:rPr>
            <w:t xml:space="preserve">Adresa: </w:t>
          </w:r>
          <w:r>
            <w:rPr>
              <w:rFonts w:ascii="Times New Roman" w:hAnsi="Times New Roman" w:cs="Times New Roman"/>
              <w:sz w:val="20"/>
              <w:szCs w:val="20"/>
              <w:lang w:val="it-IT"/>
            </w:rPr>
            <w:t>“Irfan Tomini”, Njësia Administrative Nr.7,</w:t>
          </w:r>
        </w:p>
        <w:p w14:paraId="20FECB27" w14:textId="77777777" w:rsidR="00525E4D" w:rsidRDefault="00525E4D" w:rsidP="00525E4D">
          <w:pPr>
            <w:tabs>
              <w:tab w:val="center" w:pos="4680"/>
              <w:tab w:val="right" w:pos="9360"/>
            </w:tabs>
            <w:spacing w:after="0"/>
            <w:rPr>
              <w:rFonts w:ascii="Times New Roman" w:hAnsi="Times New Roman" w:cs="Times New Roman"/>
              <w:sz w:val="20"/>
              <w:szCs w:val="20"/>
              <w:lang w:val="it-IT"/>
            </w:rPr>
          </w:pPr>
          <w:r>
            <w:rPr>
              <w:rFonts w:ascii="Times New Roman" w:hAnsi="Times New Roman" w:cs="Times New Roman"/>
              <w:sz w:val="20"/>
              <w:szCs w:val="20"/>
              <w:lang w:val="it-IT"/>
            </w:rPr>
            <w:t xml:space="preserve">Tiranë | web: </w:t>
          </w:r>
          <w:hyperlink r:id="rId1" w:history="1">
            <w:r>
              <w:rPr>
                <w:rStyle w:val="Hyperlink"/>
                <w:rFonts w:ascii="Times New Roman" w:hAnsi="Times New Roman" w:cs="Times New Roman"/>
                <w:sz w:val="20"/>
                <w:szCs w:val="20"/>
                <w:lang w:val="it-IT"/>
              </w:rPr>
              <w:t>www.ere.gov.al</w:t>
            </w:r>
          </w:hyperlink>
          <w:r>
            <w:rPr>
              <w:rFonts w:ascii="Times New Roman" w:hAnsi="Times New Roman" w:cs="Times New Roman"/>
              <w:sz w:val="20"/>
              <w:szCs w:val="20"/>
              <w:lang w:val="it-IT"/>
            </w:rPr>
            <w:t xml:space="preserve">           </w:t>
          </w:r>
        </w:p>
      </w:tc>
      <w:tc>
        <w:tcPr>
          <w:tcW w:w="4849" w:type="dxa"/>
        </w:tcPr>
        <w:p w14:paraId="69C463E4" w14:textId="77777777" w:rsidR="00525E4D" w:rsidRDefault="00525E4D" w:rsidP="00525E4D">
          <w:pPr>
            <w:pStyle w:val="NoSpacing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   Tel: +355 45 620 820, +355 45 620 821</w:t>
          </w:r>
          <w:r>
            <w:rPr>
              <w:rFonts w:ascii="Times New Roman" w:hAnsi="Times New Roman" w:cs="Times New Roman"/>
              <w:sz w:val="20"/>
              <w:szCs w:val="20"/>
              <w:lang w:val="it-IT"/>
            </w:rPr>
            <w:t xml:space="preserve">                                                                                                                 E-mail: </w:t>
          </w:r>
          <w:hyperlink r:id="rId2" w:history="1">
            <w:r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  <w:lang w:val="it-IT"/>
              </w:rPr>
              <w:t>erealb@ere.gov.al</w:t>
            </w:r>
          </w:hyperlink>
        </w:p>
      </w:tc>
    </w:tr>
  </w:tbl>
  <w:p w14:paraId="5CBEDB78" w14:textId="50F37D2F" w:rsidR="0004482E" w:rsidRPr="00525E4D" w:rsidRDefault="00525E4D" w:rsidP="00525E4D">
    <w:pPr>
      <w:tabs>
        <w:tab w:val="center" w:pos="4680"/>
        <w:tab w:val="right" w:pos="9360"/>
      </w:tabs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>PAGE   \* MERGEFORMAT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="005F7EED">
      <w:rPr>
        <w:rFonts w:ascii="Times New Roman" w:hAnsi="Times New Roman" w:cs="Times New Roman"/>
        <w:noProof/>
        <w:sz w:val="20"/>
        <w:szCs w:val="20"/>
      </w:rPr>
      <w:t>2</w:t>
    </w:r>
    <w:r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39FFB0" w14:textId="77777777" w:rsidR="001473E4" w:rsidRDefault="001473E4">
      <w:pPr>
        <w:spacing w:after="0" w:line="240" w:lineRule="auto"/>
      </w:pPr>
      <w:r>
        <w:separator/>
      </w:r>
    </w:p>
  </w:footnote>
  <w:footnote w:type="continuationSeparator" w:id="0">
    <w:p w14:paraId="029E051B" w14:textId="77777777" w:rsidR="001473E4" w:rsidRDefault="001473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6250F4E4"/>
    <w:lvl w:ilvl="0" w:tplc="5AAAA19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AB185D5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000003"/>
    <w:multiLevelType w:val="multilevel"/>
    <w:tmpl w:val="23106ADE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000004"/>
    <w:multiLevelType w:val="hybridMultilevel"/>
    <w:tmpl w:val="118EF8CC"/>
    <w:lvl w:ilvl="0" w:tplc="4740AE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B8D8AD2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6"/>
    <w:multiLevelType w:val="hybridMultilevel"/>
    <w:tmpl w:val="7364271C"/>
    <w:lvl w:ilvl="0" w:tplc="04090017">
      <w:start w:val="1"/>
      <w:numFmt w:val="lowerLetter"/>
      <w:lvlText w:val="%1)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00000007"/>
    <w:multiLevelType w:val="hybridMultilevel"/>
    <w:tmpl w:val="B03C65B2"/>
    <w:lvl w:ilvl="0" w:tplc="AD820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0000008"/>
    <w:multiLevelType w:val="multilevel"/>
    <w:tmpl w:val="D7464332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Cambria" w:eastAsia="SimSun" w:hAnsi="Cambria" w:cs="SimSu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0000009"/>
    <w:multiLevelType w:val="hybridMultilevel"/>
    <w:tmpl w:val="C484873A"/>
    <w:lvl w:ilvl="0" w:tplc="5AAAA19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8C4825F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000000B"/>
    <w:multiLevelType w:val="hybridMultilevel"/>
    <w:tmpl w:val="3A7AD04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00000C"/>
    <w:multiLevelType w:val="hybridMultilevel"/>
    <w:tmpl w:val="5ED0C616"/>
    <w:lvl w:ilvl="0" w:tplc="D278BAC4">
      <w:start w:val="1"/>
      <w:numFmt w:val="lowerLetter"/>
      <w:lvlText w:val="%1)"/>
      <w:lvlJc w:val="left"/>
      <w:pPr>
        <w:ind w:left="81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0000000D"/>
    <w:multiLevelType w:val="hybridMultilevel"/>
    <w:tmpl w:val="A9768A9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000000E"/>
    <w:multiLevelType w:val="hybridMultilevel"/>
    <w:tmpl w:val="7B947E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000000F"/>
    <w:multiLevelType w:val="hybridMultilevel"/>
    <w:tmpl w:val="B47C8A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0000010"/>
    <w:multiLevelType w:val="hybridMultilevel"/>
    <w:tmpl w:val="A8FA1DB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0000011"/>
    <w:multiLevelType w:val="hybridMultilevel"/>
    <w:tmpl w:val="BEC8AE90"/>
    <w:lvl w:ilvl="0" w:tplc="743C88F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000012"/>
    <w:multiLevelType w:val="hybridMultilevel"/>
    <w:tmpl w:val="9E0846A6"/>
    <w:lvl w:ilvl="0" w:tplc="5AAAA19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0000013"/>
    <w:multiLevelType w:val="hybridMultilevel"/>
    <w:tmpl w:val="DCAC60C6"/>
    <w:lvl w:ilvl="0" w:tplc="5AAAA19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0000014"/>
    <w:multiLevelType w:val="hybridMultilevel"/>
    <w:tmpl w:val="141E1234"/>
    <w:lvl w:ilvl="0" w:tplc="5AAAA19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00000015"/>
    <w:multiLevelType w:val="hybridMultilevel"/>
    <w:tmpl w:val="4ED4B068"/>
    <w:lvl w:ilvl="0" w:tplc="A260B1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0000016"/>
    <w:multiLevelType w:val="hybridMultilevel"/>
    <w:tmpl w:val="E5323CD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00000017"/>
    <w:multiLevelType w:val="hybridMultilevel"/>
    <w:tmpl w:val="D3ACFB1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00000018"/>
    <w:multiLevelType w:val="hybridMultilevel"/>
    <w:tmpl w:val="161A32F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0000019"/>
    <w:multiLevelType w:val="hybridMultilevel"/>
    <w:tmpl w:val="6388C572"/>
    <w:lvl w:ilvl="0" w:tplc="2F2CEF56">
      <w:start w:val="1"/>
      <w:numFmt w:val="bullet"/>
      <w:lvlText w:val="-"/>
      <w:lvlJc w:val="left"/>
      <w:pPr>
        <w:ind w:left="360" w:hanging="360"/>
      </w:pPr>
      <w:rPr>
        <w:rFonts w:ascii="Cambria" w:eastAsia="SimSun" w:hAnsi="Cambria" w:cs="SimSu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0000001A"/>
    <w:multiLevelType w:val="hybridMultilevel"/>
    <w:tmpl w:val="AAFE653E"/>
    <w:lvl w:ilvl="0" w:tplc="5AAAA19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0000001B"/>
    <w:multiLevelType w:val="hybridMultilevel"/>
    <w:tmpl w:val="E33275E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0000001C"/>
    <w:multiLevelType w:val="multilevel"/>
    <w:tmpl w:val="755498CC"/>
    <w:lvl w:ilvl="0">
      <w:start w:val="3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left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28" w15:restartNumberingAfterBreak="0">
    <w:nsid w:val="0000001D"/>
    <w:multiLevelType w:val="hybridMultilevel"/>
    <w:tmpl w:val="EC96E16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0000001E"/>
    <w:multiLevelType w:val="hybridMultilevel"/>
    <w:tmpl w:val="B4FEE570"/>
    <w:lvl w:ilvl="0" w:tplc="2F2CEF56">
      <w:start w:val="1"/>
      <w:numFmt w:val="bullet"/>
      <w:lvlText w:val="-"/>
      <w:lvlJc w:val="left"/>
      <w:pPr>
        <w:ind w:left="360" w:hanging="360"/>
      </w:pPr>
      <w:rPr>
        <w:rFonts w:ascii="Cambria" w:eastAsia="SimSun" w:hAnsi="Cambria" w:cs="SimSu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0000001F"/>
    <w:multiLevelType w:val="hybridMultilevel"/>
    <w:tmpl w:val="DA4E69E6"/>
    <w:lvl w:ilvl="0" w:tplc="A7F4C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0000020"/>
    <w:multiLevelType w:val="hybridMultilevel"/>
    <w:tmpl w:val="ADCAAF6A"/>
    <w:lvl w:ilvl="0" w:tplc="5AAAA19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00000021"/>
    <w:multiLevelType w:val="multilevel"/>
    <w:tmpl w:val="D3EEFBA4"/>
    <w:lvl w:ilvl="0">
      <w:start w:val="3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ind w:left="3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33" w15:restartNumberingAfterBreak="0">
    <w:nsid w:val="00000022"/>
    <w:multiLevelType w:val="multilevel"/>
    <w:tmpl w:val="9D94C21E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eastAsia="Times New Roman" w:hAnsi="Times New Roman" w:cs="Times New Roman"/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34" w15:restartNumberingAfterBreak="0">
    <w:nsid w:val="046E1E07"/>
    <w:multiLevelType w:val="hybridMultilevel"/>
    <w:tmpl w:val="1EB096C6"/>
    <w:lvl w:ilvl="0" w:tplc="B1BABC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/>
        <w:i w:val="0"/>
        <w:i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5" w15:restartNumberingAfterBreak="0">
    <w:nsid w:val="0BFA34BA"/>
    <w:multiLevelType w:val="hybridMultilevel"/>
    <w:tmpl w:val="27427A2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90722A0"/>
    <w:multiLevelType w:val="hybridMultilevel"/>
    <w:tmpl w:val="B3182F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78E0CA3"/>
    <w:multiLevelType w:val="hybridMultilevel"/>
    <w:tmpl w:val="E9226C9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5801CE5"/>
    <w:multiLevelType w:val="hybridMultilevel"/>
    <w:tmpl w:val="5C989CB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1"/>
  </w:num>
  <w:num w:numId="2">
    <w:abstractNumId w:val="34"/>
  </w:num>
  <w:num w:numId="3">
    <w:abstractNumId w:val="14"/>
  </w:num>
  <w:num w:numId="4">
    <w:abstractNumId w:val="24"/>
  </w:num>
  <w:num w:numId="5">
    <w:abstractNumId w:val="11"/>
  </w:num>
  <w:num w:numId="6">
    <w:abstractNumId w:val="7"/>
  </w:num>
  <w:num w:numId="7">
    <w:abstractNumId w:val="3"/>
  </w:num>
  <w:num w:numId="8">
    <w:abstractNumId w:val="29"/>
  </w:num>
  <w:num w:numId="9">
    <w:abstractNumId w:val="33"/>
  </w:num>
  <w:num w:numId="10">
    <w:abstractNumId w:val="19"/>
  </w:num>
  <w:num w:numId="11">
    <w:abstractNumId w:val="20"/>
  </w:num>
  <w:num w:numId="12">
    <w:abstractNumId w:val="32"/>
  </w:num>
  <w:num w:numId="13">
    <w:abstractNumId w:val="30"/>
  </w:num>
  <w:num w:numId="14">
    <w:abstractNumId w:val="12"/>
  </w:num>
  <w:num w:numId="15">
    <w:abstractNumId w:val="13"/>
  </w:num>
  <w:num w:numId="16">
    <w:abstractNumId w:val="10"/>
  </w:num>
  <w:num w:numId="17">
    <w:abstractNumId w:val="6"/>
  </w:num>
  <w:num w:numId="18">
    <w:abstractNumId w:val="26"/>
  </w:num>
  <w:num w:numId="19">
    <w:abstractNumId w:val="21"/>
  </w:num>
  <w:num w:numId="20">
    <w:abstractNumId w:val="25"/>
  </w:num>
  <w:num w:numId="21">
    <w:abstractNumId w:val="18"/>
  </w:num>
  <w:num w:numId="22">
    <w:abstractNumId w:val="28"/>
  </w:num>
  <w:num w:numId="23">
    <w:abstractNumId w:val="27"/>
  </w:num>
  <w:num w:numId="24">
    <w:abstractNumId w:val="16"/>
  </w:num>
  <w:num w:numId="25">
    <w:abstractNumId w:val="17"/>
  </w:num>
  <w:num w:numId="26">
    <w:abstractNumId w:val="8"/>
  </w:num>
  <w:num w:numId="27">
    <w:abstractNumId w:val="0"/>
  </w:num>
  <w:num w:numId="28">
    <w:abstractNumId w:val="5"/>
  </w:num>
  <w:num w:numId="29">
    <w:abstractNumId w:val="22"/>
  </w:num>
  <w:num w:numId="30">
    <w:abstractNumId w:val="2"/>
  </w:num>
  <w:num w:numId="31">
    <w:abstractNumId w:val="15"/>
  </w:num>
  <w:num w:numId="32">
    <w:abstractNumId w:val="4"/>
  </w:num>
  <w:num w:numId="33">
    <w:abstractNumId w:val="9"/>
  </w:num>
  <w:num w:numId="34">
    <w:abstractNumId w:val="23"/>
  </w:num>
  <w:num w:numId="35">
    <w:abstractNumId w:val="1"/>
  </w:num>
  <w:num w:numId="36">
    <w:abstractNumId w:val="36"/>
  </w:num>
  <w:num w:numId="37">
    <w:abstractNumId w:val="38"/>
  </w:num>
  <w:num w:numId="38">
    <w:abstractNumId w:val="35"/>
  </w:num>
  <w:num w:numId="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82E"/>
    <w:rsid w:val="0004482E"/>
    <w:rsid w:val="00091BD4"/>
    <w:rsid w:val="000F48B2"/>
    <w:rsid w:val="001302C2"/>
    <w:rsid w:val="001473E4"/>
    <w:rsid w:val="00226448"/>
    <w:rsid w:val="002C6A8C"/>
    <w:rsid w:val="002F299B"/>
    <w:rsid w:val="0035685D"/>
    <w:rsid w:val="00373E96"/>
    <w:rsid w:val="003B12C6"/>
    <w:rsid w:val="003E2F42"/>
    <w:rsid w:val="0043686E"/>
    <w:rsid w:val="00525E4D"/>
    <w:rsid w:val="005B60C3"/>
    <w:rsid w:val="005F7EED"/>
    <w:rsid w:val="00722DF5"/>
    <w:rsid w:val="00736953"/>
    <w:rsid w:val="00774572"/>
    <w:rsid w:val="007D789C"/>
    <w:rsid w:val="008546FB"/>
    <w:rsid w:val="008D52A9"/>
    <w:rsid w:val="008F2221"/>
    <w:rsid w:val="008F67FE"/>
    <w:rsid w:val="00937DF1"/>
    <w:rsid w:val="00957FEB"/>
    <w:rsid w:val="009D40A1"/>
    <w:rsid w:val="00A5160A"/>
    <w:rsid w:val="00A61D1F"/>
    <w:rsid w:val="00BD3D75"/>
    <w:rsid w:val="00C24680"/>
    <w:rsid w:val="00D04E96"/>
    <w:rsid w:val="00D1255C"/>
    <w:rsid w:val="00DD3B76"/>
    <w:rsid w:val="00DD6BEE"/>
    <w:rsid w:val="00E548AF"/>
    <w:rsid w:val="00FD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01D71"/>
  <w15:docId w15:val="{9859C8DC-B320-432D-8B6C-7255AB247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after="0" w:line="240" w:lineRule="auto"/>
      <w:jc w:val="center"/>
      <w:outlineLvl w:val="0"/>
    </w:pPr>
    <w:rPr>
      <w:rFonts w:ascii="Times New Roman" w:eastAsia="MS Mincho" w:hAnsi="Times New Roman" w:cs="Times New Roman"/>
      <w:b/>
      <w:bCs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="Cambria" w:eastAsia="SimSun" w:hAnsi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="Calibri Light" w:eastAsia="SimSun" w:hAnsi="Calibri Light"/>
      <w:color w:val="1F376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="Cambria" w:eastAsia="SimSun" w:hAnsi="Cambria"/>
      <w:i/>
      <w:iCs/>
      <w:color w:val="365F9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Calibri" w:hAnsi="Calibri" w:cs="SimSun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34"/>
    <w:qFormat/>
    <w:rPr>
      <w:rFonts w:ascii="Calibri" w:eastAsia="Calibri" w:hAnsi="Calibri" w:cs="SimSun"/>
    </w:rPr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pPr>
      <w:spacing w:after="160"/>
    </w:pPr>
    <w:rPr>
      <w:rFonts w:ascii="Calibri" w:eastAsia="Calibri" w:hAnsi="Calibri" w:cs="SimSu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Calibri" w:eastAsia="Calibri" w:hAnsi="Calibri" w:cs="SimSu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Segoe UI" w:eastAsia="Calibri" w:hAnsi="Segoe UI" w:cs="Segoe UI"/>
      <w:sz w:val="18"/>
      <w:szCs w:val="18"/>
    </w:rPr>
  </w:style>
  <w:style w:type="character" w:customStyle="1" w:styleId="BodyText1">
    <w:name w:val="Body Text1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3"/>
      <w:szCs w:val="23"/>
      <w:shd w:val="clear" w:color="auto" w:fill="FFFFFF"/>
      <w:lang w:val="en-US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Calibri" w:hAnsi="Calibri" w:cs="SimSun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Pr>
      <w:rFonts w:ascii="Times New Roman" w:eastAsia="MS Mincho" w:hAnsi="Times New Roman" w:cs="Times New Roman"/>
      <w:b/>
      <w:bCs/>
      <w:sz w:val="24"/>
      <w:szCs w:val="24"/>
      <w:lang w:val="en-GB"/>
    </w:rPr>
  </w:style>
  <w:style w:type="character" w:customStyle="1" w:styleId="fontstyle01">
    <w:name w:val="fontstyle01"/>
    <w:basedOn w:val="DefaultParagraphFont"/>
    <w:rPr>
      <w:rFonts w:ascii="Calibri" w:hAnsi="Calibri" w:cs="Calibri" w:hint="default"/>
      <w:b w:val="0"/>
      <w:bCs w:val="0"/>
      <w:i w:val="0"/>
      <w:iCs w:val="0"/>
      <w:color w:val="000000"/>
      <w:sz w:val="18"/>
      <w:szCs w:val="18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libri Light" w:eastAsia="SimSun" w:hAnsi="Calibri Light" w:cs="SimSun"/>
      <w:color w:val="1F3763"/>
      <w:sz w:val="24"/>
      <w:szCs w:val="24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NormalWeb">
    <w:name w:val="Normal (Web)"/>
    <w:basedOn w:val="Normal"/>
    <w:link w:val="NormalWebChar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r-only">
    <w:name w:val="sr-only"/>
    <w:basedOn w:val="DefaultParagraphFont"/>
  </w:style>
  <w:style w:type="character" w:customStyle="1" w:styleId="Heading4Char">
    <w:name w:val="Heading 4 Char"/>
    <w:basedOn w:val="DefaultParagraphFont"/>
    <w:link w:val="Heading4"/>
    <w:uiPriority w:val="9"/>
    <w:rPr>
      <w:rFonts w:ascii="Cambria" w:eastAsia="SimSun" w:hAnsi="Cambria" w:cs="SimSun"/>
      <w:i/>
      <w:iCs/>
      <w:color w:val="365F91"/>
    </w:rPr>
  </w:style>
  <w:style w:type="character" w:customStyle="1" w:styleId="UnresolvedMention2">
    <w:name w:val="Unresolved Mention2"/>
    <w:basedOn w:val="DefaultParagraphFont"/>
    <w:uiPriority w:val="99"/>
    <w:rPr>
      <w:color w:val="605E5C"/>
      <w:shd w:val="clear" w:color="auto" w:fill="E1DFDD"/>
    </w:rPr>
  </w:style>
  <w:style w:type="character" w:customStyle="1" w:styleId="NormalWebChar">
    <w:name w:val="Normal (Web) Char"/>
    <w:link w:val="NormalWeb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uiPriority w:val="99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Pr>
      <w:rFonts w:ascii="Cambria" w:eastAsia="SimSun" w:hAnsi="Cambria" w:cs="SimSun"/>
      <w:color w:val="365F9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091BD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1B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whitespace-normal">
    <w:name w:val="whitespace-normal"/>
    <w:basedOn w:val="DefaultParagraphFont"/>
    <w:rsid w:val="00957F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numbering" Target="numbering.xml"/><Relationship Id="rId18" Type="http://schemas.openxmlformats.org/officeDocument/2006/relationships/endnotes" Target="endnotes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webSettings" Target="webSettings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5" Type="http://schemas.openxmlformats.org/officeDocument/2006/relationships/customXml" Target="../customXml/item5.xml"/><Relationship Id="rId15" Type="http://schemas.openxmlformats.org/officeDocument/2006/relationships/settings" Target="settings.xml"/><Relationship Id="rId10" Type="http://schemas.openxmlformats.org/officeDocument/2006/relationships/customXml" Target="../customXml/item10.xml"/><Relationship Id="rId19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styles" Target="styles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realb@ere.gov.al" TargetMode="External"/><Relationship Id="rId1" Type="http://schemas.openxmlformats.org/officeDocument/2006/relationships/hyperlink" Target="http://www.ere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0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1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4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5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6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7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8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9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6C9371A4-1350-483B-8B4B-E075B6637ADF}">
  <ds:schemaRefs>
    <ds:schemaRef ds:uri="http://www.wps.cn/android/officeDocument/2013/mofficeCustomData"/>
  </ds:schemaRefs>
</ds:datastoreItem>
</file>

<file path=customXml/itemProps10.xml><?xml version="1.0" encoding="utf-8"?>
<ds:datastoreItem xmlns:ds="http://schemas.openxmlformats.org/officeDocument/2006/customXml" ds:itemID="{CE825E6F-5855-459C-9ED1-2F4173A8F3BB}">
  <ds:schemaRefs>
    <ds:schemaRef ds:uri="http://www.wps.cn/android/officeDocument/2013/mofficeCustomData"/>
  </ds:schemaRefs>
</ds:datastoreItem>
</file>

<file path=customXml/itemProps11.xml><?xml version="1.0" encoding="utf-8"?>
<ds:datastoreItem xmlns:ds="http://schemas.openxmlformats.org/officeDocument/2006/customXml" ds:itemID="{6328F26A-B972-4F7B-9828-FD8652D63573}">
  <ds:schemaRefs>
    <ds:schemaRef ds:uri="http://www.wps.cn/android/officeDocument/2013/mofficeCustomData"/>
  </ds:schemaRefs>
</ds:datastoreItem>
</file>

<file path=customXml/itemProps12.xml><?xml version="1.0" encoding="utf-8"?>
<ds:datastoreItem xmlns:ds="http://schemas.openxmlformats.org/officeDocument/2006/customXml" ds:itemID="{AC2CBD0C-A6EB-4622-99D0-3AFDA68AC89A}">
  <ds:schemaRefs>
    <ds:schemaRef ds:uri="http://www.wps.cn/android/officeDocument/2013/mofficeCustomData"/>
  </ds:schemaRefs>
</ds:datastoreItem>
</file>

<file path=customXml/itemProps2.xml><?xml version="1.0" encoding="utf-8"?>
<ds:datastoreItem xmlns:ds="http://schemas.openxmlformats.org/officeDocument/2006/customXml" ds:itemID="{3EB6993E-E3BF-4FF4-8345-507844BD8366}">
  <ds:schemaRefs>
    <ds:schemaRef ds:uri="http://www.wps.cn/android/officeDocument/2013/mofficeCustomData"/>
  </ds:schemaRefs>
</ds:datastoreItem>
</file>

<file path=customXml/itemProps3.xml><?xml version="1.0" encoding="utf-8"?>
<ds:datastoreItem xmlns:ds="http://schemas.openxmlformats.org/officeDocument/2006/customXml" ds:itemID="{F5B67A79-63F6-4D9D-8EC1-B200E1E7C1CC}">
  <ds:schemaRefs>
    <ds:schemaRef ds:uri="http://www.wps.cn/android/officeDocument/2013/mofficeCustomData"/>
  </ds:schemaRefs>
</ds:datastoreItem>
</file>

<file path=customXml/itemProps4.xml><?xml version="1.0" encoding="utf-8"?>
<ds:datastoreItem xmlns:ds="http://schemas.openxmlformats.org/officeDocument/2006/customXml" ds:itemID="{3C842714-8599-4C0F-B05B-774274AB65AF}">
  <ds:schemaRefs>
    <ds:schemaRef ds:uri="http://www.wps.cn/android/officeDocument/2013/mofficeCustomData"/>
  </ds:schemaRefs>
</ds:datastoreItem>
</file>

<file path=customXml/itemProps5.xml><?xml version="1.0" encoding="utf-8"?>
<ds:datastoreItem xmlns:ds="http://schemas.openxmlformats.org/officeDocument/2006/customXml" ds:itemID="{C549A8DC-51F9-4464-86EC-72F45D8BCA9E}">
  <ds:schemaRefs>
    <ds:schemaRef ds:uri="http://www.wps.cn/android/officeDocument/2013/mofficeCustomData"/>
  </ds:schemaRefs>
</ds:datastoreItem>
</file>

<file path=customXml/itemProps6.xml><?xml version="1.0" encoding="utf-8"?>
<ds:datastoreItem xmlns:ds="http://schemas.openxmlformats.org/officeDocument/2006/customXml" ds:itemID="{4854132E-BB68-4CB2-ABC2-F91F02920067}">
  <ds:schemaRefs>
    <ds:schemaRef ds:uri="http://www.wps.cn/android/officeDocument/2013/mofficeCustomData"/>
  </ds:schemaRefs>
</ds:datastoreItem>
</file>

<file path=customXml/itemProps7.xml><?xml version="1.0" encoding="utf-8"?>
<ds:datastoreItem xmlns:ds="http://schemas.openxmlformats.org/officeDocument/2006/customXml" ds:itemID="{4500C498-977B-4A8F-8FDE-630799FCD299}">
  <ds:schemaRefs>
    <ds:schemaRef ds:uri="http://www.wps.cn/android/officeDocument/2013/mofficeCustomData"/>
  </ds:schemaRefs>
</ds:datastoreItem>
</file>

<file path=customXml/itemProps8.xml><?xml version="1.0" encoding="utf-8"?>
<ds:datastoreItem xmlns:ds="http://schemas.openxmlformats.org/officeDocument/2006/customXml" ds:itemID="{309D4254-5415-4C7A-BECA-7FD5B81EF273}">
  <ds:schemaRefs>
    <ds:schemaRef ds:uri="http://www.wps.cn/android/officeDocument/2013/mofficeCustomData"/>
  </ds:schemaRefs>
</ds:datastoreItem>
</file>

<file path=customXml/itemProps9.xml><?xml version="1.0" encoding="utf-8"?>
<ds:datastoreItem xmlns:ds="http://schemas.openxmlformats.org/officeDocument/2006/customXml" ds:itemID="{842C2055-57A8-4868-AE73-DB53C4BF2379}">
  <ds:schemaRefs>
    <ds:schemaRef ds:uri="http://www.wps.cn/android/officeDocument/2013/moffice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2490</Words>
  <Characters>14197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Eni Simixhiu | ERE</dc:creator>
  <cp:lastModifiedBy>Entela Suli</cp:lastModifiedBy>
  <cp:revision>2</cp:revision>
  <cp:lastPrinted>2026-01-29T10:58:00Z</cp:lastPrinted>
  <dcterms:created xsi:type="dcterms:W3CDTF">2026-02-19T12:13:00Z</dcterms:created>
  <dcterms:modified xsi:type="dcterms:W3CDTF">2026-02-19T12:13:00Z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34a745f021cf404ea539d2ec2e7f0959</vt:lpwstr>
  </property>
</Properties>
</file>