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C8B" w:rsidRPr="0091032B" w:rsidRDefault="004B4C8B" w:rsidP="003339A5">
      <w:pPr>
        <w:pStyle w:val="NoSpacing"/>
        <w:tabs>
          <w:tab w:val="left" w:pos="1080"/>
          <w:tab w:val="right" w:pos="9360"/>
        </w:tabs>
        <w:spacing w:line="360" w:lineRule="auto"/>
        <w:jc w:val="center"/>
        <w:rPr>
          <w:rFonts w:ascii="Times New Roman" w:hAnsi="Times New Roman"/>
          <w:b/>
          <w:bCs/>
          <w:sz w:val="24"/>
          <w:szCs w:val="24"/>
        </w:rPr>
      </w:pPr>
      <w:bookmarkStart w:id="0" w:name="_GoBack"/>
      <w:bookmarkEnd w:id="0"/>
      <w:r w:rsidRPr="0091032B">
        <w:rPr>
          <w:rFonts w:ascii="Times New Roman" w:hAnsi="Times New Roman"/>
          <w:noProof/>
          <w:sz w:val="24"/>
          <w:szCs w:val="24"/>
          <w:lang w:eastAsia="sq-AL"/>
        </w:rPr>
        <w:drawing>
          <wp:anchor distT="0" distB="0" distL="114300" distR="114300" simplePos="0" relativeHeight="251659264" behindDoc="0" locked="0" layoutInCell="1" allowOverlap="1" wp14:anchorId="37AE859E" wp14:editId="3D48D145">
            <wp:simplePos x="0" y="0"/>
            <wp:positionH relativeFrom="column">
              <wp:posOffset>-638810</wp:posOffset>
            </wp:positionH>
            <wp:positionV relativeFrom="paragraph">
              <wp:posOffset>0</wp:posOffset>
            </wp:positionV>
            <wp:extent cx="7084060" cy="1097280"/>
            <wp:effectExtent l="0" t="0" r="254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84060" cy="1097280"/>
                    </a:xfrm>
                    <a:prstGeom prst="rect">
                      <a:avLst/>
                    </a:prstGeom>
                    <a:noFill/>
                  </pic:spPr>
                </pic:pic>
              </a:graphicData>
            </a:graphic>
            <wp14:sizeRelH relativeFrom="margin">
              <wp14:pctWidth>0</wp14:pctWidth>
            </wp14:sizeRelH>
            <wp14:sizeRelV relativeFrom="margin">
              <wp14:pctHeight>0</wp14:pctHeight>
            </wp14:sizeRelV>
          </wp:anchor>
        </w:drawing>
      </w:r>
      <w:bookmarkStart w:id="1" w:name="_Hlk210139927"/>
      <w:r w:rsidRPr="0091032B">
        <w:rPr>
          <w:rFonts w:ascii="Times New Roman" w:hAnsi="Times New Roman"/>
          <w:b/>
          <w:sz w:val="24"/>
          <w:szCs w:val="24"/>
        </w:rPr>
        <w:t>GJYKATA KUSHTETUESE</w:t>
      </w:r>
    </w:p>
    <w:p w:rsidR="004B4C8B" w:rsidRPr="0091032B" w:rsidRDefault="004B4C8B" w:rsidP="004B4C8B">
      <w:pPr>
        <w:tabs>
          <w:tab w:val="left" w:pos="7747"/>
        </w:tabs>
        <w:rPr>
          <w:b/>
          <w:bCs/>
        </w:rPr>
      </w:pPr>
      <w:r w:rsidRPr="0091032B">
        <w:rPr>
          <w:b/>
          <w:bCs/>
        </w:rPr>
        <w:t xml:space="preserve">Nr. 4 (Z) 2024  i Regjistrit Themeltar                                                          Nr. </w:t>
      </w:r>
      <w:r w:rsidR="00C3358C" w:rsidRPr="0091032B">
        <w:rPr>
          <w:b/>
          <w:bCs/>
        </w:rPr>
        <w:t>52</w:t>
      </w:r>
      <w:r w:rsidRPr="0091032B">
        <w:rPr>
          <w:b/>
          <w:bCs/>
        </w:rPr>
        <w:t xml:space="preserve"> i Vendimit</w:t>
      </w:r>
    </w:p>
    <w:p w:rsidR="004B4C8B" w:rsidRPr="0091032B" w:rsidRDefault="004B4C8B" w:rsidP="004B4C8B">
      <w:pPr>
        <w:tabs>
          <w:tab w:val="left" w:pos="1080"/>
        </w:tabs>
        <w:jc w:val="center"/>
        <w:rPr>
          <w:b/>
        </w:rPr>
      </w:pPr>
    </w:p>
    <w:p w:rsidR="004B4C8B" w:rsidRPr="0091032B" w:rsidRDefault="004B4C8B" w:rsidP="004B4C8B">
      <w:pPr>
        <w:tabs>
          <w:tab w:val="left" w:pos="1080"/>
        </w:tabs>
        <w:jc w:val="center"/>
        <w:rPr>
          <w:b/>
        </w:rPr>
      </w:pPr>
      <w:r w:rsidRPr="0091032B">
        <w:rPr>
          <w:b/>
        </w:rPr>
        <w:t>V E N D I M</w:t>
      </w:r>
    </w:p>
    <w:p w:rsidR="004B4C8B" w:rsidRPr="0091032B" w:rsidRDefault="004B4C8B" w:rsidP="004B4C8B">
      <w:pPr>
        <w:tabs>
          <w:tab w:val="left" w:pos="1080"/>
        </w:tabs>
        <w:jc w:val="center"/>
        <w:rPr>
          <w:b/>
        </w:rPr>
      </w:pPr>
      <w:r w:rsidRPr="0091032B">
        <w:rPr>
          <w:b/>
        </w:rPr>
        <w:t>“NË EMËR TË REPUBLIKËS SË SHQIPËRISË”</w:t>
      </w:r>
    </w:p>
    <w:p w:rsidR="004B4C8B" w:rsidRPr="0091032B" w:rsidRDefault="004B4C8B" w:rsidP="004B4C8B">
      <w:pPr>
        <w:tabs>
          <w:tab w:val="left" w:pos="1080"/>
        </w:tabs>
        <w:ind w:firstLine="720"/>
        <w:jc w:val="both"/>
      </w:pPr>
    </w:p>
    <w:p w:rsidR="004B4C8B" w:rsidRPr="0091032B" w:rsidRDefault="004B4C8B" w:rsidP="004B4C8B">
      <w:pPr>
        <w:tabs>
          <w:tab w:val="left" w:pos="1080"/>
        </w:tabs>
        <w:ind w:left="720" w:hanging="90"/>
        <w:contextualSpacing/>
        <w:jc w:val="both"/>
      </w:pPr>
      <w:r w:rsidRPr="0091032B">
        <w:t>Gjykata Kushtetuese e Republikës së Shqipërisë, e përbërë nga:</w:t>
      </w:r>
    </w:p>
    <w:p w:rsidR="004B4C8B" w:rsidRPr="0091032B" w:rsidRDefault="004B4C8B" w:rsidP="004B4C8B">
      <w:pPr>
        <w:tabs>
          <w:tab w:val="left" w:pos="1080"/>
        </w:tabs>
        <w:ind w:firstLine="720"/>
        <w:jc w:val="both"/>
      </w:pPr>
      <w:r w:rsidRPr="0091032B">
        <w:tab/>
      </w:r>
      <w:r w:rsidRPr="0091032B">
        <w:tab/>
      </w:r>
      <w:r w:rsidRPr="0091032B">
        <w:tab/>
      </w:r>
    </w:p>
    <w:p w:rsidR="004B4C8B" w:rsidRPr="0091032B" w:rsidRDefault="004B4C8B" w:rsidP="004B4C8B">
      <w:pPr>
        <w:tabs>
          <w:tab w:val="left" w:pos="1080"/>
        </w:tabs>
        <w:ind w:firstLine="720"/>
        <w:jc w:val="both"/>
      </w:pPr>
      <w:r w:rsidRPr="0091032B">
        <w:tab/>
      </w:r>
      <w:r w:rsidRPr="0091032B">
        <w:tab/>
      </w:r>
      <w:r w:rsidRPr="0091032B">
        <w:tab/>
      </w:r>
      <w:r w:rsidRPr="0091032B">
        <w:tab/>
        <w:t xml:space="preserve">Holta Zaçaj, </w:t>
      </w:r>
      <w:r w:rsidRPr="0091032B">
        <w:tab/>
      </w:r>
      <w:r w:rsidRPr="0091032B">
        <w:tab/>
        <w:t>Kryetare</w:t>
      </w:r>
    </w:p>
    <w:p w:rsidR="004B4C8B" w:rsidRPr="0091032B" w:rsidRDefault="004B4C8B" w:rsidP="004B4C8B">
      <w:pPr>
        <w:tabs>
          <w:tab w:val="left" w:pos="720"/>
          <w:tab w:val="left" w:pos="1080"/>
          <w:tab w:val="left" w:pos="1440"/>
          <w:tab w:val="left" w:pos="2160"/>
          <w:tab w:val="left" w:pos="2880"/>
          <w:tab w:val="left" w:pos="3600"/>
          <w:tab w:val="left" w:pos="4320"/>
          <w:tab w:val="left" w:pos="5040"/>
          <w:tab w:val="left" w:pos="7710"/>
        </w:tabs>
        <w:ind w:left="720" w:firstLine="720"/>
        <w:contextualSpacing/>
        <w:jc w:val="both"/>
        <w:rPr>
          <w:bCs/>
        </w:rPr>
      </w:pPr>
      <w:r w:rsidRPr="0091032B">
        <w:rPr>
          <w:bCs/>
        </w:rPr>
        <w:tab/>
      </w:r>
      <w:r w:rsidRPr="0091032B">
        <w:rPr>
          <w:bCs/>
        </w:rPr>
        <w:tab/>
        <w:t>Marsida Xhaferllari,</w:t>
      </w:r>
      <w:r w:rsidRPr="0091032B">
        <w:rPr>
          <w:bCs/>
        </w:rPr>
        <w:tab/>
        <w:t>Anëtare</w:t>
      </w:r>
    </w:p>
    <w:p w:rsidR="004B4C8B" w:rsidRPr="0091032B" w:rsidRDefault="004B4C8B" w:rsidP="004B4C8B">
      <w:pPr>
        <w:tabs>
          <w:tab w:val="left" w:pos="1080"/>
        </w:tabs>
        <w:ind w:left="2160" w:firstLine="720"/>
        <w:contextualSpacing/>
        <w:jc w:val="both"/>
        <w:rPr>
          <w:bCs/>
        </w:rPr>
      </w:pPr>
      <w:r w:rsidRPr="0091032B">
        <w:rPr>
          <w:bCs/>
        </w:rPr>
        <w:t>Fiona Papajorgji,</w:t>
      </w:r>
      <w:r w:rsidRPr="0091032B">
        <w:rPr>
          <w:bCs/>
        </w:rPr>
        <w:tab/>
        <w:t xml:space="preserve">Anëtare     </w:t>
      </w:r>
      <w:r w:rsidRPr="0091032B">
        <w:t xml:space="preserve"> </w:t>
      </w:r>
    </w:p>
    <w:p w:rsidR="004B4C8B" w:rsidRPr="0091032B" w:rsidRDefault="004B4C8B" w:rsidP="004B4C8B">
      <w:pPr>
        <w:tabs>
          <w:tab w:val="left" w:pos="1080"/>
        </w:tabs>
        <w:ind w:left="2160" w:firstLine="720"/>
        <w:contextualSpacing/>
        <w:jc w:val="both"/>
      </w:pPr>
      <w:r w:rsidRPr="0091032B">
        <w:rPr>
          <w:bCs/>
        </w:rPr>
        <w:t>Sandër Beci,</w:t>
      </w:r>
      <w:r w:rsidRPr="0091032B">
        <w:rPr>
          <w:bCs/>
        </w:rPr>
        <w:tab/>
      </w:r>
      <w:r w:rsidRPr="0091032B">
        <w:rPr>
          <w:bCs/>
        </w:rPr>
        <w:tab/>
        <w:t xml:space="preserve">Anëtar   </w:t>
      </w:r>
    </w:p>
    <w:p w:rsidR="004B4C8B" w:rsidRPr="0091032B" w:rsidRDefault="004B4C8B" w:rsidP="004B4C8B">
      <w:pPr>
        <w:tabs>
          <w:tab w:val="left" w:pos="1080"/>
        </w:tabs>
        <w:ind w:left="2160" w:firstLine="720"/>
        <w:contextualSpacing/>
        <w:jc w:val="both"/>
        <w:rPr>
          <w:bCs/>
        </w:rPr>
      </w:pPr>
      <w:r w:rsidRPr="0091032B">
        <w:rPr>
          <w:bCs/>
        </w:rPr>
        <w:t>Ilir Toska,</w:t>
      </w:r>
      <w:r w:rsidRPr="0091032B">
        <w:rPr>
          <w:bCs/>
        </w:rPr>
        <w:tab/>
      </w:r>
      <w:r w:rsidRPr="0091032B">
        <w:rPr>
          <w:bCs/>
        </w:rPr>
        <w:tab/>
        <w:t>Anëtar</w:t>
      </w:r>
    </w:p>
    <w:p w:rsidR="004B4C8B" w:rsidRPr="0091032B" w:rsidRDefault="004B4C8B" w:rsidP="004B4C8B">
      <w:pPr>
        <w:tabs>
          <w:tab w:val="left" w:pos="1080"/>
        </w:tabs>
        <w:ind w:left="2160" w:firstLine="720"/>
        <w:contextualSpacing/>
        <w:jc w:val="both"/>
        <w:rPr>
          <w:bCs/>
        </w:rPr>
      </w:pPr>
      <w:r w:rsidRPr="0091032B">
        <w:rPr>
          <w:bCs/>
        </w:rPr>
        <w:t xml:space="preserve">Genti Ibrahimi, </w:t>
      </w:r>
      <w:r w:rsidRPr="0091032B">
        <w:rPr>
          <w:bCs/>
        </w:rPr>
        <w:tab/>
        <w:t xml:space="preserve">Anëtar </w:t>
      </w:r>
    </w:p>
    <w:p w:rsidR="004B4C8B" w:rsidRPr="0091032B" w:rsidRDefault="004B4C8B" w:rsidP="004B4C8B">
      <w:pPr>
        <w:tabs>
          <w:tab w:val="left" w:pos="1080"/>
        </w:tabs>
        <w:ind w:left="2160" w:firstLine="720"/>
        <w:contextualSpacing/>
        <w:jc w:val="both"/>
        <w:rPr>
          <w:bCs/>
        </w:rPr>
      </w:pPr>
      <w:r w:rsidRPr="0091032B">
        <w:rPr>
          <w:bCs/>
        </w:rPr>
        <w:t>Marjana Semini,</w:t>
      </w:r>
      <w:r w:rsidRPr="0091032B">
        <w:rPr>
          <w:bCs/>
        </w:rPr>
        <w:tab/>
        <w:t>Anëtare</w:t>
      </w:r>
    </w:p>
    <w:p w:rsidR="004B4C8B" w:rsidRPr="0091032B" w:rsidRDefault="004B4C8B" w:rsidP="004B4C8B">
      <w:pPr>
        <w:tabs>
          <w:tab w:val="left" w:pos="1080"/>
        </w:tabs>
        <w:ind w:left="2160" w:firstLine="720"/>
        <w:contextualSpacing/>
        <w:jc w:val="both"/>
        <w:rPr>
          <w:bCs/>
        </w:rPr>
      </w:pPr>
      <w:r w:rsidRPr="0091032B">
        <w:rPr>
          <w:bCs/>
        </w:rPr>
        <w:t>Sonila Bejtja,</w:t>
      </w:r>
      <w:r w:rsidRPr="0091032B">
        <w:rPr>
          <w:bCs/>
        </w:rPr>
        <w:tab/>
      </w:r>
      <w:r w:rsidRPr="0091032B">
        <w:rPr>
          <w:bCs/>
        </w:rPr>
        <w:tab/>
        <w:t>Anëtare</w:t>
      </w:r>
    </w:p>
    <w:p w:rsidR="004B4C8B" w:rsidRPr="0091032B" w:rsidRDefault="004B4C8B" w:rsidP="004B4C8B">
      <w:pPr>
        <w:tabs>
          <w:tab w:val="left" w:pos="1080"/>
        </w:tabs>
        <w:ind w:firstLine="720"/>
        <w:jc w:val="both"/>
      </w:pPr>
    </w:p>
    <w:p w:rsidR="004B4C8B" w:rsidRPr="0091032B" w:rsidRDefault="004B4C8B" w:rsidP="004B4C8B">
      <w:pPr>
        <w:tabs>
          <w:tab w:val="left" w:pos="1080"/>
        </w:tabs>
        <w:ind w:firstLine="720"/>
        <w:jc w:val="both"/>
      </w:pPr>
      <w:r w:rsidRPr="0091032B">
        <w:t xml:space="preserve">me sekretare </w:t>
      </w:r>
      <w:r w:rsidR="00287F99">
        <w:t>Anjeza Puka</w:t>
      </w:r>
      <w:r w:rsidRPr="0091032B">
        <w:t>, në datën 07.10.2025 mori në shqyrtim në seancë plenare mbi bazë të dokumenteve çështjen nr. 4 (Z) 202</w:t>
      </w:r>
      <w:r w:rsidR="00B510A4" w:rsidRPr="0091032B">
        <w:t>4</w:t>
      </w:r>
      <w:r w:rsidRPr="0091032B">
        <w:t xml:space="preserve"> të Regjistrit Themeltar, që u përket:</w:t>
      </w:r>
    </w:p>
    <w:p w:rsidR="004B4C8B" w:rsidRPr="0091032B" w:rsidRDefault="004B4C8B" w:rsidP="004B4C8B">
      <w:pPr>
        <w:tabs>
          <w:tab w:val="left" w:pos="1080"/>
        </w:tabs>
        <w:ind w:left="2880" w:hanging="2160"/>
        <w:contextualSpacing/>
        <w:jc w:val="both"/>
        <w:rPr>
          <w:b/>
        </w:rPr>
      </w:pPr>
    </w:p>
    <w:p w:rsidR="004B4C8B" w:rsidRPr="0091032B" w:rsidRDefault="004B4C8B" w:rsidP="00384A9A">
      <w:pPr>
        <w:ind w:left="2790" w:hanging="2070"/>
        <w:jc w:val="both"/>
        <w:rPr>
          <w:b/>
        </w:rPr>
      </w:pPr>
      <w:bookmarkStart w:id="2" w:name="_Hlk136334775"/>
      <w:r w:rsidRPr="0091032B">
        <w:rPr>
          <w:b/>
        </w:rPr>
        <w:t>KËRKUESE:</w:t>
      </w:r>
      <w:r w:rsidRPr="0091032B">
        <w:rPr>
          <w:b/>
        </w:rPr>
        <w:tab/>
        <w:t xml:space="preserve">“ZYRA </w:t>
      </w:r>
      <w:r w:rsidR="0082076C">
        <w:rPr>
          <w:b/>
        </w:rPr>
        <w:t xml:space="preserve">E </w:t>
      </w:r>
      <w:r w:rsidRPr="0091032B">
        <w:rPr>
          <w:b/>
        </w:rPr>
        <w:t>PËRMBARIM</w:t>
      </w:r>
      <w:r w:rsidR="0082076C">
        <w:rPr>
          <w:b/>
        </w:rPr>
        <w:t>IT</w:t>
      </w:r>
      <w:r w:rsidRPr="0091032B">
        <w:rPr>
          <w:b/>
        </w:rPr>
        <w:t xml:space="preserve"> PRIVAT ARB” SH.P.K.</w:t>
      </w:r>
      <w:r w:rsidRPr="0091032B">
        <w:t>, përfaqësuar nga administratori, Alban Ruli.</w:t>
      </w:r>
    </w:p>
    <w:p w:rsidR="004B4C8B" w:rsidRPr="0091032B" w:rsidRDefault="004B4C8B" w:rsidP="004B4C8B">
      <w:pPr>
        <w:tabs>
          <w:tab w:val="left" w:pos="851"/>
          <w:tab w:val="left" w:pos="1080"/>
        </w:tabs>
        <w:ind w:left="3402" w:firstLine="720"/>
        <w:contextualSpacing/>
        <w:jc w:val="both"/>
        <w:rPr>
          <w:rFonts w:eastAsia="Times New Roman"/>
          <w:b/>
        </w:rPr>
      </w:pPr>
    </w:p>
    <w:p w:rsidR="004B4C8B" w:rsidRPr="0091032B" w:rsidRDefault="004B4C8B" w:rsidP="004B4C8B">
      <w:pPr>
        <w:ind w:left="2880" w:hanging="2160"/>
        <w:contextualSpacing/>
        <w:jc w:val="both"/>
        <w:rPr>
          <w:b/>
          <w:lang w:eastAsia="fr-FR"/>
        </w:rPr>
      </w:pPr>
      <w:r w:rsidRPr="0091032B">
        <w:rPr>
          <w:b/>
          <w:lang w:eastAsia="fr-FR"/>
        </w:rPr>
        <w:t xml:space="preserve">SUBJEKTE TË INTERESUARA: </w:t>
      </w:r>
    </w:p>
    <w:p w:rsidR="004B4C8B" w:rsidRPr="0091032B" w:rsidRDefault="004B4C8B" w:rsidP="00384A9A">
      <w:pPr>
        <w:ind w:left="2790" w:hanging="2070"/>
        <w:contextualSpacing/>
        <w:jc w:val="both"/>
      </w:pPr>
      <w:r w:rsidRPr="0091032B">
        <w:rPr>
          <w:b/>
          <w:lang w:eastAsia="fr-FR"/>
        </w:rPr>
        <w:tab/>
        <w:t xml:space="preserve">BANKA E TIRANËS, </w:t>
      </w:r>
      <w:r w:rsidRPr="0091032B">
        <w:t xml:space="preserve">përfaqësuar </w:t>
      </w:r>
      <w:r w:rsidR="00D60DA2" w:rsidRPr="0091032B">
        <w:t>n</w:t>
      </w:r>
      <w:r w:rsidR="00D60DA2" w:rsidRPr="0091032B">
        <w:rPr>
          <w:rFonts w:eastAsia="Times New Roman"/>
        </w:rPr>
        <w:t>ga</w:t>
      </w:r>
      <w:r w:rsidR="00D60DA2" w:rsidRPr="0091032B">
        <w:rPr>
          <w:rFonts w:eastAsia="Times New Roman"/>
          <w:b/>
        </w:rPr>
        <w:t xml:space="preserve"> </w:t>
      </w:r>
      <w:r w:rsidR="00D60DA2" w:rsidRPr="0091032B">
        <w:rPr>
          <w:rFonts w:eastAsia="Times New Roman"/>
        </w:rPr>
        <w:t>avokate Evelina Qirjako, me prokurë</w:t>
      </w:r>
      <w:r w:rsidRPr="0091032B">
        <w:t xml:space="preserve">. </w:t>
      </w:r>
    </w:p>
    <w:p w:rsidR="004B4C8B" w:rsidRPr="0091032B" w:rsidRDefault="004B4C8B" w:rsidP="00384A9A">
      <w:pPr>
        <w:ind w:left="2790" w:hanging="2160"/>
        <w:contextualSpacing/>
        <w:jc w:val="both"/>
      </w:pPr>
      <w:r w:rsidRPr="0091032B">
        <w:rPr>
          <w:b/>
          <w:lang w:eastAsia="fr-FR"/>
        </w:rPr>
        <w:lastRenderedPageBreak/>
        <w:tab/>
        <w:t xml:space="preserve">KORPORATA </w:t>
      </w:r>
      <w:r w:rsidR="007E2E40" w:rsidRPr="0091032B">
        <w:rPr>
          <w:b/>
          <w:lang w:eastAsia="fr-FR"/>
        </w:rPr>
        <w:t xml:space="preserve">ELEKTROENERGJETIKE </w:t>
      </w:r>
      <w:r w:rsidRPr="0091032B">
        <w:rPr>
          <w:b/>
          <w:lang w:eastAsia="fr-FR"/>
        </w:rPr>
        <w:t xml:space="preserve">SHQIPTARE, </w:t>
      </w:r>
      <w:r w:rsidRPr="0091032B">
        <w:rPr>
          <w:lang w:eastAsia="fr-FR"/>
        </w:rPr>
        <w:t xml:space="preserve">në mungesë. </w:t>
      </w:r>
    </w:p>
    <w:p w:rsidR="004B4C8B" w:rsidRPr="0091032B" w:rsidRDefault="004B4C8B" w:rsidP="004B4C8B">
      <w:pPr>
        <w:ind w:left="2880" w:hanging="2160"/>
        <w:contextualSpacing/>
        <w:jc w:val="both"/>
        <w:rPr>
          <w:b/>
          <w:lang w:eastAsia="fr-FR"/>
        </w:rPr>
      </w:pPr>
      <w:r w:rsidRPr="0091032B">
        <w:rPr>
          <w:b/>
          <w:lang w:eastAsia="fr-FR"/>
        </w:rPr>
        <w:tab/>
      </w:r>
      <w:r w:rsidRPr="0091032B">
        <w:rPr>
          <w:b/>
          <w:lang w:eastAsia="fr-FR"/>
        </w:rPr>
        <w:tab/>
      </w:r>
      <w:r w:rsidRPr="0091032B">
        <w:rPr>
          <w:b/>
          <w:lang w:eastAsia="fr-FR"/>
        </w:rPr>
        <w:tab/>
      </w:r>
      <w:r w:rsidRPr="0091032B">
        <w:rPr>
          <w:b/>
          <w:lang w:eastAsia="fr-FR"/>
        </w:rPr>
        <w:tab/>
      </w:r>
    </w:p>
    <w:bookmarkEnd w:id="2"/>
    <w:p w:rsidR="00DA24B6" w:rsidRPr="0091032B" w:rsidRDefault="004B4C8B" w:rsidP="00DA24B6">
      <w:pPr>
        <w:tabs>
          <w:tab w:val="left" w:pos="2790"/>
        </w:tabs>
        <w:ind w:left="2880" w:hanging="2160"/>
        <w:jc w:val="both"/>
        <w:rPr>
          <w:b/>
        </w:rPr>
      </w:pPr>
      <w:r w:rsidRPr="0091032B">
        <w:rPr>
          <w:b/>
          <w:lang w:eastAsia="fr-FR"/>
        </w:rPr>
        <w:t>OBJEKTI:</w:t>
      </w:r>
      <w:r w:rsidRPr="0091032B">
        <w:rPr>
          <w:b/>
          <w:lang w:eastAsia="fr-FR"/>
        </w:rPr>
        <w:tab/>
      </w:r>
      <w:r w:rsidR="00DA24B6" w:rsidRPr="0091032B">
        <w:rPr>
          <w:b/>
          <w:lang w:eastAsia="fr-FR"/>
        </w:rPr>
        <w:tab/>
      </w:r>
      <w:r w:rsidR="00D60DA2" w:rsidRPr="0091032B">
        <w:rPr>
          <w:b/>
        </w:rPr>
        <w:t>Shfuqizimi i vendimit nr. 00-2024-2474, datë 21.05.2024 të Kolegjit Administrativ të Gjykatës së Lartë, si i papajtueshëm me Kushtetutën e Republikës së Shqipërisë</w:t>
      </w:r>
      <w:r w:rsidR="00DA24B6" w:rsidRPr="0091032B">
        <w:rPr>
          <w:b/>
        </w:rPr>
        <w:t>.</w:t>
      </w:r>
    </w:p>
    <w:p w:rsidR="00DA24B6" w:rsidRPr="0091032B" w:rsidRDefault="00DA24B6" w:rsidP="00DA24B6">
      <w:pPr>
        <w:tabs>
          <w:tab w:val="left" w:pos="2790"/>
        </w:tabs>
        <w:ind w:left="2880" w:hanging="2160"/>
        <w:jc w:val="both"/>
        <w:rPr>
          <w:b/>
        </w:rPr>
      </w:pPr>
      <w:r w:rsidRPr="0091032B">
        <w:rPr>
          <w:b/>
        </w:rPr>
        <w:tab/>
      </w:r>
      <w:r w:rsidRPr="0091032B">
        <w:rPr>
          <w:b/>
        </w:rPr>
        <w:tab/>
      </w:r>
      <w:r w:rsidR="00D60DA2" w:rsidRPr="0091032B">
        <w:rPr>
          <w:b/>
        </w:rPr>
        <w:t>Shfuqizimi i vendimeve nr. 8890, datë 16.11.2015 të Gjykatës së Rrethit Gjyqësor Tiranë; nr. 701, datë 23.03.2017 të Gjykatës së Apelit Tiranë; nr. 00-2024-3825, datë 11.09.2024 të Kolegjit Civil të Gjykatës së Lartë, si të papajtueshme me Kushtetutën e Republikës së Shqipërisë.</w:t>
      </w:r>
    </w:p>
    <w:p w:rsidR="00DA24B6" w:rsidRPr="0091032B" w:rsidRDefault="00DA24B6" w:rsidP="00DA24B6">
      <w:pPr>
        <w:tabs>
          <w:tab w:val="left" w:pos="2790"/>
        </w:tabs>
        <w:ind w:left="2880" w:hanging="2160"/>
        <w:jc w:val="both"/>
        <w:rPr>
          <w:b/>
        </w:rPr>
      </w:pPr>
      <w:r w:rsidRPr="0091032B">
        <w:rPr>
          <w:b/>
        </w:rPr>
        <w:tab/>
      </w:r>
      <w:r w:rsidRPr="0091032B">
        <w:rPr>
          <w:b/>
        </w:rPr>
        <w:tab/>
      </w:r>
      <w:r w:rsidR="00D60DA2" w:rsidRPr="0091032B">
        <w:rPr>
          <w:b/>
        </w:rPr>
        <w:t>Konstatimi i shkeljes së aksesit në një gjykatë të krijuar me ligj. Konstatimi i shkeljes së afatit të arsyeshëm dhe përshpejtimi i procedurës së gjykimit nga kolegji tjetër i Gjykatës së Lartë për sa i përket çështjes nr. 11243-02837-00-2017, datë 14.09.2017 në lidhje me vendimin nr. 8890, datë 16.11.2015 të Gjykatës së Rrethit Gjyqësor Tiranë, lënë në fuqi me vendimin nr. 701, datë 23.03.2017 të Gjykatës së Apelit Tiranë.</w:t>
      </w:r>
    </w:p>
    <w:p w:rsidR="00B510A4" w:rsidRPr="0091032B" w:rsidRDefault="00DA24B6" w:rsidP="00DA24B6">
      <w:pPr>
        <w:tabs>
          <w:tab w:val="left" w:pos="2790"/>
        </w:tabs>
        <w:ind w:left="2880" w:hanging="2160"/>
        <w:jc w:val="both"/>
        <w:rPr>
          <w:b/>
        </w:rPr>
      </w:pPr>
      <w:r w:rsidRPr="0091032B">
        <w:rPr>
          <w:b/>
        </w:rPr>
        <w:tab/>
      </w:r>
      <w:r w:rsidRPr="0091032B">
        <w:rPr>
          <w:b/>
        </w:rPr>
        <w:tab/>
      </w:r>
      <w:r w:rsidR="00D60DA2" w:rsidRPr="0091032B">
        <w:rPr>
          <w:b/>
        </w:rPr>
        <w:t xml:space="preserve">Konstatimi i mungesës së një mjeti efektiv për konstatimin, dëmshpërblimin dhe përshpejtimin e procedurave të sipërpërmendura. </w:t>
      </w:r>
    </w:p>
    <w:p w:rsidR="00DA24B6" w:rsidRPr="0091032B" w:rsidRDefault="00B510A4" w:rsidP="00DA24B6">
      <w:pPr>
        <w:tabs>
          <w:tab w:val="left" w:pos="2790"/>
        </w:tabs>
        <w:ind w:left="2880" w:hanging="2160"/>
        <w:jc w:val="both"/>
        <w:rPr>
          <w:rFonts w:eastAsia="Calibri"/>
          <w:b/>
        </w:rPr>
      </w:pPr>
      <w:r w:rsidRPr="0091032B">
        <w:rPr>
          <w:b/>
        </w:rPr>
        <w:tab/>
      </w:r>
      <w:r w:rsidRPr="0091032B">
        <w:rPr>
          <w:b/>
        </w:rPr>
        <w:tab/>
      </w:r>
      <w:r w:rsidR="00D60DA2" w:rsidRPr="0091032B">
        <w:rPr>
          <w:b/>
        </w:rPr>
        <w:t xml:space="preserve">Konstatimi i statusit të “viktimës” përgjatë procesit gjyqësor, si pasojë dhe rrjedhojë direkt e shkeljes së aksesit në një gjykatë të krijuar me ligj dhe afatit të arsyeshëm, në përputhje me vendimin Scordino kundër Italisë. </w:t>
      </w:r>
    </w:p>
    <w:p w:rsidR="00D60DA2" w:rsidRPr="00E730C1" w:rsidRDefault="00DA24B6" w:rsidP="00E730C1">
      <w:pPr>
        <w:tabs>
          <w:tab w:val="left" w:pos="2790"/>
        </w:tabs>
        <w:ind w:left="2880" w:hanging="2160"/>
        <w:jc w:val="both"/>
        <w:rPr>
          <w:rFonts w:eastAsia="Calibri"/>
          <w:b/>
        </w:rPr>
      </w:pPr>
      <w:r w:rsidRPr="0091032B">
        <w:rPr>
          <w:b/>
        </w:rPr>
        <w:tab/>
      </w:r>
      <w:r w:rsidRPr="0091032B">
        <w:rPr>
          <w:b/>
        </w:rPr>
        <w:tab/>
      </w:r>
      <w:r w:rsidR="00D60DA2" w:rsidRPr="0091032B">
        <w:rPr>
          <w:b/>
        </w:rPr>
        <w:t xml:space="preserve">Rehabilitimi dhe zhdëmtimi në përputhje me ligjin, pasi dëmi/dëmtimi është shkaktuar/ka ardhur për shkak të aktit të paligjshëm konkretizuar me shkresën </w:t>
      </w:r>
      <w:r w:rsidR="006F3707" w:rsidRPr="0091032B">
        <w:rPr>
          <w:b/>
        </w:rPr>
        <w:t xml:space="preserve">nr. </w:t>
      </w:r>
      <w:r w:rsidR="00D60DA2" w:rsidRPr="0091032B">
        <w:rPr>
          <w:b/>
        </w:rPr>
        <w:t>3103/1/2020 të kancelarit të Gjykatës së Lartë dhe urdhrit “Për konstatimin e të metave të kërkesës”, datë 30.04.2024 të Gjykatës së Lartë, si dhe të shkeljes së afatit të arsyeshëm në gjykim.</w:t>
      </w:r>
    </w:p>
    <w:p w:rsidR="004B4C8B" w:rsidRPr="0091032B" w:rsidRDefault="004B4C8B" w:rsidP="00D60DA2">
      <w:pPr>
        <w:ind w:left="2790" w:hanging="2070"/>
        <w:jc w:val="both"/>
        <w:rPr>
          <w:b/>
          <w:lang w:eastAsia="fr-FR"/>
        </w:rPr>
      </w:pPr>
      <w:r w:rsidRPr="0091032B">
        <w:rPr>
          <w:b/>
          <w:lang w:eastAsia="fr-FR"/>
        </w:rPr>
        <w:lastRenderedPageBreak/>
        <w:tab/>
      </w:r>
      <w:r w:rsidRPr="0091032B">
        <w:rPr>
          <w:b/>
          <w:lang w:eastAsia="fr-FR"/>
        </w:rPr>
        <w:tab/>
      </w:r>
      <w:r w:rsidRPr="0091032B">
        <w:rPr>
          <w:b/>
          <w:lang w:eastAsia="fr-FR"/>
        </w:rPr>
        <w:tab/>
      </w:r>
      <w:r w:rsidRPr="0091032B">
        <w:rPr>
          <w:b/>
          <w:lang w:eastAsia="fr-FR"/>
        </w:rPr>
        <w:tab/>
      </w:r>
    </w:p>
    <w:p w:rsidR="004B4C8B" w:rsidRPr="0091032B" w:rsidRDefault="004B4C8B" w:rsidP="00384A9A">
      <w:pPr>
        <w:tabs>
          <w:tab w:val="left" w:pos="851"/>
          <w:tab w:val="left" w:pos="2790"/>
          <w:tab w:val="left" w:pos="3510"/>
        </w:tabs>
        <w:ind w:left="2790" w:hanging="2070"/>
        <w:contextualSpacing/>
        <w:jc w:val="both"/>
        <w:rPr>
          <w:b/>
          <w:i/>
        </w:rPr>
      </w:pPr>
      <w:r w:rsidRPr="0091032B">
        <w:rPr>
          <w:rFonts w:eastAsia="Times New Roman"/>
          <w:b/>
        </w:rPr>
        <w:t>BAZA LIGJORE:</w:t>
      </w:r>
      <w:r w:rsidRPr="0091032B">
        <w:rPr>
          <w:rFonts w:eastAsia="Times New Roman"/>
          <w:b/>
        </w:rPr>
        <w:tab/>
      </w:r>
      <w:r w:rsidR="00D60DA2" w:rsidRPr="0091032B">
        <w:rPr>
          <w:rFonts w:eastAsia="Times New Roman"/>
          <w:b/>
        </w:rPr>
        <w:t xml:space="preserve">Nenet 18, 41, 42, 44, 131, pika 1, shkronja “f” dhe 134, pika 1, shkronja “i”, të Kushtetutës së Republikës së Shqipërisë </w:t>
      </w:r>
      <w:r w:rsidR="00D60DA2" w:rsidRPr="0091032B">
        <w:rPr>
          <w:rFonts w:eastAsia="Times New Roman"/>
          <w:b/>
          <w:i/>
        </w:rPr>
        <w:t>(Kushtetuta)</w:t>
      </w:r>
      <w:r w:rsidR="00D60DA2" w:rsidRPr="0091032B">
        <w:rPr>
          <w:rFonts w:eastAsia="Times New Roman"/>
          <w:b/>
        </w:rPr>
        <w:t xml:space="preserve">; </w:t>
      </w:r>
      <w:r w:rsidRPr="0091032B">
        <w:rPr>
          <w:b/>
        </w:rPr>
        <w:t xml:space="preserve">nenet 6, paragrafi 1, dhe </w:t>
      </w:r>
      <w:r w:rsidR="00D60DA2" w:rsidRPr="0091032B">
        <w:rPr>
          <w:b/>
        </w:rPr>
        <w:t>1</w:t>
      </w:r>
      <w:r w:rsidRPr="0091032B">
        <w:rPr>
          <w:b/>
        </w:rPr>
        <w:t xml:space="preserve">3 </w:t>
      </w:r>
      <w:r w:rsidR="006F3707" w:rsidRPr="0091032B">
        <w:rPr>
          <w:b/>
        </w:rPr>
        <w:t xml:space="preserve">të </w:t>
      </w:r>
      <w:r w:rsidRPr="0091032B">
        <w:rPr>
          <w:b/>
        </w:rPr>
        <w:t>Konventës Evropiane për të Drejtat e Njeriut (</w:t>
      </w:r>
      <w:r w:rsidRPr="0091032B">
        <w:rPr>
          <w:b/>
          <w:i/>
        </w:rPr>
        <w:t>KEDNJ</w:t>
      </w:r>
      <w:r w:rsidRPr="0091032B">
        <w:rPr>
          <w:b/>
        </w:rPr>
        <w:t>); ligji nr. 8577, datë 10.02.2000 “Për organizimin dhe funksionimin e Gjykatës Kushtetuese të Republikës së Shqipërisë”, i ndryshuar</w:t>
      </w:r>
      <w:r w:rsidRPr="0091032B">
        <w:rPr>
          <w:b/>
          <w:i/>
        </w:rPr>
        <w:t xml:space="preserve"> </w:t>
      </w:r>
      <w:r w:rsidRPr="0091032B">
        <w:rPr>
          <w:b/>
        </w:rPr>
        <w:t>(</w:t>
      </w:r>
      <w:r w:rsidRPr="0091032B">
        <w:rPr>
          <w:b/>
          <w:i/>
        </w:rPr>
        <w:t>ligji nr. 8577/2000</w:t>
      </w:r>
      <w:r w:rsidRPr="0091032B">
        <w:rPr>
          <w:b/>
        </w:rPr>
        <w:t>); nenet 399/1 – 399/12 të Kodit të Procedurës Civile (</w:t>
      </w:r>
      <w:r w:rsidRPr="0091032B">
        <w:rPr>
          <w:b/>
          <w:i/>
        </w:rPr>
        <w:t>KPC</w:t>
      </w:r>
      <w:r w:rsidRPr="0091032B">
        <w:rPr>
          <w:b/>
        </w:rPr>
        <w:t>); ligji nr. 8510, datë 15.07.1999 “Për përgjegjësinë jashtëkontraktore të organeve të administratës shtetërore”, i ndryshuar; vendimet e Gjykatës Kushtetuese; vendimet e Gjykatës Evropiane për të Drejtat e Njeriut</w:t>
      </w:r>
      <w:r w:rsidR="00445DAF" w:rsidRPr="0091032B">
        <w:rPr>
          <w:b/>
        </w:rPr>
        <w:t xml:space="preserve"> (</w:t>
      </w:r>
      <w:r w:rsidR="00445DAF" w:rsidRPr="0091032B">
        <w:rPr>
          <w:b/>
          <w:i/>
        </w:rPr>
        <w:t>GJEDNJ</w:t>
      </w:r>
      <w:r w:rsidR="00445DAF" w:rsidRPr="0091032B">
        <w:rPr>
          <w:b/>
        </w:rPr>
        <w:t>)</w:t>
      </w:r>
      <w:r w:rsidRPr="0091032B">
        <w:rPr>
          <w:b/>
          <w:i/>
        </w:rPr>
        <w:t>.</w:t>
      </w:r>
    </w:p>
    <w:p w:rsidR="004B4C8B" w:rsidRPr="0091032B" w:rsidRDefault="004B4C8B" w:rsidP="004B4C8B">
      <w:pPr>
        <w:tabs>
          <w:tab w:val="left" w:pos="851"/>
          <w:tab w:val="left" w:pos="3510"/>
        </w:tabs>
        <w:ind w:left="2970" w:hanging="2853"/>
        <w:contextualSpacing/>
        <w:jc w:val="both"/>
        <w:rPr>
          <w:rFonts w:eastAsia="Times New Roman"/>
          <w:b/>
        </w:rPr>
      </w:pPr>
    </w:p>
    <w:p w:rsidR="004B4C8B" w:rsidRPr="0091032B" w:rsidRDefault="004B4C8B" w:rsidP="004B4C8B">
      <w:pPr>
        <w:tabs>
          <w:tab w:val="left" w:pos="1080"/>
        </w:tabs>
        <w:jc w:val="center"/>
      </w:pPr>
      <w:r w:rsidRPr="0091032B">
        <w:rPr>
          <w:b/>
          <w:bCs/>
        </w:rPr>
        <w:t>GJYKATA KUSHTETUESE</w:t>
      </w:r>
      <w:r w:rsidRPr="0091032B">
        <w:t>,</w:t>
      </w:r>
    </w:p>
    <w:p w:rsidR="004B4C8B" w:rsidRPr="0091032B" w:rsidRDefault="004B4C8B" w:rsidP="004B4C8B">
      <w:pPr>
        <w:tabs>
          <w:tab w:val="left" w:pos="1080"/>
        </w:tabs>
        <w:ind w:firstLine="720"/>
        <w:jc w:val="both"/>
      </w:pPr>
      <w:r w:rsidRPr="0091032B">
        <w:t>pasi dëgjoi relatoren e çështjes Sonila Bejtja, mori në shqyrtim pretendimet me shkrim të</w:t>
      </w:r>
      <w:r w:rsidR="0082076C">
        <w:t xml:space="preserve"> </w:t>
      </w:r>
      <w:r w:rsidRPr="0091032B">
        <w:t xml:space="preserve">shoqërisë “Zyra </w:t>
      </w:r>
      <w:r w:rsidR="0082076C">
        <w:t xml:space="preserve">e </w:t>
      </w:r>
      <w:r w:rsidRPr="0091032B">
        <w:t>Përmbarim</w:t>
      </w:r>
      <w:r w:rsidR="0082076C">
        <w:t>it</w:t>
      </w:r>
      <w:r w:rsidRPr="0091032B">
        <w:t xml:space="preserve"> Privat </w:t>
      </w:r>
      <w:r w:rsidR="0047572F" w:rsidRPr="0091032B">
        <w:t>ARB</w:t>
      </w:r>
      <w:r w:rsidRPr="0091032B">
        <w:t>” sh.p.k. (</w:t>
      </w:r>
      <w:r w:rsidRPr="0091032B">
        <w:rPr>
          <w:i/>
        </w:rPr>
        <w:t>kërkuesja</w:t>
      </w:r>
      <w:r w:rsidRPr="0091032B">
        <w:t>), e cila ka kërkuar pranimin e kërkesës, prapësimet me shkrim të subjektit të interesuar, Bankës së Tiranës, që ka kërkuar rrëzimin e kërkesës, konstatoi mungesën e parashtrimeve me shkrim të subjektit të interesuar, Korporatës Elektroenergj</w:t>
      </w:r>
      <w:r w:rsidR="00B510A4" w:rsidRPr="0091032B">
        <w:t>i</w:t>
      </w:r>
      <w:r w:rsidRPr="0091032B">
        <w:t>tike Shqiptare (</w:t>
      </w:r>
      <w:r w:rsidRPr="0091032B">
        <w:rPr>
          <w:i/>
        </w:rPr>
        <w:t>KESH</w:t>
      </w:r>
      <w:r w:rsidRPr="0091032B">
        <w:t>), si dhe diskutoi çështjen në tërësi,</w:t>
      </w:r>
    </w:p>
    <w:p w:rsidR="004B4C8B" w:rsidRPr="0091032B" w:rsidRDefault="004B4C8B" w:rsidP="004B4C8B">
      <w:pPr>
        <w:tabs>
          <w:tab w:val="left" w:pos="1080"/>
        </w:tabs>
        <w:ind w:firstLine="720"/>
        <w:jc w:val="both"/>
        <w:rPr>
          <w:rFonts w:eastAsia="Times New Roman"/>
        </w:rPr>
      </w:pPr>
    </w:p>
    <w:p w:rsidR="004B4C8B" w:rsidRPr="0091032B" w:rsidRDefault="004B4C8B" w:rsidP="004B4C8B">
      <w:pPr>
        <w:tabs>
          <w:tab w:val="left" w:pos="1080"/>
        </w:tabs>
        <w:jc w:val="center"/>
        <w:rPr>
          <w:b/>
        </w:rPr>
      </w:pPr>
      <w:r w:rsidRPr="0091032B">
        <w:rPr>
          <w:b/>
        </w:rPr>
        <w:t>V Ë R E N:</w:t>
      </w:r>
    </w:p>
    <w:p w:rsidR="004B4C8B" w:rsidRPr="0091032B" w:rsidRDefault="004B4C8B" w:rsidP="004B4C8B">
      <w:pPr>
        <w:tabs>
          <w:tab w:val="left" w:pos="1080"/>
          <w:tab w:val="left" w:pos="2990"/>
          <w:tab w:val="center" w:pos="4513"/>
        </w:tabs>
        <w:jc w:val="center"/>
        <w:rPr>
          <w:b/>
        </w:rPr>
      </w:pPr>
      <w:r w:rsidRPr="0091032B">
        <w:rPr>
          <w:b/>
        </w:rPr>
        <w:t>I</w:t>
      </w:r>
    </w:p>
    <w:p w:rsidR="004B4C8B" w:rsidRPr="0091032B" w:rsidRDefault="004B4C8B" w:rsidP="004B4C8B">
      <w:pPr>
        <w:tabs>
          <w:tab w:val="left" w:pos="1080"/>
        </w:tabs>
        <w:jc w:val="center"/>
        <w:rPr>
          <w:b/>
        </w:rPr>
      </w:pPr>
      <w:r w:rsidRPr="0091032B">
        <w:rPr>
          <w:b/>
        </w:rPr>
        <w:t>Rrethanat e çështjes</w:t>
      </w:r>
    </w:p>
    <w:p w:rsidR="00384A9A" w:rsidRPr="0091032B" w:rsidRDefault="004B4C8B" w:rsidP="00384A9A">
      <w:pPr>
        <w:pStyle w:val="ListParagraph"/>
        <w:numPr>
          <w:ilvl w:val="0"/>
          <w:numId w:val="1"/>
        </w:numPr>
        <w:tabs>
          <w:tab w:val="left" w:pos="990"/>
        </w:tabs>
        <w:ind w:left="0" w:firstLine="720"/>
        <w:jc w:val="both"/>
      </w:pPr>
      <w:bookmarkStart w:id="3" w:name="_Hlk190250858"/>
      <w:r w:rsidRPr="0091032B">
        <w:t>Kërkuesja</w:t>
      </w:r>
      <w:r w:rsidRPr="0091032B">
        <w:rPr>
          <w:bCs/>
        </w:rPr>
        <w:t xml:space="preserve"> ka lidhur kontratë shërbimi me KESH-in për </w:t>
      </w:r>
      <w:r w:rsidRPr="0091032B">
        <w:rPr>
          <w:rFonts w:eastAsia="Times New Roman"/>
        </w:rPr>
        <w:t xml:space="preserve">kryerjen e shërbimit përmbarimor </w:t>
      </w:r>
      <w:r w:rsidRPr="0091032B">
        <w:rPr>
          <w:bCs/>
        </w:rPr>
        <w:t>për ekzekutimin e vendimit nr. 9031 akti, datë 13.09.2012 të Gjykatës së Rrethit Gjyqësor Tiranë për lëshimin e urdhrit të ekzekutimit për faturat tatimore të shitjes (</w:t>
      </w:r>
      <w:r w:rsidRPr="0091032B">
        <w:rPr>
          <w:bCs/>
          <w:i/>
        </w:rPr>
        <w:t>urdhri i ekzekutimit</w:t>
      </w:r>
      <w:r w:rsidR="00995E3D" w:rsidRPr="0091032B">
        <w:rPr>
          <w:bCs/>
          <w:i/>
        </w:rPr>
        <w:t xml:space="preserve"> nr. 9031/2012</w:t>
      </w:r>
      <w:r w:rsidRPr="0091032B">
        <w:rPr>
          <w:bCs/>
        </w:rPr>
        <w:t>)</w:t>
      </w:r>
      <w:r w:rsidRPr="0091032B">
        <w:rPr>
          <w:rFonts w:eastAsia="Times New Roman"/>
        </w:rPr>
        <w:t xml:space="preserve">. Pas kalimit të afatit për ekzekutimin vullnetar, kërkuesja </w:t>
      </w:r>
      <w:r w:rsidRPr="0091032B">
        <w:t>ka vijuar procedurat e ekzekutimit të detyrueshëm të urdhrit të ekzekutimit, duke urdhëruar bllokimin e llogarive të shoqërisë debitore “CEZ Shpërndarje” sh.a., në të gjitha bankat e nivelit të dytë, duke përfshirë edhe ato te Banka e Tiranës.</w:t>
      </w:r>
    </w:p>
    <w:p w:rsidR="00384A9A" w:rsidRPr="0091032B" w:rsidRDefault="004B4C8B" w:rsidP="00384A9A">
      <w:pPr>
        <w:pStyle w:val="ListParagraph"/>
        <w:numPr>
          <w:ilvl w:val="0"/>
          <w:numId w:val="1"/>
        </w:numPr>
        <w:tabs>
          <w:tab w:val="left" w:pos="990"/>
        </w:tabs>
        <w:ind w:left="0" w:firstLine="720"/>
        <w:jc w:val="both"/>
      </w:pPr>
      <w:r w:rsidRPr="0091032B">
        <w:lastRenderedPageBreak/>
        <w:t>Me pretendimin se Banka e Tiranës ka fshehur e tjetërsuar mjetet monetare dhe likuiditetet e CEZ-it me qëllim pengimin e ekzekutimit të urdhrit të ekzekutimit, për sa kohë që edhe pas bllokimeve të konfirmuara prej saj nuk ka ndërmarrë veprime për të bërë të mundur transferimin e shumave të bllokuara, kërkuesja ka paraqitur kallëzim penal në Prokurorinë pranë Gjykatës së Rrethit Gjyqësor Ti</w:t>
      </w:r>
      <w:r w:rsidRPr="0082076C">
        <w:t xml:space="preserve">ranë, e cila, me vendimin e datës 11.03.2013, ka vendosur mosfillimin e procedimit penal. </w:t>
      </w:r>
      <w:r w:rsidR="00DF6CC3">
        <w:t xml:space="preserve">Ky vendim është kundërshtuar në gjykatë nga kërkuesja, për të cilin </w:t>
      </w:r>
      <w:r w:rsidRPr="0091032B">
        <w:t>Gjykata e Rrethit Gjyqësor Tiranë</w:t>
      </w:r>
      <w:r w:rsidR="0082076C">
        <w:t xml:space="preserve"> </w:t>
      </w:r>
      <w:r w:rsidRPr="0091032B">
        <w:t>ka vendosur rrëzimin e kërkesës</w:t>
      </w:r>
      <w:r w:rsidR="0082076C">
        <w:t xml:space="preserve">, vendim që </w:t>
      </w:r>
      <w:r w:rsidRPr="0091032B">
        <w:t>është lënë në fuqi nga Gjykata e Apelit Tiranë.</w:t>
      </w:r>
    </w:p>
    <w:p w:rsidR="00384A9A" w:rsidRPr="0091032B" w:rsidRDefault="004B4C8B" w:rsidP="00384A9A">
      <w:pPr>
        <w:pStyle w:val="ListParagraph"/>
        <w:numPr>
          <w:ilvl w:val="0"/>
          <w:numId w:val="1"/>
        </w:numPr>
        <w:tabs>
          <w:tab w:val="left" w:pos="990"/>
        </w:tabs>
        <w:ind w:left="0" w:firstLine="720"/>
        <w:jc w:val="both"/>
      </w:pPr>
      <w:r w:rsidRPr="0091032B">
        <w:t>Në datën 27.05.2014 kërkuesja i është drejtuar gjykatës me padi me objekt detyrimin e palës së paditur, Bankës së Tiranës, që ta shpërblejë për dëmin pasuror dhe jopasuror të shkaktuar nga veprimet me faj në masën 10,000,000 lekë, fitimin e munguar dhe kamatat ligjore sipas normës tribor njëditor të vendosur nga Banka e Shqipërisë deri në datën e ekzekutimit të këtij vendimi.</w:t>
      </w:r>
      <w:bookmarkStart w:id="4" w:name="_Hlk121563883"/>
    </w:p>
    <w:p w:rsidR="00384A9A" w:rsidRPr="0091032B" w:rsidRDefault="004B4C8B" w:rsidP="00384A9A">
      <w:pPr>
        <w:pStyle w:val="ListParagraph"/>
        <w:numPr>
          <w:ilvl w:val="0"/>
          <w:numId w:val="1"/>
        </w:numPr>
        <w:tabs>
          <w:tab w:val="left" w:pos="990"/>
        </w:tabs>
        <w:ind w:left="0" w:firstLine="720"/>
        <w:jc w:val="both"/>
      </w:pPr>
      <w:r w:rsidRPr="0091032B">
        <w:rPr>
          <w:bCs/>
        </w:rPr>
        <w:t>Me vendimin nr. 8890, datë 16.11.2015, Gjykata e Rrethit Gjyqësor Tiranë ka vendosur r</w:t>
      </w:r>
      <w:r w:rsidRPr="0091032B">
        <w:rPr>
          <w:iCs/>
        </w:rPr>
        <w:t>rëzimin e padisë. Kundër këtij vendimi ka paraqitur ankim kërkuesja.</w:t>
      </w:r>
      <w:bookmarkStart w:id="5" w:name="_Hlk149655541"/>
      <w:r w:rsidRPr="0091032B">
        <w:t xml:space="preserve"> </w:t>
      </w:r>
    </w:p>
    <w:p w:rsidR="00ED4DAD" w:rsidRPr="0091032B" w:rsidRDefault="004B4C8B" w:rsidP="00585BB8">
      <w:pPr>
        <w:pStyle w:val="ListParagraph"/>
        <w:numPr>
          <w:ilvl w:val="0"/>
          <w:numId w:val="1"/>
        </w:numPr>
        <w:tabs>
          <w:tab w:val="left" w:pos="990"/>
        </w:tabs>
        <w:ind w:left="0" w:firstLine="720"/>
        <w:jc w:val="both"/>
      </w:pPr>
      <w:r w:rsidRPr="0091032B">
        <w:t xml:space="preserve">Me vendimin nr. 701, datë 23.03.2017, </w:t>
      </w:r>
      <w:r w:rsidRPr="0091032B">
        <w:rPr>
          <w:bCs/>
        </w:rPr>
        <w:t xml:space="preserve">Gjykata e Apelit </w:t>
      </w:r>
      <w:bookmarkEnd w:id="5"/>
      <w:r w:rsidRPr="0091032B">
        <w:rPr>
          <w:bCs/>
        </w:rPr>
        <w:t xml:space="preserve">Tiranë ka vendosur </w:t>
      </w:r>
      <w:r w:rsidRPr="0091032B">
        <w:t>l</w:t>
      </w:r>
      <w:r w:rsidRPr="0091032B">
        <w:rPr>
          <w:iCs/>
        </w:rPr>
        <w:t xml:space="preserve">ënien në fuqi të vendimit </w:t>
      </w:r>
      <w:r w:rsidRPr="0091032B">
        <w:t xml:space="preserve">të gjykatës së shkallës së parë. </w:t>
      </w:r>
      <w:bookmarkEnd w:id="4"/>
      <w:r w:rsidRPr="0091032B">
        <w:rPr>
          <w:bCs/>
        </w:rPr>
        <w:t>Kundër</w:t>
      </w:r>
      <w:r w:rsidRPr="0091032B">
        <w:t xml:space="preserve"> </w:t>
      </w:r>
      <w:r w:rsidRPr="0091032B">
        <w:rPr>
          <w:bCs/>
        </w:rPr>
        <w:t xml:space="preserve">këtij vendimi kërkuesja ka ushtruar rekurs dhe në Gjykatën e Lartë është regjistruar çështja nr. 11243-02837-00-2017, datë 14.09.2017. </w:t>
      </w:r>
    </w:p>
    <w:p w:rsidR="00384A9A" w:rsidRPr="0091032B" w:rsidRDefault="004B4C8B" w:rsidP="00585BB8">
      <w:pPr>
        <w:pStyle w:val="ListParagraph"/>
        <w:numPr>
          <w:ilvl w:val="0"/>
          <w:numId w:val="1"/>
        </w:numPr>
        <w:tabs>
          <w:tab w:val="left" w:pos="990"/>
        </w:tabs>
        <w:ind w:left="0" w:firstLine="720"/>
        <w:jc w:val="both"/>
      </w:pPr>
      <w:r w:rsidRPr="0091032B">
        <w:rPr>
          <w:rFonts w:eastAsia="Times New Roman"/>
        </w:rPr>
        <w:t>Në datën 14.12.2020 kërkuesja ka paraqitur në Gjykatën e Lartë kërkesë për konstatimin e shkeljes së afatit të arsyeshëm dhe përshpejtimin e procedurave të gjykimit të çështjes pranë kësaj gjykate, bazuar në nenet 399/1-399/12 të KPC-së</w:t>
      </w:r>
      <w:r w:rsidRPr="0091032B">
        <w:rPr>
          <w:rFonts w:eastAsia="Times New Roman"/>
          <w:i/>
        </w:rPr>
        <w:t>.</w:t>
      </w:r>
      <w:r w:rsidRPr="0091032B">
        <w:rPr>
          <w:rFonts w:eastAsia="Times New Roman"/>
        </w:rPr>
        <w:t xml:space="preserve"> Me shkresën nr. 3103/1 prot., datë 21.12.2020 “</w:t>
      </w:r>
      <w:r w:rsidRPr="0091032B">
        <w:rPr>
          <w:rFonts w:eastAsia="Times New Roman"/>
          <w:i/>
        </w:rPr>
        <w:t>Kthim kërkese për konstatim shkelje afati të arsyeshëm</w:t>
      </w:r>
      <w:r w:rsidRPr="0091032B">
        <w:rPr>
          <w:rFonts w:eastAsia="Times New Roman"/>
        </w:rPr>
        <w:t xml:space="preserve">”, kancelari i Gjykatës së Lartë ka njoftuar kërkuesen se kërkesa për konstatimin e shkeljes së afatit të arsyeshëm dhe përshpejtimin e procedurave nuk është nënshkruar nga një avokat i pajisur me akt përfaqësimi, kriter i parashikuar në nenin 474 të KPC-së dhe, në këto kushte, e ka kthyer atë pa veprime për të bërë plotësimet përkatëse. Në vijim, në datën 30.12.2020 kërkuesja ka paraqitur në Gjykatën e Lartë kërkesë për konstatimin e shkeljes së afatit të arsyeshëm dhe përshpejtimin e procedurave, të nënshkruar si nga ajo, ashtu edhe nga një avokat, e cila është regjistruar me nr. 6 regjistri. </w:t>
      </w:r>
    </w:p>
    <w:p w:rsidR="00384A9A" w:rsidRPr="0091032B" w:rsidRDefault="004B4C8B" w:rsidP="00384A9A">
      <w:pPr>
        <w:pStyle w:val="ListParagraph"/>
        <w:numPr>
          <w:ilvl w:val="0"/>
          <w:numId w:val="1"/>
        </w:numPr>
        <w:tabs>
          <w:tab w:val="left" w:pos="990"/>
        </w:tabs>
        <w:ind w:left="0" w:firstLine="720"/>
        <w:jc w:val="both"/>
      </w:pPr>
      <w:r w:rsidRPr="0091032B">
        <w:rPr>
          <w:rFonts w:eastAsia="Times New Roman"/>
        </w:rPr>
        <w:t>Me shkresën nr. 1009/1 prot., datë 01.04.2021 të kancelarit të Gjykatës së Lartë, në vijim të kërkesës së kërkueses për informacion, ajo është njoftuar se të dyja çështjet e saj, si rekursi</w:t>
      </w:r>
      <w:r w:rsidR="00DE5F62" w:rsidRPr="0091032B">
        <w:rPr>
          <w:rFonts w:eastAsia="Times New Roman"/>
        </w:rPr>
        <w:t>,</w:t>
      </w:r>
      <w:r w:rsidRPr="0091032B">
        <w:rPr>
          <w:rFonts w:eastAsia="Times New Roman"/>
        </w:rPr>
        <w:t xml:space="preserve"> ashtu </w:t>
      </w:r>
      <w:r w:rsidR="00DE5F62" w:rsidRPr="0091032B">
        <w:rPr>
          <w:rFonts w:eastAsia="Times New Roman"/>
        </w:rPr>
        <w:t>e</w:t>
      </w:r>
      <w:r w:rsidRPr="0091032B">
        <w:rPr>
          <w:rFonts w:eastAsia="Times New Roman"/>
        </w:rPr>
        <w:t>dhe kërkesa për konstatimin e shkeljes së afatit të arsyeshëm</w:t>
      </w:r>
      <w:r w:rsidR="00391ADF" w:rsidRPr="0091032B">
        <w:rPr>
          <w:rFonts w:eastAsia="Times New Roman"/>
        </w:rPr>
        <w:t>,</w:t>
      </w:r>
      <w:r w:rsidRPr="0091032B">
        <w:rPr>
          <w:rFonts w:eastAsia="Times New Roman"/>
        </w:rPr>
        <w:t xml:space="preserve"> janë në fazën e studimit dhe në pritje për t’u shqyrtuar në dhomën e këshillimit.</w:t>
      </w:r>
    </w:p>
    <w:p w:rsidR="00384A9A" w:rsidRPr="0091032B" w:rsidRDefault="004B4C8B" w:rsidP="00384A9A">
      <w:pPr>
        <w:pStyle w:val="ListParagraph"/>
        <w:numPr>
          <w:ilvl w:val="0"/>
          <w:numId w:val="1"/>
        </w:numPr>
        <w:tabs>
          <w:tab w:val="left" w:pos="990"/>
        </w:tabs>
        <w:ind w:left="0" w:firstLine="720"/>
        <w:jc w:val="both"/>
      </w:pPr>
      <w:r w:rsidRPr="0091032B">
        <w:rPr>
          <w:rFonts w:eastAsia="Times New Roman"/>
        </w:rPr>
        <w:lastRenderedPageBreak/>
        <w:t xml:space="preserve">Në datën 21.04.2021 kërkuesja i është drejtuar Gjykatës Kushtetuese </w:t>
      </w:r>
      <w:r w:rsidRPr="0091032B">
        <w:t>(</w:t>
      </w:r>
      <w:r w:rsidRPr="0091032B">
        <w:rPr>
          <w:i/>
        </w:rPr>
        <w:t xml:space="preserve">Gjykata) </w:t>
      </w:r>
      <w:r w:rsidRPr="0091032B">
        <w:t>me kërkesë</w:t>
      </w:r>
      <w:r w:rsidR="0047572F" w:rsidRPr="0091032B">
        <w:t>,</w:t>
      </w:r>
      <w:r w:rsidRPr="0091032B">
        <w:t xml:space="preserve"> me objekt k</w:t>
      </w:r>
      <w:r w:rsidRPr="0091032B">
        <w:rPr>
          <w:rFonts w:eastAsia="Times New Roman"/>
        </w:rPr>
        <w:t xml:space="preserve">onstatimin e: shkeljes së aksesit në një gjykatë të caktuar me ligj; </w:t>
      </w:r>
      <w:r w:rsidRPr="0091032B">
        <w:t xml:space="preserve">shkeljes së </w:t>
      </w:r>
      <w:r w:rsidRPr="0091032B">
        <w:rPr>
          <w:rFonts w:eastAsia="Times New Roman"/>
        </w:rPr>
        <w:t xml:space="preserve">afatit të arsyeshëm dhe përshpejtimin e procedurave në gjykimin e çështjes civile nr. </w:t>
      </w:r>
      <w:bookmarkStart w:id="6" w:name="_Hlk191381426"/>
      <w:r w:rsidRPr="0091032B">
        <w:rPr>
          <w:rFonts w:eastAsia="Times New Roman"/>
        </w:rPr>
        <w:t>11243-02837</w:t>
      </w:r>
      <w:bookmarkEnd w:id="6"/>
      <w:r w:rsidRPr="0091032B">
        <w:rPr>
          <w:rFonts w:eastAsia="Times New Roman"/>
        </w:rPr>
        <w:t xml:space="preserve">-00-2017 akti, datë regjistrimi 14.09.2017 dhe çështjes nr. 6 regjistri, datë 30.12.2020; mungesës së një mjeti efektiv për konstatimin, dëmshpërblimin dhe përshpejtimin e procedurave të sipërpërmendura.  </w:t>
      </w:r>
    </w:p>
    <w:p w:rsidR="00384A9A" w:rsidRPr="0091032B" w:rsidRDefault="004B4C8B" w:rsidP="00384A9A">
      <w:pPr>
        <w:pStyle w:val="ListParagraph"/>
        <w:numPr>
          <w:ilvl w:val="0"/>
          <w:numId w:val="1"/>
        </w:numPr>
        <w:tabs>
          <w:tab w:val="left" w:pos="990"/>
        </w:tabs>
        <w:ind w:left="0" w:firstLine="720"/>
        <w:jc w:val="both"/>
      </w:pPr>
      <w:r w:rsidRPr="0091032B">
        <w:rPr>
          <w:rFonts w:eastAsia="Batang"/>
          <w:bCs/>
        </w:rPr>
        <w:t xml:space="preserve">Me vendimin </w:t>
      </w:r>
      <w:r w:rsidRPr="0091032B">
        <w:t>nr. 33, datë</w:t>
      </w:r>
      <w:r w:rsidRPr="0091032B">
        <w:rPr>
          <w:bCs/>
        </w:rPr>
        <w:t xml:space="preserve"> </w:t>
      </w:r>
      <w:r w:rsidRPr="0091032B">
        <w:rPr>
          <w:rFonts w:eastAsia="Times New Roman"/>
          <w:bCs/>
        </w:rPr>
        <w:t xml:space="preserve">01.11.2021, </w:t>
      </w:r>
      <w:r w:rsidRPr="0091032B">
        <w:rPr>
          <w:rFonts w:eastAsia="Batang"/>
          <w:bCs/>
        </w:rPr>
        <w:t xml:space="preserve">Gjykata, pasi ka </w:t>
      </w:r>
      <w:r w:rsidRPr="0091032B">
        <w:t>shqyrtuar në themel pretendimin për kohëzgjatjen e paarsyeshme të procesit në Gjykatën e Lartë</w:t>
      </w:r>
      <w:r w:rsidR="00391ADF" w:rsidRPr="0091032B">
        <w:t>,</w:t>
      </w:r>
      <w:r w:rsidRPr="0091032B">
        <w:t xml:space="preserve"> ka vendosur rrëzimin e kërkesës si të pabazuar. Edhe pse ka konstatuar se deri diku ka një tejzgjatje të procesit, ku faktor</w:t>
      </w:r>
      <w:r w:rsidR="0047572F" w:rsidRPr="0091032B">
        <w:t>ë</w:t>
      </w:r>
      <w:r w:rsidRPr="0091032B">
        <w:t xml:space="preserve"> shtesë kanë qenë edh</w:t>
      </w:r>
      <w:r w:rsidRPr="0091032B">
        <w:rPr>
          <w:bCs/>
        </w:rPr>
        <w:t xml:space="preserve">e veprimet administrative të kancelarit të Gjykatës së Lartë </w:t>
      </w:r>
      <w:r w:rsidRPr="0091032B">
        <w:t xml:space="preserve">dhe se sjellja e kërkueses nuk ka penguar ecurinë e tij, Gjykata, bazuar në rrethanat e çështjes, kompleksitetin e saj, rrezikun në një shkallë jo të konsiderueshme për interesin e kërkueses, si dhe </w:t>
      </w:r>
      <w:r w:rsidR="00A0148C" w:rsidRPr="0091032B">
        <w:t xml:space="preserve">në </w:t>
      </w:r>
      <w:r w:rsidRPr="0091032B">
        <w:t xml:space="preserve">numrin e lartë të çështjeve në Gjykatën e Lartë në pritje për t’u gjykuar, </w:t>
      </w:r>
      <w:r w:rsidR="00A0148C" w:rsidRPr="0091032B">
        <w:t xml:space="preserve">ka vlerësuar </w:t>
      </w:r>
      <w:r w:rsidRPr="0091032B">
        <w:t xml:space="preserve">se nuk ka cenim të së drejtës për proces të rregullt ligjor si pasojë e mosshqyrtimit të çështjes brenda një afati të arsyeshëm. </w:t>
      </w:r>
    </w:p>
    <w:p w:rsidR="00384A9A" w:rsidRPr="0091032B" w:rsidRDefault="004B4C8B" w:rsidP="00384A9A">
      <w:pPr>
        <w:pStyle w:val="ListParagraph"/>
        <w:numPr>
          <w:ilvl w:val="0"/>
          <w:numId w:val="1"/>
        </w:numPr>
        <w:tabs>
          <w:tab w:val="left" w:pos="900"/>
          <w:tab w:val="left" w:pos="990"/>
          <w:tab w:val="left" w:pos="1080"/>
        </w:tabs>
        <w:ind w:left="0" w:firstLine="720"/>
        <w:jc w:val="both"/>
      </w:pPr>
      <w:r w:rsidRPr="0091032B">
        <w:t xml:space="preserve">Pas publikimit të vendimit të Gjykatës, </w:t>
      </w:r>
      <w:r w:rsidRPr="0091032B">
        <w:rPr>
          <w:rFonts w:eastAsia="Times New Roman"/>
        </w:rPr>
        <w:t>Kolegji Civil i Gjykatës së Lartë, me vendimin nr. 6, datë 16.12.2021, ka vendosur rrëzimin e kërkesës së kërkueses për konstatimin e cenimit të afatit të arsyeshëm</w:t>
      </w:r>
      <w:r w:rsidRPr="0091032B">
        <w:t xml:space="preserve">. </w:t>
      </w:r>
    </w:p>
    <w:p w:rsidR="00384A9A" w:rsidRPr="0091032B" w:rsidRDefault="004B4C8B" w:rsidP="00384A9A">
      <w:pPr>
        <w:pStyle w:val="ListParagraph"/>
        <w:numPr>
          <w:ilvl w:val="0"/>
          <w:numId w:val="1"/>
        </w:numPr>
        <w:tabs>
          <w:tab w:val="left" w:pos="900"/>
          <w:tab w:val="left" w:pos="990"/>
          <w:tab w:val="left" w:pos="1080"/>
        </w:tabs>
        <w:ind w:left="0" w:firstLine="720"/>
        <w:jc w:val="both"/>
      </w:pPr>
      <w:r w:rsidRPr="0091032B">
        <w:t xml:space="preserve">Në datën 07.03.2022 </w:t>
      </w:r>
      <w:r w:rsidRPr="0091032B">
        <w:rPr>
          <w:bCs/>
        </w:rPr>
        <w:t xml:space="preserve">kërkuesja i është drejtuar Gjykatës me ankim kushtetues individual për </w:t>
      </w:r>
      <w:r w:rsidRPr="0091032B">
        <w:t>shfuqizimin e vendimit nr. 6, datë 16.12.2021 të Kolegjit Civil të Gjykatës së Lartë. Mbledhja e Gjyqtarëve</w:t>
      </w:r>
      <w:r w:rsidRPr="0091032B">
        <w:rPr>
          <w:rFonts w:eastAsia="Times New Roman"/>
        </w:rPr>
        <w:t>, me v</w:t>
      </w:r>
      <w:r w:rsidRPr="0091032B">
        <w:rPr>
          <w:rFonts w:eastAsia="Times New Roman"/>
          <w:bCs/>
        </w:rPr>
        <w:t>endimin nr. 56, dat</w:t>
      </w:r>
      <w:r w:rsidRPr="0091032B">
        <w:rPr>
          <w:rFonts w:eastAsia="Times New Roman"/>
        </w:rPr>
        <w:t>ë 20.05.2022</w:t>
      </w:r>
      <w:r w:rsidR="00A0148C" w:rsidRPr="0091032B">
        <w:rPr>
          <w:rFonts w:eastAsia="Times New Roman"/>
        </w:rPr>
        <w:t>,</w:t>
      </w:r>
      <w:r w:rsidRPr="0091032B">
        <w:rPr>
          <w:rFonts w:eastAsia="Times New Roman"/>
        </w:rPr>
        <w:t xml:space="preserve"> ka vendosur moskalimin e çështjes për shqyrtim në seancë plenare. Sipas </w:t>
      </w:r>
      <w:r w:rsidRPr="0091032B">
        <w:t>Mbledhjes së Gjyqtarëve</w:t>
      </w:r>
      <w:r w:rsidR="00177FB9" w:rsidRPr="0091032B">
        <w:t>,</w:t>
      </w:r>
      <w:r w:rsidRPr="0091032B">
        <w:t xml:space="preserve"> vendimi i kundërshtuar nga kërkuesja, ndonëse përbën rrethanë të re, duke qenë se është dhënë pas vendimit të kësaj Gjykate, në vetvete nuk përbën shkak që ankimi kushtetues i ri të kalojë për shqyrtim në seancë plenare. Për sa i përket pretendimit kryesor të kërkueses për gjykimin e çështjes së saj brenda afatit të arsyeshëm, Mbledhja e Gjyqtarëve ka vlerësuar se kërkuesja nuk ka paraqitur ndonjë argument që të tregojë ndryshimin e situatës dhe të interesit të saj nga koha e dhënies së vendimit nr. 33, datë 01.11.2021 nga kjo Gjykatë,</w:t>
      </w:r>
      <w:r w:rsidRPr="0091032B">
        <w:rPr>
          <w:rFonts w:eastAsia="Times New Roman"/>
          <w:bCs/>
        </w:rPr>
        <w:t xml:space="preserve"> për rrjedhojë në rastin konkret nuk ekziston ndonjë </w:t>
      </w:r>
      <w:r w:rsidRPr="0091032B">
        <w:t xml:space="preserve">fakt ose rrethanë e re që të ketë rëndësi të mjaftueshme për të ndryshuar arsyet që kanë qëndruar në themel të vendimmarrjes së mëparshme të saj. </w:t>
      </w:r>
    </w:p>
    <w:p w:rsidR="00384A9A" w:rsidRPr="0091032B" w:rsidRDefault="004B4C8B" w:rsidP="00384A9A">
      <w:pPr>
        <w:pStyle w:val="ListParagraph"/>
        <w:numPr>
          <w:ilvl w:val="0"/>
          <w:numId w:val="1"/>
        </w:numPr>
        <w:tabs>
          <w:tab w:val="left" w:pos="900"/>
          <w:tab w:val="left" w:pos="990"/>
          <w:tab w:val="left" w:pos="1080"/>
        </w:tabs>
        <w:ind w:left="0" w:firstLine="720"/>
        <w:jc w:val="both"/>
      </w:pPr>
      <w:r w:rsidRPr="0091032B">
        <w:rPr>
          <w:bCs/>
        </w:rPr>
        <w:t xml:space="preserve">Në datën 24.02.2023 kërkuesja ka paraqitur në Gjykatën e Lartë parashtrime shtesë në lidhje me rekursin </w:t>
      </w:r>
      <w:r w:rsidR="0009012D">
        <w:rPr>
          <w:bCs/>
        </w:rPr>
        <w:t xml:space="preserve">e saj </w:t>
      </w:r>
      <w:r w:rsidRPr="0091032B">
        <w:rPr>
          <w:bCs/>
        </w:rPr>
        <w:t xml:space="preserve">dhe në </w:t>
      </w:r>
      <w:r w:rsidRPr="0091032B">
        <w:t xml:space="preserve">datën 25.04.2024 ka paraqitur, po përpara asaj gjykate, kërkesë me </w:t>
      </w:r>
      <w:r w:rsidRPr="0091032B">
        <w:lastRenderedPageBreak/>
        <w:t xml:space="preserve">objekt konstatimin e shkeljes së afatit të arsyeshëm dhe përshpejtimin e gjykimit të çështjes, konstatimin e statusit të viktimës përgjatë procesit gjyqësor, si dhe shpërblimin e dëmit si pasojë e shkeljes së afatit të arsyeshëm. Kjo kërkesë është regjistruar në Gjykatën e Lartë në datën 29.04.2024. </w:t>
      </w:r>
    </w:p>
    <w:p w:rsidR="00384A9A" w:rsidRPr="0091032B" w:rsidRDefault="00697A17" w:rsidP="00384A9A">
      <w:pPr>
        <w:pStyle w:val="ListParagraph"/>
        <w:numPr>
          <w:ilvl w:val="0"/>
          <w:numId w:val="1"/>
        </w:numPr>
        <w:tabs>
          <w:tab w:val="left" w:pos="900"/>
          <w:tab w:val="left" w:pos="990"/>
          <w:tab w:val="left" w:pos="1080"/>
        </w:tabs>
        <w:ind w:left="0" w:firstLine="720"/>
        <w:jc w:val="both"/>
      </w:pPr>
      <w:r w:rsidRPr="0091032B">
        <w:rPr>
          <w:bCs/>
        </w:rPr>
        <w:t xml:space="preserve">Në </w:t>
      </w:r>
      <w:r w:rsidR="004B4C8B" w:rsidRPr="0091032B">
        <w:rPr>
          <w:bCs/>
        </w:rPr>
        <w:t>datë</w:t>
      </w:r>
      <w:r w:rsidRPr="0091032B">
        <w:rPr>
          <w:bCs/>
        </w:rPr>
        <w:t>n</w:t>
      </w:r>
      <w:r w:rsidR="004B4C8B" w:rsidRPr="0091032B">
        <w:rPr>
          <w:bCs/>
        </w:rPr>
        <w:t xml:space="preserve"> 30.04.2024 gjyqtarja relatore </w:t>
      </w:r>
      <w:r w:rsidRPr="0091032B">
        <w:rPr>
          <w:bCs/>
        </w:rPr>
        <w:t xml:space="preserve">ka </w:t>
      </w:r>
      <w:r w:rsidR="00A676DF" w:rsidRPr="0091032B">
        <w:rPr>
          <w:bCs/>
        </w:rPr>
        <w:t xml:space="preserve">urdhëruar </w:t>
      </w:r>
      <w:r w:rsidR="004B4C8B" w:rsidRPr="0091032B">
        <w:rPr>
          <w:bCs/>
        </w:rPr>
        <w:t>njoft</w:t>
      </w:r>
      <w:r w:rsidR="00A676DF" w:rsidRPr="0091032B">
        <w:rPr>
          <w:bCs/>
        </w:rPr>
        <w:t>imin e</w:t>
      </w:r>
      <w:r w:rsidR="004B4C8B" w:rsidRPr="0091032B">
        <w:rPr>
          <w:bCs/>
        </w:rPr>
        <w:t xml:space="preserve"> </w:t>
      </w:r>
      <w:r w:rsidR="00986466" w:rsidRPr="0091032B">
        <w:rPr>
          <w:bCs/>
        </w:rPr>
        <w:t xml:space="preserve">kërkueses </w:t>
      </w:r>
      <w:r w:rsidR="004B4C8B" w:rsidRPr="0091032B">
        <w:rPr>
          <w:bCs/>
        </w:rPr>
        <w:t xml:space="preserve">për të metat </w:t>
      </w:r>
      <w:r w:rsidR="0043118B">
        <w:rPr>
          <w:bCs/>
        </w:rPr>
        <w:t xml:space="preserve">e </w:t>
      </w:r>
      <w:r w:rsidR="004B4C8B" w:rsidRPr="0091032B">
        <w:rPr>
          <w:bCs/>
        </w:rPr>
        <w:t>kërkesë</w:t>
      </w:r>
      <w:r w:rsidR="0043118B">
        <w:rPr>
          <w:bCs/>
        </w:rPr>
        <w:t>s</w:t>
      </w:r>
      <w:r w:rsidR="004B4C8B" w:rsidRPr="0091032B">
        <w:rPr>
          <w:bCs/>
        </w:rPr>
        <w:t>, konkretisht mungesën e nënshkrimit nga avokati përfaqësues dhe të aktit të përfaqësimit</w:t>
      </w:r>
      <w:r w:rsidR="00986466" w:rsidRPr="0091032B">
        <w:rPr>
          <w:bCs/>
        </w:rPr>
        <w:t>,</w:t>
      </w:r>
      <w:r w:rsidR="004B4C8B" w:rsidRPr="0091032B">
        <w:rPr>
          <w:bCs/>
        </w:rPr>
        <w:t xml:space="preserve"> duke i caktuar një afat 5-ditor për plotësimin e tyre. Me shkresën e datës 07.05.2024, kërkuesja ka paraqitur në Gjykatën e Lartë kërkesën e nënshkruar nga avokati dhe aktin e përfaqësimit.  </w:t>
      </w:r>
    </w:p>
    <w:p w:rsidR="00384A9A" w:rsidRPr="0091032B" w:rsidRDefault="004B4C8B" w:rsidP="00384A9A">
      <w:pPr>
        <w:pStyle w:val="ListParagraph"/>
        <w:numPr>
          <w:ilvl w:val="0"/>
          <w:numId w:val="1"/>
        </w:numPr>
        <w:tabs>
          <w:tab w:val="left" w:pos="900"/>
          <w:tab w:val="left" w:pos="990"/>
          <w:tab w:val="left" w:pos="1080"/>
        </w:tabs>
        <w:ind w:left="0" w:firstLine="720"/>
        <w:jc w:val="both"/>
      </w:pPr>
      <w:r w:rsidRPr="0091032B">
        <w:rPr>
          <w:bCs/>
        </w:rPr>
        <w:t xml:space="preserve">Me vendimin nr. 00-2024-2474, datë 21.05.2024, Kolegji Administrativ i Gjykatës së Lartë, pasi ka marrë në shqyrtim kërkesën dhe pasi ka konstatuar se Kolegji Civil që ka në shqyrtim çështjen e kërkueses ka caktuar datën 11.09.2024 për shqyrtimin </w:t>
      </w:r>
      <w:r w:rsidR="0043118B">
        <w:rPr>
          <w:bCs/>
        </w:rPr>
        <w:t xml:space="preserve">e rekursit </w:t>
      </w:r>
      <w:r w:rsidRPr="0091032B">
        <w:rPr>
          <w:bCs/>
        </w:rPr>
        <w:t xml:space="preserve">në dhomën e këshillimit, përtej radhës së pritjes për gjykim, bazuar në nenin 399/7, pika 3, të KPC-së ka vendosur pushimin e shqyrtimit të kërkesës për konstatimin e cenimit dhe përshpejtimin e gjykimit. </w:t>
      </w:r>
    </w:p>
    <w:p w:rsidR="00384A9A" w:rsidRPr="0091032B" w:rsidRDefault="004B4C8B" w:rsidP="00384A9A">
      <w:pPr>
        <w:pStyle w:val="ListParagraph"/>
        <w:numPr>
          <w:ilvl w:val="0"/>
          <w:numId w:val="1"/>
        </w:numPr>
        <w:tabs>
          <w:tab w:val="left" w:pos="900"/>
          <w:tab w:val="left" w:pos="990"/>
          <w:tab w:val="left" w:pos="1080"/>
        </w:tabs>
        <w:ind w:left="0" w:firstLine="720"/>
        <w:jc w:val="both"/>
      </w:pPr>
      <w:r w:rsidRPr="0091032B">
        <w:rPr>
          <w:bCs/>
        </w:rPr>
        <w:t>Për sa i përket rekursit të kërkueses, me vendimin nr. 00-2024-3825, datë 11.09.2024, Kolegji Civil i Gjykatës së Lartë, duke vlerësuar se nuk përmban</w:t>
      </w:r>
      <w:r w:rsidR="00177FB9" w:rsidRPr="0091032B">
        <w:rPr>
          <w:bCs/>
        </w:rPr>
        <w:t>te</w:t>
      </w:r>
      <w:r w:rsidRPr="0091032B">
        <w:rPr>
          <w:bCs/>
        </w:rPr>
        <w:t xml:space="preserve"> shkaqe nga ato të parashikuara në nenin 472 të KPC-së, </w:t>
      </w:r>
      <w:r w:rsidRPr="0091032B">
        <w:t xml:space="preserve">ka vendosur mospranimin e tij. </w:t>
      </w:r>
    </w:p>
    <w:p w:rsidR="00D60DA2" w:rsidRPr="0091032B" w:rsidRDefault="004B4C8B" w:rsidP="00D60DA2">
      <w:pPr>
        <w:pStyle w:val="ListParagraph"/>
        <w:numPr>
          <w:ilvl w:val="0"/>
          <w:numId w:val="1"/>
        </w:numPr>
        <w:tabs>
          <w:tab w:val="left" w:pos="900"/>
          <w:tab w:val="left" w:pos="990"/>
          <w:tab w:val="left" w:pos="1080"/>
        </w:tabs>
        <w:ind w:left="0" w:firstLine="720"/>
        <w:jc w:val="both"/>
      </w:pPr>
      <w:r w:rsidRPr="0091032B">
        <w:rPr>
          <w:bCs/>
        </w:rPr>
        <w:t>N</w:t>
      </w:r>
      <w:r w:rsidRPr="0091032B">
        <w:t xml:space="preserve">ë datën 24.12.2024 </w:t>
      </w:r>
      <w:r w:rsidRPr="0091032B">
        <w:rPr>
          <w:bCs/>
        </w:rPr>
        <w:t xml:space="preserve">kërkuesja i është drejtuar Gjykatës me ankim kushtetues individual, </w:t>
      </w:r>
      <w:r w:rsidR="00D60DA2" w:rsidRPr="0091032B">
        <w:rPr>
          <w:bCs/>
        </w:rPr>
        <w:t>për kundërshtimin e vendimit të Kolegjit Administrativ të Gjykatës së Lartë që ka pushuar shqyrtimin e kërkesës për konstatimin e cenimit, duke kërkuar edhe konstatimin e mungesës së një mjeti efektiv, konstatimin e statutit të viktimës, si dhe zhdëmtimin në përputhje me ligjin.</w:t>
      </w:r>
      <w:r w:rsidR="0071191D" w:rsidRPr="0091032B">
        <w:rPr>
          <w:bCs/>
        </w:rPr>
        <w:t xml:space="preserve"> Kjo çështje është regjistruar me nr. 4 (Z) 2024 të Regjistrit Themeltar.</w:t>
      </w:r>
      <w:r w:rsidR="00D60DA2" w:rsidRPr="0091032B">
        <w:rPr>
          <w:bCs/>
        </w:rPr>
        <w:t xml:space="preserve"> </w:t>
      </w:r>
      <w:r w:rsidRPr="0091032B">
        <w:t xml:space="preserve">Kolegji i Gjykatës, me vendimin e datës 05.03.2025, ka vendosur kalimin e çështjes për shqyrtim në seancë plenare mbi bazë të dokumenteve. </w:t>
      </w:r>
    </w:p>
    <w:p w:rsidR="00482331" w:rsidRPr="0091032B" w:rsidRDefault="00D60DA2" w:rsidP="00482331">
      <w:pPr>
        <w:pStyle w:val="ListParagraph"/>
        <w:numPr>
          <w:ilvl w:val="0"/>
          <w:numId w:val="1"/>
        </w:numPr>
        <w:tabs>
          <w:tab w:val="left" w:pos="900"/>
          <w:tab w:val="left" w:pos="990"/>
          <w:tab w:val="left" w:pos="1080"/>
        </w:tabs>
        <w:ind w:left="0" w:firstLine="720"/>
        <w:jc w:val="both"/>
      </w:pPr>
      <w:r w:rsidRPr="0091032B">
        <w:t xml:space="preserve">Në datën 25.02.2025 kërkuesja i është drejtuar Gjykatës me ankim kushtetues individual për kundërshtimin </w:t>
      </w:r>
      <w:r w:rsidR="00177FB9" w:rsidRPr="0091032B">
        <w:t>edhe të</w:t>
      </w:r>
      <w:r w:rsidRPr="0091032B">
        <w:t xml:space="preserve"> vendimit </w:t>
      </w:r>
      <w:r w:rsidR="0029580E" w:rsidRPr="0091032B">
        <w:t xml:space="preserve">të </w:t>
      </w:r>
      <w:r w:rsidR="0071191D" w:rsidRPr="0091032B">
        <w:t>Kolegjit Civil që ka vendosur mospranimin e rekursit të saj</w:t>
      </w:r>
      <w:r w:rsidR="00482331" w:rsidRPr="0091032B">
        <w:t>.</w:t>
      </w:r>
      <w:r w:rsidR="0071191D" w:rsidRPr="0091032B">
        <w:t xml:space="preserve"> Kjo çështje është regjistruar me nr. 2 (Z) </w:t>
      </w:r>
      <w:r w:rsidR="00B510A4" w:rsidRPr="0091032B">
        <w:t xml:space="preserve">2025 </w:t>
      </w:r>
      <w:r w:rsidR="0071191D" w:rsidRPr="0091032B">
        <w:t xml:space="preserve">të Regjistrit Themeltar. </w:t>
      </w:r>
      <w:r w:rsidRPr="0091032B">
        <w:rPr>
          <w:bCs/>
          <w:lang w:bidi="en-US"/>
        </w:rPr>
        <w:t xml:space="preserve">Kolegji </w:t>
      </w:r>
      <w:r w:rsidR="0071191D" w:rsidRPr="0091032B">
        <w:rPr>
          <w:bCs/>
          <w:lang w:bidi="en-US"/>
        </w:rPr>
        <w:t xml:space="preserve">i Gjykatës, me vendimin e </w:t>
      </w:r>
      <w:r w:rsidRPr="0091032B">
        <w:rPr>
          <w:bCs/>
          <w:lang w:bidi="en-US"/>
        </w:rPr>
        <w:t>datë</w:t>
      </w:r>
      <w:r w:rsidR="0071191D" w:rsidRPr="0091032B">
        <w:rPr>
          <w:bCs/>
          <w:lang w:bidi="en-US"/>
        </w:rPr>
        <w:t>s</w:t>
      </w:r>
      <w:r w:rsidRPr="0091032B">
        <w:rPr>
          <w:bCs/>
          <w:lang w:bidi="en-US"/>
        </w:rPr>
        <w:t xml:space="preserve"> 20.05.2025</w:t>
      </w:r>
      <w:r w:rsidR="0029580E" w:rsidRPr="0091032B">
        <w:rPr>
          <w:bCs/>
          <w:lang w:bidi="en-US"/>
        </w:rPr>
        <w:t>,</w:t>
      </w:r>
      <w:r w:rsidRPr="0091032B">
        <w:rPr>
          <w:bCs/>
          <w:lang w:bidi="en-US"/>
        </w:rPr>
        <w:t xml:space="preserve"> ka vendosur kalimin e çështjes për shqyrtim në seancë plenare mbi bazë </w:t>
      </w:r>
      <w:r w:rsidR="0071191D" w:rsidRPr="0091032B">
        <w:rPr>
          <w:bCs/>
          <w:lang w:bidi="en-US"/>
        </w:rPr>
        <w:t xml:space="preserve">të </w:t>
      </w:r>
      <w:r w:rsidRPr="0091032B">
        <w:rPr>
          <w:bCs/>
          <w:lang w:bidi="en-US"/>
        </w:rPr>
        <w:t>dokumente</w:t>
      </w:r>
      <w:r w:rsidR="0071191D" w:rsidRPr="0091032B">
        <w:rPr>
          <w:bCs/>
          <w:lang w:bidi="en-US"/>
        </w:rPr>
        <w:t>ve</w:t>
      </w:r>
      <w:r w:rsidRPr="0091032B">
        <w:rPr>
          <w:bCs/>
          <w:lang w:bidi="en-US"/>
        </w:rPr>
        <w:t>.</w:t>
      </w:r>
    </w:p>
    <w:p w:rsidR="00A676DF" w:rsidRPr="0091032B" w:rsidRDefault="0071191D" w:rsidP="00482331">
      <w:pPr>
        <w:pStyle w:val="ListParagraph"/>
        <w:numPr>
          <w:ilvl w:val="0"/>
          <w:numId w:val="1"/>
        </w:numPr>
        <w:tabs>
          <w:tab w:val="left" w:pos="900"/>
          <w:tab w:val="left" w:pos="990"/>
          <w:tab w:val="left" w:pos="1080"/>
        </w:tabs>
        <w:ind w:left="0" w:firstLine="720"/>
        <w:jc w:val="both"/>
      </w:pPr>
      <w:r w:rsidRPr="0091032B">
        <w:lastRenderedPageBreak/>
        <w:t xml:space="preserve">Në seancën plenare të datës 07.10.2025, Gjykata, </w:t>
      </w:r>
      <w:r w:rsidR="00A676DF" w:rsidRPr="0091032B">
        <w:t xml:space="preserve">pasi konstatoi se </w:t>
      </w:r>
      <w:r w:rsidR="00482331" w:rsidRPr="0091032B">
        <w:t xml:space="preserve">këto </w:t>
      </w:r>
      <w:r w:rsidR="00A676DF" w:rsidRPr="0091032B">
        <w:t xml:space="preserve">dy kërkesa të paraqitura nga kërkuesja </w:t>
      </w:r>
      <w:r w:rsidR="0047572F" w:rsidRPr="0091032B">
        <w:t xml:space="preserve">kishin </w:t>
      </w:r>
      <w:r w:rsidR="00A676DF" w:rsidRPr="0091032B">
        <w:t xml:space="preserve">lidhje me njëra-tjetrën, pasi </w:t>
      </w:r>
      <w:r w:rsidR="0047572F" w:rsidRPr="0091032B">
        <w:t xml:space="preserve">bëhej </w:t>
      </w:r>
      <w:r w:rsidR="00A676DF" w:rsidRPr="0091032B">
        <w:t xml:space="preserve">fjalë për të njëjtin proces gjyqësor, </w:t>
      </w:r>
      <w:r w:rsidRPr="0091032B">
        <w:t>në mbështetje të nenit 19 të Rregullores për Procedurat Gjyqësore të Gjykatës Kushtetuese, vendosi bashkimin e çështjeve nr. 4 (Z) 2024 të Regjistrit Themeltar dhe nr. 2 (Z) 2025 të Regjistrit Themeltar</w:t>
      </w:r>
      <w:r w:rsidR="0029580E" w:rsidRPr="0091032B">
        <w:t>,</w:t>
      </w:r>
      <w:r w:rsidR="00A676DF" w:rsidRPr="0091032B">
        <w:t xml:space="preserve"> me qëllim shqyrtimin e përbashkët të tyre. Po në bazë të kësaj dispozite, vendimi i Gjykatës mori numrin e çështjes së regjistruar më parë në Gjykatë, konkretisht 4 (Z) 2024 të Regjistrit Themeltar, datë 24.12.2024.</w:t>
      </w:r>
    </w:p>
    <w:p w:rsidR="004B4C8B" w:rsidRPr="0091032B" w:rsidRDefault="004B4C8B" w:rsidP="004B4C8B">
      <w:pPr>
        <w:tabs>
          <w:tab w:val="left" w:pos="1080"/>
        </w:tabs>
        <w:jc w:val="center"/>
        <w:rPr>
          <w:b/>
        </w:rPr>
      </w:pPr>
    </w:p>
    <w:p w:rsidR="004B4C8B" w:rsidRPr="0091032B" w:rsidRDefault="004B4C8B" w:rsidP="00384A9A">
      <w:pPr>
        <w:tabs>
          <w:tab w:val="left" w:pos="1080"/>
        </w:tabs>
        <w:jc w:val="center"/>
        <w:rPr>
          <w:b/>
        </w:rPr>
      </w:pPr>
      <w:r w:rsidRPr="0091032B">
        <w:rPr>
          <w:b/>
        </w:rPr>
        <w:t>II</w:t>
      </w:r>
    </w:p>
    <w:p w:rsidR="004B4C8B" w:rsidRPr="0091032B" w:rsidRDefault="004B4C8B" w:rsidP="00384A9A">
      <w:pPr>
        <w:tabs>
          <w:tab w:val="left" w:pos="1080"/>
        </w:tabs>
        <w:jc w:val="center"/>
        <w:rPr>
          <w:b/>
        </w:rPr>
      </w:pPr>
      <w:bookmarkStart w:id="7" w:name="_Hlk210382754"/>
      <w:r w:rsidRPr="0091032B">
        <w:rPr>
          <w:b/>
        </w:rPr>
        <w:t>Pretendimet në Gjykatën Kushtetuese</w:t>
      </w:r>
    </w:p>
    <w:p w:rsidR="00A86F8E" w:rsidRPr="0091032B" w:rsidRDefault="004B4C8B" w:rsidP="00A86F8E">
      <w:pPr>
        <w:numPr>
          <w:ilvl w:val="0"/>
          <w:numId w:val="1"/>
        </w:numPr>
        <w:tabs>
          <w:tab w:val="left" w:pos="990"/>
          <w:tab w:val="left" w:pos="1080"/>
        </w:tabs>
        <w:ind w:left="0" w:firstLine="720"/>
        <w:jc w:val="both"/>
        <w:rPr>
          <w:i/>
        </w:rPr>
      </w:pPr>
      <w:r w:rsidRPr="0091032B">
        <w:rPr>
          <w:b/>
          <w:i/>
        </w:rPr>
        <w:t>Kërkuesja</w:t>
      </w:r>
      <w:r w:rsidRPr="0091032B">
        <w:t>, në mënyrë të përmbledhur, ka pretenduar</w:t>
      </w:r>
      <w:r w:rsidR="00A86F8E" w:rsidRPr="0091032B">
        <w:t>:</w:t>
      </w:r>
      <w:r w:rsidRPr="0091032B">
        <w:t xml:space="preserve"> </w:t>
      </w:r>
      <w:bookmarkStart w:id="8" w:name="_Hlk210377380"/>
    </w:p>
    <w:p w:rsidR="0071191D" w:rsidRPr="0091032B" w:rsidRDefault="0071191D" w:rsidP="003A4F20">
      <w:pPr>
        <w:pStyle w:val="ListParagraph"/>
        <w:numPr>
          <w:ilvl w:val="0"/>
          <w:numId w:val="35"/>
        </w:numPr>
        <w:tabs>
          <w:tab w:val="left" w:pos="990"/>
          <w:tab w:val="left" w:pos="1080"/>
        </w:tabs>
        <w:ind w:left="990" w:hanging="270"/>
        <w:jc w:val="both"/>
        <w:rPr>
          <w:i/>
        </w:rPr>
      </w:pPr>
      <w:r w:rsidRPr="0091032B">
        <w:rPr>
          <w:i/>
        </w:rPr>
        <w:t xml:space="preserve">Për </w:t>
      </w:r>
      <w:r w:rsidR="003A4F20">
        <w:rPr>
          <w:i/>
        </w:rPr>
        <w:t>kërkimin për kon</w:t>
      </w:r>
      <w:r w:rsidRPr="0091032B">
        <w:rPr>
          <w:i/>
        </w:rPr>
        <w:t>statimi</w:t>
      </w:r>
      <w:r w:rsidR="00A86F8E" w:rsidRPr="0091032B">
        <w:rPr>
          <w:i/>
        </w:rPr>
        <w:t>n e</w:t>
      </w:r>
      <w:r w:rsidRPr="0091032B">
        <w:rPr>
          <w:i/>
        </w:rPr>
        <w:t xml:space="preserve"> cenimit të së drej</w:t>
      </w:r>
      <w:r w:rsidR="00A86F8E" w:rsidRPr="0091032B">
        <w:rPr>
          <w:i/>
        </w:rPr>
        <w:t>t</w:t>
      </w:r>
      <w:r w:rsidRPr="0091032B">
        <w:rPr>
          <w:i/>
        </w:rPr>
        <w:t>ës</w:t>
      </w:r>
      <w:r w:rsidR="00A86F8E" w:rsidRPr="0091032B">
        <w:rPr>
          <w:i/>
        </w:rPr>
        <w:t xml:space="preserve"> për kohëzgjatje të arsyeshme të procesit:</w:t>
      </w:r>
    </w:p>
    <w:p w:rsidR="00A86F8E" w:rsidRPr="0091032B" w:rsidRDefault="00A676DF" w:rsidP="00A86F8E">
      <w:pPr>
        <w:pStyle w:val="ListParagraph"/>
        <w:numPr>
          <w:ilvl w:val="1"/>
          <w:numId w:val="34"/>
        </w:numPr>
        <w:tabs>
          <w:tab w:val="left" w:pos="990"/>
          <w:tab w:val="left" w:pos="1080"/>
          <w:tab w:val="left" w:pos="1260"/>
        </w:tabs>
        <w:ind w:left="1260" w:hanging="540"/>
        <w:jc w:val="both"/>
      </w:pPr>
      <w:r w:rsidRPr="0091032B">
        <w:rPr>
          <w:i/>
        </w:rPr>
        <w:t>Është cenuar</w:t>
      </w:r>
      <w:r w:rsidR="00A86F8E" w:rsidRPr="0091032B">
        <w:rPr>
          <w:i/>
        </w:rPr>
        <w:t xml:space="preserve"> </w:t>
      </w:r>
      <w:r w:rsidRPr="0091032B">
        <w:rPr>
          <w:i/>
        </w:rPr>
        <w:t xml:space="preserve">e </w:t>
      </w:r>
      <w:r w:rsidR="004B4C8B" w:rsidRPr="0091032B">
        <w:rPr>
          <w:i/>
        </w:rPr>
        <w:t>drejt</w:t>
      </w:r>
      <w:r w:rsidR="00A86F8E" w:rsidRPr="0091032B">
        <w:rPr>
          <w:i/>
        </w:rPr>
        <w:t>a e</w:t>
      </w:r>
      <w:r w:rsidR="004B4C8B" w:rsidRPr="0091032B">
        <w:rPr>
          <w:i/>
        </w:rPr>
        <w:t xml:space="preserve"> aksesit në një gjykatë të caktuar me ligj</w:t>
      </w:r>
      <w:r w:rsidR="004B4C8B" w:rsidRPr="0091032B">
        <w:t>, si pasojë e kthimit për plotësim</w:t>
      </w:r>
      <w:r w:rsidR="001E6779" w:rsidRPr="0091032B">
        <w:t>,</w:t>
      </w:r>
      <w:r w:rsidR="004B4C8B" w:rsidRPr="0091032B">
        <w:t xml:space="preserve"> </w:t>
      </w:r>
      <w:r w:rsidR="001E6779" w:rsidRPr="0091032B">
        <w:t xml:space="preserve">me urdhër të gjyqtarit relator, </w:t>
      </w:r>
      <w:r w:rsidR="004B4C8B" w:rsidRPr="0091032B">
        <w:t xml:space="preserve">të kërkesës për konstatimin e shkeljes së afatit të arsyeshëm në kundërshtim me </w:t>
      </w:r>
      <w:r w:rsidR="0043118B">
        <w:t>jurisprudencën e</w:t>
      </w:r>
      <w:r w:rsidR="004B4C8B" w:rsidRPr="0091032B">
        <w:t xml:space="preserve"> Gjykatës që</w:t>
      </w:r>
      <w:r w:rsidR="001E6779" w:rsidRPr="0091032B">
        <w:t xml:space="preserve"> ka pohuar se në këto raste nuk nevojitet nënshkrimi i kërkesës nga avokat</w:t>
      </w:r>
      <w:r w:rsidR="004B4C8B" w:rsidRPr="0091032B">
        <w:t>i. Edhe termi “nëse” në nenin 399/5 të KP</w:t>
      </w:r>
      <w:r w:rsidR="007D6F91">
        <w:t>C</w:t>
      </w:r>
      <w:r w:rsidR="004B4C8B" w:rsidRPr="0091032B">
        <w:t xml:space="preserve">-së tregon se prokura kërkohet vetëm nëse kërkesa bëhet nga avokati. </w:t>
      </w:r>
    </w:p>
    <w:p w:rsidR="00A86F8E" w:rsidRPr="0091032B" w:rsidRDefault="00A676DF" w:rsidP="00A86F8E">
      <w:pPr>
        <w:pStyle w:val="ListParagraph"/>
        <w:numPr>
          <w:ilvl w:val="1"/>
          <w:numId w:val="34"/>
        </w:numPr>
        <w:tabs>
          <w:tab w:val="left" w:pos="990"/>
          <w:tab w:val="left" w:pos="1080"/>
          <w:tab w:val="left" w:pos="1260"/>
        </w:tabs>
        <w:ind w:left="1260" w:hanging="540"/>
        <w:jc w:val="both"/>
      </w:pPr>
      <w:r w:rsidRPr="0091032B">
        <w:rPr>
          <w:i/>
        </w:rPr>
        <w:t>Është cenuar e</w:t>
      </w:r>
      <w:r w:rsidR="00A86F8E" w:rsidRPr="0091032B">
        <w:rPr>
          <w:i/>
        </w:rPr>
        <w:t xml:space="preserve"> drejta për të pasur një</w:t>
      </w:r>
      <w:r w:rsidR="004B4C8B" w:rsidRPr="0091032B">
        <w:rPr>
          <w:i/>
        </w:rPr>
        <w:t xml:space="preserve"> mjet efektiv për përshpejtimin e procedurave</w:t>
      </w:r>
      <w:r w:rsidR="0029580E" w:rsidRPr="0091032B">
        <w:rPr>
          <w:i/>
        </w:rPr>
        <w:t>,</w:t>
      </w:r>
      <w:r w:rsidR="004B4C8B" w:rsidRPr="0091032B">
        <w:rPr>
          <w:i/>
        </w:rPr>
        <w:t xml:space="preserve"> </w:t>
      </w:r>
      <w:r w:rsidR="004B4C8B" w:rsidRPr="0091032B">
        <w:t xml:space="preserve">sipas nenit 13 të KEDNJ-së së bashku me nenin 6, pika 1, të saj, për shkak se rekursi është regjistruar në Gjykatën e Lartë më 14.09.2017 dhe deri në datën 11.09.2024 nuk ishte marrë asnjë masë për shqyrtimin e tij, edhe pse kishin kaluar </w:t>
      </w:r>
      <w:r w:rsidR="00630BB5" w:rsidRPr="0091032B">
        <w:t>shtat</w:t>
      </w:r>
      <w:r w:rsidR="001E6779" w:rsidRPr="0091032B">
        <w:t>ë</w:t>
      </w:r>
      <w:r w:rsidR="00A86F8E" w:rsidRPr="0091032B">
        <w:t xml:space="preserve"> </w:t>
      </w:r>
      <w:r w:rsidR="004B4C8B" w:rsidRPr="0091032B">
        <w:t>v</w:t>
      </w:r>
      <w:r w:rsidR="00A86F8E" w:rsidRPr="0091032B">
        <w:t>jet</w:t>
      </w:r>
      <w:r w:rsidR="004B4C8B" w:rsidRPr="0091032B">
        <w:t xml:space="preserve">. Kërkesa është shqyrtuar nga Kolegji Administrativ në kundërshtim me nenin 399/6 të KPC-së, sipas të cilit kompetent </w:t>
      </w:r>
      <w:r w:rsidR="00630BB5" w:rsidRPr="0091032B">
        <w:t>p</w:t>
      </w:r>
      <w:r w:rsidRPr="0091032B">
        <w:t>ë</w:t>
      </w:r>
      <w:r w:rsidR="00630BB5" w:rsidRPr="0091032B">
        <w:t xml:space="preserve">r shqyrtimin e </w:t>
      </w:r>
      <w:r w:rsidRPr="0091032B">
        <w:t>çë</w:t>
      </w:r>
      <w:r w:rsidR="00630BB5" w:rsidRPr="0091032B">
        <w:t xml:space="preserve">shtjes </w:t>
      </w:r>
      <w:r w:rsidR="004B4C8B" w:rsidRPr="0091032B">
        <w:t xml:space="preserve">ishte Kolegji Civil. </w:t>
      </w:r>
      <w:r w:rsidRPr="0091032B">
        <w:t xml:space="preserve">Kërkesa në </w:t>
      </w:r>
      <w:r w:rsidR="004B4C8B" w:rsidRPr="0091032B">
        <w:t>Gjykat</w:t>
      </w:r>
      <w:r w:rsidRPr="0091032B">
        <w:t xml:space="preserve">ën </w:t>
      </w:r>
      <w:r w:rsidR="004B4C8B" w:rsidRPr="0091032B">
        <w:t>e Lartë nuk përbën më mjet efektiv për zgjidhjen e pretendimeve për vonesa të procedurave të gjykimit.</w:t>
      </w:r>
    </w:p>
    <w:p w:rsidR="00A86F8E" w:rsidRPr="0091032B" w:rsidRDefault="001E6779" w:rsidP="00A86F8E">
      <w:pPr>
        <w:pStyle w:val="ListParagraph"/>
        <w:numPr>
          <w:ilvl w:val="1"/>
          <w:numId w:val="34"/>
        </w:numPr>
        <w:tabs>
          <w:tab w:val="left" w:pos="990"/>
          <w:tab w:val="left" w:pos="1080"/>
          <w:tab w:val="left" w:pos="1260"/>
        </w:tabs>
        <w:ind w:left="1260" w:hanging="540"/>
        <w:jc w:val="both"/>
      </w:pPr>
      <w:r w:rsidRPr="0091032B">
        <w:rPr>
          <w:i/>
        </w:rPr>
        <w:t>Është cenuar a</w:t>
      </w:r>
      <w:r w:rsidR="004B4C8B" w:rsidRPr="0091032B">
        <w:rPr>
          <w:i/>
        </w:rPr>
        <w:t>fati</w:t>
      </w:r>
      <w:r w:rsidR="00A86F8E" w:rsidRPr="0091032B">
        <w:rPr>
          <w:i/>
        </w:rPr>
        <w:t xml:space="preserve"> i</w:t>
      </w:r>
      <w:r w:rsidR="004B4C8B" w:rsidRPr="0091032B">
        <w:rPr>
          <w:i/>
        </w:rPr>
        <w:t xml:space="preserve"> arsyeshëm </w:t>
      </w:r>
      <w:r w:rsidR="00354CB1" w:rsidRPr="0091032B">
        <w:rPr>
          <w:i/>
        </w:rPr>
        <w:t>i</w:t>
      </w:r>
      <w:r w:rsidR="00177FB9" w:rsidRPr="0091032B">
        <w:rPr>
          <w:i/>
        </w:rPr>
        <w:t xml:space="preserve"> gjykimi</w:t>
      </w:r>
      <w:r w:rsidR="00354CB1" w:rsidRPr="0091032B">
        <w:rPr>
          <w:i/>
        </w:rPr>
        <w:t>t</w:t>
      </w:r>
      <w:r w:rsidR="004B4C8B" w:rsidRPr="0091032B">
        <w:rPr>
          <w:i/>
        </w:rPr>
        <w:t xml:space="preserve">, </w:t>
      </w:r>
      <w:r w:rsidR="004B4C8B" w:rsidRPr="0091032B">
        <w:t xml:space="preserve">pasi </w:t>
      </w:r>
      <w:r w:rsidR="00354CB1" w:rsidRPr="0091032B">
        <w:t xml:space="preserve">afati 2-vjeçar sipas </w:t>
      </w:r>
      <w:r w:rsidR="004B4C8B" w:rsidRPr="0091032B">
        <w:t>neni</w:t>
      </w:r>
      <w:r w:rsidR="00354CB1" w:rsidRPr="0091032B">
        <w:t>t</w:t>
      </w:r>
      <w:r w:rsidR="004B4C8B" w:rsidRPr="0091032B">
        <w:t xml:space="preserve"> 399/2 </w:t>
      </w:r>
      <w:r w:rsidR="00354CB1" w:rsidRPr="0091032B">
        <w:t>të</w:t>
      </w:r>
      <w:r w:rsidR="004B4C8B" w:rsidRPr="0091032B">
        <w:t xml:space="preserve"> KPC-së për shqyrtimin e çështjes në </w:t>
      </w:r>
      <w:r w:rsidR="00354CB1" w:rsidRPr="0091032B">
        <w:t xml:space="preserve">Gjykatën e Lartë </w:t>
      </w:r>
      <w:r w:rsidR="004B4C8B" w:rsidRPr="0091032B">
        <w:t xml:space="preserve">është </w:t>
      </w:r>
      <w:r w:rsidR="00354CB1" w:rsidRPr="0091032B">
        <w:t>tej</w:t>
      </w:r>
      <w:r w:rsidR="004B4C8B" w:rsidRPr="0091032B">
        <w:t xml:space="preserve">kaluar me </w:t>
      </w:r>
      <w:r w:rsidR="00630BB5" w:rsidRPr="0091032B">
        <w:t>pes</w:t>
      </w:r>
      <w:r w:rsidR="00A676DF" w:rsidRPr="0091032B">
        <w:t>ë</w:t>
      </w:r>
      <w:r w:rsidR="00630BB5" w:rsidRPr="0091032B">
        <w:t xml:space="preserve"> vjet</w:t>
      </w:r>
      <w:r w:rsidR="004B4C8B" w:rsidRPr="0091032B">
        <w:t>.</w:t>
      </w:r>
      <w:r w:rsidR="00A86F8E" w:rsidRPr="0091032B">
        <w:t xml:space="preserve"> </w:t>
      </w:r>
      <w:r w:rsidR="004B4C8B" w:rsidRPr="0091032B">
        <w:t>Në lidhje me sjelljen e kërkueses, qëndrimi i saj ka qenë në favor të përshpejtimit, duke qenë aktive</w:t>
      </w:r>
      <w:r w:rsidR="0043118B">
        <w:t>, si</w:t>
      </w:r>
      <w:r w:rsidR="004B4C8B" w:rsidRPr="0091032B">
        <w:t xml:space="preserve"> dhe nuk ka ndikuar asnjë nga rrethanat e parashikuara nga neni 399/2 </w:t>
      </w:r>
      <w:r w:rsidR="004B4C8B" w:rsidRPr="0091032B">
        <w:lastRenderedPageBreak/>
        <w:t xml:space="preserve">i KPC-së. Reforma në drejtësi ose procesi i rivlerësimit kalimtar nuk përbën shkak justifikues për tejkalimin e afateve. Gjykata e Lartë </w:t>
      </w:r>
      <w:r w:rsidR="00A86F8E" w:rsidRPr="0091032B">
        <w:t xml:space="preserve">ka </w:t>
      </w:r>
      <w:r w:rsidR="004B4C8B" w:rsidRPr="0091032B">
        <w:t>dësht</w:t>
      </w:r>
      <w:r w:rsidR="00A86F8E" w:rsidRPr="0091032B">
        <w:t xml:space="preserve">uar </w:t>
      </w:r>
      <w:r w:rsidR="004B4C8B" w:rsidRPr="0091032B">
        <w:t xml:space="preserve">të japë drejtësi dhe nuk </w:t>
      </w:r>
      <w:r w:rsidR="00A86F8E" w:rsidRPr="0091032B">
        <w:t xml:space="preserve">ka </w:t>
      </w:r>
      <w:r w:rsidR="004B4C8B" w:rsidRPr="0091032B">
        <w:t>parashtr</w:t>
      </w:r>
      <w:r w:rsidR="00A86F8E" w:rsidRPr="0091032B">
        <w:t xml:space="preserve">uar </w:t>
      </w:r>
      <w:r w:rsidR="004B4C8B" w:rsidRPr="0091032B">
        <w:t xml:space="preserve">asnjë fakt, provë ose precedent për vonesën në shqyrtimin e rekursit dhe për zbatimin e nenit 399/4 të KPC-së për shpërblimin e drejtë. </w:t>
      </w:r>
      <w:r w:rsidR="00354CB1" w:rsidRPr="0091032B">
        <w:t>K</w:t>
      </w:r>
      <w:r w:rsidR="004B4C8B" w:rsidRPr="0091032B">
        <w:t>ohëzgjatja e procedurave rrezikon interesat e kërkueses, pasi ortaku i vetëm</w:t>
      </w:r>
      <w:r w:rsidR="00354CB1" w:rsidRPr="0091032B">
        <w:t xml:space="preserve"> dhe a</w:t>
      </w:r>
      <w:r w:rsidR="004B4C8B" w:rsidRPr="0091032B">
        <w:t>dministratori i saj</w:t>
      </w:r>
      <w:r w:rsidR="00A86F8E" w:rsidRPr="0091032B">
        <w:t xml:space="preserve"> </w:t>
      </w:r>
      <w:r w:rsidR="004B4C8B" w:rsidRPr="0091032B">
        <w:t xml:space="preserve">Alban Ruli ishte nën masën e sigurimit “Arresti në shtëpi”, si i dyshuar për kryerjen e veprave penale të parashikuara nga nenet 248 dhe 320 të </w:t>
      </w:r>
      <w:r w:rsidR="0091032B" w:rsidRPr="0091032B">
        <w:t>Kodit Penal</w:t>
      </w:r>
      <w:r w:rsidR="004B4C8B" w:rsidRPr="0091032B">
        <w:t>. Me urdhër të ministrit të Drejtësisë atij iu pezullua përkohësisht edhe certifikata e ushtrimit të veprimtarisë përmbarimore</w:t>
      </w:r>
      <w:r w:rsidR="00A86F8E" w:rsidRPr="0091032B">
        <w:t xml:space="preserve">, masë që aktualisht </w:t>
      </w:r>
      <w:r w:rsidR="004B4C8B" w:rsidRPr="0091032B">
        <w:t>është hequr</w:t>
      </w:r>
      <w:r w:rsidR="00A86F8E" w:rsidRPr="0091032B">
        <w:t>. M</w:t>
      </w:r>
      <w:r w:rsidR="004B4C8B" w:rsidRPr="0091032B">
        <w:t xml:space="preserve">e vendimin e datës 29.02.2024 të Gjykatës së Apelit të Juridiksionit të Përgjithshëm, ai është deklaruar i pafajshëm për veprat penale për të cilat akuzohej, </w:t>
      </w:r>
      <w:r w:rsidR="00354CB1" w:rsidRPr="0091032B">
        <w:t xml:space="preserve">ndaj </w:t>
      </w:r>
      <w:r w:rsidR="004B4C8B" w:rsidRPr="0091032B">
        <w:t xml:space="preserve">ka rrethana të reja që duhet të merren parasysh. </w:t>
      </w:r>
      <w:r w:rsidR="00A676DF" w:rsidRPr="0091032B">
        <w:t xml:space="preserve">Administratori </w:t>
      </w:r>
      <w:r w:rsidR="004B4C8B" w:rsidRPr="0091032B">
        <w:t>Alban Ruli është kryefamiljar, me një fëmijë të mitur, m</w:t>
      </w:r>
      <w:r w:rsidR="008D1986" w:rsidRPr="0091032B">
        <w:t>e</w:t>
      </w:r>
      <w:r w:rsidR="004B4C8B" w:rsidRPr="0091032B">
        <w:t xml:space="preserve"> nënën në moshë të thyer që kërkon përkujdesje, ndërkohë që kur ai ka qen</w:t>
      </w:r>
      <w:r w:rsidR="00384A9A" w:rsidRPr="0091032B">
        <w:t>ë</w:t>
      </w:r>
      <w:r w:rsidR="004B4C8B" w:rsidRPr="0091032B">
        <w:t xml:space="preserve"> nën masën e sigurimit e ka pasur të pamundur t`</w:t>
      </w:r>
      <w:r w:rsidR="00DE5F62" w:rsidRPr="0091032B">
        <w:t xml:space="preserve">u </w:t>
      </w:r>
      <w:r w:rsidR="004B4C8B" w:rsidRPr="0091032B">
        <w:t>përgjigjet kërkesave jetësore dhe bazike të familjes dhe biznesit dhe kërkuesja po shkon drejt falimentimit. Për të riparuar sadopak pasojat negative të ardhura duhet të konstatohet shkelja e afatit të arsyeshëm dhe statusi i viktimës ende të parehabilituar. Vendimmarrja e Gjykatës së Lartë ka përkeqësuar pozitën e kërkueses dhe pasojat kanë të bëjnë si me aspektin e veprimtarisë ekonomike t</w:t>
      </w:r>
      <w:r w:rsidR="00384A9A" w:rsidRPr="0091032B">
        <w:t>ë</w:t>
      </w:r>
      <w:r w:rsidR="004B4C8B" w:rsidRPr="0091032B">
        <w:t xml:space="preserve"> saj</w:t>
      </w:r>
      <w:r w:rsidR="00DE5F62" w:rsidRPr="0091032B">
        <w:t>,</w:t>
      </w:r>
      <w:r w:rsidR="004B4C8B" w:rsidRPr="0091032B">
        <w:t xml:space="preserve"> ashtu edhe atë personale/vetjake të ortakut të vetëm.</w:t>
      </w:r>
      <w:r w:rsidR="00396F44" w:rsidRPr="0091032B">
        <w:rPr>
          <w:rFonts w:eastAsia="Times New Roman"/>
        </w:rPr>
        <w:t xml:space="preserve"> </w:t>
      </w:r>
    </w:p>
    <w:p w:rsidR="00A86F8E" w:rsidRPr="0091032B" w:rsidRDefault="00A86F8E" w:rsidP="00A86F8E">
      <w:pPr>
        <w:pStyle w:val="ListParagraph"/>
        <w:numPr>
          <w:ilvl w:val="1"/>
          <w:numId w:val="34"/>
        </w:numPr>
        <w:tabs>
          <w:tab w:val="left" w:pos="990"/>
          <w:tab w:val="left" w:pos="1080"/>
          <w:tab w:val="left" w:pos="1260"/>
        </w:tabs>
        <w:ind w:left="1260" w:hanging="540"/>
        <w:jc w:val="both"/>
      </w:pPr>
      <w:r w:rsidRPr="0091032B">
        <w:t xml:space="preserve">Në çështjen </w:t>
      </w:r>
      <w:r w:rsidR="003A4F20">
        <w:t>“</w:t>
      </w:r>
      <w:r w:rsidR="0047572F" w:rsidRPr="0091032B">
        <w:t xml:space="preserve">ARB </w:t>
      </w:r>
      <w:r w:rsidRPr="0091032B">
        <w:t>sh.p.k. e</w:t>
      </w:r>
      <w:r w:rsidR="003A4F20">
        <w:t xml:space="preserve"> </w:t>
      </w:r>
      <w:r w:rsidRPr="0091032B">
        <w:t>t</w:t>
      </w:r>
      <w:r w:rsidR="003A4F20">
        <w:t>ë tjerë</w:t>
      </w:r>
      <w:r w:rsidRPr="0091032B">
        <w:t xml:space="preserve"> kundër Shqipërisë</w:t>
      </w:r>
      <w:r w:rsidR="003A4F20">
        <w:t>”</w:t>
      </w:r>
      <w:r w:rsidR="00DE5F62" w:rsidRPr="0091032B">
        <w:t>,</w:t>
      </w:r>
      <w:r w:rsidRPr="0091032B">
        <w:t xml:space="preserve"> GJEDNJ-ja, m</w:t>
      </w:r>
      <w:r w:rsidR="004B4C8B" w:rsidRPr="0091032B">
        <w:t>e vendimin e datës 27.05.2025</w:t>
      </w:r>
      <w:r w:rsidRPr="0091032B">
        <w:t>,</w:t>
      </w:r>
      <w:r w:rsidR="004B4C8B" w:rsidRPr="0091032B">
        <w:t xml:space="preserve"> ka gjetur shkelje </w:t>
      </w:r>
      <w:r w:rsidR="00354CB1" w:rsidRPr="0091032B">
        <w:t>t</w:t>
      </w:r>
      <w:r w:rsidR="004B4C8B" w:rsidRPr="0091032B">
        <w:t>ë afatit të arsyeshëm</w:t>
      </w:r>
      <w:r w:rsidR="00DE5F62" w:rsidRPr="0091032B">
        <w:t>,</w:t>
      </w:r>
      <w:r w:rsidRPr="0091032B">
        <w:t xml:space="preserve"> ndaj </w:t>
      </w:r>
      <w:r w:rsidR="00995E3D" w:rsidRPr="0091032B">
        <w:t xml:space="preserve">Gjykata </w:t>
      </w:r>
      <w:r w:rsidR="004B4C8B" w:rsidRPr="0091032B">
        <w:t>është e detyruar t</w:t>
      </w:r>
      <w:r w:rsidRPr="0091032B">
        <w:t>a</w:t>
      </w:r>
      <w:r w:rsidR="004B4C8B" w:rsidRPr="0091032B">
        <w:t xml:space="preserve"> marrë </w:t>
      </w:r>
      <w:r w:rsidRPr="0091032B">
        <w:t xml:space="preserve">atë </w:t>
      </w:r>
      <w:r w:rsidR="00995E3D" w:rsidRPr="0091032B">
        <w:t xml:space="preserve">vendim </w:t>
      </w:r>
      <w:r w:rsidR="004B4C8B" w:rsidRPr="0091032B">
        <w:t xml:space="preserve">në konsideratë </w:t>
      </w:r>
      <w:r w:rsidRPr="0091032B">
        <w:t>n</w:t>
      </w:r>
      <w:r w:rsidR="004B4C8B" w:rsidRPr="0091032B">
        <w:t>ë tërësi dhe paragrafët 109-111, 115, 118 e 124 t</w:t>
      </w:r>
      <w:r w:rsidR="00384A9A" w:rsidRPr="0091032B">
        <w:t>ë</w:t>
      </w:r>
      <w:r w:rsidR="004B4C8B" w:rsidRPr="0091032B">
        <w:t xml:space="preserve"> tij</w:t>
      </w:r>
      <w:r w:rsidRPr="0091032B">
        <w:t xml:space="preserve"> në veçanti</w:t>
      </w:r>
      <w:r w:rsidR="00995E3D" w:rsidRPr="0091032B">
        <w:t xml:space="preserve"> dhe </w:t>
      </w:r>
      <w:r w:rsidR="00396F44" w:rsidRPr="0091032B">
        <w:rPr>
          <w:rFonts w:eastAsia="Times New Roman"/>
        </w:rPr>
        <w:t>pas shfuqizimit të vendimit të Gjykatës së Lartë duhet të rehabilitojë statusin e kërkueses si “viktimë”</w:t>
      </w:r>
      <w:r w:rsidR="00995E3D" w:rsidRPr="0091032B">
        <w:rPr>
          <w:rFonts w:eastAsia="Times New Roman"/>
        </w:rPr>
        <w:t xml:space="preserve"> e</w:t>
      </w:r>
      <w:r w:rsidR="00396F44" w:rsidRPr="0091032B">
        <w:rPr>
          <w:rFonts w:eastAsia="Times New Roman"/>
        </w:rPr>
        <w:t xml:space="preserve"> t</w:t>
      </w:r>
      <w:r w:rsidR="00F63F94">
        <w:rPr>
          <w:rFonts w:eastAsia="Times New Roman"/>
        </w:rPr>
        <w:t>’</w:t>
      </w:r>
      <w:r w:rsidR="00396F44" w:rsidRPr="0091032B">
        <w:rPr>
          <w:rFonts w:eastAsia="Times New Roman"/>
        </w:rPr>
        <w:t xml:space="preserve">i akordojë </w:t>
      </w:r>
      <w:r w:rsidR="00995E3D" w:rsidRPr="0091032B">
        <w:rPr>
          <w:rFonts w:eastAsia="Times New Roman"/>
        </w:rPr>
        <w:t xml:space="preserve">asaj </w:t>
      </w:r>
      <w:r w:rsidR="00396F44" w:rsidRPr="0091032B">
        <w:rPr>
          <w:rFonts w:eastAsia="Times New Roman"/>
        </w:rPr>
        <w:t>dëmshpërblimin e arsyeshëm.</w:t>
      </w:r>
    </w:p>
    <w:p w:rsidR="00A86F8E" w:rsidRPr="0091032B" w:rsidRDefault="00E6464D" w:rsidP="00A86F8E">
      <w:pPr>
        <w:tabs>
          <w:tab w:val="left" w:pos="990"/>
          <w:tab w:val="left" w:pos="1080"/>
          <w:tab w:val="left" w:pos="1260"/>
        </w:tabs>
        <w:ind w:left="720"/>
        <w:jc w:val="both"/>
        <w:rPr>
          <w:i/>
        </w:rPr>
      </w:pPr>
      <w:r w:rsidRPr="0091032B">
        <w:rPr>
          <w:i/>
        </w:rPr>
        <w:t>ii</w:t>
      </w:r>
      <w:r w:rsidR="00A86F8E" w:rsidRPr="0091032B">
        <w:rPr>
          <w:i/>
        </w:rPr>
        <w:t>)</w:t>
      </w:r>
      <w:r w:rsidR="00A86F8E" w:rsidRPr="0091032B">
        <w:rPr>
          <w:b/>
          <w:i/>
        </w:rPr>
        <w:t xml:space="preserve"> </w:t>
      </w:r>
      <w:r w:rsidR="0071191D" w:rsidRPr="0091032B">
        <w:rPr>
          <w:i/>
        </w:rPr>
        <w:t>P</w:t>
      </w:r>
      <w:r w:rsidR="00A86F8E" w:rsidRPr="0091032B">
        <w:rPr>
          <w:i/>
        </w:rPr>
        <w:t>ë</w:t>
      </w:r>
      <w:r w:rsidR="0071191D" w:rsidRPr="0091032B">
        <w:rPr>
          <w:i/>
        </w:rPr>
        <w:t xml:space="preserve">r </w:t>
      </w:r>
      <w:r w:rsidR="003A4F20">
        <w:rPr>
          <w:i/>
        </w:rPr>
        <w:t xml:space="preserve">kërkimin për </w:t>
      </w:r>
      <w:r w:rsidR="0071191D" w:rsidRPr="0091032B">
        <w:rPr>
          <w:i/>
        </w:rPr>
        <w:t>themeli</w:t>
      </w:r>
      <w:r w:rsidR="003A4F20">
        <w:rPr>
          <w:i/>
        </w:rPr>
        <w:t>n e</w:t>
      </w:r>
      <w:r w:rsidRPr="0091032B">
        <w:rPr>
          <w:i/>
        </w:rPr>
        <w:t xml:space="preserve"> çështjes</w:t>
      </w:r>
      <w:r w:rsidR="00A86F8E" w:rsidRPr="0091032B">
        <w:rPr>
          <w:i/>
        </w:rPr>
        <w:t>:</w:t>
      </w:r>
      <w:r w:rsidR="0071191D" w:rsidRPr="0091032B">
        <w:rPr>
          <w:i/>
        </w:rPr>
        <w:t xml:space="preserve"> </w:t>
      </w:r>
    </w:p>
    <w:p w:rsidR="00A86F8E" w:rsidRPr="0091032B" w:rsidRDefault="00A676DF" w:rsidP="00A86F8E">
      <w:pPr>
        <w:pStyle w:val="ListParagraph"/>
        <w:numPr>
          <w:ilvl w:val="1"/>
          <w:numId w:val="34"/>
        </w:numPr>
        <w:tabs>
          <w:tab w:val="left" w:pos="990"/>
          <w:tab w:val="left" w:pos="1080"/>
          <w:tab w:val="left" w:pos="1260"/>
        </w:tabs>
        <w:ind w:left="1260" w:hanging="540"/>
        <w:jc w:val="both"/>
      </w:pPr>
      <w:r w:rsidRPr="0091032B">
        <w:rPr>
          <w:rFonts w:eastAsia="Times New Roman"/>
          <w:i/>
          <w:iCs/>
          <w:shd w:val="clear" w:color="auto" w:fill="FFFFFF"/>
        </w:rPr>
        <w:t>Është cenuar e</w:t>
      </w:r>
      <w:r w:rsidR="00A86F8E" w:rsidRPr="0091032B">
        <w:rPr>
          <w:rFonts w:eastAsia="Times New Roman"/>
          <w:i/>
          <w:iCs/>
          <w:shd w:val="clear" w:color="auto" w:fill="FFFFFF"/>
        </w:rPr>
        <w:t xml:space="preserve"> drejta për proces të rregullt në drejtim të: </w:t>
      </w:r>
    </w:p>
    <w:p w:rsidR="000B31DF" w:rsidRPr="0091032B" w:rsidRDefault="0071191D" w:rsidP="000B31DF">
      <w:pPr>
        <w:pStyle w:val="ListParagraph"/>
        <w:numPr>
          <w:ilvl w:val="2"/>
          <w:numId w:val="34"/>
        </w:numPr>
        <w:tabs>
          <w:tab w:val="left" w:pos="990"/>
          <w:tab w:val="left" w:pos="1080"/>
          <w:tab w:val="left" w:pos="1260"/>
        </w:tabs>
        <w:ind w:left="1620"/>
        <w:jc w:val="both"/>
      </w:pPr>
      <w:r w:rsidRPr="0091032B">
        <w:rPr>
          <w:rFonts w:eastAsia="Times New Roman"/>
          <w:i/>
          <w:iCs/>
          <w:shd w:val="clear" w:color="auto" w:fill="FFFFFF"/>
        </w:rPr>
        <w:t>Së drejtës së aksesit</w:t>
      </w:r>
      <w:r w:rsidR="000B31DF" w:rsidRPr="0091032B">
        <w:rPr>
          <w:rFonts w:eastAsia="Times New Roman"/>
          <w:i/>
          <w:iCs/>
          <w:shd w:val="clear" w:color="auto" w:fill="FFFFFF"/>
        </w:rPr>
        <w:t xml:space="preserve"> dhe standardit të arsyetimit të vendimit</w:t>
      </w:r>
      <w:r w:rsidRPr="0091032B">
        <w:rPr>
          <w:rFonts w:eastAsia="Times New Roman"/>
          <w:i/>
          <w:iCs/>
          <w:shd w:val="clear" w:color="auto" w:fill="FFFFFF"/>
        </w:rPr>
        <w:t>,</w:t>
      </w:r>
      <w:r w:rsidRPr="0091032B">
        <w:rPr>
          <w:rFonts w:eastAsia="Times New Roman"/>
          <w:iCs/>
          <w:shd w:val="clear" w:color="auto" w:fill="FFFFFF"/>
        </w:rPr>
        <w:t xml:space="preserve"> pasi Gjykata e Lartë ka refuzuar të pranojë rekursin dhe shtesat e </w:t>
      </w:r>
      <w:r w:rsidR="00354CB1" w:rsidRPr="0091032B">
        <w:rPr>
          <w:rFonts w:eastAsia="Times New Roman"/>
          <w:iCs/>
          <w:shd w:val="clear" w:color="auto" w:fill="FFFFFF"/>
        </w:rPr>
        <w:t xml:space="preserve">tij, </w:t>
      </w:r>
      <w:r w:rsidR="00396F44" w:rsidRPr="0091032B">
        <w:rPr>
          <w:rFonts w:eastAsia="Times New Roman"/>
          <w:iCs/>
          <w:shd w:val="clear" w:color="auto" w:fill="FFFFFF"/>
        </w:rPr>
        <w:t>duke u</w:t>
      </w:r>
      <w:r w:rsidRPr="0091032B">
        <w:rPr>
          <w:rFonts w:eastAsia="Times New Roman"/>
          <w:iCs/>
          <w:shd w:val="clear" w:color="auto" w:fill="FFFFFF"/>
        </w:rPr>
        <w:t xml:space="preserve"> mbështetur </w:t>
      </w:r>
      <w:r w:rsidR="00995E3D" w:rsidRPr="0091032B">
        <w:rPr>
          <w:rFonts w:eastAsia="Times New Roman"/>
          <w:iCs/>
          <w:shd w:val="clear" w:color="auto" w:fill="FFFFFF"/>
        </w:rPr>
        <w:t xml:space="preserve">vetëm </w:t>
      </w:r>
      <w:r w:rsidRPr="0091032B">
        <w:rPr>
          <w:rFonts w:eastAsia="Times New Roman"/>
          <w:iCs/>
          <w:shd w:val="clear" w:color="auto" w:fill="FFFFFF"/>
        </w:rPr>
        <w:t xml:space="preserve">në shkaqe procedurale </w:t>
      </w:r>
      <w:r w:rsidR="00396F44" w:rsidRPr="0091032B">
        <w:rPr>
          <w:rFonts w:eastAsia="Times New Roman"/>
          <w:iCs/>
          <w:shd w:val="clear" w:color="auto" w:fill="FFFFFF"/>
        </w:rPr>
        <w:t xml:space="preserve">dhe </w:t>
      </w:r>
      <w:r w:rsidRPr="0091032B">
        <w:rPr>
          <w:rFonts w:eastAsia="Times New Roman"/>
          <w:iCs/>
          <w:shd w:val="clear" w:color="auto" w:fill="FFFFFF"/>
        </w:rPr>
        <w:t>duke shmangur shqyrtimin material të pretendimeve</w:t>
      </w:r>
      <w:r w:rsidR="00396F44" w:rsidRPr="0091032B">
        <w:rPr>
          <w:rFonts w:eastAsia="Times New Roman"/>
          <w:iCs/>
          <w:shd w:val="clear" w:color="auto" w:fill="FFFFFF"/>
        </w:rPr>
        <w:t xml:space="preserve"> të </w:t>
      </w:r>
      <w:r w:rsidR="00396F44" w:rsidRPr="0091032B">
        <w:rPr>
          <w:rFonts w:eastAsia="Times New Roman"/>
          <w:iCs/>
          <w:shd w:val="clear" w:color="auto" w:fill="FFFFFF"/>
        </w:rPr>
        <w:lastRenderedPageBreak/>
        <w:t>kërkueses</w:t>
      </w:r>
      <w:r w:rsidR="00354CB1" w:rsidRPr="0091032B">
        <w:rPr>
          <w:rFonts w:eastAsia="Times New Roman"/>
          <w:iCs/>
          <w:shd w:val="clear" w:color="auto" w:fill="FFFFFF"/>
        </w:rPr>
        <w:t>, për rrjedhojë</w:t>
      </w:r>
      <w:r w:rsidR="00B86BFB" w:rsidRPr="0091032B">
        <w:rPr>
          <w:rFonts w:eastAsia="Times New Roman"/>
          <w:iCs/>
          <w:shd w:val="clear" w:color="auto" w:fill="FFFFFF"/>
        </w:rPr>
        <w:t xml:space="preserve"> </w:t>
      </w:r>
      <w:r w:rsidR="000B31DF" w:rsidRPr="0091032B">
        <w:rPr>
          <w:rFonts w:eastAsia="Times New Roman"/>
          <w:iCs/>
          <w:shd w:val="clear" w:color="auto" w:fill="FFFFFF"/>
        </w:rPr>
        <w:t>nuk u ka</w:t>
      </w:r>
      <w:r w:rsidR="00995E3D" w:rsidRPr="0091032B">
        <w:rPr>
          <w:rFonts w:eastAsia="Times New Roman"/>
          <w:iCs/>
          <w:shd w:val="clear" w:color="auto" w:fill="FFFFFF"/>
        </w:rPr>
        <w:t xml:space="preserve"> dhënë </w:t>
      </w:r>
      <w:r w:rsidR="00F1699A" w:rsidRPr="0091032B">
        <w:rPr>
          <w:rFonts w:eastAsia="Times New Roman"/>
          <w:iCs/>
          <w:shd w:val="clear" w:color="auto" w:fill="FFFFFF"/>
        </w:rPr>
        <w:t>përgjigje</w:t>
      </w:r>
      <w:r w:rsidR="000B31DF" w:rsidRPr="0091032B">
        <w:rPr>
          <w:rFonts w:eastAsia="Times New Roman"/>
          <w:iCs/>
          <w:shd w:val="clear" w:color="auto" w:fill="FFFFFF"/>
        </w:rPr>
        <w:t xml:space="preserve"> të arsyetuar</w:t>
      </w:r>
      <w:r w:rsidR="00DE5F62" w:rsidRPr="0091032B">
        <w:rPr>
          <w:rFonts w:eastAsia="Times New Roman"/>
          <w:iCs/>
          <w:shd w:val="clear" w:color="auto" w:fill="FFFFFF"/>
        </w:rPr>
        <w:t>a</w:t>
      </w:r>
      <w:r w:rsidR="000B31DF" w:rsidRPr="0091032B">
        <w:rPr>
          <w:rFonts w:eastAsia="Times New Roman"/>
          <w:iCs/>
          <w:shd w:val="clear" w:color="auto" w:fill="FFFFFF"/>
        </w:rPr>
        <w:t xml:space="preserve"> pretendimeve me natyrë kushtetuese. </w:t>
      </w:r>
      <w:r w:rsidR="00995E3D" w:rsidRPr="0091032B">
        <w:rPr>
          <w:rFonts w:eastAsia="Times New Roman"/>
          <w:iCs/>
          <w:shd w:val="clear" w:color="auto" w:fill="FFFFFF"/>
        </w:rPr>
        <w:t xml:space="preserve">Edhe pse </w:t>
      </w:r>
      <w:r w:rsidR="00B86BFB" w:rsidRPr="0091032B">
        <w:rPr>
          <w:rFonts w:eastAsia="Times New Roman"/>
          <w:iCs/>
          <w:shd w:val="clear" w:color="auto" w:fill="FFFFFF"/>
        </w:rPr>
        <w:t>është</w:t>
      </w:r>
      <w:r w:rsidR="00995E3D" w:rsidRPr="0091032B">
        <w:rPr>
          <w:rFonts w:eastAsia="Times New Roman"/>
          <w:iCs/>
          <w:shd w:val="clear" w:color="auto" w:fill="FFFFFF"/>
        </w:rPr>
        <w:t xml:space="preserve"> provuar</w:t>
      </w:r>
      <w:r w:rsidR="00F1699A" w:rsidRPr="0091032B">
        <w:rPr>
          <w:rFonts w:eastAsia="Times New Roman"/>
          <w:iCs/>
          <w:shd w:val="clear" w:color="auto" w:fill="FFFFFF"/>
        </w:rPr>
        <w:t xml:space="preserve"> lidhj</w:t>
      </w:r>
      <w:r w:rsidR="00B86BFB" w:rsidRPr="0091032B">
        <w:rPr>
          <w:rFonts w:eastAsia="Times New Roman"/>
          <w:iCs/>
          <w:shd w:val="clear" w:color="auto" w:fill="FFFFFF"/>
        </w:rPr>
        <w:t>a</w:t>
      </w:r>
      <w:r w:rsidR="00F1699A" w:rsidRPr="0091032B">
        <w:rPr>
          <w:rFonts w:eastAsia="Times New Roman"/>
          <w:iCs/>
          <w:shd w:val="clear" w:color="auto" w:fill="FFFFFF"/>
        </w:rPr>
        <w:t xml:space="preserve"> shkakësor</w:t>
      </w:r>
      <w:r w:rsidR="00995E3D" w:rsidRPr="0091032B">
        <w:rPr>
          <w:rFonts w:eastAsia="Times New Roman"/>
          <w:iCs/>
          <w:shd w:val="clear" w:color="auto" w:fill="FFFFFF"/>
        </w:rPr>
        <w:t xml:space="preserve">e, </w:t>
      </w:r>
      <w:r w:rsidR="00B86BFB" w:rsidRPr="0091032B">
        <w:rPr>
          <w:rFonts w:eastAsia="Times New Roman"/>
          <w:iCs/>
          <w:shd w:val="clear" w:color="auto" w:fill="FFFFFF"/>
        </w:rPr>
        <w:t>e</w:t>
      </w:r>
      <w:r w:rsidR="00995E3D" w:rsidRPr="0091032B">
        <w:rPr>
          <w:rFonts w:eastAsia="Times New Roman"/>
          <w:iCs/>
          <w:shd w:val="clear" w:color="auto" w:fill="FFFFFF"/>
        </w:rPr>
        <w:t xml:space="preserve"> drejtpërdrejtë dhe </w:t>
      </w:r>
      <w:r w:rsidR="00B86BFB" w:rsidRPr="0091032B">
        <w:rPr>
          <w:rFonts w:eastAsia="Times New Roman"/>
          <w:iCs/>
          <w:shd w:val="clear" w:color="auto" w:fill="FFFFFF"/>
        </w:rPr>
        <w:t>e</w:t>
      </w:r>
      <w:r w:rsidR="00995E3D" w:rsidRPr="0091032B">
        <w:rPr>
          <w:rFonts w:eastAsia="Times New Roman"/>
          <w:iCs/>
          <w:shd w:val="clear" w:color="auto" w:fill="FFFFFF"/>
        </w:rPr>
        <w:t xml:space="preserve"> menjëhershme</w:t>
      </w:r>
      <w:r w:rsidR="00F1699A" w:rsidRPr="0091032B">
        <w:rPr>
          <w:rFonts w:eastAsia="Times New Roman"/>
          <w:iCs/>
          <w:shd w:val="clear" w:color="auto" w:fill="FFFFFF"/>
        </w:rPr>
        <w:t xml:space="preserve"> midis sjel</w:t>
      </w:r>
      <w:r w:rsidR="00995E3D" w:rsidRPr="0091032B">
        <w:rPr>
          <w:rFonts w:eastAsia="Times New Roman"/>
          <w:iCs/>
          <w:shd w:val="clear" w:color="auto" w:fill="FFFFFF"/>
        </w:rPr>
        <w:t>l</w:t>
      </w:r>
      <w:r w:rsidR="00F1699A" w:rsidRPr="0091032B">
        <w:rPr>
          <w:rFonts w:eastAsia="Times New Roman"/>
          <w:iCs/>
          <w:shd w:val="clear" w:color="auto" w:fill="FFFFFF"/>
        </w:rPr>
        <w:t xml:space="preserve">jes </w:t>
      </w:r>
      <w:r w:rsidR="00995E3D" w:rsidRPr="0091032B">
        <w:rPr>
          <w:rFonts w:eastAsia="Times New Roman"/>
          <w:iCs/>
          <w:shd w:val="clear" w:color="auto" w:fill="FFFFFF"/>
        </w:rPr>
        <w:t xml:space="preserve">së </w:t>
      </w:r>
      <w:r w:rsidR="00F1699A" w:rsidRPr="0091032B">
        <w:rPr>
          <w:rFonts w:eastAsia="Times New Roman"/>
          <w:iCs/>
          <w:shd w:val="clear" w:color="auto" w:fill="FFFFFF"/>
        </w:rPr>
        <w:t xml:space="preserve">kundërligjshme </w:t>
      </w:r>
      <w:r w:rsidR="00995E3D" w:rsidRPr="0091032B">
        <w:rPr>
          <w:rFonts w:eastAsia="Times New Roman"/>
          <w:iCs/>
          <w:shd w:val="clear" w:color="auto" w:fill="FFFFFF"/>
        </w:rPr>
        <w:t xml:space="preserve">të palës së paditur </w:t>
      </w:r>
      <w:r w:rsidR="00847BEB">
        <w:rPr>
          <w:rFonts w:eastAsia="Times New Roman"/>
          <w:iCs/>
          <w:shd w:val="clear" w:color="auto" w:fill="FFFFFF"/>
        </w:rPr>
        <w:t xml:space="preserve">në proces </w:t>
      </w:r>
      <w:r w:rsidR="00F1699A" w:rsidRPr="0091032B">
        <w:rPr>
          <w:rFonts w:eastAsia="Times New Roman"/>
          <w:iCs/>
          <w:shd w:val="clear" w:color="auto" w:fill="FFFFFF"/>
        </w:rPr>
        <w:t>dh</w:t>
      </w:r>
      <w:r w:rsidR="00995E3D" w:rsidRPr="0091032B">
        <w:rPr>
          <w:rFonts w:eastAsia="Times New Roman"/>
          <w:iCs/>
          <w:shd w:val="clear" w:color="auto" w:fill="FFFFFF"/>
        </w:rPr>
        <w:t>e</w:t>
      </w:r>
      <w:r w:rsidR="00F1699A" w:rsidRPr="0091032B">
        <w:rPr>
          <w:rFonts w:eastAsia="Times New Roman"/>
          <w:iCs/>
          <w:shd w:val="clear" w:color="auto" w:fill="FFFFFF"/>
        </w:rPr>
        <w:t xml:space="preserve"> dëmit të shka</w:t>
      </w:r>
      <w:r w:rsidR="00995E3D" w:rsidRPr="0091032B">
        <w:rPr>
          <w:rFonts w:eastAsia="Times New Roman"/>
          <w:iCs/>
          <w:shd w:val="clear" w:color="auto" w:fill="FFFFFF"/>
        </w:rPr>
        <w:t xml:space="preserve">ktuar, </w:t>
      </w:r>
      <w:r w:rsidR="00354CB1" w:rsidRPr="0091032B">
        <w:rPr>
          <w:rFonts w:eastAsia="Times New Roman"/>
          <w:iCs/>
          <w:shd w:val="clear" w:color="auto" w:fill="FFFFFF"/>
        </w:rPr>
        <w:t>ajo g</w:t>
      </w:r>
      <w:r w:rsidR="00F1699A" w:rsidRPr="0091032B">
        <w:rPr>
          <w:rFonts w:eastAsia="Times New Roman"/>
          <w:iCs/>
          <w:shd w:val="clear" w:color="auto" w:fill="FFFFFF"/>
        </w:rPr>
        <w:t>jykat</w:t>
      </w:r>
      <w:r w:rsidR="00354CB1" w:rsidRPr="0091032B">
        <w:rPr>
          <w:rFonts w:eastAsia="Times New Roman"/>
          <w:iCs/>
          <w:shd w:val="clear" w:color="auto" w:fill="FFFFFF"/>
        </w:rPr>
        <w:t>ë</w:t>
      </w:r>
      <w:r w:rsidR="00F1699A" w:rsidRPr="0091032B">
        <w:rPr>
          <w:rFonts w:eastAsia="Times New Roman"/>
          <w:iCs/>
          <w:shd w:val="clear" w:color="auto" w:fill="FFFFFF"/>
        </w:rPr>
        <w:t xml:space="preserve"> nuk </w:t>
      </w:r>
      <w:r w:rsidR="00995E3D" w:rsidRPr="0091032B">
        <w:rPr>
          <w:rFonts w:eastAsia="Times New Roman"/>
          <w:iCs/>
          <w:shd w:val="clear" w:color="auto" w:fill="FFFFFF"/>
        </w:rPr>
        <w:t xml:space="preserve">ka </w:t>
      </w:r>
      <w:r w:rsidR="00F1699A" w:rsidRPr="0091032B">
        <w:rPr>
          <w:rFonts w:eastAsia="Times New Roman"/>
          <w:iCs/>
          <w:shd w:val="clear" w:color="auto" w:fill="FFFFFF"/>
        </w:rPr>
        <w:t>zba</w:t>
      </w:r>
      <w:r w:rsidR="00995E3D" w:rsidRPr="0091032B">
        <w:rPr>
          <w:rFonts w:eastAsia="Times New Roman"/>
          <w:iCs/>
          <w:shd w:val="clear" w:color="auto" w:fill="FFFFFF"/>
        </w:rPr>
        <w:t xml:space="preserve">tuar </w:t>
      </w:r>
      <w:r w:rsidR="00F1699A" w:rsidRPr="0091032B">
        <w:rPr>
          <w:rFonts w:eastAsia="Times New Roman"/>
          <w:iCs/>
          <w:shd w:val="clear" w:color="auto" w:fill="FFFFFF"/>
        </w:rPr>
        <w:t xml:space="preserve">dispozitat </w:t>
      </w:r>
      <w:r w:rsidR="00354CB1" w:rsidRPr="0091032B">
        <w:rPr>
          <w:rFonts w:eastAsia="Times New Roman"/>
          <w:iCs/>
          <w:shd w:val="clear" w:color="auto" w:fill="FFFFFF"/>
        </w:rPr>
        <w:t>e</w:t>
      </w:r>
      <w:r w:rsidR="00F1699A" w:rsidRPr="0091032B">
        <w:rPr>
          <w:rFonts w:eastAsia="Times New Roman"/>
          <w:iCs/>
          <w:shd w:val="clear" w:color="auto" w:fill="FFFFFF"/>
        </w:rPr>
        <w:t xml:space="preserve"> Kodit Civil</w:t>
      </w:r>
      <w:r w:rsidR="0091032B" w:rsidRPr="0091032B">
        <w:rPr>
          <w:rFonts w:eastAsia="Times New Roman"/>
          <w:iCs/>
          <w:shd w:val="clear" w:color="auto" w:fill="FFFFFF"/>
        </w:rPr>
        <w:t xml:space="preserve"> (</w:t>
      </w:r>
      <w:r w:rsidR="0091032B" w:rsidRPr="0091032B">
        <w:rPr>
          <w:rFonts w:eastAsia="Times New Roman"/>
          <w:i/>
          <w:iCs/>
          <w:shd w:val="clear" w:color="auto" w:fill="FFFFFF"/>
        </w:rPr>
        <w:t>KC</w:t>
      </w:r>
      <w:r w:rsidR="0091032B" w:rsidRPr="0091032B">
        <w:rPr>
          <w:rFonts w:eastAsia="Times New Roman"/>
          <w:iCs/>
          <w:shd w:val="clear" w:color="auto" w:fill="FFFFFF"/>
        </w:rPr>
        <w:t>)</w:t>
      </w:r>
      <w:r w:rsidR="00995E3D" w:rsidRPr="0091032B">
        <w:rPr>
          <w:rFonts w:eastAsia="Times New Roman"/>
          <w:iCs/>
          <w:shd w:val="clear" w:color="auto" w:fill="FFFFFF"/>
        </w:rPr>
        <w:t xml:space="preserve">. Ajo nuk ka marrë në shqyrtim </w:t>
      </w:r>
      <w:r w:rsidR="00F1699A" w:rsidRPr="0091032B">
        <w:rPr>
          <w:rFonts w:eastAsia="Times New Roman"/>
          <w:iCs/>
          <w:shd w:val="clear" w:color="auto" w:fill="FFFFFF"/>
        </w:rPr>
        <w:t>procesi</w:t>
      </w:r>
      <w:r w:rsidR="00995E3D" w:rsidRPr="0091032B">
        <w:rPr>
          <w:rFonts w:eastAsia="Times New Roman"/>
          <w:iCs/>
          <w:shd w:val="clear" w:color="auto" w:fill="FFFFFF"/>
        </w:rPr>
        <w:t xml:space="preserve">n </w:t>
      </w:r>
      <w:r w:rsidR="00F1699A" w:rsidRPr="0091032B">
        <w:rPr>
          <w:rFonts w:eastAsia="Times New Roman"/>
          <w:iCs/>
          <w:shd w:val="clear" w:color="auto" w:fill="FFFFFF"/>
        </w:rPr>
        <w:t>penal të kallëzuar</w:t>
      </w:r>
      <w:r w:rsidR="00995E3D" w:rsidRPr="0091032B">
        <w:rPr>
          <w:rFonts w:eastAsia="Times New Roman"/>
          <w:iCs/>
          <w:shd w:val="clear" w:color="auto" w:fill="FFFFFF"/>
        </w:rPr>
        <w:t>, provat në dosje</w:t>
      </w:r>
      <w:r w:rsidR="00F677CA" w:rsidRPr="0091032B">
        <w:rPr>
          <w:rFonts w:eastAsia="Times New Roman"/>
          <w:iCs/>
          <w:shd w:val="clear" w:color="auto" w:fill="FFFFFF"/>
        </w:rPr>
        <w:t>,</w:t>
      </w:r>
      <w:r w:rsidR="00995E3D" w:rsidRPr="0091032B">
        <w:rPr>
          <w:rFonts w:eastAsia="Times New Roman"/>
          <w:iCs/>
          <w:shd w:val="clear" w:color="auto" w:fill="FFFFFF"/>
        </w:rPr>
        <w:t xml:space="preserve"> përfshirë raportet e ekspertëve që tregojnë humbjet financiare</w:t>
      </w:r>
      <w:r w:rsidR="00F677CA" w:rsidRPr="0091032B">
        <w:rPr>
          <w:rFonts w:eastAsia="Times New Roman"/>
          <w:iCs/>
          <w:shd w:val="clear" w:color="auto" w:fill="FFFFFF"/>
        </w:rPr>
        <w:t xml:space="preserve">, dëm ky </w:t>
      </w:r>
      <w:r w:rsidR="00995E3D" w:rsidRPr="0091032B">
        <w:rPr>
          <w:rFonts w:eastAsia="Times New Roman"/>
          <w:iCs/>
          <w:shd w:val="clear" w:color="auto" w:fill="FFFFFF"/>
        </w:rPr>
        <w:t xml:space="preserve">i </w:t>
      </w:r>
      <w:r w:rsidR="00F677CA" w:rsidRPr="0091032B">
        <w:rPr>
          <w:rFonts w:eastAsia="Times New Roman"/>
          <w:iCs/>
          <w:shd w:val="clear" w:color="auto" w:fill="FFFFFF"/>
        </w:rPr>
        <w:t>sh</w:t>
      </w:r>
      <w:r w:rsidR="00956568" w:rsidRPr="0091032B">
        <w:rPr>
          <w:rFonts w:eastAsia="Times New Roman"/>
          <w:iCs/>
          <w:shd w:val="clear" w:color="auto" w:fill="FFFFFF"/>
        </w:rPr>
        <w:t>ka</w:t>
      </w:r>
      <w:r w:rsidR="00995E3D" w:rsidRPr="0091032B">
        <w:rPr>
          <w:rFonts w:eastAsia="Times New Roman"/>
          <w:iCs/>
          <w:shd w:val="clear" w:color="auto" w:fill="FFFFFF"/>
        </w:rPr>
        <w:t>k</w:t>
      </w:r>
      <w:r w:rsidR="00956568" w:rsidRPr="0091032B">
        <w:rPr>
          <w:rFonts w:eastAsia="Times New Roman"/>
          <w:iCs/>
          <w:shd w:val="clear" w:color="auto" w:fill="FFFFFF"/>
        </w:rPr>
        <w:t>tua</w:t>
      </w:r>
      <w:r w:rsidR="00995E3D" w:rsidRPr="0091032B">
        <w:rPr>
          <w:rFonts w:eastAsia="Times New Roman"/>
          <w:iCs/>
          <w:shd w:val="clear" w:color="auto" w:fill="FFFFFF"/>
        </w:rPr>
        <w:t>r</w:t>
      </w:r>
      <w:r w:rsidR="00956568" w:rsidRPr="0091032B">
        <w:rPr>
          <w:rFonts w:eastAsia="Times New Roman"/>
          <w:iCs/>
          <w:shd w:val="clear" w:color="auto" w:fill="FFFFFF"/>
        </w:rPr>
        <w:t xml:space="preserve"> nga pala e paditur. </w:t>
      </w:r>
      <w:r w:rsidR="00995E3D" w:rsidRPr="0091032B">
        <w:rPr>
          <w:rFonts w:eastAsia="Times New Roman"/>
          <w:iCs/>
          <w:shd w:val="clear" w:color="auto" w:fill="FFFFFF"/>
        </w:rPr>
        <w:t>P</w:t>
      </w:r>
      <w:r w:rsidR="00956568" w:rsidRPr="0091032B">
        <w:rPr>
          <w:rFonts w:eastAsia="Times New Roman"/>
          <w:iCs/>
          <w:shd w:val="clear" w:color="auto" w:fill="FFFFFF"/>
        </w:rPr>
        <w:t xml:space="preserve">ër shkak </w:t>
      </w:r>
      <w:r w:rsidR="00354CB1" w:rsidRPr="0091032B">
        <w:rPr>
          <w:rFonts w:eastAsia="Times New Roman"/>
          <w:iCs/>
          <w:shd w:val="clear" w:color="auto" w:fill="FFFFFF"/>
        </w:rPr>
        <w:t xml:space="preserve">se kërkuesja dështoi të ekzekutojë në kohë urdhrin e ekzekutimit nr. 9031/2012, </w:t>
      </w:r>
      <w:r w:rsidR="00630BB5" w:rsidRPr="0091032B">
        <w:rPr>
          <w:rFonts w:eastAsia="Times New Roman"/>
          <w:iCs/>
          <w:shd w:val="clear" w:color="auto" w:fill="FFFFFF"/>
        </w:rPr>
        <w:t>gjendje/situat</w:t>
      </w:r>
      <w:r w:rsidR="001E6779" w:rsidRPr="0091032B">
        <w:rPr>
          <w:rFonts w:eastAsia="Times New Roman"/>
          <w:iCs/>
          <w:shd w:val="clear" w:color="auto" w:fill="FFFFFF"/>
        </w:rPr>
        <w:t>ë</w:t>
      </w:r>
      <w:r w:rsidR="00630BB5" w:rsidRPr="0091032B">
        <w:rPr>
          <w:rFonts w:eastAsia="Times New Roman"/>
          <w:iCs/>
          <w:shd w:val="clear" w:color="auto" w:fill="FFFFFF"/>
        </w:rPr>
        <w:t xml:space="preserve"> </w:t>
      </w:r>
      <w:r w:rsidR="00354CB1" w:rsidRPr="0091032B">
        <w:rPr>
          <w:rFonts w:eastAsia="Times New Roman"/>
          <w:iCs/>
          <w:shd w:val="clear" w:color="auto" w:fill="FFFFFF"/>
        </w:rPr>
        <w:t>e</w:t>
      </w:r>
      <w:r w:rsidR="00FB7C1B" w:rsidRPr="0091032B">
        <w:rPr>
          <w:rFonts w:eastAsia="Times New Roman"/>
          <w:iCs/>
          <w:shd w:val="clear" w:color="auto" w:fill="FFFFFF"/>
        </w:rPr>
        <w:t xml:space="preserve"> shkaktuar </w:t>
      </w:r>
      <w:r w:rsidR="00354CB1" w:rsidRPr="0091032B">
        <w:rPr>
          <w:rFonts w:eastAsia="Times New Roman"/>
          <w:iCs/>
          <w:shd w:val="clear" w:color="auto" w:fill="FFFFFF"/>
        </w:rPr>
        <w:t xml:space="preserve">kjo </w:t>
      </w:r>
      <w:r w:rsidR="00FB7C1B" w:rsidRPr="0091032B">
        <w:rPr>
          <w:rFonts w:eastAsia="Times New Roman"/>
          <w:iCs/>
          <w:shd w:val="clear" w:color="auto" w:fill="FFFFFF"/>
        </w:rPr>
        <w:t>nga Ban</w:t>
      </w:r>
      <w:r w:rsidR="00995E3D" w:rsidRPr="0091032B">
        <w:rPr>
          <w:rFonts w:eastAsia="Times New Roman"/>
          <w:iCs/>
          <w:shd w:val="clear" w:color="auto" w:fill="FFFFFF"/>
        </w:rPr>
        <w:t>k</w:t>
      </w:r>
      <w:r w:rsidR="00FB7C1B" w:rsidRPr="0091032B">
        <w:rPr>
          <w:rFonts w:eastAsia="Times New Roman"/>
          <w:iCs/>
          <w:shd w:val="clear" w:color="auto" w:fill="FFFFFF"/>
        </w:rPr>
        <w:t>a e Tiranës, KESH</w:t>
      </w:r>
      <w:r w:rsidR="00B86BFB" w:rsidRPr="0091032B">
        <w:rPr>
          <w:rFonts w:eastAsia="Times New Roman"/>
          <w:iCs/>
          <w:shd w:val="clear" w:color="auto" w:fill="FFFFFF"/>
        </w:rPr>
        <w:t>-i</w:t>
      </w:r>
      <w:r w:rsidR="00FB7C1B" w:rsidRPr="0091032B">
        <w:rPr>
          <w:rFonts w:eastAsia="Times New Roman"/>
          <w:iCs/>
          <w:shd w:val="clear" w:color="auto" w:fill="FFFFFF"/>
        </w:rPr>
        <w:t xml:space="preserve"> nuk </w:t>
      </w:r>
      <w:r w:rsidR="00995E3D" w:rsidRPr="0091032B">
        <w:rPr>
          <w:rFonts w:eastAsia="Times New Roman"/>
          <w:iCs/>
          <w:shd w:val="clear" w:color="auto" w:fill="FFFFFF"/>
        </w:rPr>
        <w:t xml:space="preserve">lidhi </w:t>
      </w:r>
      <w:r w:rsidR="00FB7C1B" w:rsidRPr="0091032B">
        <w:rPr>
          <w:rFonts w:eastAsia="Times New Roman"/>
          <w:iCs/>
          <w:shd w:val="clear" w:color="auto" w:fill="FFFFFF"/>
        </w:rPr>
        <w:t>kont</w:t>
      </w:r>
      <w:r w:rsidR="00995E3D" w:rsidRPr="0091032B">
        <w:rPr>
          <w:rFonts w:eastAsia="Times New Roman"/>
          <w:iCs/>
          <w:shd w:val="clear" w:color="auto" w:fill="FFFFFF"/>
        </w:rPr>
        <w:t>ra</w:t>
      </w:r>
      <w:r w:rsidR="00FB7C1B" w:rsidRPr="0091032B">
        <w:rPr>
          <w:rFonts w:eastAsia="Times New Roman"/>
          <w:iCs/>
          <w:shd w:val="clear" w:color="auto" w:fill="FFFFFF"/>
        </w:rPr>
        <w:t>ta të tjera shër</w:t>
      </w:r>
      <w:r w:rsidR="00995E3D" w:rsidRPr="0091032B">
        <w:rPr>
          <w:rFonts w:eastAsia="Times New Roman"/>
          <w:iCs/>
          <w:shd w:val="clear" w:color="auto" w:fill="FFFFFF"/>
        </w:rPr>
        <w:t>bimi</w:t>
      </w:r>
      <w:r w:rsidR="00354CB1" w:rsidRPr="0091032B">
        <w:rPr>
          <w:rFonts w:eastAsia="Times New Roman"/>
          <w:iCs/>
          <w:shd w:val="clear" w:color="auto" w:fill="FFFFFF"/>
        </w:rPr>
        <w:t xml:space="preserve"> me të. S</w:t>
      </w:r>
      <w:r w:rsidR="00FB7C1B" w:rsidRPr="0091032B">
        <w:rPr>
          <w:rFonts w:eastAsia="Times New Roman"/>
          <w:iCs/>
          <w:shd w:val="clear" w:color="auto" w:fill="FFFFFF"/>
        </w:rPr>
        <w:t>ipas aktit të eks</w:t>
      </w:r>
      <w:r w:rsidR="00995E3D" w:rsidRPr="0091032B">
        <w:rPr>
          <w:rFonts w:eastAsia="Times New Roman"/>
          <w:iCs/>
          <w:shd w:val="clear" w:color="auto" w:fill="FFFFFF"/>
        </w:rPr>
        <w:t xml:space="preserve">pertimit të </w:t>
      </w:r>
      <w:r w:rsidR="00FB7C1B" w:rsidRPr="0091032B">
        <w:rPr>
          <w:rFonts w:eastAsia="Times New Roman"/>
          <w:iCs/>
          <w:shd w:val="clear" w:color="auto" w:fill="FFFFFF"/>
        </w:rPr>
        <w:t>d</w:t>
      </w:r>
      <w:r w:rsidR="00995E3D" w:rsidRPr="0091032B">
        <w:rPr>
          <w:rFonts w:eastAsia="Times New Roman"/>
          <w:iCs/>
          <w:shd w:val="clear" w:color="auto" w:fill="FFFFFF"/>
        </w:rPr>
        <w:t>a</w:t>
      </w:r>
      <w:r w:rsidR="00FB7C1B" w:rsidRPr="0091032B">
        <w:rPr>
          <w:rFonts w:eastAsia="Times New Roman"/>
          <w:iCs/>
          <w:shd w:val="clear" w:color="auto" w:fill="FFFFFF"/>
        </w:rPr>
        <w:t>tës 16.07.2015 f</w:t>
      </w:r>
      <w:r w:rsidR="00995E3D" w:rsidRPr="0091032B">
        <w:rPr>
          <w:rFonts w:eastAsia="Times New Roman"/>
          <w:iCs/>
          <w:shd w:val="clear" w:color="auto" w:fill="FFFFFF"/>
        </w:rPr>
        <w:t>i</w:t>
      </w:r>
      <w:r w:rsidR="00FB7C1B" w:rsidRPr="0091032B">
        <w:rPr>
          <w:rFonts w:eastAsia="Times New Roman"/>
          <w:iCs/>
          <w:shd w:val="clear" w:color="auto" w:fill="FFFFFF"/>
        </w:rPr>
        <w:t>timi i munguar nga mosqarkullim</w:t>
      </w:r>
      <w:r w:rsidR="00995E3D" w:rsidRPr="0091032B">
        <w:rPr>
          <w:rFonts w:eastAsia="Times New Roman"/>
          <w:iCs/>
          <w:shd w:val="clear" w:color="auto" w:fill="FFFFFF"/>
        </w:rPr>
        <w:t>i</w:t>
      </w:r>
      <w:r w:rsidR="00FB7C1B" w:rsidRPr="0091032B">
        <w:rPr>
          <w:rFonts w:eastAsia="Times New Roman"/>
          <w:iCs/>
          <w:shd w:val="clear" w:color="auto" w:fill="FFFFFF"/>
        </w:rPr>
        <w:t xml:space="preserve"> i shumës është në </w:t>
      </w:r>
      <w:r w:rsidR="00995E3D" w:rsidRPr="0091032B">
        <w:rPr>
          <w:rFonts w:eastAsia="Times New Roman"/>
          <w:iCs/>
          <w:shd w:val="clear" w:color="auto" w:fill="FFFFFF"/>
        </w:rPr>
        <w:t>vlerën</w:t>
      </w:r>
      <w:r w:rsidR="00FB7C1B" w:rsidRPr="0091032B">
        <w:rPr>
          <w:rFonts w:eastAsia="Times New Roman"/>
          <w:iCs/>
          <w:shd w:val="clear" w:color="auto" w:fill="FFFFFF"/>
        </w:rPr>
        <w:t xml:space="preserve"> 32,370,550 lekë</w:t>
      </w:r>
      <w:r w:rsidR="00995E3D" w:rsidRPr="0091032B">
        <w:rPr>
          <w:rFonts w:eastAsia="Times New Roman"/>
          <w:iCs/>
          <w:shd w:val="clear" w:color="auto" w:fill="FFFFFF"/>
        </w:rPr>
        <w:t xml:space="preserve">. </w:t>
      </w:r>
      <w:r w:rsidR="000B31DF" w:rsidRPr="0091032B">
        <w:t>A</w:t>
      </w:r>
      <w:r w:rsidR="000B31DF" w:rsidRPr="0091032B">
        <w:rPr>
          <w:rFonts w:eastAsia="Times New Roman"/>
        </w:rPr>
        <w:t xml:space="preserve">rsyetimi i Gjykatës së Lartë se subjekti që do të pësonte dëm nga veprimet ose mosveprimet e Bankës së Tiranës do të ishte KESH-i, bie në kundërshtim me pikën 1 të aneksit të kontratës së shërbimit, </w:t>
      </w:r>
      <w:r w:rsidR="00F677CA" w:rsidRPr="0091032B">
        <w:rPr>
          <w:rFonts w:eastAsia="Times New Roman"/>
        </w:rPr>
        <w:t>ndërkohë që q</w:t>
      </w:r>
      <w:r w:rsidR="000B31DF" w:rsidRPr="0091032B">
        <w:rPr>
          <w:rFonts w:eastAsia="Times New Roman"/>
        </w:rPr>
        <w:t xml:space="preserve">ëndrimi i </w:t>
      </w:r>
      <w:r w:rsidR="00F677CA" w:rsidRPr="0091032B">
        <w:rPr>
          <w:rFonts w:eastAsia="Times New Roman"/>
        </w:rPr>
        <w:t>asaj g</w:t>
      </w:r>
      <w:r w:rsidR="000B31DF" w:rsidRPr="0091032B">
        <w:rPr>
          <w:rFonts w:eastAsia="Times New Roman"/>
        </w:rPr>
        <w:t>jykat</w:t>
      </w:r>
      <w:r w:rsidR="00F677CA" w:rsidRPr="0091032B">
        <w:rPr>
          <w:rFonts w:eastAsia="Times New Roman"/>
        </w:rPr>
        <w:t>e</w:t>
      </w:r>
      <w:r w:rsidR="000B31DF" w:rsidRPr="0091032B">
        <w:rPr>
          <w:rFonts w:eastAsia="Times New Roman"/>
        </w:rPr>
        <w:t xml:space="preserve"> se kërkuesja, si shërbim përmbarimor gjyqësor privat</w:t>
      </w:r>
      <w:r w:rsidR="00F14897" w:rsidRPr="0091032B">
        <w:rPr>
          <w:rFonts w:eastAsia="Times New Roman"/>
        </w:rPr>
        <w:t>,</w:t>
      </w:r>
      <w:r w:rsidR="000B31DF" w:rsidRPr="0091032B">
        <w:rPr>
          <w:rFonts w:eastAsia="Times New Roman"/>
        </w:rPr>
        <w:t xml:space="preserve"> ka një funksion të pavarur publik, bie ndesh me </w:t>
      </w:r>
      <w:r w:rsidR="00354CB1" w:rsidRPr="0091032B">
        <w:rPr>
          <w:rFonts w:eastAsia="Times New Roman"/>
        </w:rPr>
        <w:t xml:space="preserve">shkaqet e </w:t>
      </w:r>
      <w:r w:rsidR="000B31DF" w:rsidRPr="0091032B">
        <w:rPr>
          <w:rFonts w:eastAsia="Times New Roman"/>
        </w:rPr>
        <w:t>rekursi</w:t>
      </w:r>
      <w:r w:rsidR="00354CB1" w:rsidRPr="0091032B">
        <w:rPr>
          <w:rFonts w:eastAsia="Times New Roman"/>
        </w:rPr>
        <w:t xml:space="preserve">t </w:t>
      </w:r>
      <w:r w:rsidR="000B31DF" w:rsidRPr="0091032B">
        <w:rPr>
          <w:rFonts w:eastAsia="Times New Roman"/>
        </w:rPr>
        <w:t xml:space="preserve">për sa i takon markës së regjistruar “ARB” në Drejtorinë e Përgjithshme të Patentave dhe Markave. Vendimit të Gjykatës së Lartë i mungon analiza juridiko-ligjore, pasi nga veprimet </w:t>
      </w:r>
      <w:r w:rsidR="00F677CA" w:rsidRPr="0091032B">
        <w:rPr>
          <w:rFonts w:eastAsia="Times New Roman"/>
        </w:rPr>
        <w:t>dh</w:t>
      </w:r>
      <w:r w:rsidR="000B31DF" w:rsidRPr="0091032B">
        <w:rPr>
          <w:rFonts w:eastAsia="Times New Roman"/>
        </w:rPr>
        <w:t>e mosveprime</w:t>
      </w:r>
      <w:r w:rsidR="00F677CA" w:rsidRPr="0091032B">
        <w:rPr>
          <w:rFonts w:eastAsia="Times New Roman"/>
        </w:rPr>
        <w:t>t e</w:t>
      </w:r>
      <w:r w:rsidR="000B31DF" w:rsidRPr="0091032B">
        <w:rPr>
          <w:rFonts w:eastAsia="Times New Roman"/>
        </w:rPr>
        <w:t xml:space="preserve"> kundërligjshme të </w:t>
      </w:r>
      <w:r w:rsidR="00F677CA" w:rsidRPr="0091032B">
        <w:rPr>
          <w:rFonts w:eastAsia="Times New Roman"/>
        </w:rPr>
        <w:t xml:space="preserve">palës së paditur </w:t>
      </w:r>
      <w:r w:rsidR="00847BEB">
        <w:rPr>
          <w:rFonts w:eastAsia="Times New Roman"/>
        </w:rPr>
        <w:t xml:space="preserve">në proces </w:t>
      </w:r>
      <w:r w:rsidR="000B31DF" w:rsidRPr="0091032B">
        <w:rPr>
          <w:rFonts w:eastAsia="Times New Roman"/>
        </w:rPr>
        <w:t xml:space="preserve">nuk është likuiduar tarifa përmbarimore. </w:t>
      </w:r>
    </w:p>
    <w:p w:rsidR="0091032B" w:rsidRPr="0091032B" w:rsidRDefault="00F5378E" w:rsidP="0091032B">
      <w:pPr>
        <w:pStyle w:val="ListParagraph"/>
        <w:numPr>
          <w:ilvl w:val="2"/>
          <w:numId w:val="34"/>
        </w:numPr>
        <w:tabs>
          <w:tab w:val="left" w:pos="990"/>
          <w:tab w:val="left" w:pos="1080"/>
          <w:tab w:val="left" w:pos="1260"/>
        </w:tabs>
        <w:ind w:left="1620"/>
        <w:jc w:val="both"/>
      </w:pPr>
      <w:r w:rsidRPr="0091032B">
        <w:rPr>
          <w:rFonts w:eastAsia="Times New Roman"/>
          <w:i/>
          <w:iCs/>
          <w:shd w:val="clear" w:color="auto" w:fill="FFFFFF"/>
        </w:rPr>
        <w:t xml:space="preserve">Parimit të barazisë së armëve, </w:t>
      </w:r>
      <w:r w:rsidRPr="0091032B">
        <w:rPr>
          <w:rFonts w:eastAsia="Times New Roman"/>
          <w:iCs/>
          <w:shd w:val="clear" w:color="auto" w:fill="FFFFFF"/>
        </w:rPr>
        <w:t>pasi Gjykata e Lartë</w:t>
      </w:r>
      <w:r w:rsidR="00F14897" w:rsidRPr="0091032B">
        <w:rPr>
          <w:rFonts w:eastAsia="Times New Roman"/>
          <w:iCs/>
          <w:shd w:val="clear" w:color="auto" w:fill="FFFFFF"/>
        </w:rPr>
        <w:t>,</w:t>
      </w:r>
      <w:r w:rsidRPr="0091032B">
        <w:rPr>
          <w:rFonts w:eastAsia="Times New Roman"/>
          <w:iCs/>
          <w:shd w:val="clear" w:color="auto" w:fill="FFFFFF"/>
        </w:rPr>
        <w:t xml:space="preserve"> duke rrëzuar argumentet e kërkueses ka favorizuar </w:t>
      </w:r>
      <w:r w:rsidR="00F677CA" w:rsidRPr="0091032B">
        <w:rPr>
          <w:rFonts w:eastAsia="Times New Roman"/>
          <w:iCs/>
          <w:shd w:val="clear" w:color="auto" w:fill="FFFFFF"/>
        </w:rPr>
        <w:t xml:space="preserve">palën e paditur, </w:t>
      </w:r>
      <w:r w:rsidRPr="0091032B">
        <w:rPr>
          <w:rFonts w:eastAsia="Times New Roman"/>
          <w:iCs/>
          <w:shd w:val="clear" w:color="auto" w:fill="FFFFFF"/>
        </w:rPr>
        <w:t>Bankën e Tiranës</w:t>
      </w:r>
      <w:r w:rsidR="00811684" w:rsidRPr="0091032B">
        <w:rPr>
          <w:rFonts w:eastAsia="Times New Roman"/>
          <w:iCs/>
          <w:shd w:val="clear" w:color="auto" w:fill="FFFFFF"/>
        </w:rPr>
        <w:t>, e</w:t>
      </w:r>
      <w:r w:rsidR="00811684" w:rsidRPr="0091032B">
        <w:rPr>
          <w:rFonts w:eastAsia="Times New Roman"/>
        </w:rPr>
        <w:t>dhe pse në shkelje të legjislacionit në fuqi dhe detyrues për zbatim. Kjo</w:t>
      </w:r>
      <w:r w:rsidR="00354CB1" w:rsidRPr="0091032B">
        <w:rPr>
          <w:rFonts w:eastAsia="Times New Roman"/>
        </w:rPr>
        <w:t>,</w:t>
      </w:r>
      <w:r w:rsidR="00811684" w:rsidRPr="0091032B">
        <w:rPr>
          <w:rFonts w:eastAsia="Times New Roman"/>
        </w:rPr>
        <w:t xml:space="preserve"> sipas kërkueses, përbën cenim edhe të </w:t>
      </w:r>
      <w:r w:rsidR="00811684" w:rsidRPr="0091032B">
        <w:rPr>
          <w:rFonts w:eastAsia="Times New Roman"/>
          <w:i/>
        </w:rPr>
        <w:t>parimit të barazisë përpara ligjit.</w:t>
      </w:r>
    </w:p>
    <w:p w:rsidR="00F1699A" w:rsidRPr="0091032B" w:rsidRDefault="00F1699A" w:rsidP="0091032B">
      <w:pPr>
        <w:pStyle w:val="ListParagraph"/>
        <w:numPr>
          <w:ilvl w:val="2"/>
          <w:numId w:val="34"/>
        </w:numPr>
        <w:tabs>
          <w:tab w:val="left" w:pos="990"/>
          <w:tab w:val="left" w:pos="1080"/>
          <w:tab w:val="left" w:pos="1260"/>
        </w:tabs>
        <w:ind w:left="1620"/>
        <w:jc w:val="both"/>
      </w:pPr>
      <w:r w:rsidRPr="0091032B">
        <w:rPr>
          <w:rFonts w:eastAsia="Times New Roman"/>
          <w:i/>
        </w:rPr>
        <w:t>Parimi</w:t>
      </w:r>
      <w:r w:rsidR="0091032B" w:rsidRPr="0091032B">
        <w:rPr>
          <w:rFonts w:eastAsia="Times New Roman"/>
          <w:i/>
        </w:rPr>
        <w:t>t të</w:t>
      </w:r>
      <w:r w:rsidRPr="0091032B">
        <w:rPr>
          <w:rFonts w:eastAsia="Times New Roman"/>
          <w:i/>
        </w:rPr>
        <w:t xml:space="preserve"> sigurisë juridike, </w:t>
      </w:r>
      <w:r w:rsidR="00F5378E" w:rsidRPr="0091032B">
        <w:rPr>
          <w:rFonts w:eastAsia="Times New Roman"/>
        </w:rPr>
        <w:t xml:space="preserve">pasi </w:t>
      </w:r>
      <w:r w:rsidR="00F5378E" w:rsidRPr="0091032B">
        <w:t>Gjykata e Lartë</w:t>
      </w:r>
      <w:r w:rsidR="00354CB1" w:rsidRPr="0091032B">
        <w:t xml:space="preserve"> </w:t>
      </w:r>
      <w:r w:rsidR="00F5378E" w:rsidRPr="0091032B">
        <w:t xml:space="preserve">ka vendosur në </w:t>
      </w:r>
      <w:r w:rsidR="00F14897" w:rsidRPr="0091032B">
        <w:t xml:space="preserve">mënyra </w:t>
      </w:r>
      <w:r w:rsidR="00F5378E" w:rsidRPr="0091032B">
        <w:t>të ndryshme në situata të ngjashme, duke m</w:t>
      </w:r>
      <w:r w:rsidRPr="0091032B">
        <w:rPr>
          <w:rFonts w:eastAsia="Times New Roman"/>
        </w:rPr>
        <w:t xml:space="preserve">bajtur </w:t>
      </w:r>
      <w:r w:rsidR="001E6779" w:rsidRPr="0091032B">
        <w:rPr>
          <w:rFonts w:eastAsia="Times New Roman"/>
        </w:rPr>
        <w:t xml:space="preserve">standarde dhe </w:t>
      </w:r>
      <w:r w:rsidRPr="0091032B">
        <w:rPr>
          <w:rFonts w:eastAsia="Times New Roman"/>
        </w:rPr>
        <w:t xml:space="preserve">qëndrim të dyfishtë në </w:t>
      </w:r>
      <w:r w:rsidR="00354CB1" w:rsidRPr="0091032B">
        <w:rPr>
          <w:rFonts w:eastAsia="Times New Roman"/>
        </w:rPr>
        <w:t xml:space="preserve">drejtim të arsyetimit të vendimit, në </w:t>
      </w:r>
      <w:r w:rsidRPr="0091032B">
        <w:rPr>
          <w:rFonts w:eastAsia="Times New Roman"/>
        </w:rPr>
        <w:t xml:space="preserve">krahasim me </w:t>
      </w:r>
      <w:r w:rsidR="001E6779" w:rsidRPr="0091032B">
        <w:rPr>
          <w:rFonts w:eastAsia="Times New Roman"/>
        </w:rPr>
        <w:t>vendime të tjera të saj, siç është ai</w:t>
      </w:r>
      <w:r w:rsidR="00354CB1" w:rsidRPr="0091032B">
        <w:rPr>
          <w:rFonts w:eastAsia="Times New Roman"/>
        </w:rPr>
        <w:t xml:space="preserve"> </w:t>
      </w:r>
      <w:r w:rsidRPr="0091032B">
        <w:rPr>
          <w:rFonts w:eastAsia="Times New Roman"/>
        </w:rPr>
        <w:t xml:space="preserve">nr. </w:t>
      </w:r>
      <w:r w:rsidRPr="0091032B">
        <w:rPr>
          <w:bCs/>
        </w:rPr>
        <w:t>00-2024-5438 (191), datë 18.04.2024</w:t>
      </w:r>
      <w:r w:rsidRPr="0091032B">
        <w:t>.</w:t>
      </w:r>
    </w:p>
    <w:p w:rsidR="00A86F8E" w:rsidRPr="0091032B" w:rsidRDefault="0091032B" w:rsidP="001C38E0">
      <w:pPr>
        <w:pStyle w:val="ListParagraph"/>
        <w:numPr>
          <w:ilvl w:val="1"/>
          <w:numId w:val="34"/>
        </w:numPr>
        <w:tabs>
          <w:tab w:val="left" w:pos="990"/>
          <w:tab w:val="left" w:pos="1080"/>
          <w:tab w:val="left" w:pos="1260"/>
        </w:tabs>
        <w:ind w:left="1260" w:hanging="540"/>
        <w:jc w:val="both"/>
      </w:pPr>
      <w:r w:rsidRPr="0091032B">
        <w:rPr>
          <w:rFonts w:eastAsia="Times New Roman"/>
          <w:i/>
          <w:iCs/>
          <w:shd w:val="clear" w:color="auto" w:fill="FFFFFF"/>
        </w:rPr>
        <w:t>Është cenuar e d</w:t>
      </w:r>
      <w:r w:rsidR="0071191D" w:rsidRPr="0091032B">
        <w:rPr>
          <w:rFonts w:eastAsia="Times New Roman"/>
          <w:i/>
          <w:iCs/>
          <w:shd w:val="clear" w:color="auto" w:fill="FFFFFF"/>
        </w:rPr>
        <w:t>rejta e pronës</w:t>
      </w:r>
      <w:r w:rsidR="00F5378E" w:rsidRPr="0091032B">
        <w:rPr>
          <w:rFonts w:eastAsia="Times New Roman"/>
          <w:i/>
          <w:iCs/>
          <w:shd w:val="clear" w:color="auto" w:fill="FFFFFF"/>
        </w:rPr>
        <w:t xml:space="preserve"> private</w:t>
      </w:r>
      <w:r w:rsidR="0071191D" w:rsidRPr="0091032B">
        <w:rPr>
          <w:rFonts w:eastAsia="Times New Roman"/>
          <w:iCs/>
          <w:shd w:val="clear" w:color="auto" w:fill="FFFFFF"/>
        </w:rPr>
        <w:t xml:space="preserve">, pasi Gjykata e Lartë ka dështuar të trajtojë pretendimet për humbjen ekonomike të shkaktuar nga veprimet e Bankës së Tiranës. Pavarësisht fakteve, provave dhe argumenteve që tregojnë dëmet monetare, pretendimet </w:t>
      </w:r>
      <w:r w:rsidR="00354CB1" w:rsidRPr="0091032B">
        <w:rPr>
          <w:rFonts w:eastAsia="Times New Roman"/>
          <w:iCs/>
          <w:shd w:val="clear" w:color="auto" w:fill="FFFFFF"/>
        </w:rPr>
        <w:t xml:space="preserve">e kërkueses </w:t>
      </w:r>
      <w:r w:rsidR="00BC7652" w:rsidRPr="0091032B">
        <w:rPr>
          <w:rFonts w:eastAsia="Times New Roman"/>
          <w:iCs/>
          <w:shd w:val="clear" w:color="auto" w:fill="FFFFFF"/>
        </w:rPr>
        <w:t xml:space="preserve">janë rrëzuar pa </w:t>
      </w:r>
      <w:r w:rsidR="007D6F91">
        <w:rPr>
          <w:rFonts w:eastAsia="Times New Roman"/>
          <w:iCs/>
          <w:shd w:val="clear" w:color="auto" w:fill="FFFFFF"/>
        </w:rPr>
        <w:t>u</w:t>
      </w:r>
      <w:r w:rsidR="00BC7652" w:rsidRPr="0091032B">
        <w:rPr>
          <w:rFonts w:eastAsia="Times New Roman"/>
          <w:iCs/>
          <w:shd w:val="clear" w:color="auto" w:fill="FFFFFF"/>
        </w:rPr>
        <w:t xml:space="preserve"> dhënë</w:t>
      </w:r>
      <w:r w:rsidR="00BE1BA6" w:rsidRPr="0091032B">
        <w:rPr>
          <w:rFonts w:eastAsia="Times New Roman"/>
          <w:iCs/>
          <w:shd w:val="clear" w:color="auto" w:fill="FFFFFF"/>
        </w:rPr>
        <w:t xml:space="preserve"> një justifikim </w:t>
      </w:r>
      <w:r w:rsidR="007D6F91">
        <w:rPr>
          <w:rFonts w:eastAsia="Times New Roman"/>
          <w:iCs/>
          <w:shd w:val="clear" w:color="auto" w:fill="FFFFFF"/>
        </w:rPr>
        <w:t>i</w:t>
      </w:r>
      <w:r w:rsidR="00F14897" w:rsidRPr="0091032B">
        <w:rPr>
          <w:rFonts w:eastAsia="Times New Roman"/>
          <w:iCs/>
          <w:shd w:val="clear" w:color="auto" w:fill="FFFFFF"/>
        </w:rPr>
        <w:t xml:space="preserve"> </w:t>
      </w:r>
      <w:r w:rsidR="00BE1BA6" w:rsidRPr="0091032B">
        <w:rPr>
          <w:rFonts w:eastAsia="Times New Roman"/>
          <w:iCs/>
          <w:shd w:val="clear" w:color="auto" w:fill="FFFFFF"/>
        </w:rPr>
        <w:t>mjaftueshëm lig</w:t>
      </w:r>
      <w:r w:rsidR="00F5378E" w:rsidRPr="0091032B">
        <w:rPr>
          <w:rFonts w:eastAsia="Times New Roman"/>
          <w:iCs/>
          <w:shd w:val="clear" w:color="auto" w:fill="FFFFFF"/>
        </w:rPr>
        <w:t>j</w:t>
      </w:r>
      <w:r w:rsidR="00BE1BA6" w:rsidRPr="0091032B">
        <w:rPr>
          <w:rFonts w:eastAsia="Times New Roman"/>
          <w:iCs/>
          <w:shd w:val="clear" w:color="auto" w:fill="FFFFFF"/>
        </w:rPr>
        <w:t>or</w:t>
      </w:r>
      <w:r w:rsidR="0071191D" w:rsidRPr="0091032B">
        <w:rPr>
          <w:rFonts w:eastAsia="Times New Roman"/>
          <w:iCs/>
          <w:shd w:val="clear" w:color="auto" w:fill="FFFFFF"/>
        </w:rPr>
        <w:t>.</w:t>
      </w:r>
    </w:p>
    <w:bookmarkEnd w:id="7"/>
    <w:bookmarkEnd w:id="8"/>
    <w:p w:rsidR="00F5378E" w:rsidRPr="0091032B" w:rsidRDefault="004B4C8B" w:rsidP="00F5378E">
      <w:pPr>
        <w:pStyle w:val="ListParagraph"/>
        <w:numPr>
          <w:ilvl w:val="0"/>
          <w:numId w:val="1"/>
        </w:numPr>
        <w:tabs>
          <w:tab w:val="left" w:pos="1080"/>
        </w:tabs>
        <w:ind w:left="0" w:firstLine="720"/>
        <w:jc w:val="both"/>
      </w:pPr>
      <w:r w:rsidRPr="0091032B">
        <w:rPr>
          <w:rFonts w:eastAsia="Batang"/>
          <w:b/>
          <w:bCs/>
          <w:i/>
        </w:rPr>
        <w:lastRenderedPageBreak/>
        <w:t>Subjekti i interesuar, Banka e Tiranës</w:t>
      </w:r>
      <w:r w:rsidRPr="0091032B">
        <w:rPr>
          <w:rFonts w:eastAsia="Batang"/>
          <w:bCs/>
          <w:i/>
        </w:rPr>
        <w:t xml:space="preserve">, </w:t>
      </w:r>
      <w:r w:rsidRPr="0091032B">
        <w:rPr>
          <w:kern w:val="28"/>
        </w:rPr>
        <w:t xml:space="preserve">ka </w:t>
      </w:r>
      <w:r w:rsidRPr="0091032B">
        <w:rPr>
          <w:rFonts w:eastAsia="Batang"/>
          <w:bCs/>
        </w:rPr>
        <w:t>prapësuar si vijon</w:t>
      </w:r>
      <w:r w:rsidRPr="0091032B">
        <w:t xml:space="preserve">: </w:t>
      </w:r>
    </w:p>
    <w:p w:rsidR="00847BEB" w:rsidRPr="00847BEB" w:rsidRDefault="00706203" w:rsidP="00847BEB">
      <w:pPr>
        <w:pStyle w:val="ListParagraph"/>
        <w:numPr>
          <w:ilvl w:val="0"/>
          <w:numId w:val="37"/>
        </w:numPr>
        <w:tabs>
          <w:tab w:val="left" w:pos="1080"/>
        </w:tabs>
        <w:ind w:left="1080" w:hanging="360"/>
        <w:jc w:val="both"/>
      </w:pPr>
      <w:r w:rsidRPr="0091032B">
        <w:rPr>
          <w:i/>
        </w:rPr>
        <w:t xml:space="preserve">Për </w:t>
      </w:r>
      <w:r w:rsidR="00847BEB" w:rsidRPr="00847BEB">
        <w:rPr>
          <w:i/>
        </w:rPr>
        <w:t>kërkimin për konstatimin e cenimit të së drejtës për kohëzgjatje të arsyeshme të procesit:</w:t>
      </w:r>
    </w:p>
    <w:p w:rsidR="00E6464D" w:rsidRPr="0091032B" w:rsidRDefault="004B4C8B" w:rsidP="00663CBA">
      <w:pPr>
        <w:pStyle w:val="ListParagraph"/>
        <w:numPr>
          <w:ilvl w:val="1"/>
          <w:numId w:val="36"/>
        </w:numPr>
        <w:tabs>
          <w:tab w:val="left" w:pos="1080"/>
        </w:tabs>
        <w:ind w:left="1260" w:hanging="540"/>
        <w:jc w:val="both"/>
      </w:pPr>
      <w:r w:rsidRPr="0091032B">
        <w:rPr>
          <w:rFonts w:eastAsia="Times New Roman"/>
        </w:rPr>
        <w:t xml:space="preserve">Pretendimet e kërkueses jo vetëm që nuk janë ngritur në nivel kushtetues, por </w:t>
      </w:r>
      <w:r w:rsidR="00BC7652" w:rsidRPr="0091032B">
        <w:rPr>
          <w:rFonts w:eastAsia="Times New Roman"/>
        </w:rPr>
        <w:t xml:space="preserve">janë </w:t>
      </w:r>
      <w:r w:rsidRPr="0091032B">
        <w:rPr>
          <w:rFonts w:eastAsia="Times New Roman"/>
        </w:rPr>
        <w:t>edhe të pabazuara. Me vendim përfundimtar të formës së prerë është konfirmuar pabazueshmëria në ligj</w:t>
      </w:r>
      <w:r w:rsidR="00E6464D" w:rsidRPr="0091032B">
        <w:rPr>
          <w:rFonts w:eastAsia="Times New Roman"/>
        </w:rPr>
        <w:t xml:space="preserve"> </w:t>
      </w:r>
      <w:r w:rsidRPr="0091032B">
        <w:rPr>
          <w:rFonts w:eastAsia="Times New Roman"/>
        </w:rPr>
        <w:t>e në prova e së drejtës së pretenduar gjyqësisht</w:t>
      </w:r>
      <w:r w:rsidR="00E6464D" w:rsidRPr="0091032B">
        <w:rPr>
          <w:rFonts w:eastAsia="Times New Roman"/>
        </w:rPr>
        <w:t xml:space="preserve">, ndërkohë që për të </w:t>
      </w:r>
      <w:r w:rsidR="00BC7652" w:rsidRPr="0091032B">
        <w:rPr>
          <w:rFonts w:eastAsia="Times New Roman"/>
        </w:rPr>
        <w:t xml:space="preserve">ngritur këtë </w:t>
      </w:r>
      <w:r w:rsidR="00E6464D" w:rsidRPr="0091032B">
        <w:rPr>
          <w:rFonts w:eastAsia="Times New Roman"/>
        </w:rPr>
        <w:t>pretend</w:t>
      </w:r>
      <w:r w:rsidR="00BC7652" w:rsidRPr="0091032B">
        <w:rPr>
          <w:rFonts w:eastAsia="Times New Roman"/>
        </w:rPr>
        <w:t xml:space="preserve">im </w:t>
      </w:r>
      <w:r w:rsidRPr="0091032B">
        <w:rPr>
          <w:rFonts w:eastAsia="Times New Roman"/>
        </w:rPr>
        <w:t>dhe për të kërkuar dëmshpërblim për këtë shkak, duhet t</w:t>
      </w:r>
      <w:r w:rsidR="00E6464D" w:rsidRPr="0091032B">
        <w:rPr>
          <w:rFonts w:eastAsia="Times New Roman"/>
        </w:rPr>
        <w:t>ë</w:t>
      </w:r>
      <w:r w:rsidRPr="0091032B">
        <w:rPr>
          <w:rFonts w:eastAsia="Times New Roman"/>
        </w:rPr>
        <w:t xml:space="preserve"> ketë ardhur një pasojë në të drejtat kushtetuese </w:t>
      </w:r>
      <w:r w:rsidR="00E6464D" w:rsidRPr="0091032B">
        <w:rPr>
          <w:rFonts w:eastAsia="Times New Roman"/>
        </w:rPr>
        <w:t xml:space="preserve">për shkak të </w:t>
      </w:r>
      <w:r w:rsidRPr="0091032B">
        <w:rPr>
          <w:rFonts w:eastAsia="Times New Roman"/>
        </w:rPr>
        <w:t xml:space="preserve">procesit </w:t>
      </w:r>
      <w:r w:rsidR="004B737B">
        <w:rPr>
          <w:rFonts w:eastAsia="Times New Roman"/>
        </w:rPr>
        <w:t>“</w:t>
      </w:r>
      <w:r w:rsidRPr="0091032B">
        <w:rPr>
          <w:rFonts w:eastAsia="Times New Roman"/>
        </w:rPr>
        <w:t xml:space="preserve">të parregullt” </w:t>
      </w:r>
      <w:r w:rsidR="00E6464D" w:rsidRPr="0091032B">
        <w:rPr>
          <w:rFonts w:eastAsia="Times New Roman"/>
        </w:rPr>
        <w:t>gjyqësor</w:t>
      </w:r>
      <w:r w:rsidRPr="0091032B">
        <w:rPr>
          <w:rFonts w:eastAsia="Times New Roman"/>
        </w:rPr>
        <w:t xml:space="preserve">. </w:t>
      </w:r>
      <w:r w:rsidR="00BC7652" w:rsidRPr="0091032B">
        <w:rPr>
          <w:rFonts w:eastAsia="Times New Roman"/>
        </w:rPr>
        <w:t>J</w:t>
      </w:r>
      <w:r w:rsidRPr="0091032B">
        <w:rPr>
          <w:rFonts w:eastAsia="Times New Roman"/>
        </w:rPr>
        <w:t>o vet</w:t>
      </w:r>
      <w:r w:rsidR="00384A9A" w:rsidRPr="0091032B">
        <w:rPr>
          <w:rFonts w:eastAsia="Times New Roman"/>
        </w:rPr>
        <w:t>ë</w:t>
      </w:r>
      <w:r w:rsidRPr="0091032B">
        <w:rPr>
          <w:rFonts w:eastAsia="Times New Roman"/>
        </w:rPr>
        <w:t>m q</w:t>
      </w:r>
      <w:r w:rsidR="00384A9A" w:rsidRPr="0091032B">
        <w:rPr>
          <w:rFonts w:eastAsia="Times New Roman"/>
        </w:rPr>
        <w:t>ë</w:t>
      </w:r>
      <w:r w:rsidRPr="0091032B">
        <w:rPr>
          <w:rFonts w:eastAsia="Times New Roman"/>
        </w:rPr>
        <w:t xml:space="preserve"> nuk </w:t>
      </w:r>
      <w:r w:rsidR="00BC7652" w:rsidRPr="0091032B">
        <w:rPr>
          <w:rFonts w:eastAsia="Times New Roman"/>
        </w:rPr>
        <w:t>është</w:t>
      </w:r>
      <w:r w:rsidRPr="0091032B">
        <w:rPr>
          <w:rFonts w:eastAsia="Times New Roman"/>
        </w:rPr>
        <w:t xml:space="preserve"> zhvilluar një proces </w:t>
      </w:r>
      <w:r w:rsidR="00BC7652" w:rsidRPr="0091032B">
        <w:rPr>
          <w:rFonts w:eastAsia="Times New Roman"/>
        </w:rPr>
        <w:t>i</w:t>
      </w:r>
      <w:r w:rsidRPr="0091032B">
        <w:rPr>
          <w:rFonts w:eastAsia="Times New Roman"/>
        </w:rPr>
        <w:t xml:space="preserve"> parregullt, p</w:t>
      </w:r>
      <w:r w:rsidR="00BC7652" w:rsidRPr="0091032B">
        <w:rPr>
          <w:rFonts w:eastAsia="Times New Roman"/>
        </w:rPr>
        <w:t xml:space="preserve">asi </w:t>
      </w:r>
      <w:r w:rsidRPr="0091032B">
        <w:rPr>
          <w:rFonts w:eastAsia="Times New Roman"/>
        </w:rPr>
        <w:t>vonesat në gjykim kanë</w:t>
      </w:r>
      <w:r w:rsidR="00E6464D" w:rsidRPr="0091032B">
        <w:rPr>
          <w:rFonts w:eastAsia="Times New Roman"/>
        </w:rPr>
        <w:t xml:space="preserve"> si shkak </w:t>
      </w:r>
      <w:r w:rsidRPr="0091032B">
        <w:rPr>
          <w:rFonts w:eastAsia="Times New Roman"/>
        </w:rPr>
        <w:t xml:space="preserve">rrethana objektive, por kërkueses nuk i ka ardhur ndonjë pasojë, </w:t>
      </w:r>
      <w:r w:rsidR="00BC7652" w:rsidRPr="0091032B">
        <w:rPr>
          <w:rFonts w:eastAsia="Times New Roman"/>
        </w:rPr>
        <w:t xml:space="preserve">për sa kohë që </w:t>
      </w:r>
      <w:r w:rsidR="00630BB5" w:rsidRPr="0091032B">
        <w:rPr>
          <w:rFonts w:eastAsia="Times New Roman"/>
        </w:rPr>
        <w:t xml:space="preserve">e </w:t>
      </w:r>
      <w:r w:rsidRPr="0091032B">
        <w:rPr>
          <w:rFonts w:eastAsia="Times New Roman"/>
        </w:rPr>
        <w:t>drejta e pretenduar gjyqësisht është konsideruar e pabazuar në themel</w:t>
      </w:r>
      <w:r w:rsidR="00BC7652" w:rsidRPr="0091032B">
        <w:rPr>
          <w:rFonts w:eastAsia="Times New Roman"/>
        </w:rPr>
        <w:t xml:space="preserve"> </w:t>
      </w:r>
      <w:r w:rsidRPr="0091032B">
        <w:rPr>
          <w:rFonts w:eastAsia="Times New Roman"/>
        </w:rPr>
        <w:t>Për sa kohë q</w:t>
      </w:r>
      <w:r w:rsidR="00384A9A" w:rsidRPr="0091032B">
        <w:rPr>
          <w:rFonts w:eastAsia="Times New Roman"/>
        </w:rPr>
        <w:t>ë</w:t>
      </w:r>
      <w:r w:rsidRPr="0091032B">
        <w:rPr>
          <w:rFonts w:eastAsia="Times New Roman"/>
        </w:rPr>
        <w:t xml:space="preserve"> k</w:t>
      </w:r>
      <w:r w:rsidR="00384A9A" w:rsidRPr="0091032B">
        <w:rPr>
          <w:rFonts w:eastAsia="Times New Roman"/>
        </w:rPr>
        <w:t>ë</w:t>
      </w:r>
      <w:r w:rsidRPr="0091032B">
        <w:rPr>
          <w:rFonts w:eastAsia="Times New Roman"/>
        </w:rPr>
        <w:t>rkuesja nuk ka gëzuar asnjëherë një të drejtë</w:t>
      </w:r>
      <w:r w:rsidR="00BC7652" w:rsidRPr="0091032B">
        <w:rPr>
          <w:rFonts w:eastAsia="Times New Roman"/>
        </w:rPr>
        <w:t xml:space="preserve">/interes </w:t>
      </w:r>
      <w:r w:rsidRPr="0091032B">
        <w:rPr>
          <w:rFonts w:eastAsia="Times New Roman"/>
        </w:rPr>
        <w:t>të ligjsh</w:t>
      </w:r>
      <w:r w:rsidR="00BC7652" w:rsidRPr="0091032B">
        <w:rPr>
          <w:rFonts w:eastAsia="Times New Roman"/>
        </w:rPr>
        <w:t>ë</w:t>
      </w:r>
      <w:r w:rsidRPr="0091032B">
        <w:rPr>
          <w:rFonts w:eastAsia="Times New Roman"/>
        </w:rPr>
        <w:t>m në procesin gjyq</w:t>
      </w:r>
      <w:r w:rsidR="00384A9A" w:rsidRPr="0091032B">
        <w:rPr>
          <w:rFonts w:eastAsia="Times New Roman"/>
        </w:rPr>
        <w:t>ë</w:t>
      </w:r>
      <w:r w:rsidRPr="0091032B">
        <w:rPr>
          <w:rFonts w:eastAsia="Times New Roman"/>
        </w:rPr>
        <w:t>sor t</w:t>
      </w:r>
      <w:r w:rsidR="00384A9A" w:rsidRPr="0091032B">
        <w:rPr>
          <w:rFonts w:eastAsia="Times New Roman"/>
        </w:rPr>
        <w:t>ë</w:t>
      </w:r>
      <w:r w:rsidRPr="0091032B">
        <w:rPr>
          <w:rFonts w:eastAsia="Times New Roman"/>
        </w:rPr>
        <w:t xml:space="preserve"> themelit, ajo nuk ka pasur dhe as nuk mund të kishte ndonjë pritshmëri të ligjshme dhe/ose të ekzekutueshme nga mosrealizimi </w:t>
      </w:r>
      <w:r w:rsidR="00630BB5" w:rsidRPr="0091032B">
        <w:rPr>
          <w:rFonts w:eastAsia="Times New Roman"/>
        </w:rPr>
        <w:t xml:space="preserve">i </w:t>
      </w:r>
      <w:r w:rsidRPr="0091032B">
        <w:rPr>
          <w:rFonts w:eastAsia="Times New Roman"/>
        </w:rPr>
        <w:t>së cilës do të mund t</w:t>
      </w:r>
      <w:r w:rsidR="00F64113">
        <w:rPr>
          <w:rFonts w:eastAsia="Times New Roman"/>
        </w:rPr>
        <w:t>’</w:t>
      </w:r>
      <w:r w:rsidRPr="0091032B">
        <w:rPr>
          <w:rFonts w:eastAsia="Times New Roman"/>
        </w:rPr>
        <w:t>i lindte</w:t>
      </w:r>
      <w:r w:rsidR="00BC7652" w:rsidRPr="0091032B">
        <w:rPr>
          <w:rFonts w:eastAsia="Times New Roman"/>
        </w:rPr>
        <w:t xml:space="preserve"> ndonjë </w:t>
      </w:r>
      <w:r w:rsidRPr="0091032B">
        <w:rPr>
          <w:rFonts w:eastAsia="Times New Roman"/>
        </w:rPr>
        <w:t>e drejt</w:t>
      </w:r>
      <w:r w:rsidR="00BC7652" w:rsidRPr="0091032B">
        <w:rPr>
          <w:rFonts w:eastAsia="Times New Roman"/>
        </w:rPr>
        <w:t>ë</w:t>
      </w:r>
      <w:r w:rsidRPr="0091032B">
        <w:rPr>
          <w:rFonts w:eastAsia="Times New Roman"/>
        </w:rPr>
        <w:t xml:space="preserve"> për zhdëmtim. </w:t>
      </w:r>
      <w:r w:rsidR="00BC7652" w:rsidRPr="0091032B">
        <w:rPr>
          <w:rFonts w:eastAsia="Times New Roman"/>
        </w:rPr>
        <w:t xml:space="preserve">I </w:t>
      </w:r>
      <w:r w:rsidRPr="0091032B">
        <w:rPr>
          <w:rFonts w:eastAsia="Times New Roman"/>
        </w:rPr>
        <w:t>vetmi subjekt që mund të ketë ndonjë pretendim në këtë drejtim është Banka e Tiranës, e cila i është nënshtruar një kalvari gjyqësor bazuar në një padi që është konstatuar e pabazuar nga gjykatat.</w:t>
      </w:r>
    </w:p>
    <w:p w:rsidR="00847BEB" w:rsidRPr="00847BEB" w:rsidRDefault="00706203" w:rsidP="00847BEB">
      <w:pPr>
        <w:pStyle w:val="ListParagraph"/>
        <w:numPr>
          <w:ilvl w:val="0"/>
          <w:numId w:val="37"/>
        </w:numPr>
        <w:tabs>
          <w:tab w:val="left" w:pos="1080"/>
        </w:tabs>
        <w:jc w:val="both"/>
        <w:rPr>
          <w:i/>
        </w:rPr>
      </w:pPr>
      <w:r w:rsidRPr="00847BEB">
        <w:rPr>
          <w:i/>
        </w:rPr>
        <w:t xml:space="preserve">Për </w:t>
      </w:r>
      <w:r w:rsidR="00847BEB" w:rsidRPr="00847BEB">
        <w:rPr>
          <w:i/>
        </w:rPr>
        <w:t>kërkimin për themelin e çështjes:</w:t>
      </w:r>
      <w:r w:rsidR="00847BEB" w:rsidRPr="004B737B">
        <w:t xml:space="preserve"> </w:t>
      </w:r>
    </w:p>
    <w:p w:rsidR="00AC05A2" w:rsidRPr="0091032B" w:rsidRDefault="0071191D" w:rsidP="0085180A">
      <w:pPr>
        <w:pStyle w:val="ListParagraph"/>
        <w:numPr>
          <w:ilvl w:val="1"/>
          <w:numId w:val="36"/>
        </w:numPr>
        <w:tabs>
          <w:tab w:val="left" w:pos="1080"/>
        </w:tabs>
        <w:ind w:left="1260" w:hanging="540"/>
        <w:jc w:val="both"/>
      </w:pPr>
      <w:r w:rsidRPr="0091032B">
        <w:rPr>
          <w:rFonts w:eastAsia="Times New Roman"/>
        </w:rPr>
        <w:t>Pretendimi për cenimin e</w:t>
      </w:r>
      <w:r w:rsidRPr="0091032B">
        <w:rPr>
          <w:rFonts w:eastAsia="Times New Roman"/>
          <w:i/>
        </w:rPr>
        <w:t xml:space="preserve"> së drejtës së aksesit </w:t>
      </w:r>
      <w:r w:rsidR="00AC05A2" w:rsidRPr="004B737B">
        <w:rPr>
          <w:rFonts w:eastAsia="Times New Roman"/>
        </w:rPr>
        <w:t xml:space="preserve">dhe </w:t>
      </w:r>
      <w:r w:rsidR="00C10323" w:rsidRPr="0091032B">
        <w:rPr>
          <w:rFonts w:eastAsia="Times New Roman"/>
          <w:i/>
        </w:rPr>
        <w:t xml:space="preserve">standardit të </w:t>
      </w:r>
      <w:r w:rsidR="00AC05A2" w:rsidRPr="0091032B">
        <w:rPr>
          <w:rFonts w:eastAsia="Times New Roman"/>
          <w:i/>
        </w:rPr>
        <w:t xml:space="preserve">arsyetimit të vendimit gjyqësor </w:t>
      </w:r>
      <w:r w:rsidRPr="0091032B">
        <w:rPr>
          <w:rFonts w:eastAsia="Times New Roman"/>
        </w:rPr>
        <w:t>është i pabazuar</w:t>
      </w:r>
      <w:r w:rsidR="00C10323" w:rsidRPr="0091032B">
        <w:rPr>
          <w:rFonts w:eastAsia="Times New Roman"/>
        </w:rPr>
        <w:t>,</w:t>
      </w:r>
      <w:r w:rsidR="00E6464D" w:rsidRPr="0091032B">
        <w:rPr>
          <w:rFonts w:eastAsia="Times New Roman"/>
          <w:i/>
        </w:rPr>
        <w:t xml:space="preserve"> </w:t>
      </w:r>
      <w:r w:rsidR="00E6464D" w:rsidRPr="0091032B">
        <w:rPr>
          <w:rFonts w:eastAsia="Times New Roman"/>
        </w:rPr>
        <w:t xml:space="preserve">pasi </w:t>
      </w:r>
      <w:r w:rsidRPr="0091032B">
        <w:rPr>
          <w:rFonts w:eastAsia="Times New Roman"/>
        </w:rPr>
        <w:t xml:space="preserve">kërkuesja nuk </w:t>
      </w:r>
      <w:r w:rsidR="00E6464D" w:rsidRPr="0091032B">
        <w:rPr>
          <w:rFonts w:eastAsia="Times New Roman"/>
        </w:rPr>
        <w:t xml:space="preserve">ka </w:t>
      </w:r>
      <w:r w:rsidRPr="0091032B">
        <w:rPr>
          <w:rFonts w:eastAsia="Times New Roman"/>
        </w:rPr>
        <w:t>arrit</w:t>
      </w:r>
      <w:r w:rsidR="00E6464D" w:rsidRPr="0091032B">
        <w:rPr>
          <w:rFonts w:eastAsia="Times New Roman"/>
        </w:rPr>
        <w:t>ur</w:t>
      </w:r>
      <w:r w:rsidRPr="0091032B">
        <w:rPr>
          <w:rFonts w:eastAsia="Times New Roman"/>
        </w:rPr>
        <w:t xml:space="preserve"> të provojë “të drejtën” mbi të cilën bazohej kërkimi gjyqësor dhe legjitimimin aktiv</w:t>
      </w:r>
      <w:r w:rsidR="00E6464D" w:rsidRPr="0091032B">
        <w:rPr>
          <w:rFonts w:eastAsia="Times New Roman"/>
        </w:rPr>
        <w:t xml:space="preserve"> në proces</w:t>
      </w:r>
      <w:r w:rsidRPr="0091032B">
        <w:rPr>
          <w:rFonts w:eastAsia="Times New Roman"/>
        </w:rPr>
        <w:t xml:space="preserve">, në mënyrë që të vijohej </w:t>
      </w:r>
      <w:r w:rsidR="00E6464D" w:rsidRPr="0091032B">
        <w:rPr>
          <w:rFonts w:eastAsia="Times New Roman"/>
        </w:rPr>
        <w:t>me</w:t>
      </w:r>
      <w:r w:rsidRPr="0091032B">
        <w:rPr>
          <w:rFonts w:eastAsia="Times New Roman"/>
        </w:rPr>
        <w:t xml:space="preserve"> përcaktimi</w:t>
      </w:r>
      <w:r w:rsidR="00E6464D" w:rsidRPr="0091032B">
        <w:rPr>
          <w:rFonts w:eastAsia="Times New Roman"/>
        </w:rPr>
        <w:t>n e</w:t>
      </w:r>
      <w:r w:rsidRPr="0091032B">
        <w:rPr>
          <w:rFonts w:eastAsia="Times New Roman"/>
        </w:rPr>
        <w:t xml:space="preserve"> vlerës së dëmit sipas ekspertizës së kryer. Pretendimet e kërkueses se Gjykata e Lartë nuk ka konsideruar ekspertizën dhe se </w:t>
      </w:r>
      <w:r w:rsidR="00BC7652" w:rsidRPr="0091032B">
        <w:rPr>
          <w:rFonts w:eastAsia="Times New Roman"/>
        </w:rPr>
        <w:t xml:space="preserve">ka </w:t>
      </w:r>
      <w:r w:rsidRPr="0091032B">
        <w:rPr>
          <w:rFonts w:eastAsia="Times New Roman"/>
        </w:rPr>
        <w:t xml:space="preserve">shmangur shqyrtimin material </w:t>
      </w:r>
      <w:r w:rsidR="00BC7652" w:rsidRPr="0091032B">
        <w:rPr>
          <w:rFonts w:eastAsia="Times New Roman"/>
        </w:rPr>
        <w:t xml:space="preserve">të pretendimeve </w:t>
      </w:r>
      <w:r w:rsidRPr="0091032B">
        <w:rPr>
          <w:rFonts w:eastAsia="Times New Roman"/>
        </w:rPr>
        <w:t xml:space="preserve">janë të pabazuara. Kërkuesja ngatërron legjitimitetin aktiv në kuptimin substancial/material me </w:t>
      </w:r>
      <w:r w:rsidR="00BC7652" w:rsidRPr="0091032B">
        <w:rPr>
          <w:rFonts w:eastAsia="Times New Roman"/>
        </w:rPr>
        <w:t xml:space="preserve">atë </w:t>
      </w:r>
      <w:r w:rsidRPr="0091032B">
        <w:rPr>
          <w:rFonts w:eastAsia="Times New Roman"/>
        </w:rPr>
        <w:t>formal/procedural. Pretendimet e kërkueses janë rrëzuar edhe gjatë procesit penal të nisur pas kallëzimit të saj kundër Bankës së Tiranës, për të cil</w:t>
      </w:r>
      <w:r w:rsidR="00BC7652" w:rsidRPr="0091032B">
        <w:rPr>
          <w:rFonts w:eastAsia="Times New Roman"/>
        </w:rPr>
        <w:t xml:space="preserve">in </w:t>
      </w:r>
      <w:r w:rsidRPr="0091032B">
        <w:rPr>
          <w:rFonts w:eastAsia="Times New Roman"/>
        </w:rPr>
        <w:t>është push</w:t>
      </w:r>
      <w:r w:rsidR="00BC7652" w:rsidRPr="0091032B">
        <w:rPr>
          <w:rFonts w:eastAsia="Times New Roman"/>
        </w:rPr>
        <w:t>uar</w:t>
      </w:r>
      <w:r w:rsidRPr="0091032B">
        <w:rPr>
          <w:rFonts w:eastAsia="Times New Roman"/>
        </w:rPr>
        <w:t xml:space="preserve"> çështj</w:t>
      </w:r>
      <w:r w:rsidR="00BC7652" w:rsidRPr="0091032B">
        <w:rPr>
          <w:rFonts w:eastAsia="Times New Roman"/>
        </w:rPr>
        <w:t>a</w:t>
      </w:r>
      <w:r w:rsidRPr="0091032B">
        <w:rPr>
          <w:rFonts w:eastAsia="Times New Roman"/>
        </w:rPr>
        <w:t xml:space="preserve"> penale.</w:t>
      </w:r>
      <w:r w:rsidR="00AC05A2" w:rsidRPr="0091032B">
        <w:rPr>
          <w:rFonts w:eastAsia="Times New Roman"/>
        </w:rPr>
        <w:t xml:space="preserve"> Emri dhe marka tregtare e kërkueses nuk janë kundërshtuar dhe </w:t>
      </w:r>
      <w:r w:rsidR="004B737B">
        <w:rPr>
          <w:rFonts w:eastAsia="Times New Roman"/>
        </w:rPr>
        <w:t xml:space="preserve">as </w:t>
      </w:r>
      <w:r w:rsidR="0085180A" w:rsidRPr="0085180A">
        <w:rPr>
          <w:rFonts w:eastAsia="Times New Roman"/>
        </w:rPr>
        <w:t>nuk janë vënë në diskutim</w:t>
      </w:r>
      <w:r w:rsidR="0085180A">
        <w:rPr>
          <w:rFonts w:eastAsia="Times New Roman"/>
        </w:rPr>
        <w:t xml:space="preserve"> </w:t>
      </w:r>
      <w:r w:rsidR="00AC05A2" w:rsidRPr="0085180A">
        <w:rPr>
          <w:rFonts w:eastAsia="Times New Roman"/>
        </w:rPr>
        <w:t>gjatë procesit gjyqësor</w:t>
      </w:r>
      <w:r w:rsidR="00BC7652" w:rsidRPr="0085180A">
        <w:rPr>
          <w:rFonts w:eastAsia="Times New Roman"/>
        </w:rPr>
        <w:t>. T</w:t>
      </w:r>
      <w:r w:rsidR="00AC05A2" w:rsidRPr="0085180A">
        <w:rPr>
          <w:rFonts w:eastAsia="Times New Roman"/>
        </w:rPr>
        <w:t xml:space="preserve">ë drejtat që rrjedhin nga pronësia intelektuale/industriale nuk kanë qenë objekt gjykimi dhe subjekti i interesuar nuk ka kryer asnjë veprim që mund të cenojë të drejtën industriale të kërkueses. Vendimi i Gjykatës së Lartë i </w:t>
      </w:r>
      <w:r w:rsidR="00AC05A2" w:rsidRPr="0085180A">
        <w:rPr>
          <w:rFonts w:eastAsia="Times New Roman"/>
        </w:rPr>
        <w:lastRenderedPageBreak/>
        <w:t>plotëson të gjitha standardet e arsyetimit të vendimit gjyqësor të vendosura nga Gjykata.</w:t>
      </w:r>
    </w:p>
    <w:p w:rsidR="00AC05A2" w:rsidRPr="0091032B" w:rsidRDefault="0071191D" w:rsidP="00AC05A2">
      <w:pPr>
        <w:pStyle w:val="ListParagraph"/>
        <w:numPr>
          <w:ilvl w:val="1"/>
          <w:numId w:val="36"/>
        </w:numPr>
        <w:tabs>
          <w:tab w:val="left" w:pos="1080"/>
        </w:tabs>
        <w:ind w:left="1260" w:hanging="540"/>
        <w:jc w:val="both"/>
      </w:pPr>
      <w:r w:rsidRPr="0091032B">
        <w:rPr>
          <w:rFonts w:eastAsia="Times New Roman"/>
        </w:rPr>
        <w:t>Pretendimi për cenimin e</w:t>
      </w:r>
      <w:r w:rsidRPr="0091032B">
        <w:rPr>
          <w:rFonts w:eastAsia="Times New Roman"/>
          <w:i/>
        </w:rPr>
        <w:t xml:space="preserve"> parimit të barazisë së armëve </w:t>
      </w:r>
      <w:r w:rsidRPr="004B737B">
        <w:rPr>
          <w:rFonts w:eastAsia="Times New Roman"/>
        </w:rPr>
        <w:t>dhe</w:t>
      </w:r>
      <w:r w:rsidRPr="0091032B">
        <w:rPr>
          <w:rFonts w:eastAsia="Times New Roman"/>
          <w:i/>
        </w:rPr>
        <w:t xml:space="preserve"> barazisë përpara ligjit </w:t>
      </w:r>
      <w:r w:rsidRPr="0091032B">
        <w:rPr>
          <w:rFonts w:eastAsia="Times New Roman"/>
        </w:rPr>
        <w:t>është i pabazuar, pasi kërkuesja ka pasur në dispozicion dhe i ka ushtruar të gjitha mjetet procedurale</w:t>
      </w:r>
      <w:r w:rsidR="00562C2C" w:rsidRPr="0091032B">
        <w:rPr>
          <w:rFonts w:eastAsia="Times New Roman"/>
        </w:rPr>
        <w:t xml:space="preserve">, </w:t>
      </w:r>
      <w:r w:rsidRPr="0091032B">
        <w:rPr>
          <w:rFonts w:eastAsia="Times New Roman"/>
        </w:rPr>
        <w:t xml:space="preserve">duke gëzuar të njëjtat armë ligjore si </w:t>
      </w:r>
      <w:r w:rsidR="00E6464D" w:rsidRPr="0091032B">
        <w:rPr>
          <w:rFonts w:eastAsia="Times New Roman"/>
        </w:rPr>
        <w:t>pala tjetër në proces</w:t>
      </w:r>
      <w:r w:rsidRPr="0091032B">
        <w:rPr>
          <w:rFonts w:eastAsia="Times New Roman"/>
        </w:rPr>
        <w:t xml:space="preserve">. </w:t>
      </w:r>
      <w:r w:rsidR="00E6464D" w:rsidRPr="0091032B">
        <w:rPr>
          <w:rFonts w:eastAsia="Times New Roman"/>
        </w:rPr>
        <w:t xml:space="preserve">Asaj </w:t>
      </w:r>
      <w:r w:rsidR="00AC05A2" w:rsidRPr="0091032B">
        <w:rPr>
          <w:rFonts w:eastAsia="Times New Roman"/>
        </w:rPr>
        <w:t>nuk i është</w:t>
      </w:r>
      <w:r w:rsidRPr="0091032B">
        <w:rPr>
          <w:rFonts w:eastAsia="Times New Roman"/>
        </w:rPr>
        <w:t xml:space="preserve"> mohuar e drejta për të qenë e pranishme</w:t>
      </w:r>
      <w:r w:rsidR="00AC05A2" w:rsidRPr="0091032B">
        <w:rPr>
          <w:rFonts w:eastAsia="Times New Roman"/>
        </w:rPr>
        <w:t xml:space="preserve"> në proces</w:t>
      </w:r>
      <w:r w:rsidRPr="0091032B">
        <w:rPr>
          <w:rFonts w:eastAsia="Times New Roman"/>
        </w:rPr>
        <w:t>, për të depozituar prova dhe për t’u njohur me aktet e palës tjetër.</w:t>
      </w:r>
    </w:p>
    <w:p w:rsidR="00AC05A2" w:rsidRPr="0091032B" w:rsidRDefault="0071191D" w:rsidP="00AC05A2">
      <w:pPr>
        <w:pStyle w:val="ListParagraph"/>
        <w:numPr>
          <w:ilvl w:val="1"/>
          <w:numId w:val="36"/>
        </w:numPr>
        <w:tabs>
          <w:tab w:val="left" w:pos="1080"/>
        </w:tabs>
        <w:ind w:left="1260" w:hanging="540"/>
        <w:jc w:val="both"/>
      </w:pPr>
      <w:r w:rsidRPr="0091032B">
        <w:rPr>
          <w:rFonts w:eastAsia="Times New Roman"/>
        </w:rPr>
        <w:t>Pretendimi për cenimin e</w:t>
      </w:r>
      <w:r w:rsidRPr="0091032B">
        <w:rPr>
          <w:rFonts w:eastAsia="Times New Roman"/>
          <w:i/>
        </w:rPr>
        <w:t xml:space="preserve"> </w:t>
      </w:r>
      <w:r w:rsidR="00AC05A2" w:rsidRPr="0091032B">
        <w:rPr>
          <w:rFonts w:eastAsia="Times New Roman"/>
          <w:i/>
        </w:rPr>
        <w:t xml:space="preserve">parimit të </w:t>
      </w:r>
      <w:r w:rsidRPr="0091032B">
        <w:rPr>
          <w:rFonts w:eastAsia="Times New Roman"/>
          <w:i/>
        </w:rPr>
        <w:t>sigurisë juridike</w:t>
      </w:r>
      <w:r w:rsidRPr="0091032B">
        <w:rPr>
          <w:rFonts w:eastAsia="Times New Roman"/>
        </w:rPr>
        <w:t xml:space="preserve"> jo vetëm është i </w:t>
      </w:r>
      <w:r w:rsidR="00AC05A2" w:rsidRPr="0091032B">
        <w:rPr>
          <w:rFonts w:eastAsia="Times New Roman"/>
        </w:rPr>
        <w:t>pa</w:t>
      </w:r>
      <w:r w:rsidRPr="0091032B">
        <w:rPr>
          <w:rFonts w:eastAsia="Times New Roman"/>
        </w:rPr>
        <w:t>bazuar, por</w:t>
      </w:r>
      <w:r w:rsidR="00AC05A2" w:rsidRPr="0091032B">
        <w:rPr>
          <w:rFonts w:eastAsia="Times New Roman"/>
        </w:rPr>
        <w:t xml:space="preserve"> edhe </w:t>
      </w:r>
      <w:r w:rsidRPr="0091032B">
        <w:rPr>
          <w:rFonts w:eastAsia="Times New Roman"/>
        </w:rPr>
        <w:t xml:space="preserve">konfuz, pasi vendimi i të njëjtit </w:t>
      </w:r>
      <w:r w:rsidR="00562C2C" w:rsidRPr="0091032B">
        <w:rPr>
          <w:rFonts w:eastAsia="Times New Roman"/>
        </w:rPr>
        <w:t xml:space="preserve">kolegj </w:t>
      </w:r>
      <w:r w:rsidRPr="0091032B">
        <w:rPr>
          <w:rFonts w:eastAsia="Times New Roman"/>
        </w:rPr>
        <w:t xml:space="preserve">të Gjykatës së Lartë dhe jurisprudenca evropiane </w:t>
      </w:r>
      <w:r w:rsidR="00562C2C" w:rsidRPr="0091032B">
        <w:rPr>
          <w:rFonts w:eastAsia="Times New Roman"/>
        </w:rPr>
        <w:t xml:space="preserve">janë </w:t>
      </w:r>
      <w:r w:rsidRPr="0091032B">
        <w:rPr>
          <w:rFonts w:eastAsia="Times New Roman"/>
        </w:rPr>
        <w:t>shtrembëruar tërësisht. Në çështjen konkrete nuk ekziston asnjë vendim unifikues që të përcaktojë linjën e zbatueshme ligjore të zgjidhjes së çështjes</w:t>
      </w:r>
      <w:r w:rsidR="001E6779" w:rsidRPr="0091032B">
        <w:rPr>
          <w:rFonts w:eastAsia="Times New Roman"/>
        </w:rPr>
        <w:t>, sikundër</w:t>
      </w:r>
      <w:r w:rsidR="00AC05A2" w:rsidRPr="0091032B">
        <w:rPr>
          <w:rFonts w:eastAsia="Times New Roman"/>
        </w:rPr>
        <w:t xml:space="preserve"> as v</w:t>
      </w:r>
      <w:r w:rsidRPr="0091032B">
        <w:rPr>
          <w:rFonts w:eastAsia="Times New Roman"/>
        </w:rPr>
        <w:t>endime</w:t>
      </w:r>
      <w:r w:rsidR="0091032B" w:rsidRPr="0091032B">
        <w:rPr>
          <w:rFonts w:eastAsia="Times New Roman"/>
        </w:rPr>
        <w:t xml:space="preserve"> </w:t>
      </w:r>
      <w:r w:rsidRPr="0091032B">
        <w:rPr>
          <w:rFonts w:eastAsia="Times New Roman"/>
        </w:rPr>
        <w:t>t</w:t>
      </w:r>
      <w:r w:rsidR="0091032B" w:rsidRPr="0091032B">
        <w:rPr>
          <w:rFonts w:eastAsia="Times New Roman"/>
        </w:rPr>
        <w:t>ë</w:t>
      </w:r>
      <w:r w:rsidRPr="0091032B">
        <w:rPr>
          <w:rFonts w:eastAsia="Times New Roman"/>
        </w:rPr>
        <w:t xml:space="preserve"> gjykatave evropiane, të cilat nuk janë të detyrueshme për t’u zbatuar nga Gjykata e Lartë</w:t>
      </w:r>
      <w:r w:rsidR="001E6779" w:rsidRPr="0091032B">
        <w:rPr>
          <w:rFonts w:eastAsia="Times New Roman"/>
        </w:rPr>
        <w:t xml:space="preserve">, </w:t>
      </w:r>
      <w:r w:rsidRPr="0091032B">
        <w:rPr>
          <w:rFonts w:eastAsia="Times New Roman"/>
        </w:rPr>
        <w:t xml:space="preserve">për </w:t>
      </w:r>
      <w:r w:rsidR="005E0D0D" w:rsidRPr="0091032B">
        <w:rPr>
          <w:rFonts w:eastAsia="Times New Roman"/>
        </w:rPr>
        <w:t xml:space="preserve">sa </w:t>
      </w:r>
      <w:r w:rsidR="00562C2C" w:rsidRPr="0091032B">
        <w:rPr>
          <w:rFonts w:eastAsia="Times New Roman"/>
        </w:rPr>
        <w:t xml:space="preserve">u </w:t>
      </w:r>
      <w:r w:rsidR="005E0D0D" w:rsidRPr="0091032B">
        <w:rPr>
          <w:rFonts w:eastAsia="Times New Roman"/>
        </w:rPr>
        <w:t xml:space="preserve">takon </w:t>
      </w:r>
      <w:r w:rsidRPr="0091032B">
        <w:rPr>
          <w:rFonts w:eastAsia="Times New Roman"/>
        </w:rPr>
        <w:t>pretendime</w:t>
      </w:r>
      <w:r w:rsidR="005E0D0D" w:rsidRPr="0091032B">
        <w:rPr>
          <w:rFonts w:eastAsia="Times New Roman"/>
        </w:rPr>
        <w:t>ve të</w:t>
      </w:r>
      <w:r w:rsidRPr="0091032B">
        <w:rPr>
          <w:rFonts w:eastAsia="Times New Roman"/>
        </w:rPr>
        <w:t xml:space="preserve"> përmbaruesve për shpërblim dëmi, si pasojë e veprimeve të konsideruara penguese të bankave.</w:t>
      </w:r>
    </w:p>
    <w:p w:rsidR="0071191D" w:rsidRPr="0091032B" w:rsidRDefault="00AC05A2" w:rsidP="00AC05A2">
      <w:pPr>
        <w:pStyle w:val="ListParagraph"/>
        <w:numPr>
          <w:ilvl w:val="1"/>
          <w:numId w:val="36"/>
        </w:numPr>
        <w:tabs>
          <w:tab w:val="left" w:pos="1080"/>
        </w:tabs>
        <w:ind w:left="1260" w:hanging="540"/>
        <w:jc w:val="both"/>
      </w:pPr>
      <w:r w:rsidRPr="0091032B">
        <w:rPr>
          <w:rFonts w:eastAsia="Times New Roman"/>
        </w:rPr>
        <w:t xml:space="preserve">I pabazuar është edhe pretendimi për </w:t>
      </w:r>
      <w:r w:rsidR="0071191D" w:rsidRPr="0091032B">
        <w:rPr>
          <w:rFonts w:eastAsia="Times New Roman"/>
        </w:rPr>
        <w:t>cenimin e</w:t>
      </w:r>
      <w:r w:rsidR="0071191D" w:rsidRPr="0091032B">
        <w:rPr>
          <w:rFonts w:eastAsia="Times New Roman"/>
          <w:i/>
        </w:rPr>
        <w:t xml:space="preserve"> së drejtës së pronës</w:t>
      </w:r>
      <w:r w:rsidRPr="0091032B">
        <w:rPr>
          <w:rFonts w:eastAsia="Times New Roman"/>
        </w:rPr>
        <w:t>,</w:t>
      </w:r>
      <w:r w:rsidR="0071191D" w:rsidRPr="0091032B">
        <w:rPr>
          <w:rFonts w:eastAsia="Times New Roman"/>
          <w:i/>
        </w:rPr>
        <w:t xml:space="preserve"> </w:t>
      </w:r>
      <w:r w:rsidR="0071191D" w:rsidRPr="0091032B">
        <w:rPr>
          <w:rFonts w:eastAsia="Times New Roman"/>
        </w:rPr>
        <w:t xml:space="preserve">pasi vlera e kuantifikuar e dëmit të kërkuar gjyqësisht nga </w:t>
      </w:r>
      <w:r w:rsidRPr="0091032B">
        <w:rPr>
          <w:rFonts w:eastAsia="Times New Roman"/>
        </w:rPr>
        <w:t>k</w:t>
      </w:r>
      <w:r w:rsidR="0071191D" w:rsidRPr="0091032B">
        <w:rPr>
          <w:rFonts w:eastAsia="Times New Roman"/>
        </w:rPr>
        <w:t xml:space="preserve">ërkuesja nuk përfshihet në nocionin </w:t>
      </w:r>
      <w:r w:rsidRPr="0091032B">
        <w:rPr>
          <w:rFonts w:eastAsia="Times New Roman"/>
        </w:rPr>
        <w:t>“</w:t>
      </w:r>
      <w:r w:rsidR="0071191D" w:rsidRPr="0091032B">
        <w:rPr>
          <w:rFonts w:eastAsia="Times New Roman"/>
        </w:rPr>
        <w:t>pronë</w:t>
      </w:r>
      <w:r w:rsidRPr="0091032B">
        <w:rPr>
          <w:rFonts w:eastAsia="Times New Roman"/>
        </w:rPr>
        <w:t>”</w:t>
      </w:r>
      <w:r w:rsidR="0071191D" w:rsidRPr="0091032B">
        <w:rPr>
          <w:rFonts w:eastAsia="Times New Roman"/>
        </w:rPr>
        <w:t xml:space="preserve"> në përputhje me kriteret jurisprudenciale</w:t>
      </w:r>
      <w:r w:rsidRPr="0091032B">
        <w:rPr>
          <w:rFonts w:eastAsia="Times New Roman"/>
        </w:rPr>
        <w:t xml:space="preserve">. </w:t>
      </w:r>
      <w:r w:rsidR="0071191D" w:rsidRPr="0091032B">
        <w:rPr>
          <w:rFonts w:eastAsia="Times New Roman"/>
        </w:rPr>
        <w:t>Kërkimet në kërkesëpadi dhe provat e depozituara lidhen me procesin e ekzekutimit të urdhrit të ekzekutimit nr. 9031</w:t>
      </w:r>
      <w:r w:rsidR="00995E3D" w:rsidRPr="0091032B">
        <w:rPr>
          <w:rFonts w:eastAsia="Times New Roman"/>
        </w:rPr>
        <w:t>/</w:t>
      </w:r>
      <w:r w:rsidR="0071191D" w:rsidRPr="0091032B">
        <w:rPr>
          <w:rFonts w:eastAsia="Times New Roman"/>
        </w:rPr>
        <w:t>2012, praktika e të cilit u është drejtuar 16 bankave të nivelit të dytë dhe jo vetëm Bankës së Tiranës, e cila ka pasur një aktivitet të kufizuar me KESH-in.</w:t>
      </w:r>
    </w:p>
    <w:p w:rsidR="004B4C8B" w:rsidRPr="0091032B" w:rsidRDefault="004B4C8B" w:rsidP="00AC05A2">
      <w:pPr>
        <w:pStyle w:val="ListParagraph"/>
        <w:numPr>
          <w:ilvl w:val="0"/>
          <w:numId w:val="36"/>
        </w:numPr>
        <w:tabs>
          <w:tab w:val="left" w:pos="1080"/>
          <w:tab w:val="left" w:pos="1170"/>
        </w:tabs>
        <w:ind w:left="0" w:firstLine="720"/>
        <w:jc w:val="both"/>
      </w:pPr>
      <w:bookmarkStart w:id="9" w:name="_Hlk147832158"/>
      <w:bookmarkEnd w:id="3"/>
      <w:r w:rsidRPr="0091032B">
        <w:rPr>
          <w:b/>
          <w:i/>
        </w:rPr>
        <w:t xml:space="preserve">Subjekti i interesuar, </w:t>
      </w:r>
      <w:r w:rsidR="00445DAF" w:rsidRPr="0091032B">
        <w:rPr>
          <w:b/>
          <w:i/>
        </w:rPr>
        <w:t>KESH-i</w:t>
      </w:r>
      <w:r w:rsidRPr="0091032B">
        <w:t>, nuk ka paraqitur parashtrime me shkrim edhe pse është njoftuar rregullisht.</w:t>
      </w:r>
    </w:p>
    <w:p w:rsidR="004B4C8B" w:rsidRPr="0091032B" w:rsidRDefault="004B4C8B" w:rsidP="004B4C8B">
      <w:pPr>
        <w:tabs>
          <w:tab w:val="left" w:pos="720"/>
        </w:tabs>
        <w:jc w:val="both"/>
      </w:pPr>
    </w:p>
    <w:p w:rsidR="004B4C8B" w:rsidRPr="0091032B" w:rsidRDefault="004B4C8B" w:rsidP="004B4C8B">
      <w:pPr>
        <w:tabs>
          <w:tab w:val="left" w:pos="1080"/>
          <w:tab w:val="left" w:pos="1530"/>
        </w:tabs>
        <w:suppressAutoHyphens/>
        <w:jc w:val="center"/>
        <w:rPr>
          <w:b/>
        </w:rPr>
      </w:pPr>
      <w:r w:rsidRPr="0091032B">
        <w:rPr>
          <w:b/>
        </w:rPr>
        <w:t>III</w:t>
      </w:r>
    </w:p>
    <w:p w:rsidR="004B4C8B" w:rsidRPr="0091032B" w:rsidRDefault="004B4C8B" w:rsidP="004B4C8B">
      <w:pPr>
        <w:tabs>
          <w:tab w:val="left" w:pos="1080"/>
          <w:tab w:val="left" w:pos="1530"/>
        </w:tabs>
        <w:suppressAutoHyphens/>
        <w:jc w:val="center"/>
        <w:rPr>
          <w:rFonts w:eastAsiaTheme="minorHAnsi"/>
          <w:b/>
        </w:rPr>
      </w:pPr>
      <w:r w:rsidRPr="0091032B">
        <w:rPr>
          <w:b/>
        </w:rPr>
        <w:t xml:space="preserve">Vlerësimi i </w:t>
      </w:r>
      <w:bookmarkStart w:id="10" w:name="_Hlk209599625"/>
      <w:bookmarkStart w:id="11" w:name="_Hlk172618604"/>
      <w:r w:rsidRPr="0091032B">
        <w:rPr>
          <w:rFonts w:eastAsiaTheme="minorHAnsi"/>
          <w:b/>
        </w:rPr>
        <w:t>Gjykatës Kushtetuese</w:t>
      </w:r>
    </w:p>
    <w:p w:rsidR="004B4C8B" w:rsidRPr="0091032B" w:rsidRDefault="004B4C8B" w:rsidP="004B4C8B">
      <w:pPr>
        <w:tabs>
          <w:tab w:val="left" w:pos="0"/>
        </w:tabs>
        <w:ind w:firstLine="720"/>
        <w:jc w:val="both"/>
        <w:rPr>
          <w:rFonts w:eastAsiaTheme="minorHAnsi"/>
          <w:i/>
        </w:rPr>
      </w:pPr>
      <w:r w:rsidRPr="0091032B">
        <w:rPr>
          <w:rFonts w:eastAsiaTheme="minorHAnsi"/>
          <w:i/>
        </w:rPr>
        <w:t>A. Për legjitimimin e kërkueses</w:t>
      </w:r>
    </w:p>
    <w:p w:rsidR="004B4C8B" w:rsidRPr="0091032B" w:rsidRDefault="004B4C8B" w:rsidP="00AC05A2">
      <w:pPr>
        <w:pStyle w:val="ListParagraph"/>
        <w:numPr>
          <w:ilvl w:val="0"/>
          <w:numId w:val="36"/>
        </w:numPr>
        <w:tabs>
          <w:tab w:val="left" w:pos="1080"/>
        </w:tabs>
        <w:ind w:left="0" w:firstLine="720"/>
        <w:jc w:val="both"/>
      </w:pPr>
      <w:r w:rsidRPr="0091032B">
        <w:t>Çësh</w:t>
      </w:r>
      <w:r w:rsidRPr="0091032B">
        <w:rPr>
          <w:lang w:bidi="en-US"/>
        </w:rPr>
        <w:t xml:space="preserve">tja e legjitimimit </w:t>
      </w:r>
      <w:r w:rsidRPr="0091032B">
        <w:rPr>
          <w:bCs/>
          <w:lang w:eastAsia="fr-FR"/>
        </w:rPr>
        <w:t>(</w:t>
      </w:r>
      <w:r w:rsidRPr="0091032B">
        <w:rPr>
          <w:bCs/>
          <w:i/>
          <w:lang w:eastAsia="fr-FR"/>
        </w:rPr>
        <w:t>locus standi</w:t>
      </w:r>
      <w:r w:rsidRPr="0091032B">
        <w:rPr>
          <w:lang w:eastAsia="fr-FR"/>
        </w:rPr>
        <w:t xml:space="preserve">) </w:t>
      </w:r>
      <w:r w:rsidRPr="0091032B">
        <w:rPr>
          <w:lang w:bidi="en-US"/>
        </w:rPr>
        <w:t xml:space="preserve">është një ndër aspektet kryesore që lidhet me nisjen e një procesi kushtetues. Sipas neneve 131, pika 1, shkronja “f” dhe 134, pikat 1, shkronja “i” dhe 2, të Kushtetutës, si dhe nenit 71 të ligjit nr. 8577/2000, çdo individ mund të vërë në lëvizje Gjykatën për gjykimin përfundimtar të ankesave kundër çdo akti të pushtetit publik ose vendimi gjyqësor që cenon të drejtat dhe liritë themelore të garantuara në Kushtetutë. </w:t>
      </w:r>
      <w:r w:rsidRPr="0091032B">
        <w:rPr>
          <w:rFonts w:eastAsia="Times New Roman"/>
        </w:rPr>
        <w:t xml:space="preserve">Ankimi kushtetues </w:t>
      </w:r>
      <w:r w:rsidRPr="0091032B">
        <w:rPr>
          <w:rFonts w:eastAsia="Times New Roman"/>
        </w:rPr>
        <w:lastRenderedPageBreak/>
        <w:t xml:space="preserve">individual, në çdo rast, duhet të plotësojë edhe kriteret kumulative të nenit 71/a të ligjit nr. 8577/2000, që lidhen me shterimin e mjeteve juridike, afatin e paraqitjes së kërkesës, pasojat negative të pësuara në mënyrë të drejtpërdrejtë e reale, si dhe mundësinë për rivendosjen e së drejtës së shkelur.  </w:t>
      </w:r>
    </w:p>
    <w:p w:rsidR="002C0EAA" w:rsidRPr="0091032B" w:rsidRDefault="00E80598" w:rsidP="00AC05A2">
      <w:pPr>
        <w:pStyle w:val="ListParagraph"/>
        <w:numPr>
          <w:ilvl w:val="0"/>
          <w:numId w:val="36"/>
        </w:numPr>
        <w:tabs>
          <w:tab w:val="left" w:pos="1080"/>
        </w:tabs>
        <w:ind w:left="0" w:firstLine="720"/>
        <w:jc w:val="both"/>
      </w:pPr>
      <w:r w:rsidRPr="0091032B">
        <w:t xml:space="preserve">Gjykata vlerëson se kërkuesja legjitimohet </w:t>
      </w:r>
      <w:r w:rsidRPr="0091032B">
        <w:rPr>
          <w:i/>
        </w:rPr>
        <w:t>ratione personae</w:t>
      </w:r>
      <w:r w:rsidRPr="0091032B">
        <w:t>, bazuar në nenet 131, pika 1, shkronja “f” dhe 134, pika 1, shkronja “i”, të Kushtetutës, pasi është palë ndërgjyqëse në proces</w:t>
      </w:r>
      <w:r w:rsidR="0068729B" w:rsidRPr="0091032B">
        <w:t xml:space="preserve">et </w:t>
      </w:r>
      <w:r w:rsidRPr="0091032B">
        <w:t>gjyqësor</w:t>
      </w:r>
      <w:r w:rsidR="0068729B" w:rsidRPr="0091032B">
        <w:t>e objekt të ankimit kushtetues</w:t>
      </w:r>
      <w:r w:rsidRPr="0091032B">
        <w:t>, ndaj justifikon interesin në çështjen e parashtruar.</w:t>
      </w:r>
      <w:r w:rsidR="0068729B" w:rsidRPr="0091032B">
        <w:t xml:space="preserve"> Për rrjedhojë, prapësimi i </w:t>
      </w:r>
      <w:r w:rsidR="002C0EAA" w:rsidRPr="0091032B">
        <w:rPr>
          <w:rFonts w:eastAsia="Times New Roman"/>
        </w:rPr>
        <w:t>subjekti</w:t>
      </w:r>
      <w:r w:rsidR="0068729B" w:rsidRPr="0091032B">
        <w:rPr>
          <w:rFonts w:eastAsia="Times New Roman"/>
        </w:rPr>
        <w:t>t të</w:t>
      </w:r>
      <w:r w:rsidR="002C0EAA" w:rsidRPr="0091032B">
        <w:rPr>
          <w:rFonts w:eastAsia="Times New Roman"/>
        </w:rPr>
        <w:t xml:space="preserve"> interesuar, Bank</w:t>
      </w:r>
      <w:r w:rsidR="0068729B" w:rsidRPr="0091032B">
        <w:rPr>
          <w:rFonts w:eastAsia="Times New Roman"/>
        </w:rPr>
        <w:t>ës</w:t>
      </w:r>
      <w:r w:rsidR="002C0EAA" w:rsidRPr="0091032B">
        <w:rPr>
          <w:rFonts w:eastAsia="Times New Roman"/>
        </w:rPr>
        <w:t xml:space="preserve"> </w:t>
      </w:r>
      <w:r w:rsidR="0068729B" w:rsidRPr="0091032B">
        <w:rPr>
          <w:rFonts w:eastAsia="Times New Roman"/>
        </w:rPr>
        <w:t>së</w:t>
      </w:r>
      <w:r w:rsidR="002C0EAA" w:rsidRPr="0091032B">
        <w:rPr>
          <w:rFonts w:eastAsia="Times New Roman"/>
        </w:rPr>
        <w:t xml:space="preserve"> Tiranës</w:t>
      </w:r>
      <w:r w:rsidR="0068729B" w:rsidRPr="0091032B">
        <w:rPr>
          <w:rFonts w:eastAsia="Times New Roman"/>
        </w:rPr>
        <w:t xml:space="preserve">, </w:t>
      </w:r>
      <w:r w:rsidR="00F677CA" w:rsidRPr="0091032B">
        <w:rPr>
          <w:rFonts w:eastAsia="Times New Roman"/>
        </w:rPr>
        <w:t xml:space="preserve">se </w:t>
      </w:r>
      <w:r w:rsidR="002C0EAA" w:rsidRPr="0091032B">
        <w:rPr>
          <w:rFonts w:eastAsia="Times New Roman"/>
        </w:rPr>
        <w:t xml:space="preserve">kërkuesja nuk </w:t>
      </w:r>
      <w:r w:rsidR="00F677CA" w:rsidRPr="0091032B">
        <w:rPr>
          <w:rFonts w:eastAsia="Times New Roman"/>
        </w:rPr>
        <w:t>legjitimohet</w:t>
      </w:r>
      <w:r w:rsidR="00562C2C" w:rsidRPr="0091032B">
        <w:rPr>
          <w:rFonts w:eastAsia="Times New Roman"/>
        </w:rPr>
        <w:t>,</w:t>
      </w:r>
      <w:r w:rsidR="00F677CA" w:rsidRPr="0091032B">
        <w:rPr>
          <w:rFonts w:eastAsia="Times New Roman"/>
        </w:rPr>
        <w:t xml:space="preserve"> pasi nuk </w:t>
      </w:r>
      <w:r w:rsidR="002C0EAA" w:rsidRPr="0091032B">
        <w:rPr>
          <w:rFonts w:eastAsia="Times New Roman"/>
        </w:rPr>
        <w:t xml:space="preserve">ka arritur të provojë </w:t>
      </w:r>
      <w:r w:rsidR="0068729B" w:rsidRPr="0091032B">
        <w:rPr>
          <w:rFonts w:eastAsia="Times New Roman"/>
        </w:rPr>
        <w:t xml:space="preserve">gjatë procesit gjyqësor të themelit </w:t>
      </w:r>
      <w:r w:rsidR="002C0EAA" w:rsidRPr="0091032B">
        <w:rPr>
          <w:rFonts w:eastAsia="Times New Roman"/>
        </w:rPr>
        <w:t>“të drejtën” mbi të cilën bazohej kërkimi gjyqësor dhe legjitimimin aktiv në proces,</w:t>
      </w:r>
      <w:r w:rsidR="0068729B" w:rsidRPr="0091032B">
        <w:rPr>
          <w:rFonts w:eastAsia="Times New Roman"/>
        </w:rPr>
        <w:t xml:space="preserve"> është i pabazuar</w:t>
      </w:r>
      <w:r w:rsidR="002C0EAA" w:rsidRPr="0091032B">
        <w:rPr>
          <w:rFonts w:eastAsia="Times New Roman"/>
        </w:rPr>
        <w:t>.</w:t>
      </w:r>
    </w:p>
    <w:p w:rsidR="00D64CA0" w:rsidRPr="0091032B" w:rsidRDefault="0068729B" w:rsidP="00D64CA0">
      <w:pPr>
        <w:pStyle w:val="ListParagraph"/>
        <w:numPr>
          <w:ilvl w:val="0"/>
          <w:numId w:val="36"/>
        </w:numPr>
        <w:tabs>
          <w:tab w:val="left" w:pos="1080"/>
        </w:tabs>
        <w:ind w:left="0" w:firstLine="720"/>
        <w:jc w:val="both"/>
      </w:pPr>
      <w:r w:rsidRPr="0091032B">
        <w:t>Po kështu</w:t>
      </w:r>
      <w:r w:rsidR="00562C2C" w:rsidRPr="0091032B">
        <w:t>,</w:t>
      </w:r>
      <w:r w:rsidRPr="0091032B">
        <w:t xml:space="preserve"> k</w:t>
      </w:r>
      <w:r w:rsidR="00E80598" w:rsidRPr="0091032B">
        <w:t xml:space="preserve">ërkuesja </w:t>
      </w:r>
      <w:r w:rsidR="004B4C8B" w:rsidRPr="0091032B">
        <w:t xml:space="preserve">ka </w:t>
      </w:r>
      <w:r w:rsidR="004B4C8B" w:rsidRPr="0091032B">
        <w:rPr>
          <w:i/>
        </w:rPr>
        <w:t>shteruar mjetet juridike efektive në dispozicion</w:t>
      </w:r>
      <w:r w:rsidR="004B4C8B" w:rsidRPr="0091032B">
        <w:t xml:space="preserve">, </w:t>
      </w:r>
      <w:r w:rsidR="00562C2C" w:rsidRPr="0091032B">
        <w:t xml:space="preserve">sepse </w:t>
      </w:r>
      <w:r w:rsidRPr="0091032B">
        <w:t>i është drejtuar Gjykatës pasi ka shteruar më parë</w:t>
      </w:r>
      <w:r w:rsidR="00F677CA" w:rsidRPr="0091032B">
        <w:t>, në formë dhe përmbajtje,</w:t>
      </w:r>
      <w:r w:rsidRPr="0091032B">
        <w:t xml:space="preserve"> mjetet e zakonshme të ankimit</w:t>
      </w:r>
      <w:r w:rsidR="00F677CA" w:rsidRPr="0091032B">
        <w:t>, si për sa i përket kërkimit për kohëzgjatjen e paarsyeshme të procesit gjyqësor</w:t>
      </w:r>
      <w:r w:rsidR="00DE5F62" w:rsidRPr="0091032B">
        <w:t>,</w:t>
      </w:r>
      <w:r w:rsidR="00F677CA" w:rsidRPr="0091032B">
        <w:t xml:space="preserve"> ashtu edhe </w:t>
      </w:r>
      <w:r w:rsidR="00AF4506">
        <w:t xml:space="preserve">atij </w:t>
      </w:r>
      <w:r w:rsidR="00F677CA" w:rsidRPr="0091032B">
        <w:t xml:space="preserve">për themelin e çështjes, për rrjedhojë nuk ka mjete të tjera në dispozicion përveç ankimit kushtetues individual. </w:t>
      </w:r>
    </w:p>
    <w:p w:rsidR="000F13C6" w:rsidRPr="0091032B" w:rsidRDefault="004B4C8B" w:rsidP="00D64CA0">
      <w:pPr>
        <w:pStyle w:val="ListParagraph"/>
        <w:numPr>
          <w:ilvl w:val="0"/>
          <w:numId w:val="36"/>
        </w:numPr>
        <w:tabs>
          <w:tab w:val="left" w:pos="1080"/>
        </w:tabs>
        <w:ind w:left="0" w:firstLine="720"/>
        <w:jc w:val="both"/>
      </w:pPr>
      <w:r w:rsidRPr="0091032B">
        <w:t xml:space="preserve">Kërkuesja legjitimohet edhe </w:t>
      </w:r>
      <w:r w:rsidRPr="0091032B">
        <w:rPr>
          <w:i/>
        </w:rPr>
        <w:t>ratione temporis</w:t>
      </w:r>
      <w:r w:rsidR="001E6779" w:rsidRPr="0091032B">
        <w:rPr>
          <w:i/>
        </w:rPr>
        <w:t xml:space="preserve"> </w:t>
      </w:r>
      <w:r w:rsidR="001E6779" w:rsidRPr="0091032B">
        <w:t>për të dyja kërkimet e ngritura në ankimin kushtetues individual</w:t>
      </w:r>
      <w:r w:rsidR="00D64CA0" w:rsidRPr="0091032B">
        <w:t xml:space="preserve">. </w:t>
      </w:r>
      <w:r w:rsidR="001E6779" w:rsidRPr="0091032B">
        <w:t xml:space="preserve">Lidhur me kërkimin </w:t>
      </w:r>
      <w:r w:rsidR="00ED691C" w:rsidRPr="0091032B">
        <w:t xml:space="preserve">e parë, </w:t>
      </w:r>
      <w:r w:rsidR="001E6779" w:rsidRPr="0091032B">
        <w:t>për konstatimin e cenimit të afatit të arsyeshëm</w:t>
      </w:r>
      <w:r w:rsidR="00AF4506">
        <w:t>,</w:t>
      </w:r>
      <w:r w:rsidR="00D64CA0" w:rsidRPr="0091032B">
        <w:t xml:space="preserve"> jo vetëm që shkelja është vazhduese, por ankimi kushtetues individual është paraqitur në datën 24.12.2024, kurse vendimi i datës 21.05.2024 i</w:t>
      </w:r>
      <w:r w:rsidR="0068729B" w:rsidRPr="0091032B">
        <w:t xml:space="preserve"> </w:t>
      </w:r>
      <w:r w:rsidR="000F13C6" w:rsidRPr="0091032B">
        <w:rPr>
          <w:bCs/>
        </w:rPr>
        <w:t>Kolegjit Administrativ të Gjykatës së Lartë</w:t>
      </w:r>
      <w:r w:rsidR="00D64CA0" w:rsidRPr="0091032B">
        <w:rPr>
          <w:bCs/>
        </w:rPr>
        <w:t xml:space="preserve">, </w:t>
      </w:r>
      <w:r w:rsidRPr="0091032B">
        <w:t xml:space="preserve">sipas shkresës të datës 16.09.2024 të </w:t>
      </w:r>
      <w:r w:rsidR="00D64CA0" w:rsidRPr="0091032B">
        <w:t xml:space="preserve">asaj gjykate, </w:t>
      </w:r>
      <w:r w:rsidRPr="0091032B">
        <w:t>është</w:t>
      </w:r>
      <w:r w:rsidR="00D64CA0" w:rsidRPr="0091032B">
        <w:t xml:space="preserve"> </w:t>
      </w:r>
      <w:r w:rsidR="00482331" w:rsidRPr="0091032B">
        <w:t xml:space="preserve">bërë i disponueshëm në datën 04.09.2024 kur është </w:t>
      </w:r>
      <w:r w:rsidR="00D64CA0" w:rsidRPr="0091032B">
        <w:t>publikuar në faqen zyrtare</w:t>
      </w:r>
      <w:r w:rsidR="00AF4506">
        <w:t xml:space="preserve"> të Gjykatës së Lartë</w:t>
      </w:r>
      <w:r w:rsidR="00D64CA0" w:rsidRPr="0091032B">
        <w:t xml:space="preserve">. Lidhur me kërkimin </w:t>
      </w:r>
      <w:r w:rsidR="00ED691C" w:rsidRPr="0091032B">
        <w:t xml:space="preserve">e dytë, </w:t>
      </w:r>
      <w:r w:rsidR="00D64CA0" w:rsidRPr="0091032B">
        <w:t>për</w:t>
      </w:r>
      <w:r w:rsidR="00F677CA" w:rsidRPr="0091032B">
        <w:t xml:space="preserve"> </w:t>
      </w:r>
      <w:r w:rsidR="00D64CA0" w:rsidRPr="0091032B">
        <w:t>procesin e themelit të çështjes</w:t>
      </w:r>
      <w:r w:rsidR="000F13C6" w:rsidRPr="0091032B">
        <w:t xml:space="preserve">, </w:t>
      </w:r>
      <w:r w:rsidR="00D64CA0" w:rsidRPr="0091032B">
        <w:rPr>
          <w:rFonts w:eastAsia="Times New Roman"/>
        </w:rPr>
        <w:t xml:space="preserve">ankimi kushtetues individual është paraqitur në </w:t>
      </w:r>
      <w:r w:rsidR="00D64CA0" w:rsidRPr="0091032B">
        <w:t>datën 25.02.2025</w:t>
      </w:r>
      <w:r w:rsidR="00562C2C" w:rsidRPr="0091032B">
        <w:t>,</w:t>
      </w:r>
      <w:r w:rsidR="00D64CA0" w:rsidRPr="0091032B">
        <w:t xml:space="preserve"> kurse vendimi i Kolegjit Civil që ka vendosur mospranimin e rekursi</w:t>
      </w:r>
      <w:r w:rsidR="00482331" w:rsidRPr="0091032B">
        <w:t>t</w:t>
      </w:r>
      <w:r w:rsidR="00D64CA0" w:rsidRPr="0091032B">
        <w:t xml:space="preserve">, i cili mban </w:t>
      </w:r>
      <w:r w:rsidR="000F13C6" w:rsidRPr="0091032B">
        <w:t>datë</w:t>
      </w:r>
      <w:r w:rsidR="00D64CA0" w:rsidRPr="0091032B">
        <w:t>n</w:t>
      </w:r>
      <w:r w:rsidR="000F13C6" w:rsidRPr="0091032B">
        <w:t xml:space="preserve"> </w:t>
      </w:r>
      <w:r w:rsidR="000F13C6" w:rsidRPr="0091032B">
        <w:rPr>
          <w:bCs/>
        </w:rPr>
        <w:t>11.09.2024</w:t>
      </w:r>
      <w:r w:rsidR="00D64CA0" w:rsidRPr="0091032B">
        <w:rPr>
          <w:bCs/>
        </w:rPr>
        <w:t xml:space="preserve">, </w:t>
      </w:r>
      <w:r w:rsidR="000F13C6" w:rsidRPr="0091032B">
        <w:rPr>
          <w:bCs/>
        </w:rPr>
        <w:t>sipas shkresës nr. 6423/1, datë 27.01.2025 të Gjykatës së Lartë</w:t>
      </w:r>
      <w:r w:rsidR="00D64CA0" w:rsidRPr="0091032B">
        <w:rPr>
          <w:bCs/>
        </w:rPr>
        <w:t xml:space="preserve">, </w:t>
      </w:r>
      <w:r w:rsidR="00A86D16" w:rsidRPr="0091032B">
        <w:rPr>
          <w:bCs/>
        </w:rPr>
        <w:t>është bërë i disponueshëm në datën 30.10.2024</w:t>
      </w:r>
      <w:r w:rsidR="00D64CA0" w:rsidRPr="0091032B">
        <w:rPr>
          <w:rFonts w:eastAsia="Times New Roman"/>
        </w:rPr>
        <w:t>. Për rrjedhojë</w:t>
      </w:r>
      <w:r w:rsidR="00562C2C" w:rsidRPr="0091032B">
        <w:rPr>
          <w:rFonts w:eastAsia="Times New Roman"/>
        </w:rPr>
        <w:t>,</w:t>
      </w:r>
      <w:r w:rsidR="00D64CA0" w:rsidRPr="0091032B">
        <w:rPr>
          <w:rFonts w:eastAsia="Times New Roman"/>
        </w:rPr>
        <w:t xml:space="preserve"> ankimi kushtetues i kërkueses është paraqitur brenda afatit </w:t>
      </w:r>
      <w:r w:rsidR="00855EC1" w:rsidRPr="0091032B">
        <w:rPr>
          <w:rFonts w:eastAsia="Times New Roman"/>
        </w:rPr>
        <w:t>4-</w:t>
      </w:r>
      <w:r w:rsidR="00D64CA0" w:rsidRPr="0091032B">
        <w:rPr>
          <w:rFonts w:eastAsia="Times New Roman"/>
        </w:rPr>
        <w:t>mujor të parashikuar nga</w:t>
      </w:r>
      <w:r w:rsidR="00D64CA0" w:rsidRPr="0091032B">
        <w:t xml:space="preserve"> neni 71/a, pika 1, shkronja “b”, i ligjit nr. 8577/2000. </w:t>
      </w:r>
      <w:r w:rsidR="00D64CA0" w:rsidRPr="0091032B">
        <w:rPr>
          <w:rFonts w:eastAsia="Times New Roman"/>
        </w:rPr>
        <w:t xml:space="preserve"> </w:t>
      </w:r>
    </w:p>
    <w:p w:rsidR="00F56CF7" w:rsidRDefault="00F042F9" w:rsidP="00F56CF7">
      <w:pPr>
        <w:pStyle w:val="ListParagraph"/>
        <w:numPr>
          <w:ilvl w:val="0"/>
          <w:numId w:val="36"/>
        </w:numPr>
        <w:tabs>
          <w:tab w:val="left" w:pos="1080"/>
        </w:tabs>
        <w:ind w:left="0" w:firstLine="720"/>
        <w:jc w:val="both"/>
      </w:pPr>
      <w:r w:rsidRPr="0091032B">
        <w:t xml:space="preserve">Në këndvështrim të legjitimimit </w:t>
      </w:r>
      <w:r w:rsidRPr="0091032B">
        <w:rPr>
          <w:i/>
        </w:rPr>
        <w:t>ratione materiae</w:t>
      </w:r>
      <w:r w:rsidRPr="0091032B">
        <w:t xml:space="preserve">, </w:t>
      </w:r>
      <w:r w:rsidR="00F05C4F" w:rsidRPr="0091032B">
        <w:t xml:space="preserve">për sa i përket procesit </w:t>
      </w:r>
      <w:r w:rsidR="008675C2" w:rsidRPr="0091032B">
        <w:t xml:space="preserve">gjyqësor që ka shqyrtuar kërkesën </w:t>
      </w:r>
      <w:r w:rsidR="00F05C4F" w:rsidRPr="0091032B">
        <w:t xml:space="preserve">për kohëzgjatjen e paarsyeshme të procesit në Gjykatën e Lartë, </w:t>
      </w:r>
      <w:r w:rsidRPr="0091032B">
        <w:t xml:space="preserve">Gjykata </w:t>
      </w:r>
      <w:r w:rsidR="008675C2" w:rsidRPr="0091032B">
        <w:t>vëren s</w:t>
      </w:r>
      <w:r w:rsidRPr="0091032B">
        <w:t>e</w:t>
      </w:r>
      <w:r w:rsidR="002C0EAA" w:rsidRPr="0091032B">
        <w:t xml:space="preserve"> kërkuesja ka vënë edhe më parë në lëvizje juridiksionin kushtetues</w:t>
      </w:r>
      <w:r w:rsidR="008675C2" w:rsidRPr="0091032B">
        <w:t xml:space="preserve"> për këtë qëllim (</w:t>
      </w:r>
      <w:r w:rsidR="008675C2" w:rsidRPr="0091032B">
        <w:rPr>
          <w:i/>
        </w:rPr>
        <w:t>shih paragrafët 8-11 të vendimit</w:t>
      </w:r>
      <w:r w:rsidR="008675C2" w:rsidRPr="0091032B">
        <w:t xml:space="preserve">) dhe në vijim </w:t>
      </w:r>
      <w:r w:rsidR="002C0EAA" w:rsidRPr="0091032B">
        <w:t>i është drejtuar GJEDNJ-së</w:t>
      </w:r>
      <w:r w:rsidR="00C85222" w:rsidRPr="0091032B">
        <w:t>,</w:t>
      </w:r>
      <w:r w:rsidR="008675C2" w:rsidRPr="0091032B">
        <w:t xml:space="preserve"> duke pretenduar</w:t>
      </w:r>
      <w:r w:rsidR="002C0EAA" w:rsidRPr="0091032B">
        <w:t xml:space="preserve"> cenimin e neneve 6, pika 1 dhe 13 të </w:t>
      </w:r>
      <w:r w:rsidR="00AF4506">
        <w:t>KEDNJ-së</w:t>
      </w:r>
      <w:r w:rsidR="002C0EAA" w:rsidRPr="0091032B">
        <w:t xml:space="preserve"> </w:t>
      </w:r>
      <w:r w:rsidR="008675C2" w:rsidRPr="0091032B">
        <w:t xml:space="preserve">për shkak të </w:t>
      </w:r>
      <w:r w:rsidR="002C0EAA" w:rsidRPr="0091032B">
        <w:t>kohëzgjatje</w:t>
      </w:r>
      <w:r w:rsidR="008675C2" w:rsidRPr="0091032B">
        <w:t>s së</w:t>
      </w:r>
      <w:r w:rsidR="002C0EAA" w:rsidRPr="0091032B">
        <w:t xml:space="preserve"> paarsyeshme të proceseve </w:t>
      </w:r>
      <w:r w:rsidR="002C0EAA" w:rsidRPr="0091032B">
        <w:lastRenderedPageBreak/>
        <w:t xml:space="preserve">gjyqësore </w:t>
      </w:r>
      <w:r w:rsidR="008675C2" w:rsidRPr="0091032B">
        <w:t xml:space="preserve">ku ajo është palë </w:t>
      </w:r>
      <w:r w:rsidR="002C0EAA" w:rsidRPr="0091032B">
        <w:t xml:space="preserve">(kërkesat nr. 39860/19 dhe nr. 38996/20, </w:t>
      </w:r>
      <w:r w:rsidR="00AF4506">
        <w:t xml:space="preserve">ku </w:t>
      </w:r>
      <w:r w:rsidR="002C0EAA" w:rsidRPr="0091032B">
        <w:t>k</w:t>
      </w:r>
      <w:r w:rsidR="007A486F" w:rsidRPr="0091032B">
        <w:t>jo e</w:t>
      </w:r>
      <w:r w:rsidR="002C0EAA" w:rsidRPr="0091032B">
        <w:t xml:space="preserve"> fundit i përket procesit gjyqësor në shqyrtim). </w:t>
      </w:r>
      <w:r w:rsidR="008675C2" w:rsidRPr="0091032B">
        <w:t xml:space="preserve">Këto </w:t>
      </w:r>
      <w:r w:rsidR="002C0EAA" w:rsidRPr="0091032B">
        <w:t>dy kërkesa janë bashkuar edhe me dy kërkesa të tjera kundër shtetit shqiptar</w:t>
      </w:r>
      <w:r w:rsidR="008675C2" w:rsidRPr="0091032B">
        <w:t xml:space="preserve"> dhe në përfundim GJEDNJ-ja</w:t>
      </w:r>
      <w:r w:rsidR="002C0EAA" w:rsidRPr="0091032B">
        <w:t>, me vendimin e datës 27.05.2025</w:t>
      </w:r>
      <w:r w:rsidR="00562C2C" w:rsidRPr="0091032B">
        <w:t>,</w:t>
      </w:r>
      <w:r w:rsidR="002C0EAA" w:rsidRPr="0091032B">
        <w:t xml:space="preserve"> </w:t>
      </w:r>
      <w:r w:rsidR="008675C2" w:rsidRPr="0091032B">
        <w:t>k</w:t>
      </w:r>
      <w:r w:rsidR="002C0EAA" w:rsidRPr="0091032B">
        <w:t>a vendosur se ka pasur shkelje të nenit 6, pika 1 dhe nenit 13 të KEDNJ-së</w:t>
      </w:r>
      <w:r w:rsidR="007A486F" w:rsidRPr="0091032B">
        <w:t xml:space="preserve">. </w:t>
      </w:r>
      <w:r w:rsidR="008675C2" w:rsidRPr="0091032B">
        <w:t>Po kështu</w:t>
      </w:r>
      <w:r w:rsidR="00AF4506" w:rsidRPr="00AF4506">
        <w:t xml:space="preserve"> </w:t>
      </w:r>
      <w:r w:rsidR="00AF4506" w:rsidRPr="0091032B">
        <w:t>GJEDNJ-ja</w:t>
      </w:r>
      <w:r w:rsidR="008675C2" w:rsidRPr="0091032B">
        <w:t>, në zbatim të nenit 41 të K</w:t>
      </w:r>
      <w:r w:rsidR="00AF4506">
        <w:t>EDNJ-së</w:t>
      </w:r>
      <w:r w:rsidR="008675C2" w:rsidRPr="0091032B">
        <w:t xml:space="preserve">, i ka njohur kërkueses, në lidhje me kërkesën nr. 38996/20, </w:t>
      </w:r>
      <w:r w:rsidR="002C0EAA" w:rsidRPr="0091032B">
        <w:t>dëmin jopasuror në vlerën 2,400 euro dhe kostot e shpenzimet në vlerën 1,500 euro</w:t>
      </w:r>
      <w:r w:rsidR="00C85222" w:rsidRPr="0091032B">
        <w:t>,</w:t>
      </w:r>
      <w:r w:rsidR="008675C2" w:rsidRPr="0091032B">
        <w:t xml:space="preserve"> ndërkohë që </w:t>
      </w:r>
      <w:r w:rsidR="00C85222" w:rsidRPr="0091032B">
        <w:t xml:space="preserve">për </w:t>
      </w:r>
      <w:r w:rsidR="008675C2" w:rsidRPr="0091032B">
        <w:t xml:space="preserve">dëmin pasuror të pretenduar ka vlerësuar se nuk ka gjetur ndonjë lidhje midis tij dhe shkeljeve të konstatuara. </w:t>
      </w:r>
    </w:p>
    <w:p w:rsidR="00254037" w:rsidRPr="0091032B" w:rsidRDefault="00F56CF7" w:rsidP="00F56CF7">
      <w:pPr>
        <w:pStyle w:val="ListParagraph"/>
        <w:numPr>
          <w:ilvl w:val="0"/>
          <w:numId w:val="36"/>
        </w:numPr>
        <w:tabs>
          <w:tab w:val="left" w:pos="1080"/>
        </w:tabs>
        <w:ind w:left="0" w:firstLine="720"/>
        <w:jc w:val="both"/>
      </w:pPr>
      <w:r>
        <w:t>Sipas nenit 71/a, pika 1, shkronja “ç”, të ligjit nr. 8577/2000</w:t>
      </w:r>
      <w:r w:rsidR="00697A17" w:rsidRPr="0091032B">
        <w:t>,</w:t>
      </w:r>
      <w:r>
        <w:t xml:space="preserve"> ankimi kushtetues shqyrtohet nga Gjykata kur shqyrtimi i çështjes prej saj do të mund të rivendoste në vend të drejtën e shkelur të individit. Gjykata vëren</w:t>
      </w:r>
      <w:r w:rsidR="00697A17" w:rsidRPr="0091032B">
        <w:t xml:space="preserve"> </w:t>
      </w:r>
      <w:r w:rsidR="00D64CA0" w:rsidRPr="0091032B">
        <w:t xml:space="preserve">se vendimi i GJEDNJ-së në çështjen e kërkueses </w:t>
      </w:r>
      <w:r w:rsidR="00697A17" w:rsidRPr="0091032B">
        <w:t xml:space="preserve">është dhënë në datën 27.05.2025, pra </w:t>
      </w:r>
      <w:r w:rsidR="00D64CA0" w:rsidRPr="0091032B">
        <w:t xml:space="preserve">pasi </w:t>
      </w:r>
      <w:r w:rsidR="00697A17" w:rsidRPr="0091032B">
        <w:t xml:space="preserve">ankimi kushtetues </w:t>
      </w:r>
      <w:r w:rsidR="00AF4506">
        <w:t xml:space="preserve">i kërkueses </w:t>
      </w:r>
      <w:r w:rsidR="00697A17" w:rsidRPr="0091032B">
        <w:t xml:space="preserve">ishte shqyrtuar nga </w:t>
      </w:r>
      <w:r w:rsidR="00C85222" w:rsidRPr="0091032B">
        <w:t xml:space="preserve">Kolegji </w:t>
      </w:r>
      <w:r w:rsidR="00697A17" w:rsidRPr="0091032B">
        <w:t>i Gjykatës dhe ky i fundit, me vendimin e datës 05.03.2025</w:t>
      </w:r>
      <w:r w:rsidR="00C85222" w:rsidRPr="0091032B">
        <w:t>,</w:t>
      </w:r>
      <w:r w:rsidR="00697A17" w:rsidRPr="0091032B">
        <w:t xml:space="preserve"> kishte vendosur kalimin e çështjes për shqyrtim në seancë plenare. Gjykata vëren, gjithashtu, se e drejta themelore që është kërkuar të rivendoset me ankimin kushtetues individual, është rivendosur tashmë nga GJEDNJ-ja, e cila jo vetëm që ka konstatuar shkeljen</w:t>
      </w:r>
      <w:r w:rsidR="007A486F" w:rsidRPr="0091032B">
        <w:t xml:space="preserve"> e së drejtës </w:t>
      </w:r>
      <w:r w:rsidR="00697A17" w:rsidRPr="0091032B">
        <w:t xml:space="preserve">së kërkueses </w:t>
      </w:r>
      <w:r w:rsidR="007A486F" w:rsidRPr="0091032B">
        <w:t xml:space="preserve">për proces të rregullt në drejtim të kohëzgjatjes së </w:t>
      </w:r>
      <w:r w:rsidR="0079357C" w:rsidRPr="0091032B">
        <w:t>pa</w:t>
      </w:r>
      <w:r w:rsidR="007A486F" w:rsidRPr="0091032B">
        <w:t xml:space="preserve">arsyeshme të procesit </w:t>
      </w:r>
      <w:r w:rsidR="0079357C" w:rsidRPr="0091032B">
        <w:t>në Gjykatën e Lartë</w:t>
      </w:r>
      <w:r w:rsidR="00D919C7" w:rsidRPr="0091032B">
        <w:t>,</w:t>
      </w:r>
      <w:r w:rsidR="0079357C" w:rsidRPr="0091032B">
        <w:t xml:space="preserve"> </w:t>
      </w:r>
      <w:r w:rsidR="007A486F" w:rsidRPr="0091032B">
        <w:t xml:space="preserve">por </w:t>
      </w:r>
      <w:r w:rsidR="00697A17" w:rsidRPr="0091032B">
        <w:t xml:space="preserve">i ka </w:t>
      </w:r>
      <w:r w:rsidR="007A486F" w:rsidRPr="0091032B">
        <w:t xml:space="preserve">njohur </w:t>
      </w:r>
      <w:r w:rsidR="00697A17" w:rsidRPr="0091032B">
        <w:t xml:space="preserve">asaj </w:t>
      </w:r>
      <w:r w:rsidR="007A486F" w:rsidRPr="0091032B">
        <w:t>edhe shpërblimi</w:t>
      </w:r>
      <w:r w:rsidR="00697A17" w:rsidRPr="0091032B">
        <w:t>n e</w:t>
      </w:r>
      <w:r w:rsidR="007A486F" w:rsidRPr="0091032B">
        <w:t xml:space="preserve"> </w:t>
      </w:r>
      <w:r>
        <w:t xml:space="preserve">drejtë për </w:t>
      </w:r>
      <w:r w:rsidR="007A486F" w:rsidRPr="0091032B">
        <w:t>dëmi</w:t>
      </w:r>
      <w:r>
        <w:t>n e</w:t>
      </w:r>
      <w:r w:rsidR="007A486F" w:rsidRPr="0091032B">
        <w:t xml:space="preserve"> shkaktuar nga </w:t>
      </w:r>
      <w:r>
        <w:t>k</w:t>
      </w:r>
      <w:r w:rsidR="0079357C" w:rsidRPr="0091032B">
        <w:t xml:space="preserve">jo </w:t>
      </w:r>
      <w:r w:rsidR="007A486F" w:rsidRPr="0091032B">
        <w:t>vones</w:t>
      </w:r>
      <w:r w:rsidR="0079357C" w:rsidRPr="0091032B">
        <w:t>ë</w:t>
      </w:r>
      <w:r w:rsidR="00697A17" w:rsidRPr="0091032B">
        <w:t xml:space="preserve">. Duke pasur parasysh </w:t>
      </w:r>
      <w:r w:rsidR="00AF4506">
        <w:t xml:space="preserve">qëllimin e </w:t>
      </w:r>
      <w:r w:rsidR="00697A17" w:rsidRPr="0091032B">
        <w:t>mjete</w:t>
      </w:r>
      <w:r w:rsidR="00AF4506">
        <w:t xml:space="preserve">ve juridike </w:t>
      </w:r>
      <w:r w:rsidR="00697A17" w:rsidRPr="0091032B">
        <w:t>që ofron legjislacioni në fuqi, që janë përshpejtimi i gjykimit dhe shpërblimi i dëmit në rastet e konstatimit të tejzgjatjes së procesit gjyqësor</w:t>
      </w:r>
      <w:r w:rsidR="0079357C" w:rsidRPr="0091032B">
        <w:t xml:space="preserve">, </w:t>
      </w:r>
      <w:r w:rsidR="00ED691C" w:rsidRPr="0091032B">
        <w:t xml:space="preserve">Gjykata vëren se </w:t>
      </w:r>
      <w:r>
        <w:t xml:space="preserve">përmes </w:t>
      </w:r>
      <w:r w:rsidR="00697A17" w:rsidRPr="0091032B">
        <w:t>ankimit kushtetues individual</w:t>
      </w:r>
      <w:r>
        <w:t xml:space="preserve"> të paraqitur</w:t>
      </w:r>
      <w:r w:rsidR="00697A17" w:rsidRPr="0091032B">
        <w:t xml:space="preserve"> </w:t>
      </w:r>
      <w:r w:rsidR="00ED691C" w:rsidRPr="0091032B">
        <w:t xml:space="preserve">pas përfundimit të shqyrtimit të rekursit në Gjykatën e Lartë </w:t>
      </w:r>
      <w:r>
        <w:t xml:space="preserve">kërkuesja </w:t>
      </w:r>
      <w:r w:rsidR="00ED691C" w:rsidRPr="0091032B">
        <w:t xml:space="preserve">ka synuar pikërisht konstatimin e cenimit të së drejtës për një gjykim brenda një afati të arsyeshëm, me qëllim njohjen e shpërblimit të drejtë sipas dispozitave përkatëse të KPC-së. </w:t>
      </w:r>
      <w:r w:rsidR="0079357C" w:rsidRPr="0091032B">
        <w:t>Për rrjedhojë,</w:t>
      </w:r>
      <w:r>
        <w:t xml:space="preserve"> n</w:t>
      </w:r>
      <w:r w:rsidR="00697A17" w:rsidRPr="0091032B">
        <w:t xml:space="preserve">ë </w:t>
      </w:r>
      <w:r w:rsidR="00ED691C" w:rsidRPr="0091032B">
        <w:t xml:space="preserve">kuptim të </w:t>
      </w:r>
      <w:r w:rsidR="00697A17" w:rsidRPr="0091032B">
        <w:t>neni</w:t>
      </w:r>
      <w:r w:rsidR="00ED691C" w:rsidRPr="0091032B">
        <w:t>t</w:t>
      </w:r>
      <w:r w:rsidR="00697A17" w:rsidRPr="0091032B">
        <w:t xml:space="preserve"> 71/a, pika 1, shkronja “ç”, të ligjit nr. 8577/2000</w:t>
      </w:r>
      <w:r>
        <w:t xml:space="preserve">, kërkimi i parë i kërkueses si më sipër nuk mund të merret në shqyrtim. </w:t>
      </w:r>
    </w:p>
    <w:p w:rsidR="00B72446" w:rsidRPr="0091032B" w:rsidRDefault="00A86D16" w:rsidP="0004298A">
      <w:pPr>
        <w:pStyle w:val="ListParagraph"/>
        <w:numPr>
          <w:ilvl w:val="0"/>
          <w:numId w:val="36"/>
        </w:numPr>
        <w:tabs>
          <w:tab w:val="left" w:pos="1080"/>
        </w:tabs>
        <w:ind w:left="0" w:firstLine="720"/>
        <w:jc w:val="both"/>
        <w:rPr>
          <w:i/>
        </w:rPr>
      </w:pPr>
      <w:r w:rsidRPr="0091032B">
        <w:rPr>
          <w:rFonts w:eastAsia="Times New Roman"/>
        </w:rPr>
        <w:t xml:space="preserve">Për sa i përket </w:t>
      </w:r>
      <w:r w:rsidR="00F56CF7">
        <w:rPr>
          <w:rFonts w:eastAsia="Times New Roman"/>
        </w:rPr>
        <w:t xml:space="preserve">kërkimit të dytë të ankimit kushtetues individual,  për </w:t>
      </w:r>
      <w:r w:rsidR="0079357C" w:rsidRPr="0091032B">
        <w:rPr>
          <w:rFonts w:eastAsia="Times New Roman"/>
        </w:rPr>
        <w:t>procesi</w:t>
      </w:r>
      <w:r w:rsidR="00F56CF7">
        <w:rPr>
          <w:rFonts w:eastAsia="Times New Roman"/>
        </w:rPr>
        <w:t>n e</w:t>
      </w:r>
      <w:r w:rsidR="0079357C" w:rsidRPr="0091032B">
        <w:rPr>
          <w:rFonts w:eastAsia="Times New Roman"/>
        </w:rPr>
        <w:t xml:space="preserve"> themelit të çështjes</w:t>
      </w:r>
      <w:r w:rsidR="00855EC1" w:rsidRPr="0091032B">
        <w:rPr>
          <w:rFonts w:eastAsia="Times New Roman"/>
        </w:rPr>
        <w:t>,</w:t>
      </w:r>
      <w:r w:rsidR="00944213" w:rsidRPr="0091032B">
        <w:rPr>
          <w:rFonts w:eastAsia="Times New Roman"/>
        </w:rPr>
        <w:t xml:space="preserve"> Gjykata vëren se edhe pse në objektin e ankimit kushtetues janë kundërshtuar vendimet gjyqësore të të tria shkallëve të gjykimit, </w:t>
      </w:r>
      <w:r w:rsidR="00B72446" w:rsidRPr="0091032B">
        <w:t xml:space="preserve">në përmbajtjen e tij janë ngritur pretendime </w:t>
      </w:r>
      <w:r w:rsidR="00944213" w:rsidRPr="0091032B">
        <w:t xml:space="preserve">vetëm për procesin gjyqësor të zhvilluar në </w:t>
      </w:r>
      <w:r w:rsidR="00B72446" w:rsidRPr="0091032B">
        <w:t>Gjykatë</w:t>
      </w:r>
      <w:r w:rsidR="00944213" w:rsidRPr="0091032B">
        <w:t>n e</w:t>
      </w:r>
      <w:r w:rsidR="00B72446" w:rsidRPr="0091032B">
        <w:t xml:space="preserve"> Lartë, </w:t>
      </w:r>
      <w:r w:rsidR="00944213" w:rsidRPr="0091032B">
        <w:t xml:space="preserve">në përfundim të të cilit është vendosur mospranimi i rekursit të paraqitur nga kërkuesja. </w:t>
      </w:r>
    </w:p>
    <w:p w:rsidR="00254037" w:rsidRPr="0091032B" w:rsidRDefault="00944213" w:rsidP="00254037">
      <w:pPr>
        <w:pStyle w:val="ListParagraph"/>
        <w:numPr>
          <w:ilvl w:val="0"/>
          <w:numId w:val="36"/>
        </w:numPr>
        <w:tabs>
          <w:tab w:val="left" w:pos="1080"/>
        </w:tabs>
        <w:ind w:left="0" w:firstLine="720"/>
        <w:jc w:val="both"/>
        <w:rPr>
          <w:i/>
        </w:rPr>
      </w:pPr>
      <w:r w:rsidRPr="0091032B">
        <w:rPr>
          <w:rFonts w:eastAsia="Times New Roman"/>
        </w:rPr>
        <w:t xml:space="preserve">Sipas </w:t>
      </w:r>
      <w:r w:rsidR="00A86D16" w:rsidRPr="0091032B">
        <w:rPr>
          <w:rFonts w:eastAsia="Times New Roman"/>
        </w:rPr>
        <w:t>kërkues</w:t>
      </w:r>
      <w:r w:rsidRPr="0091032B">
        <w:rPr>
          <w:rFonts w:eastAsia="Times New Roman"/>
        </w:rPr>
        <w:t>es</w:t>
      </w:r>
      <w:r w:rsidR="00C85222" w:rsidRPr="0091032B">
        <w:rPr>
          <w:rFonts w:eastAsia="Times New Roman"/>
        </w:rPr>
        <w:t>,</w:t>
      </w:r>
      <w:r w:rsidRPr="0091032B">
        <w:rPr>
          <w:rFonts w:eastAsia="Times New Roman"/>
        </w:rPr>
        <w:t xml:space="preserve"> janë</w:t>
      </w:r>
      <w:r w:rsidR="0079357C" w:rsidRPr="0091032B">
        <w:rPr>
          <w:rFonts w:eastAsia="Times New Roman"/>
        </w:rPr>
        <w:t xml:space="preserve"> </w:t>
      </w:r>
      <w:r w:rsidR="00A86D16" w:rsidRPr="0091032B">
        <w:rPr>
          <w:rFonts w:eastAsia="Times New Roman"/>
        </w:rPr>
        <w:t>cen</w:t>
      </w:r>
      <w:r w:rsidRPr="0091032B">
        <w:rPr>
          <w:rFonts w:eastAsia="Times New Roman"/>
        </w:rPr>
        <w:t xml:space="preserve">uar </w:t>
      </w:r>
      <w:r w:rsidRPr="00F56CF7">
        <w:rPr>
          <w:rFonts w:eastAsia="Times New Roman"/>
          <w:i/>
        </w:rPr>
        <w:t>e</w:t>
      </w:r>
      <w:r w:rsidR="00A86D16" w:rsidRPr="00F56CF7">
        <w:rPr>
          <w:rFonts w:eastAsia="Times New Roman"/>
          <w:i/>
        </w:rPr>
        <w:t xml:space="preserve"> drejt</w:t>
      </w:r>
      <w:r w:rsidRPr="00F56CF7">
        <w:rPr>
          <w:rFonts w:eastAsia="Times New Roman"/>
          <w:i/>
        </w:rPr>
        <w:t>a e</w:t>
      </w:r>
      <w:r w:rsidR="00A86D16" w:rsidRPr="00F56CF7">
        <w:rPr>
          <w:rFonts w:eastAsia="Times New Roman"/>
          <w:i/>
        </w:rPr>
        <w:t xml:space="preserve"> aksesit</w:t>
      </w:r>
      <w:r w:rsidR="0079357C" w:rsidRPr="0091032B">
        <w:rPr>
          <w:rFonts w:eastAsia="Times New Roman"/>
        </w:rPr>
        <w:t xml:space="preserve"> dhe </w:t>
      </w:r>
      <w:r w:rsidRPr="0091032B">
        <w:rPr>
          <w:rFonts w:eastAsia="Times New Roman"/>
        </w:rPr>
        <w:t xml:space="preserve">lidhur me të </w:t>
      </w:r>
      <w:r w:rsidR="0079357C" w:rsidRPr="00F56CF7">
        <w:rPr>
          <w:rFonts w:eastAsia="Times New Roman"/>
          <w:i/>
        </w:rPr>
        <w:t>standardi</w:t>
      </w:r>
      <w:r w:rsidRPr="00F56CF7">
        <w:rPr>
          <w:rFonts w:eastAsia="Times New Roman"/>
          <w:i/>
        </w:rPr>
        <w:t xml:space="preserve"> i</w:t>
      </w:r>
      <w:r w:rsidR="0079357C" w:rsidRPr="00F56CF7">
        <w:rPr>
          <w:rFonts w:eastAsia="Times New Roman"/>
          <w:i/>
        </w:rPr>
        <w:t xml:space="preserve"> arsyetimit të vendimit gjyqësor</w:t>
      </w:r>
      <w:r w:rsidR="00A86D16" w:rsidRPr="0091032B">
        <w:rPr>
          <w:rFonts w:eastAsia="Times New Roman"/>
        </w:rPr>
        <w:t xml:space="preserve">, </w:t>
      </w:r>
      <w:r w:rsidR="00A86D16" w:rsidRPr="00F56CF7">
        <w:rPr>
          <w:rFonts w:eastAsia="Times New Roman"/>
          <w:i/>
        </w:rPr>
        <w:t>parimi</w:t>
      </w:r>
      <w:r w:rsidRPr="00F56CF7">
        <w:rPr>
          <w:rFonts w:eastAsia="Times New Roman"/>
          <w:i/>
        </w:rPr>
        <w:t xml:space="preserve"> i</w:t>
      </w:r>
      <w:r w:rsidR="00A86D16" w:rsidRPr="00F56CF7">
        <w:rPr>
          <w:rFonts w:eastAsia="Times New Roman"/>
          <w:i/>
        </w:rPr>
        <w:t xml:space="preserve"> barazisë </w:t>
      </w:r>
      <w:r w:rsidR="0079357C" w:rsidRPr="00F56CF7">
        <w:rPr>
          <w:rFonts w:eastAsia="Times New Roman"/>
          <w:i/>
        </w:rPr>
        <w:t>së armëve</w:t>
      </w:r>
      <w:r w:rsidR="0079357C" w:rsidRPr="0091032B">
        <w:rPr>
          <w:rFonts w:eastAsia="Times New Roman"/>
        </w:rPr>
        <w:t xml:space="preserve"> dhe </w:t>
      </w:r>
      <w:r w:rsidR="00F56CF7">
        <w:rPr>
          <w:rFonts w:eastAsia="Times New Roman"/>
        </w:rPr>
        <w:t xml:space="preserve">ai </w:t>
      </w:r>
      <w:r w:rsidR="00F56CF7" w:rsidRPr="00F56CF7">
        <w:rPr>
          <w:rFonts w:eastAsia="Times New Roman"/>
          <w:i/>
        </w:rPr>
        <w:t>i</w:t>
      </w:r>
      <w:r w:rsidR="0079357C" w:rsidRPr="00F56CF7">
        <w:rPr>
          <w:rFonts w:eastAsia="Times New Roman"/>
          <w:i/>
        </w:rPr>
        <w:t xml:space="preserve"> barazisë </w:t>
      </w:r>
      <w:r w:rsidR="00A86D16" w:rsidRPr="00F56CF7">
        <w:rPr>
          <w:rFonts w:eastAsia="Times New Roman"/>
          <w:i/>
        </w:rPr>
        <w:t>përpara ligjit</w:t>
      </w:r>
      <w:r w:rsidR="00A86D16" w:rsidRPr="0091032B">
        <w:rPr>
          <w:rFonts w:eastAsia="Times New Roman"/>
        </w:rPr>
        <w:t xml:space="preserve">, </w:t>
      </w:r>
      <w:r w:rsidR="00A86D16" w:rsidRPr="00F56CF7">
        <w:rPr>
          <w:rFonts w:eastAsia="Times New Roman"/>
          <w:i/>
        </w:rPr>
        <w:t>parimi</w:t>
      </w:r>
      <w:r w:rsidRPr="00F56CF7">
        <w:rPr>
          <w:rFonts w:eastAsia="Times New Roman"/>
          <w:i/>
        </w:rPr>
        <w:t xml:space="preserve"> i</w:t>
      </w:r>
      <w:r w:rsidR="00A86D16" w:rsidRPr="00F56CF7">
        <w:rPr>
          <w:rFonts w:eastAsia="Times New Roman"/>
          <w:i/>
        </w:rPr>
        <w:t xml:space="preserve"> sigurisë </w:t>
      </w:r>
      <w:r w:rsidR="00A86D16" w:rsidRPr="00F56CF7">
        <w:rPr>
          <w:rFonts w:eastAsia="Times New Roman"/>
          <w:i/>
        </w:rPr>
        <w:lastRenderedPageBreak/>
        <w:t>juridike</w:t>
      </w:r>
      <w:r w:rsidR="00A86D16" w:rsidRPr="0091032B">
        <w:rPr>
          <w:rFonts w:eastAsia="Times New Roman"/>
        </w:rPr>
        <w:t xml:space="preserve">, </w:t>
      </w:r>
      <w:r w:rsidR="0079357C" w:rsidRPr="0091032B">
        <w:rPr>
          <w:rFonts w:eastAsia="Times New Roman"/>
        </w:rPr>
        <w:t xml:space="preserve">si dhe </w:t>
      </w:r>
      <w:r w:rsidRPr="00F56CF7">
        <w:rPr>
          <w:rFonts w:eastAsia="Times New Roman"/>
          <w:i/>
        </w:rPr>
        <w:t>e</w:t>
      </w:r>
      <w:r w:rsidR="0079357C" w:rsidRPr="00F56CF7">
        <w:rPr>
          <w:rFonts w:eastAsia="Times New Roman"/>
          <w:i/>
        </w:rPr>
        <w:t xml:space="preserve"> drejt</w:t>
      </w:r>
      <w:r w:rsidRPr="00F56CF7">
        <w:rPr>
          <w:rFonts w:eastAsia="Times New Roman"/>
          <w:i/>
        </w:rPr>
        <w:t>a</w:t>
      </w:r>
      <w:r w:rsidR="0079357C" w:rsidRPr="00F56CF7">
        <w:rPr>
          <w:rFonts w:eastAsia="Times New Roman"/>
          <w:i/>
        </w:rPr>
        <w:t xml:space="preserve"> </w:t>
      </w:r>
      <w:r w:rsidRPr="00F56CF7">
        <w:rPr>
          <w:rFonts w:eastAsia="Times New Roman"/>
          <w:i/>
        </w:rPr>
        <w:t>e</w:t>
      </w:r>
      <w:r w:rsidR="0079357C" w:rsidRPr="00F56CF7">
        <w:rPr>
          <w:rFonts w:eastAsia="Times New Roman"/>
          <w:i/>
        </w:rPr>
        <w:t xml:space="preserve"> pronës private</w:t>
      </w:r>
      <w:r w:rsidR="0079357C" w:rsidRPr="0091032B">
        <w:rPr>
          <w:rFonts w:eastAsia="Times New Roman"/>
        </w:rPr>
        <w:t xml:space="preserve">. Për sa u përket argumenteve mbi të cilat </w:t>
      </w:r>
      <w:r w:rsidR="00AE0C77">
        <w:rPr>
          <w:rFonts w:eastAsia="Times New Roman"/>
        </w:rPr>
        <w:t>janë</w:t>
      </w:r>
      <w:r w:rsidR="0079357C" w:rsidRPr="0091032B">
        <w:rPr>
          <w:rFonts w:eastAsia="Times New Roman"/>
        </w:rPr>
        <w:t xml:space="preserve"> mbështetur këto pretendime, Gjykata vëren se në drejtim të </w:t>
      </w:r>
      <w:r w:rsidR="00811684" w:rsidRPr="0091032B">
        <w:rPr>
          <w:rFonts w:eastAsia="Times New Roman"/>
          <w:i/>
          <w:iCs/>
          <w:shd w:val="clear" w:color="auto" w:fill="FFFFFF"/>
        </w:rPr>
        <w:t>p</w:t>
      </w:r>
      <w:r w:rsidR="0079357C" w:rsidRPr="0091032B">
        <w:rPr>
          <w:rFonts w:eastAsia="Times New Roman"/>
          <w:i/>
          <w:iCs/>
          <w:shd w:val="clear" w:color="auto" w:fill="FFFFFF"/>
        </w:rPr>
        <w:t>arimit të barazisë së armëve</w:t>
      </w:r>
      <w:r w:rsidR="00811684" w:rsidRPr="0091032B">
        <w:rPr>
          <w:rFonts w:eastAsia="Times New Roman"/>
          <w:i/>
          <w:iCs/>
          <w:shd w:val="clear" w:color="auto" w:fill="FFFFFF"/>
        </w:rPr>
        <w:t xml:space="preserve"> në proces </w:t>
      </w:r>
      <w:r w:rsidR="00811684" w:rsidRPr="00AE0C77">
        <w:rPr>
          <w:rFonts w:eastAsia="Times New Roman"/>
          <w:iCs/>
          <w:shd w:val="clear" w:color="auto" w:fill="FFFFFF"/>
        </w:rPr>
        <w:t>dhe atij</w:t>
      </w:r>
      <w:r w:rsidR="00811684" w:rsidRPr="0091032B">
        <w:rPr>
          <w:rFonts w:eastAsia="Times New Roman"/>
          <w:i/>
          <w:iCs/>
          <w:shd w:val="clear" w:color="auto" w:fill="FFFFFF"/>
        </w:rPr>
        <w:t xml:space="preserve"> të barazisë përpara ligjit</w:t>
      </w:r>
      <w:r w:rsidR="00811684" w:rsidRPr="0091032B">
        <w:rPr>
          <w:rFonts w:eastAsia="Times New Roman"/>
          <w:iCs/>
          <w:shd w:val="clear" w:color="auto" w:fill="FFFFFF"/>
        </w:rPr>
        <w:t xml:space="preserve"> kërkuesja ka pretenduar se </w:t>
      </w:r>
      <w:r w:rsidR="0079357C" w:rsidRPr="0091032B">
        <w:rPr>
          <w:rFonts w:eastAsia="Times New Roman"/>
          <w:iCs/>
          <w:shd w:val="clear" w:color="auto" w:fill="FFFFFF"/>
        </w:rPr>
        <w:t xml:space="preserve">Gjykata e Lartë duke rrëzuar argumentet e kërkueses ka favorizuar </w:t>
      </w:r>
      <w:r w:rsidR="00811684" w:rsidRPr="0091032B">
        <w:rPr>
          <w:rFonts w:eastAsia="Times New Roman"/>
          <w:iCs/>
          <w:shd w:val="clear" w:color="auto" w:fill="FFFFFF"/>
        </w:rPr>
        <w:t xml:space="preserve">veprimet procedurale të </w:t>
      </w:r>
      <w:r w:rsidR="0079357C" w:rsidRPr="0091032B">
        <w:rPr>
          <w:rFonts w:eastAsia="Times New Roman"/>
          <w:iCs/>
          <w:shd w:val="clear" w:color="auto" w:fill="FFFFFF"/>
        </w:rPr>
        <w:t>palë</w:t>
      </w:r>
      <w:r w:rsidR="00811684" w:rsidRPr="0091032B">
        <w:rPr>
          <w:rFonts w:eastAsia="Times New Roman"/>
          <w:iCs/>
          <w:shd w:val="clear" w:color="auto" w:fill="FFFFFF"/>
        </w:rPr>
        <w:t>s</w:t>
      </w:r>
      <w:r w:rsidR="0079357C" w:rsidRPr="0091032B">
        <w:rPr>
          <w:rFonts w:eastAsia="Times New Roman"/>
          <w:iCs/>
          <w:shd w:val="clear" w:color="auto" w:fill="FFFFFF"/>
        </w:rPr>
        <w:t xml:space="preserve"> </w:t>
      </w:r>
      <w:r w:rsidR="00811684" w:rsidRPr="0091032B">
        <w:rPr>
          <w:rFonts w:eastAsia="Times New Roman"/>
          <w:iCs/>
          <w:shd w:val="clear" w:color="auto" w:fill="FFFFFF"/>
        </w:rPr>
        <w:t>së</w:t>
      </w:r>
      <w:r w:rsidR="0079357C" w:rsidRPr="0091032B">
        <w:rPr>
          <w:rFonts w:eastAsia="Times New Roman"/>
          <w:iCs/>
          <w:shd w:val="clear" w:color="auto" w:fill="FFFFFF"/>
        </w:rPr>
        <w:t xml:space="preserve"> paditur</w:t>
      </w:r>
      <w:r w:rsidR="00811684" w:rsidRPr="0091032B">
        <w:rPr>
          <w:rFonts w:eastAsia="Times New Roman"/>
          <w:iCs/>
          <w:shd w:val="clear" w:color="auto" w:fill="FFFFFF"/>
        </w:rPr>
        <w:t xml:space="preserve"> në proces</w:t>
      </w:r>
      <w:r w:rsidR="0079357C" w:rsidRPr="0091032B">
        <w:rPr>
          <w:rFonts w:eastAsia="Times New Roman"/>
          <w:iCs/>
          <w:shd w:val="clear" w:color="auto" w:fill="FFFFFF"/>
        </w:rPr>
        <w:t>, Bankë</w:t>
      </w:r>
      <w:r w:rsidR="00811684" w:rsidRPr="0091032B">
        <w:rPr>
          <w:rFonts w:eastAsia="Times New Roman"/>
          <w:iCs/>
          <w:shd w:val="clear" w:color="auto" w:fill="FFFFFF"/>
        </w:rPr>
        <w:t>s së</w:t>
      </w:r>
      <w:r w:rsidR="0079357C" w:rsidRPr="0091032B">
        <w:rPr>
          <w:rFonts w:eastAsia="Times New Roman"/>
          <w:iCs/>
          <w:shd w:val="clear" w:color="auto" w:fill="FFFFFF"/>
        </w:rPr>
        <w:t xml:space="preserve"> Tiranës.</w:t>
      </w:r>
      <w:r w:rsidR="00811684" w:rsidRPr="0091032B">
        <w:rPr>
          <w:rFonts w:eastAsia="Times New Roman"/>
          <w:iCs/>
          <w:shd w:val="clear" w:color="auto" w:fill="FFFFFF"/>
        </w:rPr>
        <w:t xml:space="preserve"> </w:t>
      </w:r>
      <w:r w:rsidR="00650BD8" w:rsidRPr="0091032B">
        <w:rPr>
          <w:rFonts w:eastAsia="Times New Roman"/>
          <w:iCs/>
          <w:shd w:val="clear" w:color="auto" w:fill="FFFFFF"/>
        </w:rPr>
        <w:t xml:space="preserve">Po kështu, në drejtim të </w:t>
      </w:r>
      <w:r w:rsidR="00650BD8" w:rsidRPr="0091032B">
        <w:rPr>
          <w:rFonts w:eastAsia="Times New Roman"/>
          <w:i/>
          <w:iCs/>
          <w:shd w:val="clear" w:color="auto" w:fill="FFFFFF"/>
        </w:rPr>
        <w:t>së drejtës së pronës private</w:t>
      </w:r>
      <w:r w:rsidR="00650BD8" w:rsidRPr="0091032B">
        <w:rPr>
          <w:rFonts w:eastAsia="Times New Roman"/>
          <w:iCs/>
          <w:shd w:val="clear" w:color="auto" w:fill="FFFFFF"/>
        </w:rPr>
        <w:t>, kërkuesja ka pretenduar se Gjykata e Lartë ka dështuar të trajtojë pretendimet për humbjen ekonomike të shkaktuar nga veprimet e Bankës së Tiranës, pavarësisht provave</w:t>
      </w:r>
      <w:r w:rsidR="00AE0C77">
        <w:rPr>
          <w:rFonts w:eastAsia="Times New Roman"/>
          <w:iCs/>
          <w:shd w:val="clear" w:color="auto" w:fill="FFFFFF"/>
        </w:rPr>
        <w:t xml:space="preserve"> të paraqitura</w:t>
      </w:r>
      <w:r w:rsidR="00650BD8" w:rsidRPr="0091032B">
        <w:rPr>
          <w:rFonts w:eastAsia="Times New Roman"/>
          <w:iCs/>
          <w:shd w:val="clear" w:color="auto" w:fill="FFFFFF"/>
        </w:rPr>
        <w:t>, pa marrë në konsideratë argumentet e kërkueses. Për rrjedhojë, këto pretendime, për nga natyra e tyre</w:t>
      </w:r>
      <w:r w:rsidR="00DB090A" w:rsidRPr="0091032B">
        <w:rPr>
          <w:rFonts w:eastAsia="Times New Roman"/>
          <w:iCs/>
          <w:shd w:val="clear" w:color="auto" w:fill="FFFFFF"/>
        </w:rPr>
        <w:t>,</w:t>
      </w:r>
      <w:r w:rsidR="00650BD8" w:rsidRPr="0091032B">
        <w:rPr>
          <w:rFonts w:eastAsia="Times New Roman"/>
          <w:iCs/>
          <w:shd w:val="clear" w:color="auto" w:fill="FFFFFF"/>
        </w:rPr>
        <w:t xml:space="preserve"> kanë të bëjnë, në thelb, me mënyrën sesi Gjykata e Lartë ka shqyrtuar dhe arsyetuar pretendimet e kërkueses, ndaj do të shqyrtohen në </w:t>
      </w:r>
      <w:r w:rsidR="00AE0C77">
        <w:rPr>
          <w:rFonts w:eastAsia="Times New Roman"/>
          <w:iCs/>
          <w:shd w:val="clear" w:color="auto" w:fill="FFFFFF"/>
        </w:rPr>
        <w:t xml:space="preserve">vijim në </w:t>
      </w:r>
      <w:r w:rsidR="00650BD8" w:rsidRPr="0091032B">
        <w:rPr>
          <w:rFonts w:eastAsia="Times New Roman"/>
          <w:iCs/>
          <w:shd w:val="clear" w:color="auto" w:fill="FFFFFF"/>
        </w:rPr>
        <w:t xml:space="preserve">këndvështrim të </w:t>
      </w:r>
      <w:r w:rsidR="00650BD8" w:rsidRPr="0091032B">
        <w:rPr>
          <w:rFonts w:eastAsia="Times New Roman"/>
          <w:i/>
          <w:shd w:val="clear" w:color="auto" w:fill="FFFFFF"/>
        </w:rPr>
        <w:t xml:space="preserve">së drejtës së aksesit </w:t>
      </w:r>
      <w:r w:rsidR="00552C9E">
        <w:rPr>
          <w:rFonts w:eastAsia="Times New Roman"/>
          <w:shd w:val="clear" w:color="auto" w:fill="FFFFFF"/>
        </w:rPr>
        <w:t xml:space="preserve">të </w:t>
      </w:r>
      <w:r w:rsidR="00650BD8" w:rsidRPr="0091032B">
        <w:rPr>
          <w:rFonts w:eastAsia="Times New Roman"/>
          <w:shd w:val="clear" w:color="auto" w:fill="FFFFFF"/>
        </w:rPr>
        <w:t xml:space="preserve">lidhur me </w:t>
      </w:r>
      <w:r w:rsidR="00650BD8" w:rsidRPr="0091032B">
        <w:rPr>
          <w:rFonts w:eastAsia="Times New Roman"/>
          <w:i/>
          <w:shd w:val="clear" w:color="auto" w:fill="FFFFFF"/>
        </w:rPr>
        <w:t>standardi</w:t>
      </w:r>
      <w:r w:rsidR="00552C9E">
        <w:rPr>
          <w:rFonts w:eastAsia="Times New Roman"/>
          <w:i/>
          <w:shd w:val="clear" w:color="auto" w:fill="FFFFFF"/>
        </w:rPr>
        <w:t>n e</w:t>
      </w:r>
      <w:r w:rsidR="00650BD8" w:rsidRPr="0091032B">
        <w:rPr>
          <w:rFonts w:eastAsia="Times New Roman"/>
          <w:i/>
          <w:shd w:val="clear" w:color="auto" w:fill="FFFFFF"/>
        </w:rPr>
        <w:t xml:space="preserve"> arsyetimi të vendimit. </w:t>
      </w:r>
    </w:p>
    <w:p w:rsidR="00860E0C" w:rsidRPr="00E730C1" w:rsidRDefault="00650BD8" w:rsidP="00860E0C">
      <w:pPr>
        <w:pStyle w:val="ListParagraph"/>
        <w:numPr>
          <w:ilvl w:val="0"/>
          <w:numId w:val="36"/>
        </w:numPr>
        <w:tabs>
          <w:tab w:val="left" w:pos="1080"/>
        </w:tabs>
        <w:ind w:left="0" w:firstLine="720"/>
        <w:jc w:val="both"/>
      </w:pPr>
      <w:r w:rsidRPr="0091032B">
        <w:rPr>
          <w:rFonts w:eastAsia="Times New Roman"/>
        </w:rPr>
        <w:t xml:space="preserve">Kërkuesja ka pretenduar edhe </w:t>
      </w:r>
      <w:r w:rsidR="00A86D16" w:rsidRPr="0091032B">
        <w:rPr>
          <w:rFonts w:eastAsia="Times New Roman"/>
        </w:rPr>
        <w:t xml:space="preserve">cenimin e </w:t>
      </w:r>
      <w:r w:rsidR="00A86D16" w:rsidRPr="0091032B">
        <w:rPr>
          <w:rFonts w:eastAsia="Times New Roman"/>
          <w:i/>
        </w:rPr>
        <w:t>parimit të sigurisë juridike</w:t>
      </w:r>
      <w:r w:rsidR="00DB090A" w:rsidRPr="0091032B">
        <w:rPr>
          <w:rFonts w:eastAsia="Times New Roman"/>
          <w:i/>
        </w:rPr>
        <w:t>,</w:t>
      </w:r>
      <w:r w:rsidRPr="0091032B">
        <w:rPr>
          <w:rFonts w:eastAsia="Times New Roman"/>
        </w:rPr>
        <w:t xml:space="preserve"> për shkak se </w:t>
      </w:r>
      <w:r w:rsidRPr="0091032B">
        <w:t xml:space="preserve">Gjykata e Lartë ka dëmtuar me pasoja të tashme dhe të ardhme qëndrueshmërinë ligjore, si dhe për shkak se ka zbatuar standarde të ndryshme, duke vendosur në </w:t>
      </w:r>
      <w:r w:rsidR="00DB090A" w:rsidRPr="0091032B">
        <w:t xml:space="preserve">mënyra </w:t>
      </w:r>
      <w:r w:rsidRPr="0091032B">
        <w:t xml:space="preserve">të ndryshme në situata të ngjashme. </w:t>
      </w:r>
      <w:r w:rsidR="00860E0C" w:rsidRPr="0091032B">
        <w:t xml:space="preserve">Gjykata në jurisprudencën e saj, kur janë </w:t>
      </w:r>
      <w:r w:rsidR="00A55F62" w:rsidRPr="0091032B">
        <w:t>n</w:t>
      </w:r>
      <w:r w:rsidR="00860E0C" w:rsidRPr="0091032B">
        <w:t xml:space="preserve">gritur pretendime </w:t>
      </w:r>
      <w:r w:rsidR="00A55F62" w:rsidRPr="0091032B">
        <w:t xml:space="preserve">për </w:t>
      </w:r>
      <w:r w:rsidR="00860E0C" w:rsidRPr="0091032B">
        <w:t xml:space="preserve">mënyrën sesi gjykatat kanë vendosur në raste të ngjashme, </w:t>
      </w:r>
      <w:r w:rsidR="00860E0C" w:rsidRPr="0091032B">
        <w:rPr>
          <w:spacing w:val="-3"/>
        </w:rPr>
        <w:t>ka theksuar se v</w:t>
      </w:r>
      <w:r w:rsidR="00860E0C" w:rsidRPr="0091032B">
        <w:t xml:space="preserve">lerësimi kushtetues i mënyrës së zgjidhjes së çështjeve të ngjashme nga gjykatat e zakonshme bëhet rast pas rasti, duke iu referuar edhe rastit konkret. Fakti që gjykatat e zakonshme kanë vendosur ndryshe në një rast të ngjashëm, në vetvete nuk mund të justifikojë </w:t>
      </w:r>
      <w:r w:rsidR="00860E0C" w:rsidRPr="0091032B">
        <w:rPr>
          <w:i/>
          <w:iCs/>
        </w:rPr>
        <w:t>apriori</w:t>
      </w:r>
      <w:r w:rsidR="00860E0C" w:rsidRPr="0091032B">
        <w:t xml:space="preserve"> pretendimet e individit, pasi m</w:t>
      </w:r>
      <w:r w:rsidR="00860E0C" w:rsidRPr="0091032B">
        <w:rPr>
          <w:spacing w:val="-3"/>
        </w:rPr>
        <w:t>ënyra e zgjidhjes së çështjes dhe e zbatimit të ligjit është e drejtë e çdo gjykate, për sa kohë çdo çështje konkrete është specifike dhe ka individualitetin e saj, harmonizuar edhe me rrethana, faktorë, motive ose prova gjyqësore, të cilat nuk mund të jenë të njëjta (</w:t>
      </w:r>
      <w:r w:rsidR="00860E0C" w:rsidRPr="0091032B">
        <w:rPr>
          <w:i/>
          <w:iCs/>
          <w:spacing w:val="-3"/>
        </w:rPr>
        <w:t xml:space="preserve">shih vendimet </w:t>
      </w:r>
      <w:r w:rsidR="00860E0C" w:rsidRPr="0091032B">
        <w:rPr>
          <w:i/>
          <w:iCs/>
        </w:rPr>
        <w:t xml:space="preserve">nr. 19, datë 21.03.2024; </w:t>
      </w:r>
      <w:r w:rsidR="00860E0C" w:rsidRPr="0091032B">
        <w:rPr>
          <w:i/>
          <w:iCs/>
          <w:spacing w:val="2"/>
        </w:rPr>
        <w:t xml:space="preserve">nr. 17, datë </w:t>
      </w:r>
      <w:r w:rsidR="00860E0C" w:rsidRPr="0091032B">
        <w:rPr>
          <w:i/>
          <w:iCs/>
        </w:rPr>
        <w:t>23.03.2023</w:t>
      </w:r>
      <w:r w:rsidR="00860E0C" w:rsidRPr="0091032B">
        <w:t xml:space="preserve"> </w:t>
      </w:r>
      <w:r w:rsidR="00860E0C" w:rsidRPr="0091032B">
        <w:rPr>
          <w:i/>
          <w:iCs/>
        </w:rPr>
        <w:t>të Gjykatës Kushtetuese</w:t>
      </w:r>
      <w:r w:rsidR="00860E0C" w:rsidRPr="0091032B">
        <w:t xml:space="preserve">). </w:t>
      </w:r>
      <w:r w:rsidR="00AE0C77">
        <w:t>Megjithatë, Gjykata vëren se</w:t>
      </w:r>
      <w:r w:rsidR="00A55F62" w:rsidRPr="0091032B">
        <w:t xml:space="preserve"> kërkues</w:t>
      </w:r>
      <w:r w:rsidR="0091032B">
        <w:t>ja</w:t>
      </w:r>
      <w:r w:rsidR="00AE0C77">
        <w:t>, në mbështetje të këtij pretendimi,</w:t>
      </w:r>
      <w:r w:rsidR="0091032B">
        <w:t xml:space="preserve"> </w:t>
      </w:r>
      <w:r w:rsidR="00A55F62" w:rsidRPr="0091032B">
        <w:t>i referohet një vendimi njësues të praktikës gjyqësore të Kolegjit Civil (vendimi n</w:t>
      </w:r>
      <w:r w:rsidR="00A55F62" w:rsidRPr="0091032B">
        <w:rPr>
          <w:bCs/>
        </w:rPr>
        <w:t>r.</w:t>
      </w:r>
      <w:r w:rsidR="00A55F62" w:rsidRPr="0091032B">
        <w:t xml:space="preserve"> </w:t>
      </w:r>
      <w:r w:rsidR="00A55F62" w:rsidRPr="0091032B">
        <w:rPr>
          <w:bCs/>
        </w:rPr>
        <w:t>00-2024-5438 (191), datë 18.04.2024</w:t>
      </w:r>
      <w:r w:rsidR="00DB090A" w:rsidRPr="0091032B">
        <w:rPr>
          <w:bCs/>
        </w:rPr>
        <w:t>)</w:t>
      </w:r>
      <w:r w:rsidR="00A55F62" w:rsidRPr="0091032B">
        <w:rPr>
          <w:bCs/>
        </w:rPr>
        <w:t xml:space="preserve">, </w:t>
      </w:r>
      <w:r w:rsidR="005E0D0D" w:rsidRPr="0091032B">
        <w:rPr>
          <w:bCs/>
        </w:rPr>
        <w:t xml:space="preserve">në </w:t>
      </w:r>
      <w:r w:rsidR="00AE0C77">
        <w:rPr>
          <w:bCs/>
        </w:rPr>
        <w:t xml:space="preserve">të cilin </w:t>
      </w:r>
      <w:r w:rsidR="00ED691C" w:rsidRPr="0091032B">
        <w:rPr>
          <w:bCs/>
        </w:rPr>
        <w:t xml:space="preserve">janë </w:t>
      </w:r>
      <w:r w:rsidR="00ED691C" w:rsidRPr="0091032B">
        <w:rPr>
          <w:color w:val="000000"/>
        </w:rPr>
        <w:t xml:space="preserve">shtruar për </w:t>
      </w:r>
      <w:r w:rsidR="00ED691C" w:rsidRPr="0091032B">
        <w:t xml:space="preserve">zgjidhje disa çështje ligjore që kanë të bëjnë me interpretimin e ligjit nr. </w:t>
      </w:r>
      <w:r w:rsidR="005E0D0D" w:rsidRPr="0091032B">
        <w:t xml:space="preserve">9072, datë 22.05.2003 “Për sektorin e energjisë elektrike” dhe ligjit nr. 43/2015 që e ka shfuqizuar atë, lidhur me </w:t>
      </w:r>
      <w:r w:rsidR="00ED691C" w:rsidRPr="0091032B">
        <w:t>kuptimin e institutit të dëmit ekonomik të llogaritur nga furnizuesi i energjisë elektrike në faturën tatimore të konsumit të energjisë elektrike dhe të cilësisë së tij si titull ekzekutiv, si pjesë e faturës së energjisë elektrike</w:t>
      </w:r>
      <w:r w:rsidR="005E0D0D" w:rsidRPr="0091032B">
        <w:t>. P</w:t>
      </w:r>
      <w:r w:rsidR="00A55F62" w:rsidRPr="0091032B">
        <w:rPr>
          <w:bCs/>
          <w:iCs/>
        </w:rPr>
        <w:t>ër rrjedhojë</w:t>
      </w:r>
      <w:r w:rsidR="00DB090A" w:rsidRPr="0091032B">
        <w:rPr>
          <w:bCs/>
          <w:iCs/>
        </w:rPr>
        <w:t>,</w:t>
      </w:r>
      <w:r w:rsidR="005E0D0D" w:rsidRPr="0091032B">
        <w:rPr>
          <w:bCs/>
          <w:iCs/>
        </w:rPr>
        <w:t xml:space="preserve"> </w:t>
      </w:r>
      <w:r w:rsidR="00AE0C77">
        <w:rPr>
          <w:bCs/>
          <w:iCs/>
        </w:rPr>
        <w:t xml:space="preserve">jo vetëm që </w:t>
      </w:r>
      <w:r w:rsidR="005E0D0D" w:rsidRPr="0091032B">
        <w:rPr>
          <w:bCs/>
          <w:iCs/>
        </w:rPr>
        <w:t xml:space="preserve">vendimi i referuar prej kërkueses nuk ka lidhje me çështjen e saj, </w:t>
      </w:r>
      <w:r w:rsidR="00AE0C77">
        <w:rPr>
          <w:bCs/>
          <w:iCs/>
        </w:rPr>
        <w:t xml:space="preserve">por </w:t>
      </w:r>
      <w:r w:rsidR="005E0D0D" w:rsidRPr="0091032B">
        <w:rPr>
          <w:bCs/>
          <w:iCs/>
        </w:rPr>
        <w:t>as n</w:t>
      </w:r>
      <w:r w:rsidR="00A55F62" w:rsidRPr="0091032B">
        <w:rPr>
          <w:bCs/>
          <w:iCs/>
        </w:rPr>
        <w:t>uk ndodhemi p</w:t>
      </w:r>
      <w:r w:rsidR="00FE6459" w:rsidRPr="0091032B">
        <w:rPr>
          <w:bCs/>
          <w:iCs/>
        </w:rPr>
        <w:t>ër</w:t>
      </w:r>
      <w:r w:rsidR="00A55F62" w:rsidRPr="0091032B">
        <w:rPr>
          <w:bCs/>
          <w:iCs/>
        </w:rPr>
        <w:t xml:space="preserve">para </w:t>
      </w:r>
      <w:r w:rsidR="005E0D0D" w:rsidRPr="0091032B">
        <w:rPr>
          <w:bCs/>
          <w:iCs/>
        </w:rPr>
        <w:t>rasti</w:t>
      </w:r>
      <w:r w:rsidR="00DB090A" w:rsidRPr="0091032B">
        <w:rPr>
          <w:bCs/>
          <w:iCs/>
        </w:rPr>
        <w:t>t</w:t>
      </w:r>
      <w:r w:rsidR="005E0D0D" w:rsidRPr="0091032B">
        <w:rPr>
          <w:bCs/>
          <w:iCs/>
        </w:rPr>
        <w:t xml:space="preserve"> të njëjtë apo </w:t>
      </w:r>
      <w:r w:rsidR="00FE6459" w:rsidRPr="0091032B">
        <w:rPr>
          <w:bCs/>
          <w:iCs/>
        </w:rPr>
        <w:t>rrethana</w:t>
      </w:r>
      <w:r w:rsidR="005E0D0D" w:rsidRPr="0091032B">
        <w:rPr>
          <w:bCs/>
          <w:iCs/>
        </w:rPr>
        <w:t>ve të njëjta</w:t>
      </w:r>
      <w:r w:rsidR="00FE6459" w:rsidRPr="0091032B">
        <w:rPr>
          <w:bCs/>
          <w:iCs/>
        </w:rPr>
        <w:t xml:space="preserve"> </w:t>
      </w:r>
      <w:r w:rsidR="00A55F62" w:rsidRPr="0091032B">
        <w:rPr>
          <w:bCs/>
          <w:iCs/>
        </w:rPr>
        <w:t>me at</w:t>
      </w:r>
      <w:r w:rsidR="00FE6459" w:rsidRPr="0091032B">
        <w:rPr>
          <w:bCs/>
          <w:iCs/>
        </w:rPr>
        <w:t xml:space="preserve">o të </w:t>
      </w:r>
      <w:r w:rsidR="005E0D0D" w:rsidRPr="0091032B">
        <w:rPr>
          <w:bCs/>
          <w:iCs/>
        </w:rPr>
        <w:t>çështjes</w:t>
      </w:r>
      <w:r w:rsidR="00FE6459" w:rsidRPr="0091032B">
        <w:rPr>
          <w:bCs/>
          <w:iCs/>
        </w:rPr>
        <w:t xml:space="preserve"> së </w:t>
      </w:r>
      <w:r w:rsidR="00A55F62" w:rsidRPr="0091032B">
        <w:rPr>
          <w:bCs/>
          <w:iCs/>
        </w:rPr>
        <w:t>kërkueses.</w:t>
      </w:r>
      <w:r w:rsidR="00FE6459" w:rsidRPr="0091032B">
        <w:rPr>
          <w:bCs/>
          <w:iCs/>
        </w:rPr>
        <w:t xml:space="preserve"> </w:t>
      </w:r>
      <w:r w:rsidR="0091032B" w:rsidRPr="0091032B">
        <w:rPr>
          <w:bCs/>
          <w:iCs/>
        </w:rPr>
        <w:t>Në këto kushte</w:t>
      </w:r>
      <w:r w:rsidR="00DB090A" w:rsidRPr="0091032B">
        <w:rPr>
          <w:bCs/>
          <w:iCs/>
        </w:rPr>
        <w:t>,</w:t>
      </w:r>
      <w:r w:rsidR="00FE6459" w:rsidRPr="0091032B">
        <w:rPr>
          <w:bCs/>
          <w:iCs/>
        </w:rPr>
        <w:t xml:space="preserve"> ky pretendim është haptazi i pabazuar. </w:t>
      </w:r>
      <w:r w:rsidR="00A55F62" w:rsidRPr="0091032B">
        <w:rPr>
          <w:bCs/>
          <w:iCs/>
        </w:rPr>
        <w:t xml:space="preserve"> </w:t>
      </w:r>
    </w:p>
    <w:p w:rsidR="00860E0C" w:rsidRPr="0091032B" w:rsidRDefault="004B4C8B" w:rsidP="00860E0C">
      <w:pPr>
        <w:pStyle w:val="ListParagraph"/>
        <w:tabs>
          <w:tab w:val="left" w:pos="1080"/>
        </w:tabs>
        <w:jc w:val="both"/>
        <w:rPr>
          <w:i/>
        </w:rPr>
      </w:pPr>
      <w:r w:rsidRPr="0091032B">
        <w:rPr>
          <w:i/>
        </w:rPr>
        <w:lastRenderedPageBreak/>
        <w:t>B. Për themelin e pretendimeve</w:t>
      </w:r>
    </w:p>
    <w:p w:rsidR="00860E0C" w:rsidRPr="0091032B" w:rsidRDefault="0071191D" w:rsidP="00860E0C">
      <w:pPr>
        <w:pStyle w:val="ListParagraph"/>
        <w:tabs>
          <w:tab w:val="left" w:pos="1080"/>
        </w:tabs>
        <w:jc w:val="both"/>
        <w:rPr>
          <w:i/>
        </w:rPr>
      </w:pPr>
      <w:r w:rsidRPr="0091032B">
        <w:rPr>
          <w:i/>
          <w:iCs/>
        </w:rPr>
        <w:t xml:space="preserve">B.1. Për cenimin e së drejtës së aksesit </w:t>
      </w:r>
      <w:r w:rsidR="00552C9E">
        <w:rPr>
          <w:i/>
          <w:iCs/>
        </w:rPr>
        <w:t xml:space="preserve">të lidhur me </w:t>
      </w:r>
      <w:r w:rsidRPr="0091032B">
        <w:rPr>
          <w:i/>
          <w:iCs/>
        </w:rPr>
        <w:t>standardi</w:t>
      </w:r>
      <w:r w:rsidR="00552C9E">
        <w:rPr>
          <w:i/>
          <w:iCs/>
        </w:rPr>
        <w:t>n e</w:t>
      </w:r>
      <w:r w:rsidRPr="0091032B">
        <w:rPr>
          <w:i/>
          <w:iCs/>
        </w:rPr>
        <w:t xml:space="preserve"> arsyetimit të vendimit</w:t>
      </w:r>
    </w:p>
    <w:p w:rsidR="00DF1E39" w:rsidRPr="0091032B" w:rsidRDefault="0071191D" w:rsidP="00DF1E39">
      <w:pPr>
        <w:pStyle w:val="ListParagraph"/>
        <w:numPr>
          <w:ilvl w:val="0"/>
          <w:numId w:val="36"/>
        </w:numPr>
        <w:tabs>
          <w:tab w:val="left" w:pos="1080"/>
        </w:tabs>
        <w:ind w:left="0" w:firstLine="720"/>
        <w:jc w:val="both"/>
        <w:rPr>
          <w:rFonts w:eastAsia="Times New Roman"/>
          <w:iCs/>
          <w:shd w:val="clear" w:color="auto" w:fill="FFFFFF"/>
        </w:rPr>
      </w:pPr>
      <w:r w:rsidRPr="0091032B">
        <w:rPr>
          <w:rFonts w:eastAsia="Times New Roman"/>
          <w:i/>
        </w:rPr>
        <w:t xml:space="preserve">Kërkuesja </w:t>
      </w:r>
      <w:r w:rsidRPr="0091032B">
        <w:rPr>
          <w:rFonts w:eastAsia="Times New Roman"/>
        </w:rPr>
        <w:t xml:space="preserve">ka pretenduar se </w:t>
      </w:r>
      <w:r w:rsidR="00FE6459" w:rsidRPr="0091032B">
        <w:rPr>
          <w:rFonts w:eastAsia="Times New Roman"/>
        </w:rPr>
        <w:t xml:space="preserve">Gjykata </w:t>
      </w:r>
      <w:r w:rsidR="00FE6459" w:rsidRPr="0091032B">
        <w:rPr>
          <w:rFonts w:eastAsia="Times New Roman"/>
          <w:iCs/>
          <w:shd w:val="clear" w:color="auto" w:fill="FFFFFF"/>
        </w:rPr>
        <w:t>e Lartë nuk u ka dhënë përgjigje të arsyetuar pretendimeve me natyrë kushtetuese duke u mjaftuar me arsyetimin “</w:t>
      </w:r>
      <w:r w:rsidR="00FE6459" w:rsidRPr="0091032B">
        <w:rPr>
          <w:rFonts w:eastAsia="Times New Roman"/>
          <w:i/>
          <w:iCs/>
          <w:shd w:val="clear" w:color="auto" w:fill="FFFFFF"/>
        </w:rPr>
        <w:t>de plano</w:t>
      </w:r>
      <w:r w:rsidR="00FE6459" w:rsidRPr="0091032B">
        <w:rPr>
          <w:rFonts w:eastAsia="Times New Roman"/>
          <w:iCs/>
          <w:shd w:val="clear" w:color="auto" w:fill="FFFFFF"/>
        </w:rPr>
        <w:t xml:space="preserve">”, edhe pse është provuar lidhja shkakësore midis sjelljes së kundërligjshme të palës së paditur dhe dëmit të shkaktuar, referuar akteve dhe provave </w:t>
      </w:r>
      <w:r w:rsidR="00DF1E39" w:rsidRPr="0091032B">
        <w:rPr>
          <w:rFonts w:eastAsia="Times New Roman"/>
          <w:iCs/>
          <w:shd w:val="clear" w:color="auto" w:fill="FFFFFF"/>
        </w:rPr>
        <w:t xml:space="preserve">të cilat </w:t>
      </w:r>
      <w:r w:rsidR="00FE6459" w:rsidRPr="0091032B">
        <w:rPr>
          <w:rFonts w:eastAsia="Times New Roman"/>
          <w:iCs/>
          <w:shd w:val="clear" w:color="auto" w:fill="FFFFFF"/>
        </w:rPr>
        <w:t xml:space="preserve">nuk janë marrë në shqyrtim. </w:t>
      </w:r>
      <w:r w:rsidR="00DF1E39" w:rsidRPr="0091032B">
        <w:rPr>
          <w:rFonts w:eastAsia="Times New Roman"/>
          <w:iCs/>
          <w:shd w:val="clear" w:color="auto" w:fill="FFFFFF"/>
        </w:rPr>
        <w:t xml:space="preserve">Sipas kërkueses, pretendimet e saj </w:t>
      </w:r>
      <w:r w:rsidR="00782297" w:rsidRPr="0091032B">
        <w:rPr>
          <w:rFonts w:eastAsia="Times New Roman"/>
          <w:iCs/>
          <w:shd w:val="clear" w:color="auto" w:fill="FFFFFF"/>
        </w:rPr>
        <w:t xml:space="preserve">janë rrëzuar pa </w:t>
      </w:r>
      <w:r w:rsidR="00DF1E39" w:rsidRPr="0091032B">
        <w:rPr>
          <w:rFonts w:eastAsia="Times New Roman"/>
          <w:iCs/>
          <w:shd w:val="clear" w:color="auto" w:fill="FFFFFF"/>
        </w:rPr>
        <w:t>një justifikim të mjaftueshëm ligjor</w:t>
      </w:r>
      <w:r w:rsidR="00930FE6" w:rsidRPr="0091032B">
        <w:rPr>
          <w:rFonts w:eastAsia="Times New Roman"/>
          <w:iCs/>
          <w:shd w:val="clear" w:color="auto" w:fill="FFFFFF"/>
        </w:rPr>
        <w:t>,</w:t>
      </w:r>
      <w:r w:rsidR="00DF1E39" w:rsidRPr="0091032B">
        <w:rPr>
          <w:rFonts w:eastAsia="Times New Roman"/>
          <w:iCs/>
          <w:shd w:val="clear" w:color="auto" w:fill="FFFFFF"/>
        </w:rPr>
        <w:t xml:space="preserve"> ndërkohë që </w:t>
      </w:r>
      <w:r w:rsidR="00782297" w:rsidRPr="0091032B">
        <w:rPr>
          <w:rFonts w:eastAsia="Times New Roman"/>
          <w:iCs/>
          <w:shd w:val="clear" w:color="auto" w:fill="FFFFFF"/>
        </w:rPr>
        <w:t>është</w:t>
      </w:r>
      <w:r w:rsidR="00DF1E39" w:rsidRPr="0091032B">
        <w:rPr>
          <w:rFonts w:eastAsia="Times New Roman"/>
          <w:iCs/>
          <w:shd w:val="clear" w:color="auto" w:fill="FFFFFF"/>
        </w:rPr>
        <w:t xml:space="preserve"> provuar se për</w:t>
      </w:r>
      <w:r w:rsidR="00FE6459" w:rsidRPr="0091032B">
        <w:rPr>
          <w:rFonts w:eastAsia="Times New Roman"/>
          <w:iCs/>
          <w:shd w:val="clear" w:color="auto" w:fill="FFFFFF"/>
        </w:rPr>
        <w:t xml:space="preserve"> shkak </w:t>
      </w:r>
      <w:r w:rsidR="00E22526" w:rsidRPr="0091032B">
        <w:rPr>
          <w:rFonts w:eastAsia="Times New Roman"/>
          <w:iCs/>
          <w:shd w:val="clear" w:color="auto" w:fill="FFFFFF"/>
        </w:rPr>
        <w:t>se nuk është</w:t>
      </w:r>
      <w:r w:rsidR="00FE6459" w:rsidRPr="0091032B">
        <w:rPr>
          <w:rFonts w:eastAsia="Times New Roman"/>
          <w:iCs/>
          <w:shd w:val="clear" w:color="auto" w:fill="FFFFFF"/>
        </w:rPr>
        <w:t xml:space="preserve"> ekzekut</w:t>
      </w:r>
      <w:r w:rsidR="00E22526" w:rsidRPr="0091032B">
        <w:rPr>
          <w:rFonts w:eastAsia="Times New Roman"/>
          <w:iCs/>
          <w:shd w:val="clear" w:color="auto" w:fill="FFFFFF"/>
        </w:rPr>
        <w:t>uar</w:t>
      </w:r>
      <w:r w:rsidR="00FE6459" w:rsidRPr="0091032B">
        <w:rPr>
          <w:rFonts w:eastAsia="Times New Roman"/>
          <w:iCs/>
          <w:shd w:val="clear" w:color="auto" w:fill="FFFFFF"/>
        </w:rPr>
        <w:t xml:space="preserve"> në kohë urdhri</w:t>
      </w:r>
      <w:r w:rsidR="00E22526" w:rsidRPr="0091032B">
        <w:rPr>
          <w:rFonts w:eastAsia="Times New Roman"/>
          <w:iCs/>
          <w:shd w:val="clear" w:color="auto" w:fill="FFFFFF"/>
        </w:rPr>
        <w:t xml:space="preserve"> i</w:t>
      </w:r>
      <w:r w:rsidR="00FE6459" w:rsidRPr="0091032B">
        <w:rPr>
          <w:rFonts w:eastAsia="Times New Roman"/>
          <w:iCs/>
          <w:shd w:val="clear" w:color="auto" w:fill="FFFFFF"/>
        </w:rPr>
        <w:t xml:space="preserve"> ekzekutimit nr. 9031/2012, e shkaktuar </w:t>
      </w:r>
      <w:r w:rsidR="00DF1E39" w:rsidRPr="0091032B">
        <w:rPr>
          <w:rFonts w:eastAsia="Times New Roman"/>
          <w:iCs/>
          <w:shd w:val="clear" w:color="auto" w:fill="FFFFFF"/>
        </w:rPr>
        <w:t xml:space="preserve">kjo </w:t>
      </w:r>
      <w:r w:rsidR="00FE6459" w:rsidRPr="0091032B">
        <w:rPr>
          <w:rFonts w:eastAsia="Times New Roman"/>
          <w:iCs/>
          <w:shd w:val="clear" w:color="auto" w:fill="FFFFFF"/>
        </w:rPr>
        <w:t xml:space="preserve">drejtpërdrejt nga Banka e Tiranës, kreditori nuk </w:t>
      </w:r>
      <w:r w:rsidR="00930FE6" w:rsidRPr="0091032B">
        <w:rPr>
          <w:rFonts w:eastAsia="Times New Roman"/>
          <w:iCs/>
          <w:shd w:val="clear" w:color="auto" w:fill="FFFFFF"/>
        </w:rPr>
        <w:t xml:space="preserve">ka </w:t>
      </w:r>
      <w:r w:rsidR="00FE6459" w:rsidRPr="0091032B">
        <w:rPr>
          <w:rFonts w:eastAsia="Times New Roman"/>
          <w:iCs/>
          <w:shd w:val="clear" w:color="auto" w:fill="FFFFFF"/>
        </w:rPr>
        <w:t>lidh</w:t>
      </w:r>
      <w:r w:rsidR="00930FE6" w:rsidRPr="0091032B">
        <w:rPr>
          <w:rFonts w:eastAsia="Times New Roman"/>
          <w:iCs/>
          <w:shd w:val="clear" w:color="auto" w:fill="FFFFFF"/>
        </w:rPr>
        <w:t>ur</w:t>
      </w:r>
      <w:r w:rsidR="00FE6459" w:rsidRPr="0091032B">
        <w:rPr>
          <w:rFonts w:eastAsia="Times New Roman"/>
          <w:iCs/>
          <w:shd w:val="clear" w:color="auto" w:fill="FFFFFF"/>
        </w:rPr>
        <w:t xml:space="preserve"> kontrata të tjera shërbimi me të</w:t>
      </w:r>
      <w:r w:rsidR="00930FE6" w:rsidRPr="0091032B">
        <w:rPr>
          <w:rFonts w:eastAsia="Times New Roman"/>
          <w:iCs/>
          <w:shd w:val="clear" w:color="auto" w:fill="FFFFFF"/>
        </w:rPr>
        <w:t>,</w:t>
      </w:r>
      <w:r w:rsidR="00DF1E39" w:rsidRPr="0091032B">
        <w:rPr>
          <w:rFonts w:eastAsia="Times New Roman"/>
          <w:iCs/>
          <w:shd w:val="clear" w:color="auto" w:fill="FFFFFF"/>
        </w:rPr>
        <w:t xml:space="preserve"> çka, sipas </w:t>
      </w:r>
      <w:r w:rsidR="00FE6459" w:rsidRPr="0091032B">
        <w:rPr>
          <w:rFonts w:eastAsia="Times New Roman"/>
          <w:iCs/>
          <w:shd w:val="clear" w:color="auto" w:fill="FFFFFF"/>
        </w:rPr>
        <w:t>ekspertit</w:t>
      </w:r>
      <w:r w:rsidR="00DF1E39" w:rsidRPr="0091032B">
        <w:rPr>
          <w:rFonts w:eastAsia="Times New Roman"/>
          <w:iCs/>
          <w:shd w:val="clear" w:color="auto" w:fill="FFFFFF"/>
        </w:rPr>
        <w:t>, ka sjellë</w:t>
      </w:r>
      <w:r w:rsidR="00FE6459" w:rsidRPr="0091032B">
        <w:rPr>
          <w:rFonts w:eastAsia="Times New Roman"/>
          <w:iCs/>
          <w:shd w:val="clear" w:color="auto" w:fill="FFFFFF"/>
        </w:rPr>
        <w:t xml:space="preserve"> fitim</w:t>
      </w:r>
      <w:r w:rsidR="00DF1E39" w:rsidRPr="0091032B">
        <w:rPr>
          <w:rFonts w:eastAsia="Times New Roman"/>
          <w:iCs/>
          <w:shd w:val="clear" w:color="auto" w:fill="FFFFFF"/>
        </w:rPr>
        <w:t xml:space="preserve"> të</w:t>
      </w:r>
      <w:r w:rsidR="00FE6459" w:rsidRPr="0091032B">
        <w:rPr>
          <w:rFonts w:eastAsia="Times New Roman"/>
          <w:iCs/>
          <w:shd w:val="clear" w:color="auto" w:fill="FFFFFF"/>
        </w:rPr>
        <w:t xml:space="preserve"> munguar në vlerën 32,370,550 lekë. </w:t>
      </w:r>
      <w:r w:rsidR="00DF1E39" w:rsidRPr="0091032B">
        <w:rPr>
          <w:rFonts w:eastAsia="Times New Roman"/>
          <w:iCs/>
          <w:shd w:val="clear" w:color="auto" w:fill="FFFFFF"/>
        </w:rPr>
        <w:t>Po sipas kërkueses, a</w:t>
      </w:r>
      <w:r w:rsidR="00FE6459" w:rsidRPr="0091032B">
        <w:rPr>
          <w:rFonts w:eastAsia="Times New Roman"/>
        </w:rPr>
        <w:t xml:space="preserve">rsyetimi i Gjykatës së Lartë se subjekti që do të pësonte dëm </w:t>
      </w:r>
      <w:r w:rsidR="00782297" w:rsidRPr="0091032B">
        <w:rPr>
          <w:rFonts w:eastAsia="Times New Roman"/>
        </w:rPr>
        <w:t xml:space="preserve">në këtë rast </w:t>
      </w:r>
      <w:r w:rsidR="00FE6459" w:rsidRPr="0091032B">
        <w:rPr>
          <w:rFonts w:eastAsia="Times New Roman"/>
        </w:rPr>
        <w:t>do të ishte KESH-i, bie në kundërshtim me pikën 1 të aneksit të kontratës së shërbimit, ndërkohë që qëndrimi i asaj gjykate se kërkuesja, si shërbim përmbarimor gjyqësor privat</w:t>
      </w:r>
      <w:r w:rsidR="00983636" w:rsidRPr="0091032B">
        <w:rPr>
          <w:rFonts w:eastAsia="Times New Roman"/>
        </w:rPr>
        <w:t>,</w:t>
      </w:r>
      <w:r w:rsidR="00FE6459" w:rsidRPr="0091032B">
        <w:rPr>
          <w:rFonts w:eastAsia="Times New Roman"/>
        </w:rPr>
        <w:t xml:space="preserve"> ka një funksion të pavarur publik, bie ndesh me rekursin dhe parashtrimet shtesë për sa i takon markës së regjistruar “ARB”. </w:t>
      </w:r>
      <w:r w:rsidR="00DF1E39" w:rsidRPr="0091032B">
        <w:rPr>
          <w:rFonts w:eastAsia="Times New Roman"/>
        </w:rPr>
        <w:t>Kërkuesja ka pretenduar se v</w:t>
      </w:r>
      <w:r w:rsidR="00FE6459" w:rsidRPr="0091032B">
        <w:rPr>
          <w:rFonts w:eastAsia="Times New Roman"/>
        </w:rPr>
        <w:t>endimit të Gjykatës së Lartë i mungon analiza juridiko-ligjore, pasi nga veprimet dhe mosveprimet e kundërligjshme të palës së paditur nuk është likuiduar tarifa përmbarimore</w:t>
      </w:r>
      <w:r w:rsidR="00DF1E39" w:rsidRPr="0091032B">
        <w:rPr>
          <w:rFonts w:eastAsia="Times New Roman"/>
        </w:rPr>
        <w:t xml:space="preserve"> dhe se duke </w:t>
      </w:r>
      <w:r w:rsidR="00FE6459" w:rsidRPr="0091032B">
        <w:rPr>
          <w:rFonts w:eastAsia="Times New Roman"/>
          <w:iCs/>
          <w:shd w:val="clear" w:color="auto" w:fill="FFFFFF"/>
        </w:rPr>
        <w:t xml:space="preserve">rrëzuar argumentet e kërkueses </w:t>
      </w:r>
      <w:r w:rsidR="00DF1E39" w:rsidRPr="0091032B">
        <w:rPr>
          <w:rFonts w:eastAsia="Times New Roman"/>
          <w:iCs/>
          <w:shd w:val="clear" w:color="auto" w:fill="FFFFFF"/>
        </w:rPr>
        <w:t xml:space="preserve">ajo gjykatë </w:t>
      </w:r>
      <w:r w:rsidR="00FE6459" w:rsidRPr="0091032B">
        <w:rPr>
          <w:rFonts w:eastAsia="Times New Roman"/>
          <w:iCs/>
          <w:shd w:val="clear" w:color="auto" w:fill="FFFFFF"/>
        </w:rPr>
        <w:t>ka favorizuar palën e paditur</w:t>
      </w:r>
      <w:r w:rsidR="00552C9E">
        <w:rPr>
          <w:rFonts w:eastAsia="Times New Roman"/>
        </w:rPr>
        <w:t xml:space="preserve"> në proces.</w:t>
      </w:r>
      <w:r w:rsidR="00FE6459" w:rsidRPr="0091032B">
        <w:rPr>
          <w:rFonts w:eastAsia="Times New Roman"/>
        </w:rPr>
        <w:t xml:space="preserve"> </w:t>
      </w:r>
    </w:p>
    <w:p w:rsidR="00782297" w:rsidRPr="0091032B" w:rsidRDefault="0071191D" w:rsidP="0039468A">
      <w:pPr>
        <w:pStyle w:val="ListParagraph"/>
        <w:numPr>
          <w:ilvl w:val="0"/>
          <w:numId w:val="36"/>
        </w:numPr>
        <w:tabs>
          <w:tab w:val="left" w:pos="1080"/>
        </w:tabs>
        <w:ind w:left="0" w:firstLine="720"/>
        <w:jc w:val="both"/>
        <w:rPr>
          <w:rFonts w:eastAsia="Times New Roman"/>
          <w:iCs/>
          <w:shd w:val="clear" w:color="auto" w:fill="FFFFFF"/>
        </w:rPr>
      </w:pPr>
      <w:r w:rsidRPr="0091032B">
        <w:rPr>
          <w:rFonts w:eastAsia="Times New Roman"/>
          <w:i/>
        </w:rPr>
        <w:t>Subjekti i interesuar, Banka e Tiranës</w:t>
      </w:r>
      <w:r w:rsidR="00983636" w:rsidRPr="0091032B">
        <w:rPr>
          <w:rFonts w:eastAsia="Times New Roman"/>
          <w:i/>
        </w:rPr>
        <w:t>,</w:t>
      </w:r>
      <w:r w:rsidRPr="0091032B">
        <w:rPr>
          <w:rFonts w:eastAsia="Times New Roman"/>
        </w:rPr>
        <w:t xml:space="preserve"> ka prapësuar se pretendim</w:t>
      </w:r>
      <w:r w:rsidR="00DF1E39" w:rsidRPr="0091032B">
        <w:rPr>
          <w:rFonts w:eastAsia="Times New Roman"/>
        </w:rPr>
        <w:t>et e kërkueses janë të</w:t>
      </w:r>
      <w:r w:rsidR="00FE6459" w:rsidRPr="0091032B">
        <w:rPr>
          <w:rFonts w:eastAsia="Times New Roman"/>
        </w:rPr>
        <w:t xml:space="preserve"> pabazuar</w:t>
      </w:r>
      <w:r w:rsidR="00DF1E39" w:rsidRPr="0091032B">
        <w:rPr>
          <w:rFonts w:eastAsia="Times New Roman"/>
        </w:rPr>
        <w:t>a</w:t>
      </w:r>
      <w:r w:rsidR="00983636" w:rsidRPr="0091032B">
        <w:rPr>
          <w:rFonts w:eastAsia="Times New Roman"/>
        </w:rPr>
        <w:t>,</w:t>
      </w:r>
      <w:r w:rsidR="00FE6459" w:rsidRPr="0091032B">
        <w:rPr>
          <w:rFonts w:eastAsia="Times New Roman"/>
          <w:i/>
        </w:rPr>
        <w:t xml:space="preserve"> </w:t>
      </w:r>
      <w:r w:rsidR="00FE6459" w:rsidRPr="0091032B">
        <w:rPr>
          <w:rFonts w:eastAsia="Times New Roman"/>
        </w:rPr>
        <w:t xml:space="preserve">pasi gjatë gjykimit </w:t>
      </w:r>
      <w:r w:rsidR="00DF1E39" w:rsidRPr="0091032B">
        <w:rPr>
          <w:rFonts w:eastAsia="Times New Roman"/>
        </w:rPr>
        <w:t xml:space="preserve">nuk është </w:t>
      </w:r>
      <w:r w:rsidR="00FE6459" w:rsidRPr="0091032B">
        <w:rPr>
          <w:rFonts w:eastAsia="Times New Roman"/>
        </w:rPr>
        <w:t>prov</w:t>
      </w:r>
      <w:r w:rsidR="00DF1E39" w:rsidRPr="0091032B">
        <w:rPr>
          <w:rFonts w:eastAsia="Times New Roman"/>
        </w:rPr>
        <w:t xml:space="preserve">uar </w:t>
      </w:r>
      <w:r w:rsidR="00FE6459" w:rsidRPr="0091032B">
        <w:rPr>
          <w:rFonts w:eastAsia="Times New Roman"/>
        </w:rPr>
        <w:t>“</w:t>
      </w:r>
      <w:r w:rsidR="00DF1E39" w:rsidRPr="0091032B">
        <w:rPr>
          <w:rFonts w:eastAsia="Times New Roman"/>
        </w:rPr>
        <w:t>e</w:t>
      </w:r>
      <w:r w:rsidR="00FE6459" w:rsidRPr="0091032B">
        <w:rPr>
          <w:rFonts w:eastAsia="Times New Roman"/>
        </w:rPr>
        <w:t xml:space="preserve"> drejt</w:t>
      </w:r>
      <w:r w:rsidR="00DF1E39" w:rsidRPr="0091032B">
        <w:rPr>
          <w:rFonts w:eastAsia="Times New Roman"/>
        </w:rPr>
        <w:t>a</w:t>
      </w:r>
      <w:r w:rsidR="00FE6459" w:rsidRPr="0091032B">
        <w:rPr>
          <w:rFonts w:eastAsia="Times New Roman"/>
        </w:rPr>
        <w:t xml:space="preserve">” mbi të cilën bazohej kërkimi gjyqësor dhe legjitimimi aktiv </w:t>
      </w:r>
      <w:r w:rsidR="00782297" w:rsidRPr="0091032B">
        <w:rPr>
          <w:rFonts w:eastAsia="Times New Roman"/>
        </w:rPr>
        <w:t>i saj</w:t>
      </w:r>
      <w:r w:rsidR="00FE6459" w:rsidRPr="0091032B">
        <w:rPr>
          <w:rFonts w:eastAsia="Times New Roman"/>
        </w:rPr>
        <w:t xml:space="preserve">. </w:t>
      </w:r>
      <w:r w:rsidR="00DF1E39" w:rsidRPr="0091032B">
        <w:rPr>
          <w:rFonts w:eastAsia="Times New Roman"/>
        </w:rPr>
        <w:t>Sipas tij, p</w:t>
      </w:r>
      <w:r w:rsidR="00FE6459" w:rsidRPr="0091032B">
        <w:rPr>
          <w:rFonts w:eastAsia="Times New Roman"/>
        </w:rPr>
        <w:t xml:space="preserve">retendimet e kërkueses janë rrëzuar edhe </w:t>
      </w:r>
      <w:r w:rsidR="00E22526" w:rsidRPr="0091032B">
        <w:rPr>
          <w:rFonts w:eastAsia="Times New Roman"/>
        </w:rPr>
        <w:t xml:space="preserve">në </w:t>
      </w:r>
      <w:r w:rsidR="00FE6459" w:rsidRPr="0091032B">
        <w:rPr>
          <w:rFonts w:eastAsia="Times New Roman"/>
        </w:rPr>
        <w:t>procesi</w:t>
      </w:r>
      <w:r w:rsidR="00E22526" w:rsidRPr="0091032B">
        <w:rPr>
          <w:rFonts w:eastAsia="Times New Roman"/>
        </w:rPr>
        <w:t>n</w:t>
      </w:r>
      <w:r w:rsidR="00FE6459" w:rsidRPr="0091032B">
        <w:rPr>
          <w:rFonts w:eastAsia="Times New Roman"/>
        </w:rPr>
        <w:t xml:space="preserve"> penal </w:t>
      </w:r>
      <w:r w:rsidR="00DF1E39" w:rsidRPr="0091032B">
        <w:rPr>
          <w:rFonts w:eastAsia="Times New Roman"/>
        </w:rPr>
        <w:t xml:space="preserve">për </w:t>
      </w:r>
      <w:r w:rsidR="00FE6459" w:rsidRPr="0091032B">
        <w:rPr>
          <w:rFonts w:eastAsia="Times New Roman"/>
        </w:rPr>
        <w:t>kallëzimi</w:t>
      </w:r>
      <w:r w:rsidR="00DF1E39" w:rsidRPr="0091032B">
        <w:rPr>
          <w:rFonts w:eastAsia="Times New Roman"/>
        </w:rPr>
        <w:t xml:space="preserve">n e saj </w:t>
      </w:r>
      <w:r w:rsidR="00FE6459" w:rsidRPr="0091032B">
        <w:rPr>
          <w:rFonts w:eastAsia="Times New Roman"/>
        </w:rPr>
        <w:t xml:space="preserve">kundër Bankës së Tiranës, </w:t>
      </w:r>
      <w:r w:rsidR="00DF1E39" w:rsidRPr="0091032B">
        <w:rPr>
          <w:rFonts w:eastAsia="Times New Roman"/>
        </w:rPr>
        <w:t xml:space="preserve">ku është vendosur </w:t>
      </w:r>
      <w:r w:rsidR="00FE6459" w:rsidRPr="0091032B">
        <w:rPr>
          <w:rFonts w:eastAsia="Times New Roman"/>
        </w:rPr>
        <w:t>pushimi i çështjes penale</w:t>
      </w:r>
      <w:r w:rsidR="00983636" w:rsidRPr="0091032B">
        <w:rPr>
          <w:rFonts w:eastAsia="Times New Roman"/>
        </w:rPr>
        <w:t>,</w:t>
      </w:r>
      <w:r w:rsidR="00782297" w:rsidRPr="0091032B">
        <w:rPr>
          <w:rFonts w:eastAsia="Times New Roman"/>
        </w:rPr>
        <w:t xml:space="preserve"> ndërkohë që</w:t>
      </w:r>
      <w:r w:rsidR="00DF1E39" w:rsidRPr="0091032B">
        <w:rPr>
          <w:rFonts w:eastAsia="Times New Roman"/>
        </w:rPr>
        <w:t xml:space="preserve"> e</w:t>
      </w:r>
      <w:r w:rsidR="00FE6459" w:rsidRPr="0091032B">
        <w:rPr>
          <w:rFonts w:eastAsia="Times New Roman"/>
        </w:rPr>
        <w:t xml:space="preserve">mri dhe marka tregtare e kërkueses </w:t>
      </w:r>
      <w:r w:rsidR="00ED691C" w:rsidRPr="0091032B">
        <w:rPr>
          <w:rFonts w:eastAsia="Times New Roman"/>
        </w:rPr>
        <w:t xml:space="preserve">nuk kanë qenë objekt shqyrtimi dhe nuk janë vënë në diskutim </w:t>
      </w:r>
      <w:r w:rsidR="00FE6459" w:rsidRPr="0091032B">
        <w:rPr>
          <w:rFonts w:eastAsia="Times New Roman"/>
        </w:rPr>
        <w:t>gjatë procesit gjyqësor</w:t>
      </w:r>
      <w:r w:rsidR="00DF1E39" w:rsidRPr="0091032B">
        <w:rPr>
          <w:rFonts w:eastAsia="Times New Roman"/>
        </w:rPr>
        <w:t xml:space="preserve"> dhe as t</w:t>
      </w:r>
      <w:r w:rsidR="00FE6459" w:rsidRPr="0091032B">
        <w:rPr>
          <w:rFonts w:eastAsia="Times New Roman"/>
        </w:rPr>
        <w:t>ë drejtat që rrjedhin nga pronësia intelektuale/industriale</w:t>
      </w:r>
      <w:r w:rsidR="00782297" w:rsidRPr="0091032B">
        <w:rPr>
          <w:rFonts w:eastAsia="Times New Roman"/>
        </w:rPr>
        <w:t>. Sipas subjektit të interesuar,</w:t>
      </w:r>
      <w:r w:rsidR="00DF1E39" w:rsidRPr="0091032B">
        <w:rPr>
          <w:rFonts w:eastAsia="Times New Roman"/>
        </w:rPr>
        <w:t xml:space="preserve"> v</w:t>
      </w:r>
      <w:r w:rsidR="00FE6459" w:rsidRPr="0091032B">
        <w:rPr>
          <w:rFonts w:eastAsia="Times New Roman"/>
        </w:rPr>
        <w:t>endimi i Gjykatës së Lartë plotëson standard</w:t>
      </w:r>
      <w:r w:rsidR="00E22526" w:rsidRPr="0091032B">
        <w:rPr>
          <w:rFonts w:eastAsia="Times New Roman"/>
        </w:rPr>
        <w:t xml:space="preserve">in </w:t>
      </w:r>
      <w:r w:rsidR="00FE6459" w:rsidRPr="0091032B">
        <w:rPr>
          <w:rFonts w:eastAsia="Times New Roman"/>
        </w:rPr>
        <w:t>e arsyetimit</w:t>
      </w:r>
      <w:r w:rsidR="00E22526" w:rsidRPr="0091032B">
        <w:rPr>
          <w:rFonts w:eastAsia="Times New Roman"/>
        </w:rPr>
        <w:t>. Po sipas tij</w:t>
      </w:r>
      <w:r w:rsidR="00D919C7" w:rsidRPr="0091032B">
        <w:rPr>
          <w:rFonts w:eastAsia="Times New Roman"/>
        </w:rPr>
        <w:t>,</w:t>
      </w:r>
      <w:r w:rsidR="00E22526" w:rsidRPr="0091032B">
        <w:rPr>
          <w:rFonts w:eastAsia="Times New Roman"/>
        </w:rPr>
        <w:t xml:space="preserve"> kërkuesja ka pasur në dispozicion dhe i ka ushtruar të gjitha mjetet procedurale</w:t>
      </w:r>
      <w:r w:rsidR="006A659A" w:rsidRPr="0091032B">
        <w:rPr>
          <w:rFonts w:eastAsia="Times New Roman"/>
        </w:rPr>
        <w:t>,</w:t>
      </w:r>
      <w:r w:rsidR="00E22526" w:rsidRPr="0091032B">
        <w:rPr>
          <w:rFonts w:eastAsia="Times New Roman"/>
        </w:rPr>
        <w:t xml:space="preserve"> duke gëzuar të njëjtat armë ligjore si pala tjetër në proces dhe se </w:t>
      </w:r>
      <w:r w:rsidR="00FE6459" w:rsidRPr="0091032B">
        <w:rPr>
          <w:rFonts w:eastAsia="Times New Roman"/>
        </w:rPr>
        <w:t>vlera e kuantifikuar e dëmit të kërkuar gjyqësisht nuk përfshihet në nocionin “pronë”</w:t>
      </w:r>
      <w:r w:rsidR="00E22526" w:rsidRPr="0091032B">
        <w:rPr>
          <w:rFonts w:eastAsia="Times New Roman"/>
        </w:rPr>
        <w:t xml:space="preserve">. </w:t>
      </w:r>
    </w:p>
    <w:p w:rsidR="00782297" w:rsidRPr="0091032B" w:rsidRDefault="00DF1E39" w:rsidP="00782297">
      <w:pPr>
        <w:pStyle w:val="ListParagraph"/>
        <w:numPr>
          <w:ilvl w:val="0"/>
          <w:numId w:val="36"/>
        </w:numPr>
        <w:tabs>
          <w:tab w:val="left" w:pos="1080"/>
        </w:tabs>
        <w:ind w:left="0" w:firstLine="720"/>
        <w:jc w:val="both"/>
        <w:rPr>
          <w:rFonts w:eastAsia="Times New Roman"/>
          <w:iCs/>
          <w:shd w:val="clear" w:color="auto" w:fill="FFFFFF"/>
        </w:rPr>
      </w:pPr>
      <w:r w:rsidRPr="0091032B">
        <w:rPr>
          <w:rFonts w:eastAsia="Times New Roman"/>
          <w:lang w:eastAsia="x-none"/>
        </w:rPr>
        <w:t xml:space="preserve">Në kuptim të nenit 42, pika 1, të Kushtetutës, e drejta e aksesit i garanton individit të drejtën t’i drejtohet një gjykate, e cila do t’i dëgjojë pretendimet e tij dhe do të shpallë një vendim që u jep përgjigje atyre (pretendimeve), përfshirë edhe pretendimet që mund të ngrihen nga pala tjetër, e ndryshme nga kërkuesi, në kuadër të ankimeve që mund të bëhen gjatë zhvillimit të </w:t>
      </w:r>
      <w:r w:rsidRPr="0091032B">
        <w:rPr>
          <w:rFonts w:eastAsia="Times New Roman"/>
          <w:lang w:eastAsia="x-none"/>
        </w:rPr>
        <w:lastRenderedPageBreak/>
        <w:t xml:space="preserve">procesit gjyqësor,  pas një gjykimi të drejtë dhe publik. Ajo nuk përfshin vetëm të drejtën për të filluar një proces, por edhe të drejtën për të pasur, nga ana e gjykatës, një zgjidhje përfundimtare për mosmarrëveshjen objekt gjykimi </w:t>
      </w:r>
      <w:r w:rsidRPr="0091032B">
        <w:rPr>
          <w:rFonts w:eastAsia="Times New Roman"/>
          <w:i/>
          <w:lang w:eastAsia="x-none"/>
        </w:rPr>
        <w:t>(shih vendimet nr. 73, datë 17.10.2024; nr. 5, datë 09.02.2023; nr. 29, datë 01.11.2022 të Gjykatës Kushtetuese)</w:t>
      </w:r>
      <w:r w:rsidRPr="0091032B">
        <w:rPr>
          <w:rFonts w:eastAsia="Times New Roman"/>
          <w:lang w:eastAsia="x-none"/>
        </w:rPr>
        <w:t>.</w:t>
      </w:r>
    </w:p>
    <w:p w:rsidR="00782297" w:rsidRPr="0091032B" w:rsidRDefault="00DF1E39" w:rsidP="00782297">
      <w:pPr>
        <w:pStyle w:val="ListParagraph"/>
        <w:numPr>
          <w:ilvl w:val="0"/>
          <w:numId w:val="36"/>
        </w:numPr>
        <w:tabs>
          <w:tab w:val="left" w:pos="1080"/>
        </w:tabs>
        <w:ind w:left="0" w:firstLine="720"/>
        <w:jc w:val="both"/>
        <w:rPr>
          <w:rFonts w:eastAsia="Times New Roman"/>
          <w:iCs/>
          <w:shd w:val="clear" w:color="auto" w:fill="FFFFFF"/>
        </w:rPr>
      </w:pPr>
      <w:r w:rsidRPr="0091032B">
        <w:rPr>
          <w:lang w:eastAsia="fr-FR"/>
        </w:rPr>
        <w:t xml:space="preserve">Nga ana tjetër, e drejta </w:t>
      </w:r>
      <w:r w:rsidRPr="0091032B">
        <w:rPr>
          <w:rFonts w:eastAsia="Times New Roman"/>
        </w:rPr>
        <w:t>për proces të rregullt ligjor përfshin edhe të drejtën për të pasur një vendim gjyqësor të arsyetuar, që i garantohet individit nga nenet 42 dhe 142, pika 1, të Kushtetutës.</w:t>
      </w:r>
      <w:r w:rsidRPr="0091032B">
        <w:rPr>
          <w:rFonts w:eastAsia="Times New Roman"/>
          <w:bCs/>
        </w:rPr>
        <w:t xml:space="preserve"> </w:t>
      </w:r>
      <w:r w:rsidRPr="0091032B">
        <w:rPr>
          <w:rFonts w:eastAsia="Times New Roman"/>
        </w:rPr>
        <w:t xml:space="preserve">Arsyetimi i vendimeve është element thelbësor i një vendimi të drejtë dhe </w:t>
      </w:r>
      <w:r w:rsidRPr="0091032B">
        <w:rPr>
          <w:rFonts w:eastAsia="Times New Roman"/>
          <w:bCs/>
          <w:lang w:eastAsia="x-none"/>
        </w:rPr>
        <w:t>f</w:t>
      </w:r>
      <w:r w:rsidRPr="0091032B">
        <w:rPr>
          <w:rFonts w:eastAsia="Calibri"/>
          <w:bCs/>
          <w:lang w:eastAsia="x-none"/>
        </w:rPr>
        <w:t>unksioni i një vendimi të arsyetuar është t’u tregojë palëve se ato janë dëgjuar,</w:t>
      </w:r>
      <w:r w:rsidRPr="0091032B">
        <w:rPr>
          <w:rFonts w:eastAsia="Calibri"/>
          <w:lang w:eastAsia="x-none"/>
        </w:rPr>
        <w:t xml:space="preserve"> si dhe u jep mundësinë atyre ta kundërshtojnë atë (</w:t>
      </w:r>
      <w:r w:rsidRPr="0091032B">
        <w:rPr>
          <w:rFonts w:eastAsia="Calibri"/>
          <w:i/>
          <w:lang w:eastAsia="x-none"/>
        </w:rPr>
        <w:t xml:space="preserve">shih vendimet </w:t>
      </w:r>
      <w:r w:rsidRPr="0091032B">
        <w:rPr>
          <w:rFonts w:eastAsia="Calibri"/>
          <w:i/>
          <w:bdr w:val="none" w:sz="0" w:space="0" w:color="auto" w:frame="1"/>
          <w:lang w:eastAsia="x-none"/>
        </w:rPr>
        <w:t xml:space="preserve">nr. 19, datë 21.03.2024; </w:t>
      </w:r>
      <w:r w:rsidRPr="0091032B">
        <w:rPr>
          <w:rFonts w:eastAsia="Calibri"/>
          <w:i/>
          <w:lang w:eastAsia="x-none"/>
        </w:rPr>
        <w:t xml:space="preserve">nr. 21, datë 26.09.2022; </w:t>
      </w:r>
      <w:r w:rsidRPr="0091032B">
        <w:rPr>
          <w:rFonts w:eastAsia="Calibri"/>
          <w:bCs/>
          <w:i/>
          <w:lang w:eastAsia="x-none"/>
        </w:rPr>
        <w:t xml:space="preserve">nr. 67, datë 10.11.2017 </w:t>
      </w:r>
      <w:r w:rsidRPr="0091032B">
        <w:rPr>
          <w:rFonts w:eastAsia="Calibri"/>
          <w:i/>
          <w:lang w:eastAsia="x-none"/>
        </w:rPr>
        <w:t>të Gjykatës Kushtetuese</w:t>
      </w:r>
      <w:r w:rsidRPr="0091032B">
        <w:rPr>
          <w:rFonts w:eastAsia="Calibri"/>
          <w:lang w:eastAsia="x-none"/>
        </w:rPr>
        <w:t>). Argumentet e pjesës arsyetuese duhet të formojnë një përmbajtje koherente brenda vendimit, i cili përjashton çdo kundërthënie, kontradiksion të hapur ose të fshehtë dhe duhet të jenë, gjithashtu, të mjaftueshme për të mbështetur dhe pranuar pjesën urdhëruese (</w:t>
      </w:r>
      <w:r w:rsidRPr="0091032B">
        <w:rPr>
          <w:rFonts w:eastAsia="Calibri"/>
          <w:i/>
          <w:lang w:eastAsia="x-none"/>
        </w:rPr>
        <w:t xml:space="preserve">shih vendimet </w:t>
      </w:r>
      <w:r w:rsidRPr="0091032B">
        <w:rPr>
          <w:rFonts w:eastAsia="Calibri"/>
          <w:i/>
          <w:bdr w:val="none" w:sz="0" w:space="0" w:color="auto" w:frame="1"/>
          <w:lang w:eastAsia="x-none"/>
        </w:rPr>
        <w:t xml:space="preserve">nr. 19, datë 21.03.2024; </w:t>
      </w:r>
      <w:r w:rsidRPr="0091032B">
        <w:rPr>
          <w:rFonts w:eastAsia="Calibri"/>
          <w:i/>
          <w:lang w:eastAsia="x-none"/>
        </w:rPr>
        <w:t xml:space="preserve">nr. 79, datë 14.12.2017; </w:t>
      </w:r>
      <w:r w:rsidRPr="0091032B">
        <w:rPr>
          <w:rFonts w:eastAsia="Calibri"/>
          <w:i/>
          <w:iCs/>
          <w:lang w:eastAsia="x-none"/>
        </w:rPr>
        <w:t>nr. 3, datë 26.01.2015</w:t>
      </w:r>
      <w:r w:rsidRPr="0091032B">
        <w:rPr>
          <w:rFonts w:eastAsia="Calibri"/>
          <w:i/>
          <w:lang w:eastAsia="x-none"/>
        </w:rPr>
        <w:t xml:space="preserve"> të Gjykatës Kushtetuese</w:t>
      </w:r>
      <w:r w:rsidRPr="0091032B">
        <w:rPr>
          <w:rFonts w:eastAsia="Calibri"/>
          <w:lang w:eastAsia="x-none"/>
        </w:rPr>
        <w:t xml:space="preserve">). </w:t>
      </w:r>
    </w:p>
    <w:p w:rsidR="00944213" w:rsidRPr="00006EAD" w:rsidRDefault="00DF1E39" w:rsidP="00006EAD">
      <w:pPr>
        <w:pStyle w:val="ListParagraph"/>
        <w:numPr>
          <w:ilvl w:val="0"/>
          <w:numId w:val="36"/>
        </w:numPr>
        <w:tabs>
          <w:tab w:val="left" w:pos="1080"/>
        </w:tabs>
        <w:ind w:left="0" w:firstLine="720"/>
        <w:jc w:val="both"/>
        <w:rPr>
          <w:rFonts w:eastAsia="Times New Roman"/>
          <w:iCs/>
          <w:shd w:val="clear" w:color="auto" w:fill="FFFFFF"/>
        </w:rPr>
      </w:pPr>
      <w:r w:rsidRPr="0091032B">
        <w:rPr>
          <w:rFonts w:eastAsia="Calibri"/>
          <w:lang w:eastAsia="x-none"/>
        </w:rPr>
        <w:t>Gjithsesi, zbatimi i këtij parimi është vlerësuar nga Gjykata rast pas rasti, në varësi të rrethanave konkrete të çështjes dhe natyrës së vendimit, duke analizuar nëse vendimet gjyqësore të kundërshtuara e kanë përmbushur në mënyrë të mjaftueshme detyrimin për arsyetimin e tyre (</w:t>
      </w:r>
      <w:r w:rsidRPr="0091032B">
        <w:rPr>
          <w:rFonts w:eastAsia="Calibri"/>
          <w:i/>
          <w:lang w:eastAsia="x-none"/>
        </w:rPr>
        <w:t>shih vendimet</w:t>
      </w:r>
      <w:r w:rsidRPr="0091032B">
        <w:rPr>
          <w:rFonts w:eastAsia="Calibri"/>
          <w:bCs/>
          <w:i/>
          <w:lang w:eastAsia="x-none"/>
        </w:rPr>
        <w:t xml:space="preserve"> </w:t>
      </w:r>
      <w:r w:rsidRPr="0091032B">
        <w:rPr>
          <w:rFonts w:eastAsia="Calibri"/>
          <w:i/>
          <w:bdr w:val="none" w:sz="0" w:space="0" w:color="auto" w:frame="1"/>
          <w:lang w:eastAsia="x-none"/>
        </w:rPr>
        <w:t xml:space="preserve">nr. 19, datë 21.03.2024; </w:t>
      </w:r>
      <w:r w:rsidRPr="0091032B">
        <w:rPr>
          <w:rFonts w:eastAsia="Calibri"/>
          <w:i/>
          <w:lang w:eastAsia="x-none"/>
        </w:rPr>
        <w:t xml:space="preserve">nr. 21, datë 26.09.2022; </w:t>
      </w:r>
      <w:r w:rsidRPr="0091032B">
        <w:rPr>
          <w:rFonts w:eastAsia="Calibri"/>
          <w:bCs/>
          <w:i/>
          <w:lang w:eastAsia="x-none"/>
        </w:rPr>
        <w:t xml:space="preserve">nr. 6, datë 16.02.2021 </w:t>
      </w:r>
      <w:r w:rsidRPr="0091032B">
        <w:rPr>
          <w:rFonts w:eastAsia="Calibri"/>
          <w:i/>
          <w:lang w:eastAsia="x-none"/>
        </w:rPr>
        <w:t>të Gjykatës Kushtetuese</w:t>
      </w:r>
      <w:r w:rsidRPr="0091032B">
        <w:rPr>
          <w:rFonts w:eastAsia="Calibri"/>
          <w:lang w:eastAsia="x-none"/>
        </w:rPr>
        <w:t>)</w:t>
      </w:r>
      <w:r w:rsidRPr="0091032B">
        <w:rPr>
          <w:rFonts w:eastAsia="Times New Roman"/>
          <w:lang w:eastAsia="x-none"/>
        </w:rPr>
        <w:t xml:space="preserve">. </w:t>
      </w:r>
      <w:r w:rsidR="00006EAD" w:rsidRPr="002A41E4">
        <w:t>Për sa u përket vendimeve të Gjykatës së Lartë për mospranimin e rekursit, Gjykata ka theksuar se ato mund të arsyetohen në mënyrë të kufizuar, me kusht që në pjesën hyrëse të listohen shkaqet e rekursit. Ky arsyetim i kufizuar nuk cenon standardin e arsyetimit të vendimit gjyqësor, përderisa, në thelb, shpreh shkaqet e mospranimit të rekursit nga ana e kolegjeve të saj gjatë shqyrtimit paraprak të tij në dhomën e këshillimit (</w:t>
      </w:r>
      <w:r w:rsidR="00006EAD" w:rsidRPr="00006EAD">
        <w:rPr>
          <w:i/>
        </w:rPr>
        <w:t>shih vendimet nr. 10, datë 07.03.2023; nr. 2, datë 11.02.2021; nr. 21, datë 16.04.2015 të Gjykatës Kushtetuese</w:t>
      </w:r>
      <w:r w:rsidR="00006EAD" w:rsidRPr="002A41E4">
        <w:t>).</w:t>
      </w:r>
      <w:r w:rsidR="00006EAD" w:rsidRPr="002571DA">
        <w:t xml:space="preserve"> </w:t>
      </w:r>
      <w:r w:rsidRPr="00006EAD">
        <w:rPr>
          <w:rFonts w:eastAsia="Times New Roman"/>
          <w:lang w:eastAsia="x-none"/>
        </w:rPr>
        <w:t xml:space="preserve">Po </w:t>
      </w:r>
      <w:r w:rsidR="00006EAD">
        <w:rPr>
          <w:rFonts w:eastAsia="Times New Roman"/>
          <w:lang w:eastAsia="x-none"/>
        </w:rPr>
        <w:t>kë</w:t>
      </w:r>
      <w:r w:rsidRPr="00006EAD">
        <w:rPr>
          <w:rFonts w:eastAsia="Times New Roman"/>
          <w:lang w:eastAsia="x-none"/>
        </w:rPr>
        <w:t xml:space="preserve">shtu, Gjykata ka theksuar se ajo </w:t>
      </w:r>
      <w:r w:rsidRPr="00006EAD">
        <w:rPr>
          <w:rFonts w:eastAsia="Times New Roman"/>
          <w:lang w:eastAsia="en-GB"/>
        </w:rPr>
        <w:t>nuk vepron si gjykatë e shkallës së katërt dhe për këtë arsye vendimet e gjykatave të juridiksionit të zakonshëm nuk vihen në dyshim, përveç rasteve kur gjetjet e tyre mund të konsiderohen si arbitrare ose haptazi të paarsyeshme (</w:t>
      </w:r>
      <w:r w:rsidRPr="00006EAD">
        <w:rPr>
          <w:rFonts w:eastAsia="Times New Roman"/>
          <w:i/>
          <w:iCs/>
          <w:lang w:eastAsia="en-GB"/>
        </w:rPr>
        <w:t>shih vendimet</w:t>
      </w:r>
      <w:r w:rsidRPr="00006EAD">
        <w:rPr>
          <w:rFonts w:eastAsia="Calibri"/>
          <w:i/>
          <w:bdr w:val="none" w:sz="0" w:space="0" w:color="auto" w:frame="1"/>
          <w:lang w:eastAsia="x-none"/>
        </w:rPr>
        <w:t xml:space="preserve"> nr. 19, datë 21.03.2024; </w:t>
      </w:r>
      <w:r w:rsidRPr="00006EAD">
        <w:rPr>
          <w:rFonts w:eastAsia="Times New Roman"/>
          <w:i/>
          <w:iCs/>
          <w:lang w:eastAsia="en-GB"/>
        </w:rPr>
        <w:t xml:space="preserve"> nr. 4, datë 31.01.2024; nr. 30, datë 29.05.2023 të Gjykatës Kushtetuese</w:t>
      </w:r>
      <w:r w:rsidRPr="00006EAD">
        <w:rPr>
          <w:rFonts w:eastAsia="Times New Roman"/>
          <w:lang w:eastAsia="en-GB"/>
        </w:rPr>
        <w:t>)</w:t>
      </w:r>
      <w:r w:rsidRPr="00006EAD">
        <w:rPr>
          <w:rFonts w:eastAsia="Times New Roman"/>
          <w:lang w:eastAsia="x-none"/>
        </w:rPr>
        <w:t>.</w:t>
      </w:r>
    </w:p>
    <w:p w:rsidR="00944213" w:rsidRPr="0091032B" w:rsidRDefault="00DF1E39" w:rsidP="00944213">
      <w:pPr>
        <w:pStyle w:val="ListParagraph"/>
        <w:numPr>
          <w:ilvl w:val="0"/>
          <w:numId w:val="36"/>
        </w:numPr>
        <w:tabs>
          <w:tab w:val="left" w:pos="1080"/>
        </w:tabs>
        <w:ind w:left="0" w:firstLine="720"/>
        <w:jc w:val="both"/>
        <w:rPr>
          <w:rFonts w:eastAsia="Times New Roman"/>
          <w:iCs/>
          <w:shd w:val="clear" w:color="auto" w:fill="FFFFFF"/>
        </w:rPr>
      </w:pPr>
      <w:r w:rsidRPr="0091032B">
        <w:rPr>
          <w:rFonts w:eastAsia="Calibri"/>
          <w:lang w:eastAsia="x-none"/>
        </w:rPr>
        <w:t xml:space="preserve">Bazuar në standardet e mësipërme kushtetuese, Gjykata do të analizojë në vijim nëse në rastin konkret </w:t>
      </w:r>
      <w:r w:rsidR="00782297" w:rsidRPr="0091032B">
        <w:rPr>
          <w:rFonts w:eastAsia="Calibri"/>
          <w:lang w:eastAsia="x-none"/>
        </w:rPr>
        <w:t>G</w:t>
      </w:r>
      <w:r w:rsidRPr="0091032B">
        <w:rPr>
          <w:rFonts w:eastAsia="Calibri"/>
          <w:lang w:eastAsia="x-none"/>
        </w:rPr>
        <w:t>jykata</w:t>
      </w:r>
      <w:r w:rsidR="00782297" w:rsidRPr="0091032B">
        <w:rPr>
          <w:rFonts w:eastAsia="Calibri"/>
          <w:lang w:eastAsia="x-none"/>
        </w:rPr>
        <w:t xml:space="preserve"> e Lartë, në përputhje me funksionin e saj</w:t>
      </w:r>
      <w:r w:rsidR="006A659A" w:rsidRPr="0091032B">
        <w:rPr>
          <w:rFonts w:eastAsia="Calibri"/>
          <w:lang w:eastAsia="x-none"/>
        </w:rPr>
        <w:t>,</w:t>
      </w:r>
      <w:r w:rsidR="00782297" w:rsidRPr="0091032B">
        <w:rPr>
          <w:rFonts w:eastAsia="Calibri"/>
          <w:lang w:eastAsia="x-none"/>
        </w:rPr>
        <w:t xml:space="preserve"> ka marrë në shqyrtim </w:t>
      </w:r>
      <w:r w:rsidR="00782297" w:rsidRPr="0091032B">
        <w:rPr>
          <w:rFonts w:eastAsia="Calibri"/>
          <w:lang w:eastAsia="x-none"/>
        </w:rPr>
        <w:lastRenderedPageBreak/>
        <w:t xml:space="preserve">pretendimet e parashtruara nga kërkuesja dhe nëse ka argumentuar mjaftueshëm qëndrimin e saj për mospranimin e rekursit. </w:t>
      </w:r>
    </w:p>
    <w:p w:rsidR="00ED4DAD" w:rsidRPr="0091032B" w:rsidRDefault="00782297" w:rsidP="00ED4DAD">
      <w:pPr>
        <w:pStyle w:val="ListParagraph"/>
        <w:numPr>
          <w:ilvl w:val="0"/>
          <w:numId w:val="36"/>
        </w:numPr>
        <w:tabs>
          <w:tab w:val="left" w:pos="1080"/>
        </w:tabs>
        <w:ind w:left="0" w:firstLine="720"/>
        <w:jc w:val="both"/>
        <w:rPr>
          <w:rFonts w:eastAsia="Times New Roman"/>
          <w:iCs/>
          <w:shd w:val="clear" w:color="auto" w:fill="FFFFFF"/>
        </w:rPr>
      </w:pPr>
      <w:r w:rsidRPr="0091032B">
        <w:rPr>
          <w:rFonts w:eastAsia="Times New Roman"/>
        </w:rPr>
        <w:t xml:space="preserve">Gjykata vëren se </w:t>
      </w:r>
      <w:r w:rsidR="0071191D" w:rsidRPr="0091032B">
        <w:rPr>
          <w:rFonts w:eastAsia="Times New Roman"/>
        </w:rPr>
        <w:t xml:space="preserve">kërkuesja i është drejtuar Gjykatës së Rrethit Gjyqësor Tiranë me padi kundër </w:t>
      </w:r>
      <w:r w:rsidRPr="0091032B">
        <w:rPr>
          <w:rFonts w:eastAsia="Times New Roman"/>
        </w:rPr>
        <w:t xml:space="preserve">subjektit të interesuar, </w:t>
      </w:r>
      <w:r w:rsidR="0071191D" w:rsidRPr="0091032B">
        <w:rPr>
          <w:rFonts w:eastAsia="Times New Roman"/>
        </w:rPr>
        <w:t>Bank</w:t>
      </w:r>
      <w:r w:rsidR="0085180A">
        <w:rPr>
          <w:rFonts w:eastAsia="Times New Roman"/>
        </w:rPr>
        <w:t>ës</w:t>
      </w:r>
      <w:r w:rsidR="0071191D" w:rsidRPr="0091032B">
        <w:rPr>
          <w:rFonts w:eastAsia="Times New Roman"/>
        </w:rPr>
        <w:t xml:space="preserve"> </w:t>
      </w:r>
      <w:r w:rsidR="0085180A">
        <w:rPr>
          <w:rFonts w:eastAsia="Times New Roman"/>
        </w:rPr>
        <w:t>së</w:t>
      </w:r>
      <w:r w:rsidR="0071191D" w:rsidRPr="0091032B">
        <w:rPr>
          <w:rFonts w:eastAsia="Times New Roman"/>
        </w:rPr>
        <w:t xml:space="preserve"> Tiranës, duke kërkuar detyrimin e </w:t>
      </w:r>
      <w:r w:rsidRPr="0091032B">
        <w:rPr>
          <w:rFonts w:eastAsia="Times New Roman"/>
        </w:rPr>
        <w:t>palës së paditur p</w:t>
      </w:r>
      <w:r w:rsidR="0071191D" w:rsidRPr="0091032B">
        <w:rPr>
          <w:rFonts w:eastAsia="Times New Roman"/>
        </w:rPr>
        <w:t xml:space="preserve">ër shpërblimin e dëmit pasuror e jopasuror të shkaktuar nga veprimet </w:t>
      </w:r>
      <w:r w:rsidR="0085180A">
        <w:rPr>
          <w:rFonts w:eastAsia="Times New Roman"/>
        </w:rPr>
        <w:t xml:space="preserve">e saj </w:t>
      </w:r>
      <w:r w:rsidR="0071191D" w:rsidRPr="0091032B">
        <w:rPr>
          <w:rFonts w:eastAsia="Times New Roman"/>
        </w:rPr>
        <w:t>me faj, në masën 10</w:t>
      </w:r>
      <w:r w:rsidRPr="0091032B">
        <w:rPr>
          <w:rFonts w:eastAsia="Times New Roman"/>
        </w:rPr>
        <w:t>,000,000</w:t>
      </w:r>
      <w:r w:rsidR="0071191D" w:rsidRPr="0091032B">
        <w:rPr>
          <w:rFonts w:eastAsia="Times New Roman"/>
        </w:rPr>
        <w:t xml:space="preserve"> lekë, fitimin e munguar, si dhe kamatat ligjore, sipas normës </w:t>
      </w:r>
      <w:r w:rsidR="006D70F3" w:rsidRPr="0091032B">
        <w:t xml:space="preserve">tribor njëditor </w:t>
      </w:r>
      <w:r w:rsidR="00EB4429">
        <w:rPr>
          <w:rFonts w:eastAsia="Times New Roman"/>
        </w:rPr>
        <w:t>t</w:t>
      </w:r>
      <w:r w:rsidR="00944213" w:rsidRPr="0091032B">
        <w:rPr>
          <w:rFonts w:eastAsia="Times New Roman"/>
        </w:rPr>
        <w:t>ë</w:t>
      </w:r>
      <w:r w:rsidR="0071191D" w:rsidRPr="0091032B">
        <w:rPr>
          <w:rFonts w:eastAsia="Times New Roman"/>
        </w:rPr>
        <w:t xml:space="preserve"> Bank</w:t>
      </w:r>
      <w:r w:rsidR="00944213" w:rsidRPr="0091032B">
        <w:rPr>
          <w:rFonts w:eastAsia="Times New Roman"/>
        </w:rPr>
        <w:t>ës</w:t>
      </w:r>
      <w:r w:rsidR="0071191D" w:rsidRPr="0091032B">
        <w:rPr>
          <w:rFonts w:eastAsia="Times New Roman"/>
        </w:rPr>
        <w:t xml:space="preserve"> </w:t>
      </w:r>
      <w:r w:rsidR="00944213" w:rsidRPr="0091032B">
        <w:rPr>
          <w:rFonts w:eastAsia="Times New Roman"/>
        </w:rPr>
        <w:t>së</w:t>
      </w:r>
      <w:r w:rsidR="0071191D" w:rsidRPr="0091032B">
        <w:rPr>
          <w:rFonts w:eastAsia="Times New Roman"/>
        </w:rPr>
        <w:t xml:space="preserve"> Shqipërisë, deri në ekzekutimi</w:t>
      </w:r>
      <w:r w:rsidR="00944213" w:rsidRPr="0091032B">
        <w:rPr>
          <w:rFonts w:eastAsia="Times New Roman"/>
        </w:rPr>
        <w:t xml:space="preserve">n e </w:t>
      </w:r>
      <w:r w:rsidR="0071191D" w:rsidRPr="0091032B">
        <w:rPr>
          <w:rFonts w:eastAsia="Times New Roman"/>
        </w:rPr>
        <w:t>vendimit. Gjykata e Rrethit Gjyqësor Tiranë ka vendosur rrëzimin e padisë</w:t>
      </w:r>
      <w:r w:rsidR="006A659A" w:rsidRPr="0091032B">
        <w:rPr>
          <w:rFonts w:eastAsia="Times New Roman"/>
        </w:rPr>
        <w:t>,</w:t>
      </w:r>
      <w:r w:rsidR="0071191D" w:rsidRPr="0091032B">
        <w:rPr>
          <w:rFonts w:eastAsia="Times New Roman"/>
        </w:rPr>
        <w:t xml:space="preserve"> duke arsyetuar se paditës</w:t>
      </w:r>
      <w:r w:rsidR="00ED4DAD" w:rsidRPr="0091032B">
        <w:rPr>
          <w:rFonts w:eastAsia="Times New Roman"/>
        </w:rPr>
        <w:t>ja (</w:t>
      </w:r>
      <w:r w:rsidR="0071191D" w:rsidRPr="0091032B">
        <w:rPr>
          <w:rFonts w:eastAsia="Times New Roman"/>
        </w:rPr>
        <w:t>kërkuesja</w:t>
      </w:r>
      <w:r w:rsidR="00ED4DAD" w:rsidRPr="0091032B">
        <w:rPr>
          <w:rFonts w:eastAsia="Times New Roman"/>
        </w:rPr>
        <w:t>)</w:t>
      </w:r>
      <w:r w:rsidR="0071191D" w:rsidRPr="0091032B">
        <w:rPr>
          <w:rFonts w:eastAsia="Times New Roman"/>
        </w:rPr>
        <w:t xml:space="preserve"> nuk ka mundur të provojë dëmin, si dhe sjelljet e paligjshme të </w:t>
      </w:r>
      <w:r w:rsidR="008651A4">
        <w:rPr>
          <w:rFonts w:eastAsia="Times New Roman"/>
        </w:rPr>
        <w:t xml:space="preserve">të </w:t>
      </w:r>
      <w:r w:rsidR="00ED4DAD" w:rsidRPr="0091032B">
        <w:rPr>
          <w:rFonts w:eastAsia="Times New Roman"/>
        </w:rPr>
        <w:t>paditur</w:t>
      </w:r>
      <w:r w:rsidR="008651A4">
        <w:rPr>
          <w:rFonts w:eastAsia="Times New Roman"/>
        </w:rPr>
        <w:t xml:space="preserve">ës, </w:t>
      </w:r>
      <w:r w:rsidR="00ED4DAD" w:rsidRPr="0091032B">
        <w:rPr>
          <w:rFonts w:eastAsia="Times New Roman"/>
        </w:rPr>
        <w:t>B</w:t>
      </w:r>
      <w:r w:rsidR="0071191D" w:rsidRPr="0091032B">
        <w:rPr>
          <w:rFonts w:eastAsia="Times New Roman"/>
        </w:rPr>
        <w:t>ank</w:t>
      </w:r>
      <w:r w:rsidR="008651A4">
        <w:rPr>
          <w:rFonts w:eastAsia="Times New Roman"/>
        </w:rPr>
        <w:t>ës</w:t>
      </w:r>
      <w:r w:rsidR="00ED4DAD" w:rsidRPr="0091032B">
        <w:rPr>
          <w:rFonts w:eastAsia="Times New Roman"/>
        </w:rPr>
        <w:t xml:space="preserve"> </w:t>
      </w:r>
      <w:r w:rsidR="008651A4">
        <w:rPr>
          <w:rFonts w:eastAsia="Times New Roman"/>
        </w:rPr>
        <w:t>së</w:t>
      </w:r>
      <w:r w:rsidR="00ED4DAD" w:rsidRPr="0091032B">
        <w:rPr>
          <w:rFonts w:eastAsia="Times New Roman"/>
        </w:rPr>
        <w:t xml:space="preserve"> Tiranës</w:t>
      </w:r>
      <w:r w:rsidR="0071191D" w:rsidRPr="0091032B">
        <w:rPr>
          <w:rFonts w:eastAsia="Times New Roman"/>
        </w:rPr>
        <w:t xml:space="preserve">, ndaj nuk legjitimohet në kërkimet e saj. </w:t>
      </w:r>
      <w:r w:rsidR="00ED4DAD" w:rsidRPr="0091032B">
        <w:rPr>
          <w:rFonts w:eastAsia="Times New Roman"/>
        </w:rPr>
        <w:t xml:space="preserve">Mbi ankimin e kërkueses, </w:t>
      </w:r>
      <w:r w:rsidR="0071191D" w:rsidRPr="0091032B">
        <w:rPr>
          <w:rFonts w:eastAsia="Times New Roman"/>
        </w:rPr>
        <w:t xml:space="preserve">Gjykata e Apelit Tiranë ka vendosur lënien në fuqi të vendimit të </w:t>
      </w:r>
      <w:r w:rsidR="00ED4DAD" w:rsidRPr="0091032B">
        <w:rPr>
          <w:rFonts w:eastAsia="Times New Roman"/>
        </w:rPr>
        <w:t xml:space="preserve">gjykatës së shkallës së parë, </w:t>
      </w:r>
      <w:r w:rsidR="0071191D" w:rsidRPr="0091032B">
        <w:rPr>
          <w:rFonts w:eastAsia="Times New Roman"/>
        </w:rPr>
        <w:t>duke e vlerësuar qëndrimin e saj të bazuar në ligj e në prova. Sipas gjykatës së apelit</w:t>
      </w:r>
      <w:r w:rsidR="008651A4">
        <w:rPr>
          <w:rFonts w:eastAsia="Times New Roman"/>
        </w:rPr>
        <w:t xml:space="preserve">, e paditura, </w:t>
      </w:r>
      <w:r w:rsidR="00ED4DAD" w:rsidRPr="0091032B">
        <w:rPr>
          <w:rFonts w:eastAsia="Times New Roman"/>
        </w:rPr>
        <w:t>B</w:t>
      </w:r>
      <w:r w:rsidR="0071191D" w:rsidRPr="0091032B">
        <w:rPr>
          <w:rFonts w:eastAsia="Times New Roman"/>
        </w:rPr>
        <w:t xml:space="preserve">anka </w:t>
      </w:r>
      <w:r w:rsidR="00ED4DAD" w:rsidRPr="0091032B">
        <w:rPr>
          <w:rFonts w:eastAsia="Times New Roman"/>
        </w:rPr>
        <w:t>e Tiranës</w:t>
      </w:r>
      <w:r w:rsidR="008651A4">
        <w:rPr>
          <w:rFonts w:eastAsia="Times New Roman"/>
        </w:rPr>
        <w:t xml:space="preserve">, </w:t>
      </w:r>
      <w:r w:rsidR="0071191D" w:rsidRPr="0091032B">
        <w:rPr>
          <w:rFonts w:eastAsia="Times New Roman"/>
        </w:rPr>
        <w:t xml:space="preserve">ka respektuar urdhërimet e </w:t>
      </w:r>
      <w:r w:rsidR="00ED4DAD" w:rsidRPr="0091032B">
        <w:rPr>
          <w:rFonts w:eastAsia="Times New Roman"/>
        </w:rPr>
        <w:t>KPC-së</w:t>
      </w:r>
      <w:r w:rsidR="0071191D" w:rsidRPr="0091032B">
        <w:rPr>
          <w:rFonts w:eastAsia="Times New Roman"/>
        </w:rPr>
        <w:t xml:space="preserve"> dhe nuk ka kryer asnjë veprim të paligjshëm</w:t>
      </w:r>
      <w:r w:rsidR="00ED4DAD" w:rsidRPr="0091032B">
        <w:rPr>
          <w:rFonts w:eastAsia="Times New Roman"/>
        </w:rPr>
        <w:t>. Po sipas gjykatës së apelit</w:t>
      </w:r>
      <w:r w:rsidR="008651A4">
        <w:rPr>
          <w:rFonts w:eastAsia="Times New Roman"/>
        </w:rPr>
        <w:t>,</w:t>
      </w:r>
      <w:r w:rsidR="00ED4DAD" w:rsidRPr="0091032B">
        <w:rPr>
          <w:rFonts w:eastAsia="Times New Roman"/>
        </w:rPr>
        <w:t xml:space="preserve"> </w:t>
      </w:r>
      <w:r w:rsidR="0071191D" w:rsidRPr="0091032B">
        <w:rPr>
          <w:rFonts w:eastAsia="Times New Roman"/>
        </w:rPr>
        <w:t>kërkuesja ka përfituar shpërblimin përkatës për efekt të kryerjes së çdo veprimi përmbarimor</w:t>
      </w:r>
      <w:r w:rsidR="006A659A" w:rsidRPr="0091032B">
        <w:rPr>
          <w:rFonts w:eastAsia="Times New Roman"/>
        </w:rPr>
        <w:t>,</w:t>
      </w:r>
      <w:r w:rsidR="0071191D" w:rsidRPr="0091032B">
        <w:rPr>
          <w:rFonts w:eastAsia="Times New Roman"/>
        </w:rPr>
        <w:t xml:space="preserve"> </w:t>
      </w:r>
      <w:r w:rsidR="00ED4DAD" w:rsidRPr="0091032B">
        <w:rPr>
          <w:rFonts w:eastAsia="Times New Roman"/>
        </w:rPr>
        <w:t>ndërkohë që n</w:t>
      </w:r>
      <w:r w:rsidR="0071191D" w:rsidRPr="0091032B">
        <w:rPr>
          <w:rFonts w:eastAsia="Times New Roman"/>
        </w:rPr>
        <w:t xml:space="preserve">ë një rast hipotetik subjekti që do të pësonte nga veprimet e bankës do të ishte KESH-i. </w:t>
      </w:r>
    </w:p>
    <w:p w:rsidR="005C6B8B" w:rsidRPr="00006EAD" w:rsidRDefault="00ED4DAD" w:rsidP="00006EAD">
      <w:pPr>
        <w:pStyle w:val="ListParagraph"/>
        <w:numPr>
          <w:ilvl w:val="0"/>
          <w:numId w:val="36"/>
        </w:numPr>
        <w:tabs>
          <w:tab w:val="left" w:pos="1080"/>
        </w:tabs>
        <w:ind w:left="0" w:firstLine="720"/>
        <w:jc w:val="both"/>
        <w:rPr>
          <w:bCs/>
        </w:rPr>
      </w:pPr>
      <w:r w:rsidRPr="0091032B">
        <w:rPr>
          <w:bCs/>
        </w:rPr>
        <w:t xml:space="preserve">Kundër vendimit të gjykatës së apelit kërkuesja ka paraqitur rekurs në Gjykatën e Lartë dhe në datën 24.02.2023 ajo ka paraqitur edhe parashtrime shtesë për rekursin. </w:t>
      </w:r>
      <w:r w:rsidR="0071191D" w:rsidRPr="0091032B">
        <w:rPr>
          <w:rFonts w:eastAsia="Times New Roman"/>
        </w:rPr>
        <w:t>Kolegji Civil i Gjykatës së Lartë</w:t>
      </w:r>
      <w:r w:rsidR="006A659A" w:rsidRPr="0091032B">
        <w:rPr>
          <w:rFonts w:eastAsia="Times New Roman"/>
        </w:rPr>
        <w:t>,</w:t>
      </w:r>
      <w:r w:rsidR="0071191D" w:rsidRPr="0091032B">
        <w:rPr>
          <w:rFonts w:eastAsia="Times New Roman"/>
        </w:rPr>
        <w:t xml:space="preserve"> në dhomën e këshillimit</w:t>
      </w:r>
      <w:r w:rsidR="006A659A" w:rsidRPr="0091032B">
        <w:rPr>
          <w:rFonts w:eastAsia="Times New Roman"/>
        </w:rPr>
        <w:t>,</w:t>
      </w:r>
      <w:r w:rsidR="0071191D" w:rsidRPr="0091032B">
        <w:rPr>
          <w:rFonts w:eastAsia="Times New Roman"/>
        </w:rPr>
        <w:t xml:space="preserve"> me vendimin nr. 00-2024-3825, datë 11.09.2024</w:t>
      </w:r>
      <w:r w:rsidR="006A659A" w:rsidRPr="0091032B">
        <w:rPr>
          <w:rFonts w:eastAsia="Times New Roman"/>
        </w:rPr>
        <w:t>,</w:t>
      </w:r>
      <w:r w:rsidR="0071191D" w:rsidRPr="0091032B">
        <w:rPr>
          <w:rFonts w:eastAsia="Times New Roman"/>
        </w:rPr>
        <w:t xml:space="preserve"> ka vendosur mospranimin e rekursit</w:t>
      </w:r>
      <w:r w:rsidRPr="0091032B">
        <w:rPr>
          <w:rFonts w:eastAsia="Times New Roman"/>
        </w:rPr>
        <w:t xml:space="preserve">, duke vlerësuar se </w:t>
      </w:r>
      <w:r w:rsidRPr="0091032B">
        <w:rPr>
          <w:bCs/>
        </w:rPr>
        <w:t xml:space="preserve">nuk ekzistojnë shkaqet ligjore të parashikuara në nenin 472 të KPC-së, të cilat ta bëjnë të cenueshëm vendimin objekt rekursi. </w:t>
      </w:r>
      <w:bookmarkStart w:id="12" w:name="_Hlk213841874"/>
      <w:r w:rsidRPr="0091032B">
        <w:rPr>
          <w:bCs/>
        </w:rPr>
        <w:t xml:space="preserve">Sipas asaj gjykate: i) gjykatat e faktit kanë respektuar normat procedurale të cilat mund të çojnë në pavlefshmërinë e vendimit gjyqësor </w:t>
      </w:r>
      <w:r w:rsidR="006A659A" w:rsidRPr="0091032B">
        <w:rPr>
          <w:bCs/>
        </w:rPr>
        <w:t xml:space="preserve">ose </w:t>
      </w:r>
      <w:r w:rsidRPr="0091032B">
        <w:rPr>
          <w:bCs/>
        </w:rPr>
        <w:t xml:space="preserve">të procedurës së gjykimit dhe nuk rezultojnë shkaqe të rënda procedurale që të kenë ndikuar dukshëm në dhënien e vendimeve; ii) palëve u është dhënë mundësia të realizojnë të drejtën </w:t>
      </w:r>
      <w:r w:rsidR="00B86BFB" w:rsidRPr="0091032B">
        <w:rPr>
          <w:bCs/>
        </w:rPr>
        <w:t>e</w:t>
      </w:r>
      <w:r w:rsidRPr="0091032B">
        <w:rPr>
          <w:bCs/>
        </w:rPr>
        <w:t xml:space="preserve"> mbrojtjes, të paraqesin prova, të njihen me provat e palës kundërshtare, të debatojnë në lidhje me to, të shprehin qëndrimin për zgjidhjen e mosmarrëveshjes, duke </w:t>
      </w:r>
      <w:r w:rsidR="00B86BFB" w:rsidRPr="0091032B">
        <w:rPr>
          <w:bCs/>
        </w:rPr>
        <w:t xml:space="preserve">u </w:t>
      </w:r>
      <w:r w:rsidRPr="0091032B">
        <w:rPr>
          <w:bCs/>
        </w:rPr>
        <w:t>respektuar parimet e procesi</w:t>
      </w:r>
      <w:r w:rsidR="00B86BFB" w:rsidRPr="0091032B">
        <w:rPr>
          <w:bCs/>
        </w:rPr>
        <w:t>t</w:t>
      </w:r>
      <w:r w:rsidRPr="0091032B">
        <w:rPr>
          <w:bCs/>
        </w:rPr>
        <w:t xml:space="preserve"> të rregullt; ii</w:t>
      </w:r>
      <w:r w:rsidR="00B86BFB" w:rsidRPr="0091032B">
        <w:rPr>
          <w:bCs/>
        </w:rPr>
        <w:t xml:space="preserve">i) </w:t>
      </w:r>
      <w:r w:rsidRPr="0091032B">
        <w:rPr>
          <w:bCs/>
        </w:rPr>
        <w:t>gjykatat e faktit kanë respektuar dhe zbatuar drejt</w:t>
      </w:r>
      <w:r w:rsidR="00D919C7" w:rsidRPr="0091032B">
        <w:rPr>
          <w:bCs/>
        </w:rPr>
        <w:t xml:space="preserve"> </w:t>
      </w:r>
      <w:r w:rsidRPr="0091032B">
        <w:rPr>
          <w:bCs/>
        </w:rPr>
        <w:t>dispozitat e ligjit material për zgjidhjen e çështjes</w:t>
      </w:r>
      <w:r w:rsidR="00B86BFB" w:rsidRPr="0091032B">
        <w:rPr>
          <w:bCs/>
        </w:rPr>
        <w:t xml:space="preserve">, </w:t>
      </w:r>
      <w:r w:rsidRPr="0091032B">
        <w:rPr>
          <w:bCs/>
        </w:rPr>
        <w:t>kanë bërë një cilësim të drejtë të fakteve dhe rrethanave që lidhen me mosmarrëveshjen</w:t>
      </w:r>
      <w:r w:rsidR="00B86BFB" w:rsidRPr="0091032B">
        <w:rPr>
          <w:bCs/>
        </w:rPr>
        <w:t xml:space="preserve">, </w:t>
      </w:r>
      <w:r w:rsidRPr="0091032B">
        <w:rPr>
          <w:bCs/>
        </w:rPr>
        <w:t>kanë kryer një analizë juridike të plotë të provave dhe e kanë zgjidhur mosmarrëveshjen në përputhje me dispozitat ligjore në fuqi</w:t>
      </w:r>
      <w:r w:rsidR="00B86BFB" w:rsidRPr="0091032B">
        <w:rPr>
          <w:bCs/>
        </w:rPr>
        <w:t xml:space="preserve">; iv) vendimet e gjykatave të faktit </w:t>
      </w:r>
      <w:r w:rsidRPr="0091032B">
        <w:rPr>
          <w:bCs/>
        </w:rPr>
        <w:t xml:space="preserve">nuk vijnë në kundërshtim me praktikën e Kolegjit Civil </w:t>
      </w:r>
      <w:r w:rsidR="006A659A" w:rsidRPr="0091032B">
        <w:rPr>
          <w:bCs/>
        </w:rPr>
        <w:t xml:space="preserve">ose të </w:t>
      </w:r>
      <w:r w:rsidRPr="0091032B">
        <w:rPr>
          <w:bCs/>
        </w:rPr>
        <w:t>Kolegjeve të Bashkuara të Gjykatës së Lartë</w:t>
      </w:r>
      <w:r w:rsidR="00B86BFB" w:rsidRPr="0091032B">
        <w:rPr>
          <w:bCs/>
        </w:rPr>
        <w:t xml:space="preserve">; v) </w:t>
      </w:r>
      <w:r w:rsidR="00B86BFB" w:rsidRPr="0091032B">
        <w:t xml:space="preserve">shkaqet e parashtruara në rekurs ngrenë kryesisht çështje të </w:t>
      </w:r>
      <w:r w:rsidR="00B86BFB" w:rsidRPr="0091032B">
        <w:lastRenderedPageBreak/>
        <w:t xml:space="preserve">vlerësimit të provave dhe fakteve, të cilat dalin jashtë juridiksionit rishikues dhe ligjor të Gjykatës së Lartë si gjykatë ligji. </w:t>
      </w:r>
      <w:r w:rsidR="00B86BFB" w:rsidRPr="0091032B">
        <w:rPr>
          <w:bCs/>
        </w:rPr>
        <w:t>Sipas Gjykatës së Lartë</w:t>
      </w:r>
      <w:r w:rsidR="006A659A" w:rsidRPr="0091032B">
        <w:rPr>
          <w:bCs/>
        </w:rPr>
        <w:t>,</w:t>
      </w:r>
      <w:r w:rsidR="00B86BFB" w:rsidRPr="0091032B">
        <w:rPr>
          <w:bCs/>
        </w:rPr>
        <w:t xml:space="preserve"> </w:t>
      </w:r>
      <w:r w:rsidRPr="0091032B">
        <w:t>përmbaruesi gjyq</w:t>
      </w:r>
      <w:r w:rsidR="00B86BFB" w:rsidRPr="0091032B">
        <w:t>ë</w:t>
      </w:r>
      <w:r w:rsidRPr="0091032B">
        <w:t xml:space="preserve">sor ushtron detyrën me qëllim ekzekutimin e titullit ekzekutiv dhe jo për përmbushjen e interesave të tij </w:t>
      </w:r>
      <w:r w:rsidR="005B266E" w:rsidRPr="0091032B">
        <w:t>personal</w:t>
      </w:r>
      <w:r w:rsidR="008651A4">
        <w:t>e</w:t>
      </w:r>
      <w:r w:rsidR="00B86BFB" w:rsidRPr="0091032B">
        <w:t xml:space="preserve">. </w:t>
      </w:r>
      <w:bookmarkStart w:id="13" w:name="_Hlk213841807"/>
      <w:r w:rsidR="008651A4">
        <w:t>Ajo gjykatë ka vlerësuar se k</w:t>
      </w:r>
      <w:r w:rsidR="00B86BFB" w:rsidRPr="0091032B">
        <w:t xml:space="preserve">ëtij subjekti ligji i ka njohur mjetet ligjore përmes të </w:t>
      </w:r>
      <w:r w:rsidRPr="0091032B">
        <w:t xml:space="preserve">cilave </w:t>
      </w:r>
      <w:r w:rsidR="00B86BFB" w:rsidRPr="0091032B">
        <w:t>ai</w:t>
      </w:r>
      <w:r w:rsidRPr="0091032B">
        <w:t xml:space="preserve"> vepron për të shmangur pengesat nga debitori ose nga personat e tretë për të përmbushur detyrën për ekzekutimin e titullit ekzekutiv</w:t>
      </w:r>
      <w:r w:rsidR="00B86BFB" w:rsidRPr="0091032B">
        <w:t xml:space="preserve"> dhe v</w:t>
      </w:r>
      <w:r w:rsidRPr="0091032B">
        <w:t>eprimet e tyre penguese ndëshkohen me gjobë</w:t>
      </w:r>
      <w:r w:rsidR="00B86BFB" w:rsidRPr="0091032B">
        <w:t xml:space="preserve">, </w:t>
      </w:r>
      <w:r w:rsidRPr="0091032B">
        <w:t xml:space="preserve">por nuk mund të përbëjnë bazë për lindjen e </w:t>
      </w:r>
      <w:r w:rsidR="00855EC1" w:rsidRPr="0091032B">
        <w:t xml:space="preserve">së </w:t>
      </w:r>
      <w:r w:rsidRPr="0091032B">
        <w:t xml:space="preserve">drejtës së dëmshpërblim për </w:t>
      </w:r>
      <w:r w:rsidR="00B86BFB" w:rsidRPr="0091032B">
        <w:t xml:space="preserve">përmbaruesin </w:t>
      </w:r>
      <w:r w:rsidRPr="0091032B">
        <w:t xml:space="preserve">sipas </w:t>
      </w:r>
      <w:r w:rsidR="00B80D23" w:rsidRPr="0091032B">
        <w:t xml:space="preserve">neneve </w:t>
      </w:r>
      <w:r w:rsidRPr="0091032B">
        <w:t xml:space="preserve">608 e vijues të </w:t>
      </w:r>
      <w:r w:rsidR="00B80D23" w:rsidRPr="0091032B">
        <w:t>KC-së</w:t>
      </w:r>
      <w:r w:rsidR="00B86BFB" w:rsidRPr="0091032B">
        <w:t>. Po sipas Gjykatës së Lartë, p</w:t>
      </w:r>
      <w:r w:rsidRPr="0091032B">
        <w:t xml:space="preserve">ërmbaruesi </w:t>
      </w:r>
      <w:r w:rsidR="00B86BFB" w:rsidRPr="0091032B">
        <w:t xml:space="preserve">gjyqësor </w:t>
      </w:r>
      <w:r w:rsidRPr="0091032B">
        <w:t xml:space="preserve">nuk mund të bëjë të vlefshme në emrin e tij të drejta që i përkasin subjektit në favor të të cilit bëhet ekzekutimi dhe as mund të kërkojë të përfitojë si dëm interesat e vonesës së </w:t>
      </w:r>
      <w:r w:rsidR="00D919C7" w:rsidRPr="0091032B">
        <w:t xml:space="preserve">pagimit </w:t>
      </w:r>
      <w:r w:rsidRPr="0091032B">
        <w:t>të shumës objekt ekzekutimi në llogari të tij, pasi ai nuk ka asnjë të drejtë të përfitojë interesa e as të sillet si pronar mbi një pasuri që i përket kreditorit</w:t>
      </w:r>
      <w:r w:rsidR="008651A4">
        <w:t xml:space="preserve"> </w:t>
      </w:r>
      <w:bookmarkEnd w:id="12"/>
      <w:r w:rsidR="008651A4">
        <w:t>(</w:t>
      </w:r>
      <w:r w:rsidR="008651A4">
        <w:rPr>
          <w:i/>
        </w:rPr>
        <w:t>shih paragrafët</w:t>
      </w:r>
      <w:r w:rsidR="00006EAD" w:rsidRPr="00006EAD">
        <w:rPr>
          <w:i/>
          <w:iCs/>
        </w:rPr>
        <w:t xml:space="preserve"> </w:t>
      </w:r>
      <w:r w:rsidR="00006EAD">
        <w:rPr>
          <w:i/>
          <w:iCs/>
        </w:rPr>
        <w:t xml:space="preserve">15, 16 dhe </w:t>
      </w:r>
      <w:r w:rsidR="00006EAD" w:rsidRPr="00006EAD">
        <w:rPr>
          <w:i/>
          <w:iCs/>
        </w:rPr>
        <w:t>18-18.2 t</w:t>
      </w:r>
      <w:r w:rsidR="00006EAD">
        <w:rPr>
          <w:i/>
          <w:iCs/>
        </w:rPr>
        <w:t>ë</w:t>
      </w:r>
      <w:r w:rsidR="00006EAD" w:rsidRPr="00006EAD">
        <w:rPr>
          <w:i/>
          <w:iCs/>
        </w:rPr>
        <w:t xml:space="preserve"> vendimit </w:t>
      </w:r>
      <w:r w:rsidR="008651A4" w:rsidRPr="00006EAD">
        <w:rPr>
          <w:i/>
        </w:rPr>
        <w:t xml:space="preserve">të Gjykatës </w:t>
      </w:r>
      <w:r w:rsidR="00006EAD" w:rsidRPr="00006EAD">
        <w:rPr>
          <w:i/>
        </w:rPr>
        <w:t>së Lartë</w:t>
      </w:r>
      <w:r w:rsidR="008651A4">
        <w:t>)</w:t>
      </w:r>
      <w:r w:rsidRPr="0091032B">
        <w:t>.</w:t>
      </w:r>
      <w:r w:rsidR="00B86BFB" w:rsidRPr="00006EAD">
        <w:rPr>
          <w:bCs/>
        </w:rPr>
        <w:t xml:space="preserve"> </w:t>
      </w:r>
      <w:bookmarkStart w:id="14" w:name="_Hlk212469928"/>
      <w:bookmarkEnd w:id="13"/>
    </w:p>
    <w:p w:rsidR="00FF239A" w:rsidRPr="00006EAD" w:rsidRDefault="005C6B8B" w:rsidP="00BE00A0">
      <w:pPr>
        <w:pStyle w:val="ListParagraph"/>
        <w:numPr>
          <w:ilvl w:val="0"/>
          <w:numId w:val="36"/>
        </w:numPr>
        <w:tabs>
          <w:tab w:val="left" w:pos="1080"/>
        </w:tabs>
        <w:ind w:left="0" w:firstLine="720"/>
        <w:jc w:val="both"/>
        <w:rPr>
          <w:rFonts w:eastAsia="Calibri"/>
          <w:i/>
          <w:lang w:eastAsia="x-none"/>
        </w:rPr>
      </w:pPr>
      <w:r w:rsidRPr="0091032B">
        <w:t xml:space="preserve">Gjykata </w:t>
      </w:r>
      <w:r w:rsidRPr="00006EAD">
        <w:rPr>
          <w:rFonts w:eastAsia="Calibri"/>
        </w:rPr>
        <w:t>vëren se</w:t>
      </w:r>
      <w:r w:rsidRPr="00006EAD">
        <w:rPr>
          <w:rFonts w:eastAsia="Times New Roman"/>
        </w:rPr>
        <w:t xml:space="preserve">, ndryshe nga sa pretendon kërkuesja, </w:t>
      </w:r>
      <w:r w:rsidR="00FF239A" w:rsidRPr="00006EAD">
        <w:rPr>
          <w:rFonts w:eastAsia="Times New Roman"/>
        </w:rPr>
        <w:t>Gjykata e Lartë</w:t>
      </w:r>
      <w:r w:rsidR="00B80D23" w:rsidRPr="00006EAD">
        <w:rPr>
          <w:rFonts w:eastAsia="Times New Roman"/>
        </w:rPr>
        <w:t>,</w:t>
      </w:r>
      <w:r w:rsidR="00FF239A" w:rsidRPr="00006EAD">
        <w:rPr>
          <w:rFonts w:eastAsia="Times New Roman"/>
        </w:rPr>
        <w:t xml:space="preserve"> pasi ka marrë në shqyrtim shkaqet e </w:t>
      </w:r>
      <w:r w:rsidR="00006EAD" w:rsidRPr="00006EAD">
        <w:rPr>
          <w:rFonts w:eastAsia="Times New Roman"/>
        </w:rPr>
        <w:t>parashtruara në rekurs dhe parashtrimet shtesë të rekursit, të</w:t>
      </w:r>
      <w:r w:rsidR="00FF239A" w:rsidRPr="00006EAD">
        <w:rPr>
          <w:rFonts w:eastAsia="Times New Roman"/>
        </w:rPr>
        <w:t xml:space="preserve"> cilat gjejnë pasqyrim në vendimin e saj, ka</w:t>
      </w:r>
      <w:r w:rsidRPr="0091032B">
        <w:t xml:space="preserve"> vlerësuar</w:t>
      </w:r>
      <w:r w:rsidR="00FF239A" w:rsidRPr="0091032B">
        <w:t xml:space="preserve"> se </w:t>
      </w:r>
      <w:r w:rsidRPr="0091032B">
        <w:t xml:space="preserve">nuk janë të tilla </w:t>
      </w:r>
      <w:r w:rsidRPr="00006EAD">
        <w:rPr>
          <w:shd w:val="clear" w:color="auto" w:fill="FFFFFF"/>
        </w:rPr>
        <w:t xml:space="preserve">që të cenojnë vendimmarrjen e </w:t>
      </w:r>
      <w:r w:rsidR="00FF239A" w:rsidRPr="00006EAD">
        <w:rPr>
          <w:shd w:val="clear" w:color="auto" w:fill="FFFFFF"/>
        </w:rPr>
        <w:t xml:space="preserve">gjykatës së apelit, duke </w:t>
      </w:r>
      <w:r w:rsidRPr="0091032B">
        <w:t>dhënë argumente</w:t>
      </w:r>
      <w:r w:rsidR="00FF239A" w:rsidRPr="0091032B">
        <w:t xml:space="preserve">t </w:t>
      </w:r>
      <w:r w:rsidRPr="0091032B">
        <w:t xml:space="preserve">mbi bazën e të cilave ka arritur në mënyrën e </w:t>
      </w:r>
      <w:r w:rsidR="00ED691C" w:rsidRPr="0091032B">
        <w:t>zgjidhjes</w:t>
      </w:r>
      <w:r w:rsidRPr="0091032B">
        <w:t xml:space="preserve"> </w:t>
      </w:r>
      <w:r w:rsidR="00ED691C" w:rsidRPr="0091032B">
        <w:t>s</w:t>
      </w:r>
      <w:r w:rsidRPr="0091032B">
        <w:t xml:space="preserve">ë çështjes. </w:t>
      </w:r>
      <w:r w:rsidR="00FF239A" w:rsidRPr="00006EAD">
        <w:rPr>
          <w:rFonts w:eastAsia="Calibri"/>
        </w:rPr>
        <w:t xml:space="preserve">Vendimi i Kolegjit Civil </w:t>
      </w:r>
      <w:r w:rsidRPr="0091032B">
        <w:t>përmbush elementet e vendosura nga jurisprudenca kushtetuese</w:t>
      </w:r>
      <w:r w:rsidR="00FF239A" w:rsidRPr="0091032B">
        <w:t>. Në aspektin</w:t>
      </w:r>
      <w:r w:rsidRPr="0091032B">
        <w:t xml:space="preserve"> formal</w:t>
      </w:r>
      <w:r w:rsidR="00FF239A" w:rsidRPr="0091032B">
        <w:t xml:space="preserve"> vendimi ka</w:t>
      </w:r>
      <w:r w:rsidRPr="0091032B">
        <w:t xml:space="preserve"> pasqyruar të dhënat e palëve në procesin gjyqësor, shkaqet e parashtruara në ankim dhe rekurs, </w:t>
      </w:r>
      <w:r w:rsidR="00006EAD">
        <w:t xml:space="preserve">disponimet </w:t>
      </w:r>
      <w:r w:rsidRPr="0091032B">
        <w:t xml:space="preserve">e gjykatave më të ulëta, ligjin e zbatueshëm dhe </w:t>
      </w:r>
      <w:r w:rsidR="00006EAD">
        <w:t xml:space="preserve">në </w:t>
      </w:r>
      <w:r w:rsidRPr="0091032B">
        <w:t xml:space="preserve">pjesën arsyetuese </w:t>
      </w:r>
      <w:r w:rsidR="00006EAD">
        <w:t>janë</w:t>
      </w:r>
      <w:r w:rsidR="00FF239A" w:rsidRPr="0091032B">
        <w:t xml:space="preserve"> pasqyruar </w:t>
      </w:r>
      <w:r w:rsidR="00006EAD">
        <w:t xml:space="preserve">shkaqet që kanë çuar në </w:t>
      </w:r>
      <w:r w:rsidRPr="0091032B">
        <w:t>qëndrimin e shprehur në dispozitiv</w:t>
      </w:r>
      <w:r w:rsidR="00FF239A" w:rsidRPr="0091032B">
        <w:t>. Për sa i përket arsyetimi</w:t>
      </w:r>
      <w:r w:rsidR="00B80D23" w:rsidRPr="0091032B">
        <w:t>t</w:t>
      </w:r>
      <w:r w:rsidR="00FF239A" w:rsidRPr="0091032B">
        <w:t xml:space="preserve"> të atij vendimi, në drejtim të argumenteve mbi të cilat është mbështetur qëndrimi i Gjykatës së Lartë, Gjykata vlerëson se ato nuk </w:t>
      </w:r>
      <w:r w:rsidRPr="0091032B">
        <w:t>rezulton të je</w:t>
      </w:r>
      <w:r w:rsidR="00FF239A" w:rsidRPr="0091032B">
        <w:t>n</w:t>
      </w:r>
      <w:r w:rsidRPr="0091032B">
        <w:t>ë arbitrar</w:t>
      </w:r>
      <w:r w:rsidR="00FF239A" w:rsidRPr="0091032B">
        <w:t>e</w:t>
      </w:r>
      <w:r w:rsidRPr="0091032B">
        <w:t>, alogjik</w:t>
      </w:r>
      <w:r w:rsidR="00FF239A" w:rsidRPr="0091032B">
        <w:t>e apo</w:t>
      </w:r>
      <w:r w:rsidRPr="0091032B">
        <w:t xml:space="preserve"> kontradiktor</w:t>
      </w:r>
      <w:r w:rsidR="00FF239A" w:rsidRPr="0091032B">
        <w:t>e</w:t>
      </w:r>
      <w:r w:rsidRPr="0091032B">
        <w:t xml:space="preserve"> ose </w:t>
      </w:r>
      <w:r w:rsidR="00FF239A" w:rsidRPr="0091032B">
        <w:t xml:space="preserve">që vendimi të jetë </w:t>
      </w:r>
      <w:r w:rsidRPr="0091032B">
        <w:t xml:space="preserve">i paqartë në përmbajtjen dhe vlerësimin e </w:t>
      </w:r>
      <w:r w:rsidR="00FF239A" w:rsidRPr="0091032B">
        <w:t xml:space="preserve">shkaqeve të </w:t>
      </w:r>
      <w:r w:rsidR="00006EAD">
        <w:t>parashtruara përpara asaj gjykate nga kërkuesja</w:t>
      </w:r>
      <w:r w:rsidRPr="0091032B">
        <w:t>. Për rrjedhojë</w:t>
      </w:r>
      <w:r w:rsidR="00FF239A" w:rsidRPr="0091032B">
        <w:t>,</w:t>
      </w:r>
      <w:r w:rsidRPr="0091032B">
        <w:t xml:space="preserve"> vendi</w:t>
      </w:r>
      <w:r w:rsidR="00354CB1" w:rsidRPr="0091032B">
        <w:t xml:space="preserve">mi i Kolegjit Civil </w:t>
      </w:r>
      <w:r w:rsidRPr="0091032B">
        <w:t>nuk vë në dyshim respektimin e së drejtës për proces të rregullt në drejtim të aksesit dhe standardit të arsyetimit</w:t>
      </w:r>
      <w:r w:rsidR="00FF239A" w:rsidRPr="0091032B">
        <w:t xml:space="preserve"> dhe vetëm fakti se është vendosur mospranimi i rekursit </w:t>
      </w:r>
      <w:r w:rsidR="00354CB1" w:rsidRPr="0091032B">
        <w:t xml:space="preserve">të kërkueses </w:t>
      </w:r>
      <w:r w:rsidR="00FF239A" w:rsidRPr="0091032B">
        <w:t>nuk është i mjaf</w:t>
      </w:r>
      <w:r w:rsidR="00855EC1" w:rsidRPr="0091032B">
        <w:t>t</w:t>
      </w:r>
      <w:r w:rsidR="00FF239A" w:rsidRPr="0091032B">
        <w:t xml:space="preserve">ueshëm </w:t>
      </w:r>
      <w:r w:rsidR="00354CB1" w:rsidRPr="0091032B">
        <w:t>në këndvështrimin kushtetues p</w:t>
      </w:r>
      <w:r w:rsidR="00FF239A" w:rsidRPr="0091032B">
        <w:t xml:space="preserve">ër të vënë në dyshim procesin gjyqësor të zhvilluar në </w:t>
      </w:r>
      <w:r w:rsidR="00354CB1" w:rsidRPr="0091032B">
        <w:t>Gjykatën e Lartë</w:t>
      </w:r>
      <w:r w:rsidRPr="0091032B">
        <w:t>.</w:t>
      </w:r>
    </w:p>
    <w:p w:rsidR="00FF239A" w:rsidRPr="0091032B" w:rsidRDefault="0071191D" w:rsidP="00A2370C">
      <w:pPr>
        <w:pStyle w:val="ListParagraph"/>
        <w:numPr>
          <w:ilvl w:val="0"/>
          <w:numId w:val="36"/>
        </w:numPr>
        <w:tabs>
          <w:tab w:val="left" w:pos="1080"/>
        </w:tabs>
        <w:ind w:left="0" w:firstLine="720"/>
        <w:jc w:val="both"/>
        <w:rPr>
          <w:b/>
          <w:iCs/>
        </w:rPr>
      </w:pPr>
      <w:r w:rsidRPr="0091032B">
        <w:t xml:space="preserve">Për </w:t>
      </w:r>
      <w:r w:rsidR="00354CB1" w:rsidRPr="0091032B">
        <w:t xml:space="preserve">sa më sipër, </w:t>
      </w:r>
      <w:r w:rsidRPr="0091032B">
        <w:t xml:space="preserve">Gjykata vlerëson se </w:t>
      </w:r>
      <w:r w:rsidR="00FF239A" w:rsidRPr="0091032B">
        <w:t xml:space="preserve">pretendimi i kërkueses për cenimin e së drejtës së aksesit të lidhur me standardin e arsyetimit të vendimit gjyqësor është i pabazuar. </w:t>
      </w:r>
    </w:p>
    <w:p w:rsidR="00692AC7" w:rsidRPr="0091032B" w:rsidRDefault="00692AC7" w:rsidP="00A2370C">
      <w:pPr>
        <w:pStyle w:val="ListParagraph"/>
        <w:numPr>
          <w:ilvl w:val="0"/>
          <w:numId w:val="36"/>
        </w:numPr>
        <w:tabs>
          <w:tab w:val="left" w:pos="1080"/>
        </w:tabs>
        <w:ind w:left="0" w:firstLine="720"/>
        <w:jc w:val="both"/>
        <w:rPr>
          <w:b/>
          <w:iCs/>
        </w:rPr>
      </w:pPr>
      <w:r w:rsidRPr="0091032B">
        <w:lastRenderedPageBreak/>
        <w:t>Në përfundim</w:t>
      </w:r>
      <w:r w:rsidR="00BA6E3D" w:rsidRPr="0091032B">
        <w:t>,</w:t>
      </w:r>
      <w:r w:rsidRPr="0091032B">
        <w:t xml:space="preserve"> Gjykata </w:t>
      </w:r>
      <w:r w:rsidR="006F3707" w:rsidRPr="0091032B">
        <w:t xml:space="preserve">çmon </w:t>
      </w:r>
      <w:r w:rsidRPr="0091032B">
        <w:t xml:space="preserve">se kërkesa është </w:t>
      </w:r>
      <w:r w:rsidR="00A86D16" w:rsidRPr="0091032B">
        <w:t xml:space="preserve">e </w:t>
      </w:r>
      <w:r w:rsidR="00BA6E3D" w:rsidRPr="0091032B">
        <w:t>pabazuar</w:t>
      </w:r>
      <w:r w:rsidRPr="0091032B">
        <w:t xml:space="preserve">, sipas arsyetimit të mësipërm të vendimit, ndaj </w:t>
      </w:r>
      <w:r w:rsidR="00A86D16" w:rsidRPr="0091032B">
        <w:t>ajo rrë</w:t>
      </w:r>
      <w:r w:rsidR="00FF239A" w:rsidRPr="0091032B">
        <w:t>z</w:t>
      </w:r>
      <w:r w:rsidR="00A86D16" w:rsidRPr="0091032B">
        <w:t>ohet</w:t>
      </w:r>
      <w:r w:rsidRPr="0091032B">
        <w:rPr>
          <w:rFonts w:eastAsia="Times New Roman"/>
          <w:lang w:eastAsia="fr-FR"/>
        </w:rPr>
        <w:t>.</w:t>
      </w:r>
    </w:p>
    <w:p w:rsidR="00692AC7" w:rsidRPr="0091032B" w:rsidRDefault="00692AC7" w:rsidP="004B4C8B">
      <w:pPr>
        <w:tabs>
          <w:tab w:val="left" w:pos="1080"/>
        </w:tabs>
        <w:contextualSpacing/>
        <w:jc w:val="center"/>
        <w:rPr>
          <w:rFonts w:eastAsiaTheme="minorHAnsi"/>
          <w:b/>
          <w:bCs/>
        </w:rPr>
      </w:pPr>
      <w:bookmarkStart w:id="15" w:name="_Hlk177714823"/>
      <w:bookmarkEnd w:id="14"/>
    </w:p>
    <w:p w:rsidR="004B4C8B" w:rsidRPr="0091032B" w:rsidRDefault="004B4C8B" w:rsidP="004B4C8B">
      <w:pPr>
        <w:tabs>
          <w:tab w:val="left" w:pos="1080"/>
        </w:tabs>
        <w:contextualSpacing/>
        <w:jc w:val="center"/>
        <w:rPr>
          <w:rFonts w:eastAsiaTheme="minorHAnsi"/>
        </w:rPr>
      </w:pPr>
      <w:r w:rsidRPr="0091032B">
        <w:rPr>
          <w:rFonts w:eastAsiaTheme="minorHAnsi"/>
          <w:b/>
          <w:bCs/>
        </w:rPr>
        <w:t>PËR KËTO ARSYE,</w:t>
      </w:r>
    </w:p>
    <w:p w:rsidR="004B4C8B" w:rsidRPr="0091032B" w:rsidRDefault="004B4C8B" w:rsidP="004B4C8B">
      <w:pPr>
        <w:tabs>
          <w:tab w:val="left" w:pos="1080"/>
        </w:tabs>
        <w:ind w:firstLine="720"/>
        <w:jc w:val="both"/>
        <w:rPr>
          <w:rFonts w:eastAsiaTheme="minorHAnsi"/>
          <w:bCs/>
        </w:rPr>
      </w:pPr>
      <w:r w:rsidRPr="0091032B">
        <w:rPr>
          <w:rFonts w:eastAsiaTheme="minorHAnsi"/>
        </w:rPr>
        <w:t>Gjykata Kushtetuese, në mbështetje të neneve 131, pika 1, shkronja “f” dhe 134, pika 1, shkronja “i”, të Kushtetutës, si dhe nen</w:t>
      </w:r>
      <w:r w:rsidR="00A86D16" w:rsidRPr="0091032B">
        <w:rPr>
          <w:rFonts w:eastAsiaTheme="minorHAnsi"/>
        </w:rPr>
        <w:t>eve 71 e</w:t>
      </w:r>
      <w:r w:rsidRPr="0091032B">
        <w:rPr>
          <w:rFonts w:eastAsiaTheme="minorHAnsi"/>
        </w:rPr>
        <w:t xml:space="preserve"> 72 të ligjit nr. 8577, datë 10.02.2000 “Për organizimin dhe funksionimin e Gjykatës Kushtetuese të Republikës së Shqipërisë”, të ndryshuar, njëzëri,</w:t>
      </w:r>
    </w:p>
    <w:p w:rsidR="004B4C8B" w:rsidRPr="0091032B" w:rsidRDefault="004B4C8B" w:rsidP="004B4C8B">
      <w:pPr>
        <w:tabs>
          <w:tab w:val="left" w:pos="1080"/>
        </w:tabs>
        <w:jc w:val="center"/>
        <w:rPr>
          <w:rFonts w:eastAsiaTheme="minorHAnsi"/>
          <w:b/>
          <w:bCs/>
        </w:rPr>
      </w:pPr>
      <w:bookmarkStart w:id="16" w:name="_Hlk150862681"/>
    </w:p>
    <w:bookmarkEnd w:id="15"/>
    <w:bookmarkEnd w:id="16"/>
    <w:p w:rsidR="004B4C8B" w:rsidRPr="0091032B" w:rsidRDefault="004B4C8B" w:rsidP="004B4C8B">
      <w:pPr>
        <w:tabs>
          <w:tab w:val="left" w:pos="1080"/>
        </w:tabs>
        <w:jc w:val="center"/>
        <w:rPr>
          <w:rFonts w:eastAsia="Times New Roman"/>
          <w:b/>
          <w:bCs/>
        </w:rPr>
      </w:pPr>
      <w:r w:rsidRPr="0091032B">
        <w:rPr>
          <w:rFonts w:eastAsia="Times New Roman"/>
          <w:b/>
          <w:bCs/>
        </w:rPr>
        <w:t>V E N D O S I:</w:t>
      </w:r>
    </w:p>
    <w:p w:rsidR="004B4C8B" w:rsidRPr="0091032B" w:rsidRDefault="0071191D" w:rsidP="0071191D">
      <w:pPr>
        <w:tabs>
          <w:tab w:val="left" w:pos="720"/>
        </w:tabs>
        <w:rPr>
          <w:lang w:eastAsia="fr-FR"/>
        </w:rPr>
      </w:pPr>
      <w:r w:rsidRPr="0091032B">
        <w:rPr>
          <w:b/>
          <w:lang w:eastAsia="fr-FR"/>
        </w:rPr>
        <w:tab/>
      </w:r>
      <w:r w:rsidRPr="0091032B">
        <w:rPr>
          <w:lang w:eastAsia="fr-FR"/>
        </w:rPr>
        <w:t xml:space="preserve">1. </w:t>
      </w:r>
      <w:r w:rsidR="004B4C8B" w:rsidRPr="0091032B">
        <w:rPr>
          <w:lang w:eastAsia="fr-FR"/>
        </w:rPr>
        <w:t xml:space="preserve">Rrëzimin e kërkesës.  </w:t>
      </w:r>
    </w:p>
    <w:p w:rsidR="004B4C8B" w:rsidRPr="0091032B" w:rsidRDefault="004B4C8B" w:rsidP="004B4C8B">
      <w:pPr>
        <w:tabs>
          <w:tab w:val="left" w:pos="720"/>
        </w:tabs>
        <w:contextualSpacing/>
        <w:jc w:val="both"/>
        <w:rPr>
          <w:rFonts w:eastAsia="Times New Roman"/>
          <w:iCs/>
        </w:rPr>
      </w:pPr>
      <w:r w:rsidRPr="0091032B">
        <w:rPr>
          <w:rFonts w:eastAsia="Times New Roman"/>
        </w:rPr>
        <w:tab/>
        <w:t>Ky vendim është përfundimtar dhe hyn në fuqi ditën e botimit në Fletoren Zyrtare.</w:t>
      </w:r>
    </w:p>
    <w:bookmarkEnd w:id="9"/>
    <w:bookmarkEnd w:id="10"/>
    <w:bookmarkEnd w:id="11"/>
    <w:p w:rsidR="004B4C8B" w:rsidRPr="0091032B" w:rsidRDefault="004B4C8B" w:rsidP="004B4C8B">
      <w:pPr>
        <w:tabs>
          <w:tab w:val="left" w:pos="1080"/>
        </w:tabs>
        <w:rPr>
          <w:b/>
          <w:bCs/>
        </w:rPr>
      </w:pPr>
      <w:r w:rsidRPr="0091032B">
        <w:rPr>
          <w:b/>
          <w:bCs/>
        </w:rPr>
        <w:t xml:space="preserve">Marrë më </w:t>
      </w:r>
      <w:r w:rsidR="00692AC7" w:rsidRPr="0091032B">
        <w:rPr>
          <w:b/>
          <w:bCs/>
        </w:rPr>
        <w:t>07.10.</w:t>
      </w:r>
      <w:r w:rsidRPr="0091032B">
        <w:rPr>
          <w:b/>
          <w:bCs/>
        </w:rPr>
        <w:t>2025</w:t>
      </w:r>
    </w:p>
    <w:p w:rsidR="004B4C8B" w:rsidRPr="0091032B" w:rsidRDefault="004B4C8B" w:rsidP="004B4C8B">
      <w:pPr>
        <w:tabs>
          <w:tab w:val="left" w:pos="1080"/>
        </w:tabs>
        <w:rPr>
          <w:b/>
          <w:bCs/>
        </w:rPr>
      </w:pPr>
      <w:r w:rsidRPr="0091032B">
        <w:rPr>
          <w:b/>
          <w:bCs/>
        </w:rPr>
        <w:t xml:space="preserve">Shpallur më </w:t>
      </w:r>
      <w:r w:rsidR="00873406">
        <w:rPr>
          <w:b/>
          <w:bCs/>
        </w:rPr>
        <w:t>12.11</w:t>
      </w:r>
      <w:r w:rsidR="00E730C1">
        <w:rPr>
          <w:b/>
          <w:bCs/>
        </w:rPr>
        <w:t>.2025</w:t>
      </w:r>
    </w:p>
    <w:p w:rsidR="004B4C8B" w:rsidRPr="0091032B" w:rsidRDefault="004B4C8B" w:rsidP="004B4C8B">
      <w:pPr>
        <w:tabs>
          <w:tab w:val="left" w:pos="1080"/>
        </w:tabs>
      </w:pPr>
    </w:p>
    <w:p w:rsidR="00E730C1" w:rsidRDefault="004B4C8B" w:rsidP="004B4C8B">
      <w:pPr>
        <w:tabs>
          <w:tab w:val="left" w:pos="90"/>
          <w:tab w:val="left" w:pos="1080"/>
        </w:tabs>
        <w:jc w:val="both"/>
        <w:rPr>
          <w:b/>
          <w:bCs/>
        </w:rPr>
      </w:pPr>
      <w:r w:rsidRPr="0091032B">
        <w:rPr>
          <w:b/>
          <w:bCs/>
        </w:rPr>
        <w:tab/>
        <w:t>A N Ë T A R E</w:t>
      </w:r>
      <w:r w:rsidRPr="0091032B">
        <w:rPr>
          <w:b/>
          <w:bCs/>
        </w:rPr>
        <w:tab/>
      </w:r>
      <w:r w:rsidRPr="0091032B">
        <w:rPr>
          <w:b/>
          <w:bCs/>
        </w:rPr>
        <w:tab/>
        <w:t xml:space="preserve">        </w:t>
      </w:r>
      <w:r w:rsidRPr="0091032B">
        <w:rPr>
          <w:b/>
          <w:bCs/>
        </w:rPr>
        <w:tab/>
        <w:t>A N Ë T A R E</w:t>
      </w:r>
      <w:r w:rsidRPr="0091032B">
        <w:rPr>
          <w:b/>
          <w:bCs/>
        </w:rPr>
        <w:tab/>
      </w:r>
      <w:r w:rsidRPr="0091032B">
        <w:rPr>
          <w:b/>
          <w:bCs/>
        </w:rPr>
        <w:tab/>
      </w:r>
      <w:r w:rsidRPr="0091032B">
        <w:rPr>
          <w:b/>
          <w:bCs/>
        </w:rPr>
        <w:tab/>
        <w:t>K R Y E T A R E</w:t>
      </w:r>
      <w:r w:rsidRPr="0091032B">
        <w:rPr>
          <w:b/>
          <w:bCs/>
        </w:rPr>
        <w:tab/>
      </w:r>
    </w:p>
    <w:p w:rsidR="00E730C1" w:rsidRDefault="00E730C1" w:rsidP="004B4C8B">
      <w:pPr>
        <w:tabs>
          <w:tab w:val="left" w:pos="90"/>
          <w:tab w:val="left" w:pos="1080"/>
        </w:tabs>
        <w:jc w:val="both"/>
        <w:rPr>
          <w:b/>
          <w:bCs/>
        </w:rPr>
      </w:pPr>
    </w:p>
    <w:p w:rsidR="004B4C8B" w:rsidRPr="0091032B" w:rsidRDefault="004B4C8B" w:rsidP="004B4C8B">
      <w:pPr>
        <w:tabs>
          <w:tab w:val="left" w:pos="90"/>
          <w:tab w:val="left" w:pos="1080"/>
        </w:tabs>
        <w:jc w:val="both"/>
        <w:rPr>
          <w:b/>
          <w:bCs/>
        </w:rPr>
      </w:pPr>
      <w:r w:rsidRPr="0091032B">
        <w:rPr>
          <w:b/>
          <w:bCs/>
        </w:rPr>
        <w:t>/Fiona Papajorgji/</w:t>
      </w:r>
      <w:r w:rsidR="00873406">
        <w:rPr>
          <w:b/>
          <w:bCs/>
        </w:rPr>
        <w:t>(d.v.)</w:t>
      </w:r>
      <w:r w:rsidRPr="0091032B">
        <w:rPr>
          <w:b/>
          <w:bCs/>
        </w:rPr>
        <w:t xml:space="preserve">       </w:t>
      </w:r>
      <w:r w:rsidRPr="0091032B">
        <w:rPr>
          <w:b/>
          <w:bCs/>
        </w:rPr>
        <w:tab/>
        <w:t xml:space="preserve">        </w:t>
      </w:r>
      <w:r w:rsidRPr="0091032B">
        <w:rPr>
          <w:b/>
          <w:bCs/>
        </w:rPr>
        <w:tab/>
        <w:t>/Marsida Xhaferllari/</w:t>
      </w:r>
      <w:r w:rsidR="00873406">
        <w:rPr>
          <w:b/>
          <w:bCs/>
        </w:rPr>
        <w:t>(d.v.)</w:t>
      </w:r>
      <w:r w:rsidRPr="0091032B">
        <w:rPr>
          <w:b/>
          <w:bCs/>
        </w:rPr>
        <w:t xml:space="preserve"> </w:t>
      </w:r>
      <w:r w:rsidRPr="0091032B">
        <w:rPr>
          <w:b/>
          <w:bCs/>
        </w:rPr>
        <w:tab/>
        <w:t xml:space="preserve">           /Holta Zaçaj/</w:t>
      </w:r>
      <w:r w:rsidR="00873406">
        <w:rPr>
          <w:b/>
          <w:bCs/>
        </w:rPr>
        <w:t>(d.v.)</w:t>
      </w:r>
      <w:r w:rsidRPr="0091032B">
        <w:rPr>
          <w:b/>
          <w:bCs/>
        </w:rPr>
        <w:tab/>
      </w:r>
    </w:p>
    <w:p w:rsidR="00855EC1" w:rsidRPr="0091032B" w:rsidRDefault="00855EC1" w:rsidP="004B4C8B">
      <w:pPr>
        <w:tabs>
          <w:tab w:val="left" w:pos="90"/>
          <w:tab w:val="left" w:pos="1080"/>
        </w:tabs>
        <w:ind w:right="26"/>
        <w:contextualSpacing/>
        <w:jc w:val="both"/>
        <w:rPr>
          <w:b/>
          <w:bCs/>
        </w:rPr>
      </w:pPr>
    </w:p>
    <w:p w:rsidR="004B4C8B" w:rsidRPr="0091032B" w:rsidRDefault="004B4C8B" w:rsidP="004B4C8B">
      <w:pPr>
        <w:tabs>
          <w:tab w:val="left" w:pos="90"/>
          <w:tab w:val="left" w:pos="1080"/>
        </w:tabs>
        <w:ind w:right="26"/>
        <w:contextualSpacing/>
        <w:jc w:val="both"/>
        <w:rPr>
          <w:b/>
          <w:bCs/>
        </w:rPr>
      </w:pPr>
      <w:r w:rsidRPr="0091032B">
        <w:rPr>
          <w:b/>
          <w:bCs/>
        </w:rPr>
        <w:tab/>
        <w:t>A N Ë T A R</w:t>
      </w:r>
      <w:r w:rsidRPr="0091032B">
        <w:rPr>
          <w:b/>
          <w:bCs/>
        </w:rPr>
        <w:tab/>
      </w:r>
      <w:r w:rsidRPr="0091032B">
        <w:rPr>
          <w:b/>
          <w:bCs/>
        </w:rPr>
        <w:tab/>
      </w:r>
      <w:r w:rsidRPr="0091032B">
        <w:rPr>
          <w:b/>
          <w:bCs/>
        </w:rPr>
        <w:tab/>
      </w:r>
      <w:r w:rsidRPr="0091032B">
        <w:rPr>
          <w:b/>
          <w:bCs/>
        </w:rPr>
        <w:tab/>
        <w:t xml:space="preserve">A N Ë T A R </w:t>
      </w:r>
      <w:r w:rsidRPr="0091032B">
        <w:rPr>
          <w:b/>
          <w:bCs/>
        </w:rPr>
        <w:tab/>
        <w:t xml:space="preserve">     </w:t>
      </w:r>
      <w:r w:rsidRPr="0091032B">
        <w:rPr>
          <w:b/>
          <w:bCs/>
        </w:rPr>
        <w:tab/>
      </w:r>
      <w:r w:rsidRPr="0091032B">
        <w:rPr>
          <w:b/>
          <w:bCs/>
        </w:rPr>
        <w:tab/>
      </w:r>
      <w:r w:rsidRPr="0091032B">
        <w:rPr>
          <w:b/>
          <w:bCs/>
        </w:rPr>
        <w:tab/>
        <w:t xml:space="preserve">A N Ë T A R </w:t>
      </w:r>
    </w:p>
    <w:p w:rsidR="00E730C1" w:rsidRDefault="004B4C8B" w:rsidP="004B4C8B">
      <w:pPr>
        <w:tabs>
          <w:tab w:val="left" w:pos="90"/>
          <w:tab w:val="left" w:pos="1080"/>
        </w:tabs>
        <w:ind w:right="26"/>
        <w:contextualSpacing/>
        <w:jc w:val="both"/>
        <w:rPr>
          <w:b/>
          <w:bCs/>
        </w:rPr>
      </w:pPr>
      <w:r w:rsidRPr="0091032B">
        <w:rPr>
          <w:b/>
          <w:bCs/>
        </w:rPr>
        <w:tab/>
      </w:r>
    </w:p>
    <w:p w:rsidR="004B4C8B" w:rsidRPr="0091032B" w:rsidRDefault="004B4C8B" w:rsidP="002A063D">
      <w:pPr>
        <w:tabs>
          <w:tab w:val="left" w:pos="90"/>
          <w:tab w:val="left" w:pos="1080"/>
        </w:tabs>
        <w:ind w:right="26"/>
        <w:contextualSpacing/>
        <w:jc w:val="both"/>
        <w:rPr>
          <w:b/>
          <w:bCs/>
        </w:rPr>
      </w:pPr>
      <w:r w:rsidRPr="0091032B">
        <w:rPr>
          <w:b/>
          <w:bCs/>
        </w:rPr>
        <w:t>/Genti Ibrahimi/</w:t>
      </w:r>
      <w:r w:rsidR="00873406">
        <w:rPr>
          <w:b/>
          <w:bCs/>
        </w:rPr>
        <w:t>(d.v.)</w:t>
      </w:r>
      <w:r w:rsidRPr="0091032B">
        <w:rPr>
          <w:b/>
          <w:bCs/>
        </w:rPr>
        <w:tab/>
      </w:r>
      <w:r w:rsidRPr="0091032B">
        <w:rPr>
          <w:b/>
          <w:bCs/>
        </w:rPr>
        <w:tab/>
        <w:t>/Ilir Toska/</w:t>
      </w:r>
      <w:r w:rsidR="00873406">
        <w:rPr>
          <w:b/>
          <w:bCs/>
        </w:rPr>
        <w:t>(d.v.)</w:t>
      </w:r>
      <w:r w:rsidRPr="0091032B">
        <w:rPr>
          <w:b/>
          <w:bCs/>
        </w:rPr>
        <w:tab/>
      </w:r>
      <w:r w:rsidRPr="0091032B">
        <w:rPr>
          <w:b/>
          <w:bCs/>
        </w:rPr>
        <w:tab/>
      </w:r>
      <w:r w:rsidRPr="0091032B">
        <w:rPr>
          <w:b/>
          <w:bCs/>
        </w:rPr>
        <w:tab/>
        <w:t>/Sandër Beci/</w:t>
      </w:r>
      <w:r w:rsidR="00873406">
        <w:rPr>
          <w:b/>
          <w:bCs/>
        </w:rPr>
        <w:t>(d.v.)</w:t>
      </w:r>
      <w:r w:rsidRPr="0091032B">
        <w:rPr>
          <w:b/>
          <w:bCs/>
        </w:rPr>
        <w:t xml:space="preserve"> </w:t>
      </w:r>
      <w:r w:rsidRPr="0091032B">
        <w:rPr>
          <w:b/>
          <w:bCs/>
        </w:rPr>
        <w:tab/>
      </w:r>
      <w:r w:rsidRPr="0091032B">
        <w:rPr>
          <w:b/>
          <w:bCs/>
        </w:rPr>
        <w:tab/>
      </w:r>
      <w:r w:rsidRPr="0091032B">
        <w:rPr>
          <w:b/>
          <w:bCs/>
        </w:rPr>
        <w:tab/>
        <w:t xml:space="preserve">           </w:t>
      </w:r>
    </w:p>
    <w:p w:rsidR="004B4C8B" w:rsidRPr="0091032B" w:rsidRDefault="004B4C8B" w:rsidP="004B4C8B">
      <w:pPr>
        <w:tabs>
          <w:tab w:val="left" w:pos="1080"/>
        </w:tabs>
        <w:jc w:val="both"/>
        <w:rPr>
          <w:b/>
          <w:bCs/>
        </w:rPr>
      </w:pPr>
      <w:r w:rsidRPr="0091032B">
        <w:rPr>
          <w:b/>
          <w:bCs/>
        </w:rPr>
        <w:tab/>
      </w:r>
      <w:r w:rsidRPr="0091032B">
        <w:rPr>
          <w:b/>
          <w:bCs/>
        </w:rPr>
        <w:tab/>
      </w:r>
      <w:r w:rsidRPr="0091032B">
        <w:rPr>
          <w:b/>
          <w:bCs/>
        </w:rPr>
        <w:tab/>
        <w:t>A N Ë T A R E</w:t>
      </w:r>
      <w:r w:rsidRPr="0091032B">
        <w:rPr>
          <w:b/>
          <w:bCs/>
        </w:rPr>
        <w:tab/>
        <w:t xml:space="preserve">        </w:t>
      </w:r>
      <w:r w:rsidRPr="0091032B">
        <w:rPr>
          <w:b/>
          <w:bCs/>
        </w:rPr>
        <w:tab/>
      </w:r>
      <w:r w:rsidRPr="0091032B">
        <w:rPr>
          <w:b/>
          <w:bCs/>
        </w:rPr>
        <w:tab/>
        <w:t>A N Ë T A R</w:t>
      </w:r>
      <w:r w:rsidRPr="0091032B">
        <w:rPr>
          <w:b/>
          <w:bCs/>
        </w:rPr>
        <w:tab/>
        <w:t>E</w:t>
      </w:r>
    </w:p>
    <w:p w:rsidR="00E730C1" w:rsidRDefault="004B4C8B" w:rsidP="00692AC7">
      <w:pPr>
        <w:tabs>
          <w:tab w:val="left" w:pos="1080"/>
        </w:tabs>
        <w:jc w:val="both"/>
        <w:rPr>
          <w:b/>
          <w:bCs/>
        </w:rPr>
      </w:pPr>
      <w:r w:rsidRPr="0091032B">
        <w:rPr>
          <w:b/>
          <w:bCs/>
        </w:rPr>
        <w:tab/>
      </w:r>
      <w:r w:rsidRPr="0091032B">
        <w:rPr>
          <w:b/>
          <w:bCs/>
        </w:rPr>
        <w:tab/>
      </w:r>
      <w:r w:rsidRPr="0091032B">
        <w:rPr>
          <w:b/>
          <w:bCs/>
        </w:rPr>
        <w:tab/>
      </w:r>
    </w:p>
    <w:p w:rsidR="00BB0A69" w:rsidRDefault="00E730C1" w:rsidP="00692AC7">
      <w:pPr>
        <w:tabs>
          <w:tab w:val="left" w:pos="1080"/>
        </w:tabs>
        <w:jc w:val="both"/>
      </w:pPr>
      <w:r>
        <w:rPr>
          <w:b/>
          <w:bCs/>
        </w:rPr>
        <w:tab/>
      </w:r>
      <w:r>
        <w:rPr>
          <w:b/>
          <w:bCs/>
        </w:rPr>
        <w:tab/>
      </w:r>
      <w:r>
        <w:rPr>
          <w:b/>
          <w:bCs/>
        </w:rPr>
        <w:tab/>
      </w:r>
      <w:r w:rsidR="004B4C8B" w:rsidRPr="0091032B">
        <w:rPr>
          <w:b/>
          <w:bCs/>
        </w:rPr>
        <w:t>/Sonila Bejtja/</w:t>
      </w:r>
      <w:r w:rsidR="00873406">
        <w:rPr>
          <w:b/>
          <w:bCs/>
        </w:rPr>
        <w:t>(d.v.)</w:t>
      </w:r>
      <w:r w:rsidR="004B4C8B" w:rsidRPr="0091032B">
        <w:rPr>
          <w:b/>
          <w:bCs/>
        </w:rPr>
        <w:t xml:space="preserve"> </w:t>
      </w:r>
      <w:r w:rsidR="004B4C8B" w:rsidRPr="0091032B">
        <w:rPr>
          <w:b/>
          <w:bCs/>
        </w:rPr>
        <w:tab/>
      </w:r>
      <w:r w:rsidR="004B4C8B" w:rsidRPr="0091032B">
        <w:rPr>
          <w:b/>
          <w:bCs/>
        </w:rPr>
        <w:tab/>
      </w:r>
      <w:r w:rsidR="004B4C8B" w:rsidRPr="0091032B">
        <w:rPr>
          <w:b/>
          <w:bCs/>
        </w:rPr>
        <w:tab/>
        <w:t>/Marjana Semini/</w:t>
      </w:r>
      <w:r w:rsidR="00873406">
        <w:rPr>
          <w:b/>
          <w:bCs/>
        </w:rPr>
        <w:t>(d.v.)</w:t>
      </w:r>
      <w:r w:rsidR="004B4C8B" w:rsidRPr="00855EC1">
        <w:t xml:space="preserve"> </w:t>
      </w:r>
      <w:bookmarkEnd w:id="1"/>
    </w:p>
    <w:p w:rsidR="002A063D" w:rsidRDefault="002A063D" w:rsidP="002A063D">
      <w:pPr>
        <w:jc w:val="center"/>
      </w:pPr>
    </w:p>
    <w:p w:rsidR="002A063D" w:rsidRDefault="002A063D" w:rsidP="002A063D">
      <w:pPr>
        <w:jc w:val="center"/>
      </w:pPr>
      <w:r>
        <w:t>Vërtetohet njësia me origjinalin</w:t>
      </w:r>
    </w:p>
    <w:p w:rsidR="002A063D" w:rsidRDefault="002A063D" w:rsidP="002A063D">
      <w:pPr>
        <w:jc w:val="center"/>
        <w:rPr>
          <w:b/>
        </w:rPr>
      </w:pPr>
      <w:r w:rsidRPr="002C42F1">
        <w:rPr>
          <w:b/>
        </w:rPr>
        <w:t>SEKRETAR I PËRGJITHSHËM</w:t>
      </w:r>
    </w:p>
    <w:p w:rsidR="002A063D" w:rsidRDefault="002A063D" w:rsidP="002A063D">
      <w:pPr>
        <w:jc w:val="center"/>
        <w:rPr>
          <w:b/>
        </w:rPr>
      </w:pPr>
    </w:p>
    <w:p w:rsidR="002A063D" w:rsidRPr="00855EC1" w:rsidRDefault="002A063D" w:rsidP="002A063D">
      <w:pPr>
        <w:tabs>
          <w:tab w:val="left" w:pos="1080"/>
        </w:tabs>
        <w:jc w:val="both"/>
      </w:pPr>
      <w:r>
        <w:rPr>
          <w:b/>
        </w:rPr>
        <w:t xml:space="preserve">                                                            Eugen PAPANDILE</w:t>
      </w:r>
    </w:p>
    <w:sectPr w:rsidR="002A063D" w:rsidRPr="00855EC1" w:rsidSect="00487BA0">
      <w:footerReference w:type="default" r:id="rId8"/>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7AD0B91" w16cex:dateUtc="2025-11-07T22:31:00Z"/>
  <w16cex:commentExtensible w16cex:durableId="52031CC2" w16cex:dateUtc="2025-11-07T22:33:00Z"/>
  <w16cex:commentExtensible w16cex:durableId="0414F6CE" w16cex:dateUtc="2025-11-07T22:39:00Z"/>
  <w16cex:commentExtensible w16cex:durableId="5E02AD71" w16cex:dateUtc="2025-11-07T22:43:00Z"/>
  <w16cex:commentExtensible w16cex:durableId="299E429C" w16cex:dateUtc="2025-11-07T22:45:00Z"/>
  <w16cex:commentExtensible w16cex:durableId="268672DA" w16cex:dateUtc="2025-11-07T22:48: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21F9" w:rsidRDefault="004C21F9">
      <w:pPr>
        <w:spacing w:line="240" w:lineRule="auto"/>
      </w:pPr>
      <w:r>
        <w:separator/>
      </w:r>
    </w:p>
  </w:endnote>
  <w:endnote w:type="continuationSeparator" w:id="0">
    <w:p w:rsidR="004C21F9" w:rsidRDefault="004C21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0944263"/>
      <w:docPartObj>
        <w:docPartGallery w:val="Page Numbers (Bottom of Page)"/>
        <w:docPartUnique/>
      </w:docPartObj>
    </w:sdtPr>
    <w:sdtEndPr>
      <w:rPr>
        <w:noProof/>
      </w:rPr>
    </w:sdtEndPr>
    <w:sdtContent>
      <w:p w:rsidR="0079357C" w:rsidRPr="00FF5AD5" w:rsidRDefault="0082076C" w:rsidP="0082076C">
        <w:pPr>
          <w:pStyle w:val="Header"/>
          <w:tabs>
            <w:tab w:val="clear" w:pos="4680"/>
            <w:tab w:val="clear" w:pos="9360"/>
            <w:tab w:val="left" w:pos="5491"/>
          </w:tabs>
        </w:pPr>
        <w:r>
          <w:tab/>
        </w:r>
      </w:p>
      <w:p w:rsidR="0079357C" w:rsidRPr="00FF5AD5" w:rsidRDefault="0079357C" w:rsidP="003C13D9">
        <w:pPr>
          <w:pStyle w:val="Footer"/>
          <w:pBdr>
            <w:top w:val="thinThickSmallGap" w:sz="24" w:space="1" w:color="622423"/>
          </w:pBdr>
        </w:pPr>
        <w:r w:rsidRPr="00FE37AF">
          <w:t>Vendim</w:t>
        </w:r>
        <w:r>
          <w:t xml:space="preserve"> i Gjykatës Kushtetuese</w:t>
        </w:r>
      </w:p>
      <w:p w:rsidR="0079357C" w:rsidRDefault="0079357C" w:rsidP="003C13D9">
        <w:pPr>
          <w:pStyle w:val="Footer"/>
          <w:pBdr>
            <w:top w:val="thinThickSmallGap" w:sz="24" w:space="1" w:color="622423"/>
          </w:pBdr>
        </w:pPr>
        <w:r w:rsidRPr="00850204">
          <w:t>Kërkues</w:t>
        </w:r>
        <w:r>
          <w:t>e</w:t>
        </w:r>
        <w:r w:rsidRPr="00FF5AD5">
          <w:t xml:space="preserve">: </w:t>
        </w:r>
        <w:r w:rsidR="00B510A4">
          <w:t>“</w:t>
        </w:r>
        <w:r>
          <w:t xml:space="preserve">Zyra </w:t>
        </w:r>
        <w:r w:rsidR="0082076C">
          <w:t xml:space="preserve">e </w:t>
        </w:r>
        <w:r>
          <w:t>Përmbarim</w:t>
        </w:r>
        <w:r w:rsidR="0082076C">
          <w:t>it</w:t>
        </w:r>
        <w:r>
          <w:t xml:space="preserve"> </w:t>
        </w:r>
        <w:r w:rsidR="00B510A4">
          <w:t xml:space="preserve">Privat </w:t>
        </w:r>
        <w:r>
          <w:t>ARB</w:t>
        </w:r>
        <w:r w:rsidR="00B510A4">
          <w:t>” sh.p.k.</w:t>
        </w:r>
        <w:r w:rsidRPr="00FF5AD5">
          <w:tab/>
          <w:t xml:space="preserve">Faqe </w:t>
        </w:r>
        <w:r w:rsidRPr="00FF5AD5">
          <w:fldChar w:fldCharType="begin"/>
        </w:r>
        <w:r w:rsidRPr="00FF5AD5">
          <w:instrText xml:space="preserve"> PAGE   \* MERGEFORMAT </w:instrText>
        </w:r>
        <w:r w:rsidRPr="00FF5AD5">
          <w:fldChar w:fldCharType="separate"/>
        </w:r>
        <w:r w:rsidR="00EF4AA7">
          <w:rPr>
            <w:noProof/>
          </w:rPr>
          <w:t>2</w:t>
        </w:r>
        <w:r w:rsidRPr="00FF5AD5">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21F9" w:rsidRDefault="004C21F9">
      <w:pPr>
        <w:spacing w:line="240" w:lineRule="auto"/>
      </w:pPr>
      <w:r>
        <w:separator/>
      </w:r>
    </w:p>
  </w:footnote>
  <w:footnote w:type="continuationSeparator" w:id="0">
    <w:p w:rsidR="004C21F9" w:rsidRDefault="004C21F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24CC0"/>
    <w:multiLevelType w:val="hybridMultilevel"/>
    <w:tmpl w:val="2DEAD3F2"/>
    <w:lvl w:ilvl="0" w:tplc="943065CE">
      <w:start w:val="1"/>
      <w:numFmt w:val="decimal"/>
      <w:lvlText w:val="%1."/>
      <w:lvlJc w:val="left"/>
      <w:pPr>
        <w:ind w:left="1080" w:hanging="360"/>
      </w:pPr>
      <w:rPr>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48F2261"/>
    <w:multiLevelType w:val="multilevel"/>
    <w:tmpl w:val="C8FE6436"/>
    <w:numStyleLink w:val="ECHRA1StyleList"/>
  </w:abstractNum>
  <w:abstractNum w:abstractNumId="2" w15:restartNumberingAfterBreak="0">
    <w:nsid w:val="055957EF"/>
    <w:multiLevelType w:val="multilevel"/>
    <w:tmpl w:val="B8BEF346"/>
    <w:lvl w:ilvl="0">
      <w:start w:val="18"/>
      <w:numFmt w:val="decimal"/>
      <w:lvlText w:val="%1."/>
      <w:lvlJc w:val="left"/>
      <w:pPr>
        <w:ind w:left="7590" w:hanging="480"/>
      </w:pPr>
      <w:rPr>
        <w:rFonts w:eastAsia="Times New Roman" w:hint="default"/>
        <w:b w:val="0"/>
      </w:rPr>
    </w:lvl>
    <w:lvl w:ilvl="1">
      <w:start w:val="1"/>
      <w:numFmt w:val="decimal"/>
      <w:lvlText w:val="%1.%2."/>
      <w:lvlJc w:val="left"/>
      <w:pPr>
        <w:ind w:left="1650" w:hanging="480"/>
      </w:pPr>
      <w:rPr>
        <w:rFonts w:eastAsia="Times New Roman" w:hint="default"/>
        <w:b w:val="0"/>
      </w:rPr>
    </w:lvl>
    <w:lvl w:ilvl="2">
      <w:start w:val="1"/>
      <w:numFmt w:val="decimal"/>
      <w:lvlText w:val="%1.%2.%3."/>
      <w:lvlJc w:val="left"/>
      <w:pPr>
        <w:ind w:left="3060" w:hanging="720"/>
      </w:pPr>
      <w:rPr>
        <w:rFonts w:eastAsia="Times New Roman" w:hint="default"/>
        <w:b w:val="0"/>
      </w:rPr>
    </w:lvl>
    <w:lvl w:ilvl="3">
      <w:start w:val="1"/>
      <w:numFmt w:val="decimal"/>
      <w:lvlText w:val="%1.%2.%3.%4."/>
      <w:lvlJc w:val="left"/>
      <w:pPr>
        <w:ind w:left="4230" w:hanging="720"/>
      </w:pPr>
      <w:rPr>
        <w:rFonts w:eastAsia="Times New Roman" w:hint="default"/>
        <w:b w:val="0"/>
      </w:rPr>
    </w:lvl>
    <w:lvl w:ilvl="4">
      <w:start w:val="1"/>
      <w:numFmt w:val="decimal"/>
      <w:lvlText w:val="%1.%2.%3.%4.%5."/>
      <w:lvlJc w:val="left"/>
      <w:pPr>
        <w:ind w:left="5760" w:hanging="1080"/>
      </w:pPr>
      <w:rPr>
        <w:rFonts w:eastAsia="Times New Roman" w:hint="default"/>
        <w:b w:val="0"/>
      </w:rPr>
    </w:lvl>
    <w:lvl w:ilvl="5">
      <w:start w:val="1"/>
      <w:numFmt w:val="decimal"/>
      <w:lvlText w:val="%1.%2.%3.%4.%5.%6."/>
      <w:lvlJc w:val="left"/>
      <w:pPr>
        <w:ind w:left="6930" w:hanging="1080"/>
      </w:pPr>
      <w:rPr>
        <w:rFonts w:eastAsia="Times New Roman" w:hint="default"/>
        <w:b w:val="0"/>
      </w:rPr>
    </w:lvl>
    <w:lvl w:ilvl="6">
      <w:start w:val="1"/>
      <w:numFmt w:val="decimal"/>
      <w:lvlText w:val="%1.%2.%3.%4.%5.%6.%7."/>
      <w:lvlJc w:val="left"/>
      <w:pPr>
        <w:ind w:left="8460" w:hanging="1440"/>
      </w:pPr>
      <w:rPr>
        <w:rFonts w:eastAsia="Times New Roman" w:hint="default"/>
        <w:b w:val="0"/>
      </w:rPr>
    </w:lvl>
    <w:lvl w:ilvl="7">
      <w:start w:val="1"/>
      <w:numFmt w:val="decimal"/>
      <w:lvlText w:val="%1.%2.%3.%4.%5.%6.%7.%8."/>
      <w:lvlJc w:val="left"/>
      <w:pPr>
        <w:ind w:left="9630" w:hanging="1440"/>
      </w:pPr>
      <w:rPr>
        <w:rFonts w:eastAsia="Times New Roman" w:hint="default"/>
        <w:b w:val="0"/>
      </w:rPr>
    </w:lvl>
    <w:lvl w:ilvl="8">
      <w:start w:val="1"/>
      <w:numFmt w:val="decimal"/>
      <w:lvlText w:val="%1.%2.%3.%4.%5.%6.%7.%8.%9."/>
      <w:lvlJc w:val="left"/>
      <w:pPr>
        <w:ind w:left="11160" w:hanging="1800"/>
      </w:pPr>
      <w:rPr>
        <w:rFonts w:eastAsia="Times New Roman" w:hint="default"/>
        <w:b w:val="0"/>
      </w:rPr>
    </w:lvl>
  </w:abstractNum>
  <w:abstractNum w:abstractNumId="3" w15:restartNumberingAfterBreak="0">
    <w:nsid w:val="07CD7270"/>
    <w:multiLevelType w:val="hybridMultilevel"/>
    <w:tmpl w:val="054235FC"/>
    <w:lvl w:ilvl="0" w:tplc="D3029A38">
      <w:start w:val="12"/>
      <w:numFmt w:val="decimal"/>
      <w:lvlText w:val="%1."/>
      <w:lvlJc w:val="left"/>
      <w:pPr>
        <w:ind w:left="1288"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3155C"/>
    <w:multiLevelType w:val="multilevel"/>
    <w:tmpl w:val="B8BEF346"/>
    <w:lvl w:ilvl="0">
      <w:start w:val="18"/>
      <w:numFmt w:val="decimal"/>
      <w:lvlText w:val="%1."/>
      <w:lvlJc w:val="left"/>
      <w:pPr>
        <w:ind w:left="7590" w:hanging="480"/>
      </w:pPr>
      <w:rPr>
        <w:rFonts w:eastAsia="Times New Roman" w:hint="default"/>
        <w:b w:val="0"/>
      </w:rPr>
    </w:lvl>
    <w:lvl w:ilvl="1">
      <w:start w:val="1"/>
      <w:numFmt w:val="decimal"/>
      <w:lvlText w:val="%1.%2."/>
      <w:lvlJc w:val="left"/>
      <w:pPr>
        <w:ind w:left="1650" w:hanging="480"/>
      </w:pPr>
      <w:rPr>
        <w:rFonts w:eastAsia="Times New Roman" w:hint="default"/>
        <w:b w:val="0"/>
      </w:rPr>
    </w:lvl>
    <w:lvl w:ilvl="2">
      <w:start w:val="1"/>
      <w:numFmt w:val="decimal"/>
      <w:lvlText w:val="%1.%2.%3."/>
      <w:lvlJc w:val="left"/>
      <w:pPr>
        <w:ind w:left="3060" w:hanging="720"/>
      </w:pPr>
      <w:rPr>
        <w:rFonts w:eastAsia="Times New Roman" w:hint="default"/>
        <w:b w:val="0"/>
      </w:rPr>
    </w:lvl>
    <w:lvl w:ilvl="3">
      <w:start w:val="1"/>
      <w:numFmt w:val="decimal"/>
      <w:lvlText w:val="%1.%2.%3.%4."/>
      <w:lvlJc w:val="left"/>
      <w:pPr>
        <w:ind w:left="4230" w:hanging="720"/>
      </w:pPr>
      <w:rPr>
        <w:rFonts w:eastAsia="Times New Roman" w:hint="default"/>
        <w:b w:val="0"/>
      </w:rPr>
    </w:lvl>
    <w:lvl w:ilvl="4">
      <w:start w:val="1"/>
      <w:numFmt w:val="decimal"/>
      <w:lvlText w:val="%1.%2.%3.%4.%5."/>
      <w:lvlJc w:val="left"/>
      <w:pPr>
        <w:ind w:left="5760" w:hanging="1080"/>
      </w:pPr>
      <w:rPr>
        <w:rFonts w:eastAsia="Times New Roman" w:hint="default"/>
        <w:b w:val="0"/>
      </w:rPr>
    </w:lvl>
    <w:lvl w:ilvl="5">
      <w:start w:val="1"/>
      <w:numFmt w:val="decimal"/>
      <w:lvlText w:val="%1.%2.%3.%4.%5.%6."/>
      <w:lvlJc w:val="left"/>
      <w:pPr>
        <w:ind w:left="6930" w:hanging="1080"/>
      </w:pPr>
      <w:rPr>
        <w:rFonts w:eastAsia="Times New Roman" w:hint="default"/>
        <w:b w:val="0"/>
      </w:rPr>
    </w:lvl>
    <w:lvl w:ilvl="6">
      <w:start w:val="1"/>
      <w:numFmt w:val="decimal"/>
      <w:lvlText w:val="%1.%2.%3.%4.%5.%6.%7."/>
      <w:lvlJc w:val="left"/>
      <w:pPr>
        <w:ind w:left="8460" w:hanging="1440"/>
      </w:pPr>
      <w:rPr>
        <w:rFonts w:eastAsia="Times New Roman" w:hint="default"/>
        <w:b w:val="0"/>
      </w:rPr>
    </w:lvl>
    <w:lvl w:ilvl="7">
      <w:start w:val="1"/>
      <w:numFmt w:val="decimal"/>
      <w:lvlText w:val="%1.%2.%3.%4.%5.%6.%7.%8."/>
      <w:lvlJc w:val="left"/>
      <w:pPr>
        <w:ind w:left="9630" w:hanging="1440"/>
      </w:pPr>
      <w:rPr>
        <w:rFonts w:eastAsia="Times New Roman" w:hint="default"/>
        <w:b w:val="0"/>
      </w:rPr>
    </w:lvl>
    <w:lvl w:ilvl="8">
      <w:start w:val="1"/>
      <w:numFmt w:val="decimal"/>
      <w:lvlText w:val="%1.%2.%3.%4.%5.%6.%7.%8.%9."/>
      <w:lvlJc w:val="left"/>
      <w:pPr>
        <w:ind w:left="11160" w:hanging="1800"/>
      </w:pPr>
      <w:rPr>
        <w:rFonts w:eastAsia="Times New Roman" w:hint="default"/>
        <w:b w:val="0"/>
      </w:rPr>
    </w:lvl>
  </w:abstractNum>
  <w:abstractNum w:abstractNumId="5"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6" w15:restartNumberingAfterBreak="0">
    <w:nsid w:val="0DA22889"/>
    <w:multiLevelType w:val="multilevel"/>
    <w:tmpl w:val="B8BEF346"/>
    <w:lvl w:ilvl="0">
      <w:start w:val="18"/>
      <w:numFmt w:val="decimal"/>
      <w:lvlText w:val="%1."/>
      <w:lvlJc w:val="left"/>
      <w:pPr>
        <w:ind w:left="7590" w:hanging="480"/>
      </w:pPr>
      <w:rPr>
        <w:rFonts w:eastAsia="Times New Roman" w:hint="default"/>
        <w:b w:val="0"/>
      </w:rPr>
    </w:lvl>
    <w:lvl w:ilvl="1">
      <w:start w:val="1"/>
      <w:numFmt w:val="decimal"/>
      <w:lvlText w:val="%1.%2."/>
      <w:lvlJc w:val="left"/>
      <w:pPr>
        <w:ind w:left="1650" w:hanging="480"/>
      </w:pPr>
      <w:rPr>
        <w:rFonts w:eastAsia="Times New Roman" w:hint="default"/>
        <w:b w:val="0"/>
      </w:rPr>
    </w:lvl>
    <w:lvl w:ilvl="2">
      <w:start w:val="1"/>
      <w:numFmt w:val="decimal"/>
      <w:lvlText w:val="%1.%2.%3."/>
      <w:lvlJc w:val="left"/>
      <w:pPr>
        <w:ind w:left="3060" w:hanging="720"/>
      </w:pPr>
      <w:rPr>
        <w:rFonts w:eastAsia="Times New Roman" w:hint="default"/>
        <w:b w:val="0"/>
      </w:rPr>
    </w:lvl>
    <w:lvl w:ilvl="3">
      <w:start w:val="1"/>
      <w:numFmt w:val="decimal"/>
      <w:lvlText w:val="%1.%2.%3.%4."/>
      <w:lvlJc w:val="left"/>
      <w:pPr>
        <w:ind w:left="4230" w:hanging="720"/>
      </w:pPr>
      <w:rPr>
        <w:rFonts w:eastAsia="Times New Roman" w:hint="default"/>
        <w:b w:val="0"/>
      </w:rPr>
    </w:lvl>
    <w:lvl w:ilvl="4">
      <w:start w:val="1"/>
      <w:numFmt w:val="decimal"/>
      <w:lvlText w:val="%1.%2.%3.%4.%5."/>
      <w:lvlJc w:val="left"/>
      <w:pPr>
        <w:ind w:left="5760" w:hanging="1080"/>
      </w:pPr>
      <w:rPr>
        <w:rFonts w:eastAsia="Times New Roman" w:hint="default"/>
        <w:b w:val="0"/>
      </w:rPr>
    </w:lvl>
    <w:lvl w:ilvl="5">
      <w:start w:val="1"/>
      <w:numFmt w:val="decimal"/>
      <w:lvlText w:val="%1.%2.%3.%4.%5.%6."/>
      <w:lvlJc w:val="left"/>
      <w:pPr>
        <w:ind w:left="6930" w:hanging="1080"/>
      </w:pPr>
      <w:rPr>
        <w:rFonts w:eastAsia="Times New Roman" w:hint="default"/>
        <w:b w:val="0"/>
      </w:rPr>
    </w:lvl>
    <w:lvl w:ilvl="6">
      <w:start w:val="1"/>
      <w:numFmt w:val="decimal"/>
      <w:lvlText w:val="%1.%2.%3.%4.%5.%6.%7."/>
      <w:lvlJc w:val="left"/>
      <w:pPr>
        <w:ind w:left="8460" w:hanging="1440"/>
      </w:pPr>
      <w:rPr>
        <w:rFonts w:eastAsia="Times New Roman" w:hint="default"/>
        <w:b w:val="0"/>
      </w:rPr>
    </w:lvl>
    <w:lvl w:ilvl="7">
      <w:start w:val="1"/>
      <w:numFmt w:val="decimal"/>
      <w:lvlText w:val="%1.%2.%3.%4.%5.%6.%7.%8."/>
      <w:lvlJc w:val="left"/>
      <w:pPr>
        <w:ind w:left="9630" w:hanging="1440"/>
      </w:pPr>
      <w:rPr>
        <w:rFonts w:eastAsia="Times New Roman" w:hint="default"/>
        <w:b w:val="0"/>
      </w:rPr>
    </w:lvl>
    <w:lvl w:ilvl="8">
      <w:start w:val="1"/>
      <w:numFmt w:val="decimal"/>
      <w:lvlText w:val="%1.%2.%3.%4.%5.%6.%7.%8.%9."/>
      <w:lvlJc w:val="left"/>
      <w:pPr>
        <w:ind w:left="11160" w:hanging="1800"/>
      </w:pPr>
      <w:rPr>
        <w:rFonts w:eastAsia="Times New Roman" w:hint="default"/>
        <w:b w:val="0"/>
      </w:rPr>
    </w:lvl>
  </w:abstractNum>
  <w:abstractNum w:abstractNumId="7" w15:restartNumberingAfterBreak="0">
    <w:nsid w:val="127F4D96"/>
    <w:multiLevelType w:val="multilevel"/>
    <w:tmpl w:val="8D4E6708"/>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4D0C9D"/>
    <w:multiLevelType w:val="multilevel"/>
    <w:tmpl w:val="27AC7516"/>
    <w:lvl w:ilvl="0">
      <w:start w:val="1"/>
      <w:numFmt w:val="decimal"/>
      <w:lvlText w:val="%1."/>
      <w:lvlJc w:val="left"/>
      <w:pPr>
        <w:ind w:left="2430" w:hanging="720"/>
      </w:pPr>
      <w:rPr>
        <w:rFonts w:ascii="Times New Roman" w:eastAsia="Times New Roman" w:hAnsi="Times New Roman" w:cs="Times New Roman"/>
        <w:b w:val="0"/>
        <w:i w:val="0"/>
        <w:strike w:val="0"/>
        <w:dstrike w:val="0"/>
        <w:color w:val="auto"/>
        <w:sz w:val="24"/>
        <w:szCs w:val="24"/>
        <w:u w:val="none"/>
        <w:effect w:val="none"/>
      </w:rPr>
    </w:lvl>
    <w:lvl w:ilvl="1">
      <w:start w:val="1"/>
      <w:numFmt w:val="decimal"/>
      <w:isLgl/>
      <w:lvlText w:val="%1.%2."/>
      <w:lvlJc w:val="left"/>
      <w:pPr>
        <w:ind w:left="1800" w:hanging="360"/>
      </w:pPr>
      <w:rPr>
        <w:b w:val="0"/>
        <w:i w:val="0"/>
      </w:rPr>
    </w:lvl>
    <w:lvl w:ilvl="2">
      <w:start w:val="1"/>
      <w:numFmt w:val="decimal"/>
      <w:isLgl/>
      <w:lvlText w:val="%1.%2.%3."/>
      <w:lvlJc w:val="left"/>
      <w:pPr>
        <w:ind w:left="2070" w:hanging="720"/>
      </w:pPr>
      <w:rPr>
        <w:b w:val="0"/>
        <w:i w:val="0"/>
      </w:rPr>
    </w:lvl>
    <w:lvl w:ilvl="3">
      <w:start w:val="1"/>
      <w:numFmt w:val="decimal"/>
      <w:isLgl/>
      <w:lvlText w:val="%1.%2.%3.%4."/>
      <w:lvlJc w:val="left"/>
      <w:pPr>
        <w:ind w:left="2160" w:hanging="720"/>
      </w:pPr>
      <w:rPr>
        <w:b w:val="0"/>
        <w:i w:val="0"/>
      </w:rPr>
    </w:lvl>
    <w:lvl w:ilvl="4">
      <w:start w:val="1"/>
      <w:numFmt w:val="decimal"/>
      <w:isLgl/>
      <w:lvlText w:val="%1.%2.%3.%4.%5."/>
      <w:lvlJc w:val="left"/>
      <w:pPr>
        <w:ind w:left="3961" w:hanging="1080"/>
      </w:pPr>
      <w:rPr>
        <w:b/>
        <w:i/>
      </w:rPr>
    </w:lvl>
    <w:lvl w:ilvl="5">
      <w:start w:val="1"/>
      <w:numFmt w:val="decimal"/>
      <w:isLgl/>
      <w:lvlText w:val="%1.%2.%3.%4.%5.%6."/>
      <w:lvlJc w:val="left"/>
      <w:pPr>
        <w:ind w:left="4681" w:hanging="1080"/>
      </w:pPr>
      <w:rPr>
        <w:b/>
        <w:i/>
      </w:rPr>
    </w:lvl>
    <w:lvl w:ilvl="6">
      <w:start w:val="1"/>
      <w:numFmt w:val="decimal"/>
      <w:isLgl/>
      <w:lvlText w:val="%1.%2.%3.%4.%5.%6.%7."/>
      <w:lvlJc w:val="left"/>
      <w:pPr>
        <w:ind w:left="5761" w:hanging="1440"/>
      </w:pPr>
      <w:rPr>
        <w:b/>
        <w:i/>
      </w:rPr>
    </w:lvl>
    <w:lvl w:ilvl="7">
      <w:start w:val="1"/>
      <w:numFmt w:val="decimal"/>
      <w:isLgl/>
      <w:lvlText w:val="%1.%2.%3.%4.%5.%6.%7.%8."/>
      <w:lvlJc w:val="left"/>
      <w:pPr>
        <w:ind w:left="6481" w:hanging="1440"/>
      </w:pPr>
      <w:rPr>
        <w:b/>
        <w:i/>
      </w:rPr>
    </w:lvl>
    <w:lvl w:ilvl="8">
      <w:start w:val="1"/>
      <w:numFmt w:val="decimal"/>
      <w:isLgl/>
      <w:lvlText w:val="%1.%2.%3.%4.%5.%6.%7.%8.%9."/>
      <w:lvlJc w:val="left"/>
      <w:pPr>
        <w:ind w:left="7561" w:hanging="1800"/>
      </w:pPr>
      <w:rPr>
        <w:b/>
        <w:i/>
      </w:rPr>
    </w:lvl>
  </w:abstractNum>
  <w:abstractNum w:abstractNumId="9" w15:restartNumberingAfterBreak="0">
    <w:nsid w:val="17A41EAE"/>
    <w:multiLevelType w:val="multilevel"/>
    <w:tmpl w:val="0D12DCD2"/>
    <w:lvl w:ilvl="0">
      <w:start w:val="19"/>
      <w:numFmt w:val="decimal"/>
      <w:lvlText w:val="%1."/>
      <w:lvlJc w:val="left"/>
      <w:pPr>
        <w:ind w:left="1650" w:hanging="480"/>
      </w:pPr>
      <w:rPr>
        <w:rFonts w:hint="default"/>
        <w:i w:val="0"/>
        <w:color w:val="auto"/>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B6A5EC3"/>
    <w:multiLevelType w:val="hybridMultilevel"/>
    <w:tmpl w:val="45D0C132"/>
    <w:lvl w:ilvl="0" w:tplc="D28CC9C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D74548"/>
    <w:multiLevelType w:val="hybridMultilevel"/>
    <w:tmpl w:val="413C183C"/>
    <w:lvl w:ilvl="0" w:tplc="0409000F">
      <w:start w:val="1"/>
      <w:numFmt w:val="decimal"/>
      <w:lvlText w:val="%1."/>
      <w:lvlJc w:val="left"/>
      <w:pPr>
        <w:ind w:left="660" w:hanging="360"/>
      </w:pPr>
    </w:lvl>
    <w:lvl w:ilvl="1" w:tplc="04090019">
      <w:start w:val="1"/>
      <w:numFmt w:val="lowerLetter"/>
      <w:lvlText w:val="%2."/>
      <w:lvlJc w:val="left"/>
      <w:pPr>
        <w:ind w:left="1380" w:hanging="360"/>
      </w:pPr>
    </w:lvl>
    <w:lvl w:ilvl="2" w:tplc="0409001B">
      <w:start w:val="1"/>
      <w:numFmt w:val="lowerRoman"/>
      <w:lvlText w:val="%3."/>
      <w:lvlJc w:val="right"/>
      <w:pPr>
        <w:ind w:left="2100" w:hanging="180"/>
      </w:pPr>
    </w:lvl>
    <w:lvl w:ilvl="3" w:tplc="0409000F">
      <w:start w:val="1"/>
      <w:numFmt w:val="decimal"/>
      <w:lvlText w:val="%4."/>
      <w:lvlJc w:val="left"/>
      <w:pPr>
        <w:ind w:left="2820" w:hanging="360"/>
      </w:pPr>
    </w:lvl>
    <w:lvl w:ilvl="4" w:tplc="04090019">
      <w:start w:val="1"/>
      <w:numFmt w:val="lowerLetter"/>
      <w:lvlText w:val="%5."/>
      <w:lvlJc w:val="left"/>
      <w:pPr>
        <w:ind w:left="3540" w:hanging="360"/>
      </w:pPr>
    </w:lvl>
    <w:lvl w:ilvl="5" w:tplc="0409001B">
      <w:start w:val="1"/>
      <w:numFmt w:val="lowerRoman"/>
      <w:lvlText w:val="%6."/>
      <w:lvlJc w:val="right"/>
      <w:pPr>
        <w:ind w:left="4260" w:hanging="180"/>
      </w:pPr>
    </w:lvl>
    <w:lvl w:ilvl="6" w:tplc="0409000F">
      <w:start w:val="1"/>
      <w:numFmt w:val="decimal"/>
      <w:lvlText w:val="%7."/>
      <w:lvlJc w:val="left"/>
      <w:pPr>
        <w:ind w:left="4980" w:hanging="360"/>
      </w:pPr>
    </w:lvl>
    <w:lvl w:ilvl="7" w:tplc="04090019">
      <w:start w:val="1"/>
      <w:numFmt w:val="lowerLetter"/>
      <w:lvlText w:val="%8."/>
      <w:lvlJc w:val="left"/>
      <w:pPr>
        <w:ind w:left="5700" w:hanging="360"/>
      </w:pPr>
    </w:lvl>
    <w:lvl w:ilvl="8" w:tplc="0409001B">
      <w:start w:val="1"/>
      <w:numFmt w:val="lowerRoman"/>
      <w:lvlText w:val="%9."/>
      <w:lvlJc w:val="right"/>
      <w:pPr>
        <w:ind w:left="6420" w:hanging="180"/>
      </w:pPr>
    </w:lvl>
  </w:abstractNum>
  <w:abstractNum w:abstractNumId="12" w15:restartNumberingAfterBreak="0">
    <w:nsid w:val="234705CF"/>
    <w:multiLevelType w:val="multilevel"/>
    <w:tmpl w:val="17CC63BC"/>
    <w:lvl w:ilvl="0">
      <w:start w:val="16"/>
      <w:numFmt w:val="decimal"/>
      <w:lvlText w:val="%1."/>
      <w:lvlJc w:val="left"/>
      <w:pPr>
        <w:ind w:left="360" w:hanging="360"/>
      </w:pPr>
      <w:rPr>
        <w:rFonts w:hint="default"/>
        <w:b w:val="0"/>
        <w:i w:val="0"/>
      </w:rPr>
    </w:lvl>
    <w:lvl w:ilvl="1">
      <w:start w:val="1"/>
      <w:numFmt w:val="decimal"/>
      <w:isLgl/>
      <w:lvlText w:val="%1.%2."/>
      <w:lvlJc w:val="left"/>
      <w:pPr>
        <w:ind w:left="1800" w:hanging="360"/>
      </w:pPr>
      <w:rPr>
        <w:rFonts w:hint="default"/>
        <w:b w:val="0"/>
        <w:i w:val="0"/>
      </w:rPr>
    </w:lvl>
    <w:lvl w:ilvl="2">
      <w:start w:val="1"/>
      <w:numFmt w:val="decimal"/>
      <w:isLgl/>
      <w:lvlText w:val="%1.%2.%3."/>
      <w:lvlJc w:val="left"/>
      <w:pPr>
        <w:ind w:left="2790" w:hanging="720"/>
      </w:pPr>
      <w:rPr>
        <w:rFonts w:hint="default"/>
        <w:b w:val="0"/>
        <w:i w:val="0"/>
      </w:rPr>
    </w:lvl>
    <w:lvl w:ilvl="3">
      <w:start w:val="1"/>
      <w:numFmt w:val="decimal"/>
      <w:isLgl/>
      <w:lvlText w:val="%1.%2.%3.%4."/>
      <w:lvlJc w:val="left"/>
      <w:pPr>
        <w:ind w:left="3420" w:hanging="720"/>
      </w:pPr>
      <w:rPr>
        <w:rFonts w:hint="default"/>
        <w:b/>
        <w:i/>
      </w:rPr>
    </w:lvl>
    <w:lvl w:ilvl="4">
      <w:start w:val="1"/>
      <w:numFmt w:val="decimal"/>
      <w:isLgl/>
      <w:lvlText w:val="%1.%2.%3.%4.%5."/>
      <w:lvlJc w:val="left"/>
      <w:pPr>
        <w:ind w:left="4410" w:hanging="1080"/>
      </w:pPr>
      <w:rPr>
        <w:rFonts w:hint="default"/>
        <w:b/>
        <w:i/>
      </w:rPr>
    </w:lvl>
    <w:lvl w:ilvl="5">
      <w:start w:val="1"/>
      <w:numFmt w:val="decimal"/>
      <w:isLgl/>
      <w:lvlText w:val="%1.%2.%3.%4.%5.%6."/>
      <w:lvlJc w:val="left"/>
      <w:pPr>
        <w:ind w:left="5040" w:hanging="1080"/>
      </w:pPr>
      <w:rPr>
        <w:rFonts w:hint="default"/>
        <w:b/>
        <w:i/>
      </w:rPr>
    </w:lvl>
    <w:lvl w:ilvl="6">
      <w:start w:val="1"/>
      <w:numFmt w:val="decimal"/>
      <w:isLgl/>
      <w:lvlText w:val="%1.%2.%3.%4.%5.%6.%7."/>
      <w:lvlJc w:val="left"/>
      <w:pPr>
        <w:ind w:left="6030" w:hanging="1440"/>
      </w:pPr>
      <w:rPr>
        <w:rFonts w:hint="default"/>
        <w:b/>
        <w:i/>
      </w:rPr>
    </w:lvl>
    <w:lvl w:ilvl="7">
      <w:start w:val="1"/>
      <w:numFmt w:val="decimal"/>
      <w:isLgl/>
      <w:lvlText w:val="%1.%2.%3.%4.%5.%6.%7.%8."/>
      <w:lvlJc w:val="left"/>
      <w:pPr>
        <w:ind w:left="6660" w:hanging="1440"/>
      </w:pPr>
      <w:rPr>
        <w:rFonts w:hint="default"/>
        <w:b/>
        <w:i/>
      </w:rPr>
    </w:lvl>
    <w:lvl w:ilvl="8">
      <w:start w:val="1"/>
      <w:numFmt w:val="decimal"/>
      <w:isLgl/>
      <w:lvlText w:val="%1.%2.%3.%4.%5.%6.%7.%8.%9."/>
      <w:lvlJc w:val="left"/>
      <w:pPr>
        <w:ind w:left="7650" w:hanging="1800"/>
      </w:pPr>
      <w:rPr>
        <w:rFonts w:hint="default"/>
        <w:b/>
        <w:i/>
      </w:r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98624C5"/>
    <w:multiLevelType w:val="hybridMultilevel"/>
    <w:tmpl w:val="15D28D12"/>
    <w:lvl w:ilvl="0" w:tplc="83DC020A">
      <w:start w:val="1"/>
      <w:numFmt w:val="upperLetter"/>
      <w:lvlText w:val="%1."/>
      <w:lvlJc w:val="left"/>
      <w:pPr>
        <w:ind w:left="1288" w:hanging="360"/>
      </w:pPr>
      <w:rPr>
        <w:rFonts w:hint="default"/>
        <w:b w:val="0"/>
        <w:i/>
      </w:rPr>
    </w:lvl>
    <w:lvl w:ilvl="1" w:tplc="04090019">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5" w15:restartNumberingAfterBreak="0">
    <w:nsid w:val="2993189B"/>
    <w:multiLevelType w:val="hybridMultilevel"/>
    <w:tmpl w:val="7F02EF78"/>
    <w:lvl w:ilvl="0" w:tplc="7F9C2290">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630B18"/>
    <w:multiLevelType w:val="hybridMultilevel"/>
    <w:tmpl w:val="110404FC"/>
    <w:lvl w:ilvl="0" w:tplc="A2F4D5A6">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AD54C22"/>
    <w:multiLevelType w:val="hybridMultilevel"/>
    <w:tmpl w:val="E03601A6"/>
    <w:lvl w:ilvl="0" w:tplc="82D48D38">
      <w:start w:val="1"/>
      <w:numFmt w:val="lowerRoman"/>
      <w:lvlText w:val="%1)"/>
      <w:lvlJc w:val="left"/>
      <w:pPr>
        <w:ind w:left="1440" w:hanging="720"/>
      </w:pPr>
      <w:rPr>
        <w:rFonts w:eastAsia="Batang" w:hint="default"/>
        <w:b w:val="0"/>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BE042D1"/>
    <w:multiLevelType w:val="multilevel"/>
    <w:tmpl w:val="17CC63BC"/>
    <w:lvl w:ilvl="0">
      <w:start w:val="16"/>
      <w:numFmt w:val="decimal"/>
      <w:lvlText w:val="%1."/>
      <w:lvlJc w:val="left"/>
      <w:pPr>
        <w:ind w:left="360" w:hanging="360"/>
      </w:pPr>
      <w:rPr>
        <w:rFonts w:hint="default"/>
        <w:b w:val="0"/>
        <w:i w:val="0"/>
      </w:rPr>
    </w:lvl>
    <w:lvl w:ilvl="1">
      <w:start w:val="1"/>
      <w:numFmt w:val="decimal"/>
      <w:isLgl/>
      <w:lvlText w:val="%1.%2."/>
      <w:lvlJc w:val="left"/>
      <w:pPr>
        <w:ind w:left="1800" w:hanging="360"/>
      </w:pPr>
      <w:rPr>
        <w:rFonts w:hint="default"/>
        <w:b w:val="0"/>
        <w:i w:val="0"/>
      </w:rPr>
    </w:lvl>
    <w:lvl w:ilvl="2">
      <w:start w:val="1"/>
      <w:numFmt w:val="decimal"/>
      <w:isLgl/>
      <w:lvlText w:val="%1.%2.%3."/>
      <w:lvlJc w:val="left"/>
      <w:pPr>
        <w:ind w:left="2790" w:hanging="720"/>
      </w:pPr>
      <w:rPr>
        <w:rFonts w:hint="default"/>
        <w:b w:val="0"/>
        <w:i w:val="0"/>
      </w:rPr>
    </w:lvl>
    <w:lvl w:ilvl="3">
      <w:start w:val="1"/>
      <w:numFmt w:val="decimal"/>
      <w:isLgl/>
      <w:lvlText w:val="%1.%2.%3.%4."/>
      <w:lvlJc w:val="left"/>
      <w:pPr>
        <w:ind w:left="3420" w:hanging="720"/>
      </w:pPr>
      <w:rPr>
        <w:rFonts w:hint="default"/>
        <w:b/>
        <w:i/>
      </w:rPr>
    </w:lvl>
    <w:lvl w:ilvl="4">
      <w:start w:val="1"/>
      <w:numFmt w:val="decimal"/>
      <w:isLgl/>
      <w:lvlText w:val="%1.%2.%3.%4.%5."/>
      <w:lvlJc w:val="left"/>
      <w:pPr>
        <w:ind w:left="4410" w:hanging="1080"/>
      </w:pPr>
      <w:rPr>
        <w:rFonts w:hint="default"/>
        <w:b/>
        <w:i/>
      </w:rPr>
    </w:lvl>
    <w:lvl w:ilvl="5">
      <w:start w:val="1"/>
      <w:numFmt w:val="decimal"/>
      <w:isLgl/>
      <w:lvlText w:val="%1.%2.%3.%4.%5.%6."/>
      <w:lvlJc w:val="left"/>
      <w:pPr>
        <w:ind w:left="5040" w:hanging="1080"/>
      </w:pPr>
      <w:rPr>
        <w:rFonts w:hint="default"/>
        <w:b/>
        <w:i/>
      </w:rPr>
    </w:lvl>
    <w:lvl w:ilvl="6">
      <w:start w:val="1"/>
      <w:numFmt w:val="decimal"/>
      <w:isLgl/>
      <w:lvlText w:val="%1.%2.%3.%4.%5.%6.%7."/>
      <w:lvlJc w:val="left"/>
      <w:pPr>
        <w:ind w:left="6030" w:hanging="1440"/>
      </w:pPr>
      <w:rPr>
        <w:rFonts w:hint="default"/>
        <w:b/>
        <w:i/>
      </w:rPr>
    </w:lvl>
    <w:lvl w:ilvl="7">
      <w:start w:val="1"/>
      <w:numFmt w:val="decimal"/>
      <w:isLgl/>
      <w:lvlText w:val="%1.%2.%3.%4.%5.%6.%7.%8."/>
      <w:lvlJc w:val="left"/>
      <w:pPr>
        <w:ind w:left="6660" w:hanging="1440"/>
      </w:pPr>
      <w:rPr>
        <w:rFonts w:hint="default"/>
        <w:b/>
        <w:i/>
      </w:rPr>
    </w:lvl>
    <w:lvl w:ilvl="8">
      <w:start w:val="1"/>
      <w:numFmt w:val="decimal"/>
      <w:isLgl/>
      <w:lvlText w:val="%1.%2.%3.%4.%5.%6.%7.%8.%9."/>
      <w:lvlJc w:val="left"/>
      <w:pPr>
        <w:ind w:left="7650" w:hanging="1800"/>
      </w:pPr>
      <w:rPr>
        <w:rFonts w:hint="default"/>
        <w:b/>
        <w:i/>
      </w:rPr>
    </w:lvl>
  </w:abstractNum>
  <w:abstractNum w:abstractNumId="19" w15:restartNumberingAfterBreak="0">
    <w:nsid w:val="3CED0712"/>
    <w:multiLevelType w:val="multilevel"/>
    <w:tmpl w:val="7F461304"/>
    <w:lvl w:ilvl="0">
      <w:start w:val="11"/>
      <w:numFmt w:val="decimal"/>
      <w:lvlText w:val="%1."/>
      <w:lvlJc w:val="left"/>
      <w:pPr>
        <w:ind w:left="2910" w:hanging="480"/>
      </w:pPr>
      <w:rPr>
        <w:rFonts w:hint="default"/>
        <w:i w:val="0"/>
        <w:color w:val="auto"/>
      </w:rPr>
    </w:lvl>
    <w:lvl w:ilvl="1">
      <w:start w:val="1"/>
      <w:numFmt w:val="decimal"/>
      <w:lvlText w:val="%1.%2."/>
      <w:lvlJc w:val="left"/>
      <w:pPr>
        <w:ind w:left="2190" w:hanging="480"/>
      </w:pPr>
      <w:rPr>
        <w:rFonts w:hint="default"/>
        <w:b w:val="0"/>
      </w:rPr>
    </w:lvl>
    <w:lvl w:ilvl="2">
      <w:start w:val="1"/>
      <w:numFmt w:val="decimal"/>
      <w:lvlText w:val="%1.%2.%3."/>
      <w:lvlJc w:val="left"/>
      <w:pPr>
        <w:ind w:left="4140" w:hanging="720"/>
      </w:pPr>
      <w:rPr>
        <w:rFonts w:hint="default"/>
      </w:rPr>
    </w:lvl>
    <w:lvl w:ilvl="3">
      <w:start w:val="1"/>
      <w:numFmt w:val="decimal"/>
      <w:lvlText w:val="%1.%2.%3.%4."/>
      <w:lvlJc w:val="left"/>
      <w:pPr>
        <w:ind w:left="5850" w:hanging="720"/>
      </w:pPr>
      <w:rPr>
        <w:rFonts w:hint="default"/>
      </w:rPr>
    </w:lvl>
    <w:lvl w:ilvl="4">
      <w:start w:val="1"/>
      <w:numFmt w:val="decimal"/>
      <w:lvlText w:val="%1.%2.%3.%4.%5."/>
      <w:lvlJc w:val="left"/>
      <w:pPr>
        <w:ind w:left="7920" w:hanging="1080"/>
      </w:pPr>
      <w:rPr>
        <w:rFonts w:hint="default"/>
      </w:rPr>
    </w:lvl>
    <w:lvl w:ilvl="5">
      <w:start w:val="1"/>
      <w:numFmt w:val="decimal"/>
      <w:lvlText w:val="%1.%2.%3.%4.%5.%6."/>
      <w:lvlJc w:val="left"/>
      <w:pPr>
        <w:ind w:left="9630" w:hanging="1080"/>
      </w:pPr>
      <w:rPr>
        <w:rFonts w:hint="default"/>
      </w:rPr>
    </w:lvl>
    <w:lvl w:ilvl="6">
      <w:start w:val="1"/>
      <w:numFmt w:val="decimal"/>
      <w:lvlText w:val="%1.%2.%3.%4.%5.%6.%7."/>
      <w:lvlJc w:val="left"/>
      <w:pPr>
        <w:ind w:left="11700" w:hanging="1440"/>
      </w:pPr>
      <w:rPr>
        <w:rFonts w:hint="default"/>
      </w:rPr>
    </w:lvl>
    <w:lvl w:ilvl="7">
      <w:start w:val="1"/>
      <w:numFmt w:val="decimal"/>
      <w:lvlText w:val="%1.%2.%3.%4.%5.%6.%7.%8."/>
      <w:lvlJc w:val="left"/>
      <w:pPr>
        <w:ind w:left="13410" w:hanging="1440"/>
      </w:pPr>
      <w:rPr>
        <w:rFonts w:hint="default"/>
      </w:rPr>
    </w:lvl>
    <w:lvl w:ilvl="8">
      <w:start w:val="1"/>
      <w:numFmt w:val="decimal"/>
      <w:lvlText w:val="%1.%2.%3.%4.%5.%6.%7.%8.%9."/>
      <w:lvlJc w:val="left"/>
      <w:pPr>
        <w:ind w:left="15480" w:hanging="1800"/>
      </w:pPr>
      <w:rPr>
        <w:rFonts w:hint="default"/>
      </w:rPr>
    </w:lvl>
  </w:abstractNum>
  <w:abstractNum w:abstractNumId="20" w15:restartNumberingAfterBreak="0">
    <w:nsid w:val="3D535B62"/>
    <w:multiLevelType w:val="hybridMultilevel"/>
    <w:tmpl w:val="224AE04E"/>
    <w:lvl w:ilvl="0" w:tplc="C2A26F1C">
      <w:start w:val="1"/>
      <w:numFmt w:val="decimal"/>
      <w:lvlText w:val="%1."/>
      <w:lvlJc w:val="left"/>
      <w:pPr>
        <w:ind w:left="1440" w:hanging="720"/>
      </w:pPr>
      <w:rPr>
        <w:b w:val="0"/>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FE871E9"/>
    <w:multiLevelType w:val="hybridMultilevel"/>
    <w:tmpl w:val="BC36E9A2"/>
    <w:lvl w:ilvl="0" w:tplc="AE30FEC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FFB42A7"/>
    <w:multiLevelType w:val="hybridMultilevel"/>
    <w:tmpl w:val="548C0DDE"/>
    <w:lvl w:ilvl="0" w:tplc="B1300302">
      <w:start w:val="1"/>
      <w:numFmt w:val="decimal"/>
      <w:lvlText w:val="%1."/>
      <w:lvlJc w:val="left"/>
      <w:pPr>
        <w:ind w:left="1080" w:hanging="360"/>
      </w:pPr>
      <w:rPr>
        <w:i w:val="0"/>
      </w:rPr>
    </w:lvl>
    <w:lvl w:ilvl="1" w:tplc="D2CEC676">
      <w:start w:val="1"/>
      <w:numFmt w:val="decimal"/>
      <w:lvlText w:val="11.%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D4A6811"/>
    <w:multiLevelType w:val="multilevel"/>
    <w:tmpl w:val="3FA04146"/>
    <w:lvl w:ilvl="0">
      <w:start w:val="19"/>
      <w:numFmt w:val="decimal"/>
      <w:lvlText w:val="%1."/>
      <w:lvlJc w:val="left"/>
      <w:pPr>
        <w:ind w:left="480" w:hanging="480"/>
      </w:pPr>
      <w:rPr>
        <w:rFonts w:hint="default"/>
      </w:rPr>
    </w:lvl>
    <w:lvl w:ilvl="1">
      <w:start w:val="1"/>
      <w:numFmt w:val="decimal"/>
      <w:lvlText w:val="%1.%2."/>
      <w:lvlJc w:val="left"/>
      <w:pPr>
        <w:ind w:left="96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4DDA68F4"/>
    <w:multiLevelType w:val="multilevel"/>
    <w:tmpl w:val="B8BEF346"/>
    <w:lvl w:ilvl="0">
      <w:start w:val="18"/>
      <w:numFmt w:val="decimal"/>
      <w:lvlText w:val="%1."/>
      <w:lvlJc w:val="left"/>
      <w:pPr>
        <w:ind w:left="7590" w:hanging="480"/>
      </w:pPr>
      <w:rPr>
        <w:rFonts w:eastAsia="Times New Roman" w:hint="default"/>
        <w:b w:val="0"/>
      </w:rPr>
    </w:lvl>
    <w:lvl w:ilvl="1">
      <w:start w:val="1"/>
      <w:numFmt w:val="decimal"/>
      <w:lvlText w:val="%1.%2."/>
      <w:lvlJc w:val="left"/>
      <w:pPr>
        <w:ind w:left="1650" w:hanging="480"/>
      </w:pPr>
      <w:rPr>
        <w:rFonts w:eastAsia="Times New Roman" w:hint="default"/>
        <w:b w:val="0"/>
      </w:rPr>
    </w:lvl>
    <w:lvl w:ilvl="2">
      <w:start w:val="1"/>
      <w:numFmt w:val="decimal"/>
      <w:lvlText w:val="%1.%2.%3."/>
      <w:lvlJc w:val="left"/>
      <w:pPr>
        <w:ind w:left="3060" w:hanging="720"/>
      </w:pPr>
      <w:rPr>
        <w:rFonts w:eastAsia="Times New Roman" w:hint="default"/>
        <w:b w:val="0"/>
      </w:rPr>
    </w:lvl>
    <w:lvl w:ilvl="3">
      <w:start w:val="1"/>
      <w:numFmt w:val="decimal"/>
      <w:lvlText w:val="%1.%2.%3.%4."/>
      <w:lvlJc w:val="left"/>
      <w:pPr>
        <w:ind w:left="4230" w:hanging="720"/>
      </w:pPr>
      <w:rPr>
        <w:rFonts w:eastAsia="Times New Roman" w:hint="default"/>
        <w:b w:val="0"/>
      </w:rPr>
    </w:lvl>
    <w:lvl w:ilvl="4">
      <w:start w:val="1"/>
      <w:numFmt w:val="decimal"/>
      <w:lvlText w:val="%1.%2.%3.%4.%5."/>
      <w:lvlJc w:val="left"/>
      <w:pPr>
        <w:ind w:left="5760" w:hanging="1080"/>
      </w:pPr>
      <w:rPr>
        <w:rFonts w:eastAsia="Times New Roman" w:hint="default"/>
        <w:b w:val="0"/>
      </w:rPr>
    </w:lvl>
    <w:lvl w:ilvl="5">
      <w:start w:val="1"/>
      <w:numFmt w:val="decimal"/>
      <w:lvlText w:val="%1.%2.%3.%4.%5.%6."/>
      <w:lvlJc w:val="left"/>
      <w:pPr>
        <w:ind w:left="6930" w:hanging="1080"/>
      </w:pPr>
      <w:rPr>
        <w:rFonts w:eastAsia="Times New Roman" w:hint="default"/>
        <w:b w:val="0"/>
      </w:rPr>
    </w:lvl>
    <w:lvl w:ilvl="6">
      <w:start w:val="1"/>
      <w:numFmt w:val="decimal"/>
      <w:lvlText w:val="%1.%2.%3.%4.%5.%6.%7."/>
      <w:lvlJc w:val="left"/>
      <w:pPr>
        <w:ind w:left="8460" w:hanging="1440"/>
      </w:pPr>
      <w:rPr>
        <w:rFonts w:eastAsia="Times New Roman" w:hint="default"/>
        <w:b w:val="0"/>
      </w:rPr>
    </w:lvl>
    <w:lvl w:ilvl="7">
      <w:start w:val="1"/>
      <w:numFmt w:val="decimal"/>
      <w:lvlText w:val="%1.%2.%3.%4.%5.%6.%7.%8."/>
      <w:lvlJc w:val="left"/>
      <w:pPr>
        <w:ind w:left="9630" w:hanging="1440"/>
      </w:pPr>
      <w:rPr>
        <w:rFonts w:eastAsia="Times New Roman" w:hint="default"/>
        <w:b w:val="0"/>
      </w:rPr>
    </w:lvl>
    <w:lvl w:ilvl="8">
      <w:start w:val="1"/>
      <w:numFmt w:val="decimal"/>
      <w:lvlText w:val="%1.%2.%3.%4.%5.%6.%7.%8.%9."/>
      <w:lvlJc w:val="left"/>
      <w:pPr>
        <w:ind w:left="11160" w:hanging="1800"/>
      </w:pPr>
      <w:rPr>
        <w:rFonts w:eastAsia="Times New Roman" w:hint="default"/>
        <w:b w:val="0"/>
      </w:rPr>
    </w:lvl>
  </w:abstractNum>
  <w:abstractNum w:abstractNumId="25" w15:restartNumberingAfterBreak="0">
    <w:nsid w:val="56524B4F"/>
    <w:multiLevelType w:val="multilevel"/>
    <w:tmpl w:val="D3DE9366"/>
    <w:lvl w:ilvl="0">
      <w:start w:val="1"/>
      <w:numFmt w:val="decimal"/>
      <w:lvlText w:val="%1."/>
      <w:lvlJc w:val="left"/>
      <w:pPr>
        <w:ind w:left="1080" w:hanging="360"/>
      </w:pPr>
      <w:rPr>
        <w:b w:val="0"/>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E06AAF"/>
    <w:multiLevelType w:val="hybridMultilevel"/>
    <w:tmpl w:val="242CF514"/>
    <w:lvl w:ilvl="0" w:tplc="8154DC02">
      <w:start w:val="1"/>
      <w:numFmt w:val="decimal"/>
      <w:lvlText w:val="%1."/>
      <w:lvlJc w:val="left"/>
      <w:pPr>
        <w:ind w:left="720" w:hanging="360"/>
      </w:pPr>
      <w:rPr>
        <w:i w:val="0"/>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7" w15:restartNumberingAfterBreak="0">
    <w:nsid w:val="65095D07"/>
    <w:multiLevelType w:val="multilevel"/>
    <w:tmpl w:val="63E6095C"/>
    <w:lvl w:ilvl="0">
      <w:start w:val="1"/>
      <w:numFmt w:val="decimal"/>
      <w:lvlText w:val="%1."/>
      <w:lvlJc w:val="left"/>
      <w:pPr>
        <w:ind w:left="3510" w:hanging="360"/>
      </w:pPr>
      <w:rPr>
        <w:i w:val="0"/>
      </w:rPr>
    </w:lvl>
    <w:lvl w:ilvl="1">
      <w:start w:val="1"/>
      <w:numFmt w:val="decimal"/>
      <w:isLgl/>
      <w:lvlText w:val="%1.%2."/>
      <w:lvlJc w:val="left"/>
      <w:pPr>
        <w:ind w:left="810" w:hanging="360"/>
      </w:pPr>
      <w:rPr>
        <w:b w:val="0"/>
        <w:i w:val="0"/>
      </w:rPr>
    </w:lvl>
    <w:lvl w:ilvl="2">
      <w:start w:val="1"/>
      <w:numFmt w:val="decimal"/>
      <w:isLgl/>
      <w:lvlText w:val="%1.%2.%3."/>
      <w:lvlJc w:val="left"/>
      <w:pPr>
        <w:ind w:left="1260" w:hanging="720"/>
      </w:pPr>
      <w:rPr>
        <w:b w:val="0"/>
        <w:i w:val="0"/>
      </w:rPr>
    </w:lvl>
    <w:lvl w:ilvl="3">
      <w:start w:val="1"/>
      <w:numFmt w:val="decimal"/>
      <w:isLgl/>
      <w:lvlText w:val="%1.%2.%3.%4."/>
      <w:lvlJc w:val="left"/>
      <w:pPr>
        <w:ind w:left="1350" w:hanging="720"/>
      </w:pPr>
      <w:rPr>
        <w:b/>
        <w:i/>
      </w:rPr>
    </w:lvl>
    <w:lvl w:ilvl="4">
      <w:start w:val="1"/>
      <w:numFmt w:val="decimal"/>
      <w:isLgl/>
      <w:lvlText w:val="%1.%2.%3.%4.%5."/>
      <w:lvlJc w:val="left"/>
      <w:pPr>
        <w:ind w:left="1800" w:hanging="1080"/>
      </w:pPr>
      <w:rPr>
        <w:b/>
        <w:i/>
      </w:rPr>
    </w:lvl>
    <w:lvl w:ilvl="5">
      <w:start w:val="1"/>
      <w:numFmt w:val="decimal"/>
      <w:isLgl/>
      <w:lvlText w:val="%1.%2.%3.%4.%5.%6."/>
      <w:lvlJc w:val="left"/>
      <w:pPr>
        <w:ind w:left="1890" w:hanging="1080"/>
      </w:pPr>
      <w:rPr>
        <w:b/>
        <w:i/>
      </w:rPr>
    </w:lvl>
    <w:lvl w:ilvl="6">
      <w:start w:val="1"/>
      <w:numFmt w:val="decimal"/>
      <w:isLgl/>
      <w:lvlText w:val="%1.%2.%3.%4.%5.%6.%7."/>
      <w:lvlJc w:val="left"/>
      <w:pPr>
        <w:ind w:left="2340" w:hanging="1440"/>
      </w:pPr>
      <w:rPr>
        <w:b/>
        <w:i/>
      </w:rPr>
    </w:lvl>
    <w:lvl w:ilvl="7">
      <w:start w:val="1"/>
      <w:numFmt w:val="decimal"/>
      <w:isLgl/>
      <w:lvlText w:val="%1.%2.%3.%4.%5.%6.%7.%8."/>
      <w:lvlJc w:val="left"/>
      <w:pPr>
        <w:ind w:left="2430" w:hanging="1440"/>
      </w:pPr>
      <w:rPr>
        <w:b/>
        <w:i/>
      </w:rPr>
    </w:lvl>
    <w:lvl w:ilvl="8">
      <w:start w:val="1"/>
      <w:numFmt w:val="decimal"/>
      <w:isLgl/>
      <w:lvlText w:val="%1.%2.%3.%4.%5.%6.%7.%8.%9."/>
      <w:lvlJc w:val="left"/>
      <w:pPr>
        <w:ind w:left="2880" w:hanging="1800"/>
      </w:pPr>
      <w:rPr>
        <w:b/>
        <w:i/>
      </w:rPr>
    </w:lvl>
  </w:abstractNum>
  <w:abstractNum w:abstractNumId="28" w15:restartNumberingAfterBreak="0">
    <w:nsid w:val="6B642C28"/>
    <w:multiLevelType w:val="hybridMultilevel"/>
    <w:tmpl w:val="14C4FC7C"/>
    <w:lvl w:ilvl="0" w:tplc="BB264C2E">
      <w:start w:val="1"/>
      <w:numFmt w:val="decimal"/>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29" w15:restartNumberingAfterBreak="0">
    <w:nsid w:val="6D7A3A58"/>
    <w:multiLevelType w:val="multilevel"/>
    <w:tmpl w:val="C21C213C"/>
    <w:lvl w:ilvl="0">
      <w:start w:val="1"/>
      <w:numFmt w:val="decimal"/>
      <w:lvlText w:val="%1."/>
      <w:lvlJc w:val="left"/>
      <w:pPr>
        <w:ind w:left="360" w:hanging="360"/>
      </w:pPr>
      <w:rPr>
        <w:b w:val="0"/>
        <w:i w:val="0"/>
      </w:rPr>
    </w:lvl>
    <w:lvl w:ilvl="1">
      <w:start w:val="1"/>
      <w:numFmt w:val="decimal"/>
      <w:lvlText w:val="%1.%2."/>
      <w:lvlJc w:val="left"/>
      <w:pPr>
        <w:ind w:left="792" w:hanging="432"/>
      </w:pPr>
      <w:rPr>
        <w:b w:val="0"/>
        <w:i w:val="0"/>
      </w:rPr>
    </w:lvl>
    <w:lvl w:ilvl="2">
      <w:start w:val="1"/>
      <w:numFmt w:val="decimal"/>
      <w:lvlText w:val="%1.%2.%3."/>
      <w:lvlJc w:val="left"/>
      <w:pPr>
        <w:ind w:left="1224" w:hanging="504"/>
      </w:pPr>
      <w:rPr>
        <w:b w:val="0"/>
        <w:i w:val="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42A3881"/>
    <w:multiLevelType w:val="multilevel"/>
    <w:tmpl w:val="061A9644"/>
    <w:lvl w:ilvl="0">
      <w:start w:val="13"/>
      <w:numFmt w:val="decimal"/>
      <w:lvlText w:val="%1."/>
      <w:lvlJc w:val="left"/>
      <w:pPr>
        <w:ind w:left="1170" w:hanging="360"/>
      </w:pPr>
      <w:rPr>
        <w:rFonts w:hint="default"/>
        <w:b w:val="0"/>
        <w:i w:val="0"/>
      </w:rPr>
    </w:lvl>
    <w:lvl w:ilvl="1">
      <w:start w:val="1"/>
      <w:numFmt w:val="decimal"/>
      <w:isLgl/>
      <w:lvlText w:val="%1.%2."/>
      <w:lvlJc w:val="left"/>
      <w:pPr>
        <w:ind w:left="1800" w:hanging="360"/>
      </w:pPr>
      <w:rPr>
        <w:rFonts w:hint="default"/>
        <w:b w:val="0"/>
        <w:i w:val="0"/>
      </w:rPr>
    </w:lvl>
    <w:lvl w:ilvl="2">
      <w:start w:val="1"/>
      <w:numFmt w:val="decimal"/>
      <w:isLgl/>
      <w:lvlText w:val="%1.%2.%3."/>
      <w:lvlJc w:val="left"/>
      <w:pPr>
        <w:ind w:left="2790" w:hanging="720"/>
      </w:pPr>
      <w:rPr>
        <w:rFonts w:hint="default"/>
        <w:b w:val="0"/>
        <w:i w:val="0"/>
      </w:rPr>
    </w:lvl>
    <w:lvl w:ilvl="3">
      <w:start w:val="1"/>
      <w:numFmt w:val="decimal"/>
      <w:isLgl/>
      <w:lvlText w:val="%1.%2.%3.%4."/>
      <w:lvlJc w:val="left"/>
      <w:pPr>
        <w:ind w:left="3420" w:hanging="720"/>
      </w:pPr>
      <w:rPr>
        <w:rFonts w:hint="default"/>
        <w:b/>
        <w:i/>
      </w:rPr>
    </w:lvl>
    <w:lvl w:ilvl="4">
      <w:start w:val="1"/>
      <w:numFmt w:val="decimal"/>
      <w:isLgl/>
      <w:lvlText w:val="%1.%2.%3.%4.%5."/>
      <w:lvlJc w:val="left"/>
      <w:pPr>
        <w:ind w:left="4410" w:hanging="1080"/>
      </w:pPr>
      <w:rPr>
        <w:rFonts w:hint="default"/>
        <w:b/>
        <w:i/>
      </w:rPr>
    </w:lvl>
    <w:lvl w:ilvl="5">
      <w:start w:val="1"/>
      <w:numFmt w:val="decimal"/>
      <w:isLgl/>
      <w:lvlText w:val="%1.%2.%3.%4.%5.%6."/>
      <w:lvlJc w:val="left"/>
      <w:pPr>
        <w:ind w:left="5040" w:hanging="1080"/>
      </w:pPr>
      <w:rPr>
        <w:rFonts w:hint="default"/>
        <w:b/>
        <w:i/>
      </w:rPr>
    </w:lvl>
    <w:lvl w:ilvl="6">
      <w:start w:val="1"/>
      <w:numFmt w:val="decimal"/>
      <w:isLgl/>
      <w:lvlText w:val="%1.%2.%3.%4.%5.%6.%7."/>
      <w:lvlJc w:val="left"/>
      <w:pPr>
        <w:ind w:left="6030" w:hanging="1440"/>
      </w:pPr>
      <w:rPr>
        <w:rFonts w:hint="default"/>
        <w:b/>
        <w:i/>
      </w:rPr>
    </w:lvl>
    <w:lvl w:ilvl="7">
      <w:start w:val="1"/>
      <w:numFmt w:val="decimal"/>
      <w:isLgl/>
      <w:lvlText w:val="%1.%2.%3.%4.%5.%6.%7.%8."/>
      <w:lvlJc w:val="left"/>
      <w:pPr>
        <w:ind w:left="6660" w:hanging="1440"/>
      </w:pPr>
      <w:rPr>
        <w:rFonts w:hint="default"/>
        <w:b/>
        <w:i/>
      </w:rPr>
    </w:lvl>
    <w:lvl w:ilvl="8">
      <w:start w:val="1"/>
      <w:numFmt w:val="decimal"/>
      <w:isLgl/>
      <w:lvlText w:val="%1.%2.%3.%4.%5.%6.%7.%8.%9."/>
      <w:lvlJc w:val="left"/>
      <w:pPr>
        <w:ind w:left="7650" w:hanging="1800"/>
      </w:pPr>
      <w:rPr>
        <w:rFonts w:hint="default"/>
        <w:b/>
        <w:i/>
      </w:rPr>
    </w:lvl>
  </w:abstractNum>
  <w:abstractNum w:abstractNumId="31" w15:restartNumberingAfterBreak="0">
    <w:nsid w:val="7749012B"/>
    <w:multiLevelType w:val="multilevel"/>
    <w:tmpl w:val="061A9644"/>
    <w:lvl w:ilvl="0">
      <w:start w:val="13"/>
      <w:numFmt w:val="decimal"/>
      <w:lvlText w:val="%1."/>
      <w:lvlJc w:val="left"/>
      <w:pPr>
        <w:ind w:left="1170" w:hanging="360"/>
      </w:pPr>
      <w:rPr>
        <w:rFonts w:hint="default"/>
        <w:b w:val="0"/>
        <w:i w:val="0"/>
      </w:rPr>
    </w:lvl>
    <w:lvl w:ilvl="1">
      <w:start w:val="1"/>
      <w:numFmt w:val="decimal"/>
      <w:isLgl/>
      <w:lvlText w:val="%1.%2."/>
      <w:lvlJc w:val="left"/>
      <w:pPr>
        <w:ind w:left="1800" w:hanging="360"/>
      </w:pPr>
      <w:rPr>
        <w:rFonts w:hint="default"/>
        <w:b w:val="0"/>
        <w:i w:val="0"/>
      </w:rPr>
    </w:lvl>
    <w:lvl w:ilvl="2">
      <w:start w:val="1"/>
      <w:numFmt w:val="decimal"/>
      <w:isLgl/>
      <w:lvlText w:val="%1.%2.%3."/>
      <w:lvlJc w:val="left"/>
      <w:pPr>
        <w:ind w:left="2790" w:hanging="720"/>
      </w:pPr>
      <w:rPr>
        <w:rFonts w:hint="default"/>
        <w:b w:val="0"/>
        <w:i w:val="0"/>
      </w:rPr>
    </w:lvl>
    <w:lvl w:ilvl="3">
      <w:start w:val="1"/>
      <w:numFmt w:val="decimal"/>
      <w:isLgl/>
      <w:lvlText w:val="%1.%2.%3.%4."/>
      <w:lvlJc w:val="left"/>
      <w:pPr>
        <w:ind w:left="3420" w:hanging="720"/>
      </w:pPr>
      <w:rPr>
        <w:rFonts w:hint="default"/>
        <w:b/>
        <w:i/>
      </w:rPr>
    </w:lvl>
    <w:lvl w:ilvl="4">
      <w:start w:val="1"/>
      <w:numFmt w:val="decimal"/>
      <w:isLgl/>
      <w:lvlText w:val="%1.%2.%3.%4.%5."/>
      <w:lvlJc w:val="left"/>
      <w:pPr>
        <w:ind w:left="4410" w:hanging="1080"/>
      </w:pPr>
      <w:rPr>
        <w:rFonts w:hint="default"/>
        <w:b/>
        <w:i/>
      </w:rPr>
    </w:lvl>
    <w:lvl w:ilvl="5">
      <w:start w:val="1"/>
      <w:numFmt w:val="decimal"/>
      <w:isLgl/>
      <w:lvlText w:val="%1.%2.%3.%4.%5.%6."/>
      <w:lvlJc w:val="left"/>
      <w:pPr>
        <w:ind w:left="5040" w:hanging="1080"/>
      </w:pPr>
      <w:rPr>
        <w:rFonts w:hint="default"/>
        <w:b/>
        <w:i/>
      </w:rPr>
    </w:lvl>
    <w:lvl w:ilvl="6">
      <w:start w:val="1"/>
      <w:numFmt w:val="decimal"/>
      <w:isLgl/>
      <w:lvlText w:val="%1.%2.%3.%4.%5.%6.%7."/>
      <w:lvlJc w:val="left"/>
      <w:pPr>
        <w:ind w:left="6030" w:hanging="1440"/>
      </w:pPr>
      <w:rPr>
        <w:rFonts w:hint="default"/>
        <w:b/>
        <w:i/>
      </w:rPr>
    </w:lvl>
    <w:lvl w:ilvl="7">
      <w:start w:val="1"/>
      <w:numFmt w:val="decimal"/>
      <w:isLgl/>
      <w:lvlText w:val="%1.%2.%3.%4.%5.%6.%7.%8."/>
      <w:lvlJc w:val="left"/>
      <w:pPr>
        <w:ind w:left="6660" w:hanging="1440"/>
      </w:pPr>
      <w:rPr>
        <w:rFonts w:hint="default"/>
        <w:b/>
        <w:i/>
      </w:rPr>
    </w:lvl>
    <w:lvl w:ilvl="8">
      <w:start w:val="1"/>
      <w:numFmt w:val="decimal"/>
      <w:isLgl/>
      <w:lvlText w:val="%1.%2.%3.%4.%5.%6.%7.%8.%9."/>
      <w:lvlJc w:val="left"/>
      <w:pPr>
        <w:ind w:left="7650" w:hanging="1800"/>
      </w:pPr>
      <w:rPr>
        <w:rFonts w:hint="default"/>
        <w:b/>
        <w:i/>
      </w:rPr>
    </w:lvl>
  </w:abstractNum>
  <w:abstractNum w:abstractNumId="32" w15:restartNumberingAfterBreak="0">
    <w:nsid w:val="77B24AA0"/>
    <w:multiLevelType w:val="multilevel"/>
    <w:tmpl w:val="0B8421B6"/>
    <w:lvl w:ilvl="0">
      <w:start w:val="1"/>
      <w:numFmt w:val="decimal"/>
      <w:lvlText w:val="%1."/>
      <w:lvlJc w:val="left"/>
      <w:pPr>
        <w:ind w:left="1260" w:hanging="360"/>
      </w:pPr>
      <w:rPr>
        <w:rFonts w:ascii="Times New Roman" w:hAnsi="Times New Roman" w:cs="Times New Roman" w:hint="default"/>
        <w:b w:val="0"/>
        <w:i w:val="0"/>
        <w:sz w:val="24"/>
        <w:szCs w:val="24"/>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3" w15:restartNumberingAfterBreak="0">
    <w:nsid w:val="7C907C9B"/>
    <w:multiLevelType w:val="multilevel"/>
    <w:tmpl w:val="DD92A9FA"/>
    <w:lvl w:ilvl="0">
      <w:start w:val="20"/>
      <w:numFmt w:val="decimal"/>
      <w:lvlText w:val="%1."/>
      <w:lvlJc w:val="left"/>
      <w:pPr>
        <w:ind w:left="480" w:hanging="480"/>
      </w:pPr>
      <w:rPr>
        <w:rFonts w:eastAsia="Times New Roman" w:hint="default"/>
        <w:b w:val="0"/>
        <w:i w:val="0"/>
      </w:rPr>
    </w:lvl>
    <w:lvl w:ilvl="1">
      <w:start w:val="1"/>
      <w:numFmt w:val="decimal"/>
      <w:lvlText w:val="%1.%2."/>
      <w:lvlJc w:val="left"/>
      <w:pPr>
        <w:ind w:left="1560" w:hanging="480"/>
      </w:pPr>
      <w:rPr>
        <w:rFonts w:eastAsia="Times New Roman" w:hint="default"/>
      </w:rPr>
    </w:lvl>
    <w:lvl w:ilvl="2">
      <w:start w:val="1"/>
      <w:numFmt w:val="decimal"/>
      <w:lvlText w:val="%1.%2.%3."/>
      <w:lvlJc w:val="left"/>
      <w:pPr>
        <w:ind w:left="2880" w:hanging="720"/>
      </w:pPr>
      <w:rPr>
        <w:rFonts w:eastAsia="Times New Roman" w:hint="default"/>
      </w:rPr>
    </w:lvl>
    <w:lvl w:ilvl="3">
      <w:start w:val="1"/>
      <w:numFmt w:val="decimal"/>
      <w:lvlText w:val="%1.%2.%3.%4."/>
      <w:lvlJc w:val="left"/>
      <w:pPr>
        <w:ind w:left="3960" w:hanging="720"/>
      </w:pPr>
      <w:rPr>
        <w:rFonts w:eastAsia="Times New Roman" w:hint="default"/>
      </w:rPr>
    </w:lvl>
    <w:lvl w:ilvl="4">
      <w:start w:val="1"/>
      <w:numFmt w:val="decimal"/>
      <w:lvlText w:val="%1.%2.%3.%4.%5."/>
      <w:lvlJc w:val="left"/>
      <w:pPr>
        <w:ind w:left="5400" w:hanging="1080"/>
      </w:pPr>
      <w:rPr>
        <w:rFonts w:eastAsia="Times New Roman" w:hint="default"/>
      </w:rPr>
    </w:lvl>
    <w:lvl w:ilvl="5">
      <w:start w:val="1"/>
      <w:numFmt w:val="decimal"/>
      <w:lvlText w:val="%1.%2.%3.%4.%5.%6."/>
      <w:lvlJc w:val="left"/>
      <w:pPr>
        <w:ind w:left="6480" w:hanging="1080"/>
      </w:pPr>
      <w:rPr>
        <w:rFonts w:eastAsia="Times New Roman" w:hint="default"/>
      </w:rPr>
    </w:lvl>
    <w:lvl w:ilvl="6">
      <w:start w:val="1"/>
      <w:numFmt w:val="decimal"/>
      <w:lvlText w:val="%1.%2.%3.%4.%5.%6.%7."/>
      <w:lvlJc w:val="left"/>
      <w:pPr>
        <w:ind w:left="7920" w:hanging="1440"/>
      </w:pPr>
      <w:rPr>
        <w:rFonts w:eastAsia="Times New Roman" w:hint="default"/>
      </w:rPr>
    </w:lvl>
    <w:lvl w:ilvl="7">
      <w:start w:val="1"/>
      <w:numFmt w:val="decimal"/>
      <w:lvlText w:val="%1.%2.%3.%4.%5.%6.%7.%8."/>
      <w:lvlJc w:val="left"/>
      <w:pPr>
        <w:ind w:left="9000" w:hanging="1440"/>
      </w:pPr>
      <w:rPr>
        <w:rFonts w:eastAsia="Times New Roman" w:hint="default"/>
      </w:rPr>
    </w:lvl>
    <w:lvl w:ilvl="8">
      <w:start w:val="1"/>
      <w:numFmt w:val="decimal"/>
      <w:lvlText w:val="%1.%2.%3.%4.%5.%6.%7.%8.%9."/>
      <w:lvlJc w:val="left"/>
      <w:pPr>
        <w:ind w:left="10440" w:hanging="1800"/>
      </w:pPr>
      <w:rPr>
        <w:rFonts w:eastAsia="Times New Roman" w:hint="default"/>
      </w:rPr>
    </w:lvl>
  </w:abstractNum>
  <w:abstractNum w:abstractNumId="34"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32"/>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3"/>
  </w:num>
  <w:num w:numId="9">
    <w:abstractNumId w:val="1"/>
  </w:num>
  <w:num w:numId="10">
    <w:abstractNumId w:val="34"/>
  </w:num>
  <w:num w:numId="11">
    <w:abstractNumId w:val="28"/>
  </w:num>
  <w:num w:numId="12">
    <w:abstractNumId w:val="4"/>
  </w:num>
  <w:num w:numId="13">
    <w:abstractNumId w:val="24"/>
  </w:num>
  <w:num w:numId="14">
    <w:abstractNumId w:val="6"/>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8">
    <w:abstractNumId w:val="2"/>
  </w:num>
  <w:num w:numId="19">
    <w:abstractNumId w:val="15"/>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0"/>
  </w:num>
  <w:num w:numId="24">
    <w:abstractNumId w:val="31"/>
  </w:num>
  <w:num w:numId="25">
    <w:abstractNumId w:val="14"/>
  </w:num>
  <w:num w:numId="26">
    <w:abstractNumId w:val="3"/>
  </w:num>
  <w:num w:numId="27">
    <w:abstractNumId w:val="12"/>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21"/>
  </w:num>
  <w:num w:numId="33">
    <w:abstractNumId w:val="16"/>
  </w:num>
  <w:num w:numId="34">
    <w:abstractNumId w:val="23"/>
  </w:num>
  <w:num w:numId="35">
    <w:abstractNumId w:val="10"/>
  </w:num>
  <w:num w:numId="36">
    <w:abstractNumId w:val="33"/>
  </w:num>
  <w:num w:numId="37">
    <w:abstractNumId w:val="17"/>
  </w:num>
  <w:num w:numId="38">
    <w:abstractNumId w:val="19"/>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num>
  <w:num w:numId="43">
    <w:abstractNumId w:val="3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C8B"/>
    <w:rsid w:val="00006EAD"/>
    <w:rsid w:val="000125DE"/>
    <w:rsid w:val="0009012D"/>
    <w:rsid w:val="0009131A"/>
    <w:rsid w:val="000B31DF"/>
    <w:rsid w:val="000C18B1"/>
    <w:rsid w:val="000C20A5"/>
    <w:rsid w:val="000F13C6"/>
    <w:rsid w:val="00135483"/>
    <w:rsid w:val="001426E2"/>
    <w:rsid w:val="00174AF1"/>
    <w:rsid w:val="00177FB9"/>
    <w:rsid w:val="00182259"/>
    <w:rsid w:val="001C18A4"/>
    <w:rsid w:val="001E07D6"/>
    <w:rsid w:val="001E6779"/>
    <w:rsid w:val="0021528E"/>
    <w:rsid w:val="00254037"/>
    <w:rsid w:val="00287F99"/>
    <w:rsid w:val="0029580E"/>
    <w:rsid w:val="00297BBC"/>
    <w:rsid w:val="002A063D"/>
    <w:rsid w:val="002A76CB"/>
    <w:rsid w:val="002C0EAA"/>
    <w:rsid w:val="002D6FF8"/>
    <w:rsid w:val="00314F85"/>
    <w:rsid w:val="003339A5"/>
    <w:rsid w:val="00354CB1"/>
    <w:rsid w:val="00355EFB"/>
    <w:rsid w:val="00384A9A"/>
    <w:rsid w:val="00391ADF"/>
    <w:rsid w:val="00396F44"/>
    <w:rsid w:val="003A4F20"/>
    <w:rsid w:val="003B13D2"/>
    <w:rsid w:val="003C117B"/>
    <w:rsid w:val="003C13D9"/>
    <w:rsid w:val="004072A4"/>
    <w:rsid w:val="00420AA0"/>
    <w:rsid w:val="00430CE8"/>
    <w:rsid w:val="0043118B"/>
    <w:rsid w:val="00445DAF"/>
    <w:rsid w:val="00471A02"/>
    <w:rsid w:val="0047572F"/>
    <w:rsid w:val="00482331"/>
    <w:rsid w:val="00487BA0"/>
    <w:rsid w:val="00493B71"/>
    <w:rsid w:val="004A37D6"/>
    <w:rsid w:val="004B2593"/>
    <w:rsid w:val="004B4C8B"/>
    <w:rsid w:val="004B737B"/>
    <w:rsid w:val="004C21F9"/>
    <w:rsid w:val="00502223"/>
    <w:rsid w:val="00533FFE"/>
    <w:rsid w:val="00552C9E"/>
    <w:rsid w:val="005569A3"/>
    <w:rsid w:val="00562C2C"/>
    <w:rsid w:val="00576A57"/>
    <w:rsid w:val="005B266E"/>
    <w:rsid w:val="005C4B86"/>
    <w:rsid w:val="005C6B8B"/>
    <w:rsid w:val="005E0D0D"/>
    <w:rsid w:val="005E1DAB"/>
    <w:rsid w:val="005F3CA7"/>
    <w:rsid w:val="006026FD"/>
    <w:rsid w:val="0061627E"/>
    <w:rsid w:val="00630BB5"/>
    <w:rsid w:val="00642336"/>
    <w:rsid w:val="00642C9D"/>
    <w:rsid w:val="00650BD8"/>
    <w:rsid w:val="006803DE"/>
    <w:rsid w:val="00681E7B"/>
    <w:rsid w:val="0068729B"/>
    <w:rsid w:val="00692AC7"/>
    <w:rsid w:val="00697A17"/>
    <w:rsid w:val="006A659A"/>
    <w:rsid w:val="006B058D"/>
    <w:rsid w:val="006D70F3"/>
    <w:rsid w:val="006F3707"/>
    <w:rsid w:val="006F74B1"/>
    <w:rsid w:val="00706203"/>
    <w:rsid w:val="0071191D"/>
    <w:rsid w:val="00725339"/>
    <w:rsid w:val="00782297"/>
    <w:rsid w:val="00790320"/>
    <w:rsid w:val="0079357C"/>
    <w:rsid w:val="007A486F"/>
    <w:rsid w:val="007D1795"/>
    <w:rsid w:val="007D6F91"/>
    <w:rsid w:val="007E2E40"/>
    <w:rsid w:val="00811684"/>
    <w:rsid w:val="0081474C"/>
    <w:rsid w:val="00814E4B"/>
    <w:rsid w:val="0082076C"/>
    <w:rsid w:val="00847BEB"/>
    <w:rsid w:val="0085180A"/>
    <w:rsid w:val="00855EC1"/>
    <w:rsid w:val="00860E0C"/>
    <w:rsid w:val="008651A4"/>
    <w:rsid w:val="008675C2"/>
    <w:rsid w:val="00873406"/>
    <w:rsid w:val="008A58E7"/>
    <w:rsid w:val="008D1986"/>
    <w:rsid w:val="00900688"/>
    <w:rsid w:val="0091032B"/>
    <w:rsid w:val="00915380"/>
    <w:rsid w:val="00920EC9"/>
    <w:rsid w:val="00930FE6"/>
    <w:rsid w:val="00933418"/>
    <w:rsid w:val="00944213"/>
    <w:rsid w:val="00956568"/>
    <w:rsid w:val="00957099"/>
    <w:rsid w:val="009723F9"/>
    <w:rsid w:val="00983636"/>
    <w:rsid w:val="00986466"/>
    <w:rsid w:val="00995E3D"/>
    <w:rsid w:val="00A0148C"/>
    <w:rsid w:val="00A22AF8"/>
    <w:rsid w:val="00A55F62"/>
    <w:rsid w:val="00A676DF"/>
    <w:rsid w:val="00A86D16"/>
    <w:rsid w:val="00A86F8E"/>
    <w:rsid w:val="00A91984"/>
    <w:rsid w:val="00A91B90"/>
    <w:rsid w:val="00AC05A2"/>
    <w:rsid w:val="00AE0C77"/>
    <w:rsid w:val="00AE4D9E"/>
    <w:rsid w:val="00AF4506"/>
    <w:rsid w:val="00B036D3"/>
    <w:rsid w:val="00B510A4"/>
    <w:rsid w:val="00B72446"/>
    <w:rsid w:val="00B80D23"/>
    <w:rsid w:val="00B86BFB"/>
    <w:rsid w:val="00B91279"/>
    <w:rsid w:val="00BA6E3D"/>
    <w:rsid w:val="00BB0A69"/>
    <w:rsid w:val="00BC7652"/>
    <w:rsid w:val="00BD41BB"/>
    <w:rsid w:val="00BE1BA6"/>
    <w:rsid w:val="00BF0506"/>
    <w:rsid w:val="00C10323"/>
    <w:rsid w:val="00C11546"/>
    <w:rsid w:val="00C3358C"/>
    <w:rsid w:val="00C837B6"/>
    <w:rsid w:val="00C85222"/>
    <w:rsid w:val="00C97711"/>
    <w:rsid w:val="00D53C44"/>
    <w:rsid w:val="00D60DA2"/>
    <w:rsid w:val="00D64CA0"/>
    <w:rsid w:val="00D66062"/>
    <w:rsid w:val="00D919C7"/>
    <w:rsid w:val="00DA24B6"/>
    <w:rsid w:val="00DB090A"/>
    <w:rsid w:val="00DE5F62"/>
    <w:rsid w:val="00DE7D74"/>
    <w:rsid w:val="00DF1E39"/>
    <w:rsid w:val="00DF6CC3"/>
    <w:rsid w:val="00E22526"/>
    <w:rsid w:val="00E524C3"/>
    <w:rsid w:val="00E53591"/>
    <w:rsid w:val="00E55307"/>
    <w:rsid w:val="00E6464D"/>
    <w:rsid w:val="00E730C1"/>
    <w:rsid w:val="00E735B9"/>
    <w:rsid w:val="00E80598"/>
    <w:rsid w:val="00EB4429"/>
    <w:rsid w:val="00EC612F"/>
    <w:rsid w:val="00ED4DAD"/>
    <w:rsid w:val="00ED691C"/>
    <w:rsid w:val="00EF4AA7"/>
    <w:rsid w:val="00EF5E1E"/>
    <w:rsid w:val="00F042F9"/>
    <w:rsid w:val="00F05C4F"/>
    <w:rsid w:val="00F14897"/>
    <w:rsid w:val="00F1699A"/>
    <w:rsid w:val="00F17D93"/>
    <w:rsid w:val="00F376A3"/>
    <w:rsid w:val="00F5378E"/>
    <w:rsid w:val="00F56CF7"/>
    <w:rsid w:val="00F63F94"/>
    <w:rsid w:val="00F64113"/>
    <w:rsid w:val="00F677CA"/>
    <w:rsid w:val="00F75B89"/>
    <w:rsid w:val="00FB7C1B"/>
    <w:rsid w:val="00FC62E7"/>
    <w:rsid w:val="00FE6459"/>
    <w:rsid w:val="00FF2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90EB94-9242-4D31-91E0-358C51B9D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4C8B"/>
    <w:pPr>
      <w:spacing w:after="0" w:line="360" w:lineRule="auto"/>
    </w:pPr>
    <w:rPr>
      <w:rFonts w:ascii="Times New Roman" w:eastAsia="MS Mincho" w:hAnsi="Times New Roman" w:cs="Times New Roman"/>
      <w:sz w:val="24"/>
      <w:szCs w:val="24"/>
      <w:lang w:val="sq-AL"/>
    </w:rPr>
  </w:style>
  <w:style w:type="paragraph" w:styleId="Heading1">
    <w:name w:val="heading 1"/>
    <w:basedOn w:val="Normal"/>
    <w:next w:val="Normal"/>
    <w:link w:val="Heading1Char"/>
    <w:uiPriority w:val="9"/>
    <w:qFormat/>
    <w:rsid w:val="009723F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723F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723F9"/>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9723F9"/>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723F9"/>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723F9"/>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723F9"/>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723F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723F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link w:val="NoSpacing"/>
    <w:uiPriority w:val="99"/>
    <w:qFormat/>
    <w:locked/>
    <w:rsid w:val="004B4C8B"/>
    <w:rPr>
      <w:rFonts w:ascii="Calibri" w:eastAsia="Calibri" w:hAnsi="Calibri" w:cs="Times New Roman"/>
      <w:lang w:val="sq-AL"/>
    </w:rPr>
  </w:style>
  <w:style w:type="paragraph" w:styleId="NoSpacing">
    <w:name w:val="No Spacing"/>
    <w:link w:val="NoSpacingChar"/>
    <w:uiPriority w:val="99"/>
    <w:qFormat/>
    <w:rsid w:val="004B4C8B"/>
    <w:pPr>
      <w:spacing w:after="0" w:line="240" w:lineRule="auto"/>
    </w:pPr>
    <w:rPr>
      <w:rFonts w:ascii="Calibri" w:eastAsia="Calibri" w:hAnsi="Calibri" w:cs="Times New Roman"/>
      <w:lang w:val="sq-AL"/>
    </w:rPr>
  </w:style>
  <w:style w:type="character" w:customStyle="1" w:styleId="ListParagraphChar">
    <w:name w:val="List Paragraph Char"/>
    <w:aliases w:val="List Paragraph2 Char,Normal 1 Char,Dot pt Char,List Paragraph1 Char,F5 List Paragraph Char,List Paragraph Char Char Char Char,Indicator Text Char,Colorful List - Accent 11 Char,Numbered Para 1 Char,Bullet 1 Char,Bullet Points Char"/>
    <w:link w:val="ListParagraph"/>
    <w:uiPriority w:val="34"/>
    <w:qFormat/>
    <w:locked/>
    <w:rsid w:val="004B4C8B"/>
    <w:rPr>
      <w:rFonts w:ascii="Times New Roman" w:eastAsia="MS Mincho" w:hAnsi="Times New Roman" w:cs="Times New Roman"/>
      <w:sz w:val="24"/>
      <w:szCs w:val="24"/>
      <w:lang w:val="sq-AL"/>
    </w:rPr>
  </w:style>
  <w:style w:type="paragraph" w:styleId="ListParagraph">
    <w:name w:val="List Paragraph"/>
    <w:aliases w:val="List Paragraph2,Normal 1,Dot pt,List Paragraph1,F5 List Paragraph,List Paragraph Char Char Char,Indicator Text,Colorful List - Accent 11,Numbered Para 1,Bullet 1,Bullet Points,MAIN CONTENT,Párrafo de lista,Recommendation,List Paragraph 1"/>
    <w:basedOn w:val="Normal"/>
    <w:link w:val="ListParagraphChar"/>
    <w:uiPriority w:val="34"/>
    <w:qFormat/>
    <w:rsid w:val="004B4C8B"/>
    <w:pPr>
      <w:ind w:left="720"/>
      <w:contextualSpacing/>
    </w:pPr>
  </w:style>
  <w:style w:type="paragraph" w:styleId="BodyTextIndent2">
    <w:name w:val="Body Text Indent 2"/>
    <w:basedOn w:val="Normal"/>
    <w:link w:val="BodyTextIndent2Char"/>
    <w:uiPriority w:val="99"/>
    <w:unhideWhenUsed/>
    <w:rsid w:val="004B4C8B"/>
    <w:pPr>
      <w:ind w:left="2880" w:hanging="2160"/>
      <w:jc w:val="both"/>
    </w:pPr>
    <w:rPr>
      <w:rFonts w:eastAsia="Calibri"/>
      <w:b/>
    </w:rPr>
  </w:style>
  <w:style w:type="character" w:customStyle="1" w:styleId="BodyTextIndent2Char">
    <w:name w:val="Body Text Indent 2 Char"/>
    <w:basedOn w:val="DefaultParagraphFont"/>
    <w:link w:val="BodyTextIndent2"/>
    <w:uiPriority w:val="99"/>
    <w:rsid w:val="004B4C8B"/>
    <w:rPr>
      <w:rFonts w:ascii="Times New Roman" w:eastAsia="Calibri" w:hAnsi="Times New Roman" w:cs="Times New Roman"/>
      <w:b/>
      <w:sz w:val="24"/>
      <w:szCs w:val="24"/>
      <w:lang w:val="sq-AL"/>
    </w:rPr>
  </w:style>
  <w:style w:type="character" w:customStyle="1" w:styleId="s68f5eaef">
    <w:name w:val="s68f5eaef"/>
    <w:basedOn w:val="DefaultParagraphFont"/>
    <w:rsid w:val="004B4C8B"/>
  </w:style>
  <w:style w:type="paragraph" w:styleId="Header">
    <w:name w:val="header"/>
    <w:basedOn w:val="Normal"/>
    <w:link w:val="HeaderChar"/>
    <w:uiPriority w:val="99"/>
    <w:unhideWhenUsed/>
    <w:rsid w:val="004B4C8B"/>
    <w:pPr>
      <w:tabs>
        <w:tab w:val="center" w:pos="4680"/>
        <w:tab w:val="right" w:pos="9360"/>
      </w:tabs>
      <w:spacing w:line="240" w:lineRule="auto"/>
    </w:pPr>
  </w:style>
  <w:style w:type="character" w:customStyle="1" w:styleId="HeaderChar">
    <w:name w:val="Header Char"/>
    <w:basedOn w:val="DefaultParagraphFont"/>
    <w:link w:val="Header"/>
    <w:uiPriority w:val="99"/>
    <w:rsid w:val="004B4C8B"/>
    <w:rPr>
      <w:rFonts w:ascii="Times New Roman" w:eastAsia="MS Mincho" w:hAnsi="Times New Roman" w:cs="Times New Roman"/>
      <w:sz w:val="24"/>
      <w:szCs w:val="24"/>
      <w:lang w:val="sq-AL"/>
    </w:rPr>
  </w:style>
  <w:style w:type="paragraph" w:styleId="Footer">
    <w:name w:val="footer"/>
    <w:basedOn w:val="Normal"/>
    <w:link w:val="FooterChar"/>
    <w:uiPriority w:val="99"/>
    <w:unhideWhenUsed/>
    <w:rsid w:val="004B4C8B"/>
    <w:pPr>
      <w:tabs>
        <w:tab w:val="center" w:pos="4680"/>
        <w:tab w:val="right" w:pos="9360"/>
      </w:tabs>
      <w:spacing w:line="240" w:lineRule="auto"/>
    </w:pPr>
  </w:style>
  <w:style w:type="character" w:customStyle="1" w:styleId="FooterChar">
    <w:name w:val="Footer Char"/>
    <w:basedOn w:val="DefaultParagraphFont"/>
    <w:link w:val="Footer"/>
    <w:uiPriority w:val="99"/>
    <w:rsid w:val="004B4C8B"/>
    <w:rPr>
      <w:rFonts w:ascii="Times New Roman" w:eastAsia="MS Mincho" w:hAnsi="Times New Roman" w:cs="Times New Roman"/>
      <w:sz w:val="24"/>
      <w:szCs w:val="24"/>
      <w:lang w:val="sq-AL"/>
    </w:rPr>
  </w:style>
  <w:style w:type="character" w:customStyle="1" w:styleId="sb8d990e2">
    <w:name w:val="sb8d990e2"/>
    <w:rsid w:val="00445DAF"/>
  </w:style>
  <w:style w:type="paragraph" w:customStyle="1" w:styleId="JuHHead">
    <w:name w:val="Ju_H_Head"/>
    <w:aliases w:val="_Head_1"/>
    <w:basedOn w:val="Heading1"/>
    <w:next w:val="Normal"/>
    <w:uiPriority w:val="17"/>
    <w:qFormat/>
    <w:rsid w:val="009723F9"/>
    <w:pPr>
      <w:numPr>
        <w:numId w:val="7"/>
      </w:numPr>
      <w:tabs>
        <w:tab w:val="num" w:pos="360"/>
      </w:tabs>
      <w:spacing w:before="100" w:beforeAutospacing="1" w:after="240" w:line="240" w:lineRule="auto"/>
      <w:jc w:val="both"/>
    </w:pPr>
    <w:rPr>
      <w:bCs/>
      <w:caps/>
      <w:color w:val="auto"/>
      <w:sz w:val="28"/>
      <w:szCs w:val="28"/>
      <w:lang w:val="en-GB"/>
    </w:rPr>
  </w:style>
  <w:style w:type="paragraph" w:customStyle="1" w:styleId="JuHIRoman">
    <w:name w:val="Ju_H_I_Roman"/>
    <w:aliases w:val="_Head_2"/>
    <w:basedOn w:val="Heading2"/>
    <w:next w:val="Normal"/>
    <w:uiPriority w:val="17"/>
    <w:qFormat/>
    <w:rsid w:val="009723F9"/>
    <w:pPr>
      <w:numPr>
        <w:ilvl w:val="1"/>
        <w:numId w:val="7"/>
      </w:numPr>
      <w:tabs>
        <w:tab w:val="num" w:pos="360"/>
        <w:tab w:val="left" w:pos="454"/>
        <w:tab w:val="left" w:pos="539"/>
        <w:tab w:val="left" w:pos="624"/>
        <w:tab w:val="left" w:pos="709"/>
        <w:tab w:val="left" w:pos="794"/>
      </w:tabs>
      <w:spacing w:before="100" w:beforeAutospacing="1" w:after="240" w:line="240" w:lineRule="auto"/>
      <w:ind w:left="0" w:firstLine="0"/>
      <w:jc w:val="both"/>
    </w:pPr>
    <w:rPr>
      <w:bCs/>
      <w:caps/>
      <w:color w:val="auto"/>
      <w:sz w:val="24"/>
      <w:lang w:val="en-GB"/>
    </w:rPr>
  </w:style>
  <w:style w:type="paragraph" w:customStyle="1" w:styleId="JuHA">
    <w:name w:val="Ju_H_A"/>
    <w:aliases w:val="_Head_3"/>
    <w:basedOn w:val="Heading3"/>
    <w:next w:val="Normal"/>
    <w:uiPriority w:val="17"/>
    <w:qFormat/>
    <w:rsid w:val="009723F9"/>
    <w:pPr>
      <w:numPr>
        <w:ilvl w:val="2"/>
        <w:numId w:val="7"/>
      </w:numPr>
      <w:tabs>
        <w:tab w:val="num" w:pos="360"/>
      </w:tabs>
      <w:spacing w:before="100" w:beforeAutospacing="1" w:after="240" w:line="240" w:lineRule="auto"/>
      <w:ind w:left="0" w:firstLine="0"/>
      <w:jc w:val="both"/>
    </w:pPr>
    <w:rPr>
      <w:b/>
      <w:bCs/>
      <w:color w:val="auto"/>
      <w:szCs w:val="22"/>
      <w:lang w:val="en-GB"/>
    </w:rPr>
  </w:style>
  <w:style w:type="paragraph" w:customStyle="1" w:styleId="JuH1">
    <w:name w:val="Ju_H_1."/>
    <w:aliases w:val="_Head_4"/>
    <w:basedOn w:val="Heading4"/>
    <w:next w:val="Normal"/>
    <w:uiPriority w:val="17"/>
    <w:rsid w:val="009723F9"/>
    <w:pPr>
      <w:numPr>
        <w:ilvl w:val="3"/>
        <w:numId w:val="7"/>
      </w:numPr>
      <w:tabs>
        <w:tab w:val="num" w:pos="360"/>
      </w:tabs>
      <w:spacing w:before="100" w:beforeAutospacing="1" w:after="120" w:line="240" w:lineRule="auto"/>
      <w:ind w:left="0" w:firstLine="0"/>
      <w:jc w:val="both"/>
    </w:pPr>
    <w:rPr>
      <w:bCs/>
      <w:color w:val="auto"/>
      <w:szCs w:val="22"/>
      <w:lang w:val="en-GB"/>
    </w:rPr>
  </w:style>
  <w:style w:type="paragraph" w:customStyle="1" w:styleId="JuHa0">
    <w:name w:val="Ju_H_a"/>
    <w:aliases w:val="_Head_5"/>
    <w:basedOn w:val="Heading5"/>
    <w:next w:val="Normal"/>
    <w:uiPriority w:val="17"/>
    <w:rsid w:val="009723F9"/>
    <w:pPr>
      <w:numPr>
        <w:ilvl w:val="4"/>
        <w:numId w:val="7"/>
      </w:numPr>
      <w:tabs>
        <w:tab w:val="num" w:pos="360"/>
      </w:tabs>
      <w:spacing w:before="100" w:beforeAutospacing="1" w:after="120" w:line="240" w:lineRule="auto"/>
      <w:ind w:left="0" w:firstLine="0"/>
      <w:jc w:val="both"/>
    </w:pPr>
    <w:rPr>
      <w:b/>
      <w:bCs/>
      <w:color w:val="auto"/>
      <w:sz w:val="20"/>
      <w:szCs w:val="22"/>
      <w:lang w:val="en-GB"/>
    </w:rPr>
  </w:style>
  <w:style w:type="paragraph" w:customStyle="1" w:styleId="JuHi">
    <w:name w:val="Ju_H_i"/>
    <w:aliases w:val="_Head_6"/>
    <w:basedOn w:val="Heading6"/>
    <w:next w:val="Normal"/>
    <w:uiPriority w:val="17"/>
    <w:rsid w:val="009723F9"/>
    <w:pPr>
      <w:numPr>
        <w:ilvl w:val="5"/>
        <w:numId w:val="7"/>
      </w:numPr>
      <w:tabs>
        <w:tab w:val="num" w:pos="360"/>
        <w:tab w:val="left" w:pos="1077"/>
        <w:tab w:val="left" w:pos="1134"/>
        <w:tab w:val="left" w:pos="1191"/>
        <w:tab w:val="left" w:pos="1247"/>
      </w:tabs>
      <w:spacing w:before="100" w:beforeAutospacing="1" w:after="120" w:line="271" w:lineRule="auto"/>
      <w:ind w:left="0" w:firstLine="0"/>
      <w:jc w:val="both"/>
    </w:pPr>
    <w:rPr>
      <w:bCs/>
      <w:i/>
      <w:iCs/>
      <w:color w:val="auto"/>
      <w:sz w:val="20"/>
      <w:szCs w:val="22"/>
      <w:lang w:val="en-GB" w:bidi="en-US"/>
    </w:rPr>
  </w:style>
  <w:style w:type="paragraph" w:customStyle="1" w:styleId="JuHalpha">
    <w:name w:val="Ju_H_alpha"/>
    <w:aliases w:val="_Head_7"/>
    <w:basedOn w:val="Heading7"/>
    <w:next w:val="Normal"/>
    <w:uiPriority w:val="17"/>
    <w:rsid w:val="009723F9"/>
    <w:pPr>
      <w:numPr>
        <w:ilvl w:val="6"/>
        <w:numId w:val="7"/>
      </w:numPr>
      <w:tabs>
        <w:tab w:val="num" w:pos="360"/>
        <w:tab w:val="left" w:pos="1361"/>
      </w:tabs>
      <w:spacing w:before="100" w:beforeAutospacing="1" w:after="120" w:line="240" w:lineRule="auto"/>
      <w:ind w:left="0" w:firstLine="0"/>
      <w:jc w:val="both"/>
    </w:pPr>
    <w:rPr>
      <w:i w:val="0"/>
      <w:color w:val="auto"/>
      <w:sz w:val="20"/>
      <w:szCs w:val="22"/>
      <w:lang w:val="en-GB" w:bidi="en-US"/>
    </w:rPr>
  </w:style>
  <w:style w:type="paragraph" w:customStyle="1" w:styleId="JuH">
    <w:name w:val="Ju_H_–"/>
    <w:aliases w:val="_Head_8"/>
    <w:basedOn w:val="Heading8"/>
    <w:next w:val="Normal"/>
    <w:uiPriority w:val="17"/>
    <w:rsid w:val="009723F9"/>
    <w:pPr>
      <w:numPr>
        <w:ilvl w:val="7"/>
        <w:numId w:val="7"/>
      </w:numPr>
      <w:tabs>
        <w:tab w:val="num" w:pos="360"/>
      </w:tabs>
      <w:spacing w:before="100" w:beforeAutospacing="1" w:after="120" w:line="240" w:lineRule="auto"/>
      <w:ind w:left="0" w:firstLine="0"/>
      <w:jc w:val="both"/>
    </w:pPr>
    <w:rPr>
      <w:i/>
      <w:color w:val="auto"/>
      <w:sz w:val="20"/>
      <w:szCs w:val="20"/>
      <w:lang w:val="en-GB" w:bidi="en-US"/>
    </w:rPr>
  </w:style>
  <w:style w:type="paragraph" w:customStyle="1" w:styleId="ECHRHeading9">
    <w:name w:val="ECHR_Heading_9"/>
    <w:aliases w:val="_Head_9"/>
    <w:basedOn w:val="Heading9"/>
    <w:uiPriority w:val="17"/>
    <w:semiHidden/>
    <w:rsid w:val="009723F9"/>
    <w:pPr>
      <w:numPr>
        <w:ilvl w:val="8"/>
        <w:numId w:val="7"/>
      </w:numPr>
      <w:tabs>
        <w:tab w:val="num" w:pos="360"/>
      </w:tabs>
      <w:spacing w:before="100" w:beforeAutospacing="1" w:line="240" w:lineRule="auto"/>
      <w:ind w:left="0" w:firstLine="0"/>
      <w:contextualSpacing/>
      <w:jc w:val="both"/>
    </w:pPr>
    <w:rPr>
      <w:i w:val="0"/>
      <w:color w:val="auto"/>
      <w:spacing w:val="5"/>
      <w:sz w:val="18"/>
      <w:szCs w:val="20"/>
      <w:lang w:val="en-GB" w:bidi="en-US"/>
    </w:rPr>
  </w:style>
  <w:style w:type="character" w:customStyle="1" w:styleId="Heading1Char">
    <w:name w:val="Heading 1 Char"/>
    <w:basedOn w:val="DefaultParagraphFont"/>
    <w:link w:val="Heading1"/>
    <w:uiPriority w:val="9"/>
    <w:rsid w:val="009723F9"/>
    <w:rPr>
      <w:rFonts w:asciiTheme="majorHAnsi" w:eastAsiaTheme="majorEastAsia" w:hAnsiTheme="majorHAnsi" w:cstheme="majorBidi"/>
      <w:color w:val="2F5496" w:themeColor="accent1" w:themeShade="BF"/>
      <w:sz w:val="32"/>
      <w:szCs w:val="32"/>
      <w:lang w:val="sq-AL"/>
    </w:rPr>
  </w:style>
  <w:style w:type="character" w:customStyle="1" w:styleId="Heading2Char">
    <w:name w:val="Heading 2 Char"/>
    <w:basedOn w:val="DefaultParagraphFont"/>
    <w:link w:val="Heading2"/>
    <w:uiPriority w:val="9"/>
    <w:semiHidden/>
    <w:rsid w:val="009723F9"/>
    <w:rPr>
      <w:rFonts w:asciiTheme="majorHAnsi" w:eastAsiaTheme="majorEastAsia" w:hAnsiTheme="majorHAnsi" w:cstheme="majorBidi"/>
      <w:color w:val="2F5496" w:themeColor="accent1" w:themeShade="BF"/>
      <w:sz w:val="26"/>
      <w:szCs w:val="26"/>
      <w:lang w:val="sq-AL"/>
    </w:rPr>
  </w:style>
  <w:style w:type="character" w:customStyle="1" w:styleId="Heading3Char">
    <w:name w:val="Heading 3 Char"/>
    <w:basedOn w:val="DefaultParagraphFont"/>
    <w:link w:val="Heading3"/>
    <w:uiPriority w:val="9"/>
    <w:semiHidden/>
    <w:rsid w:val="009723F9"/>
    <w:rPr>
      <w:rFonts w:asciiTheme="majorHAnsi" w:eastAsiaTheme="majorEastAsia" w:hAnsiTheme="majorHAnsi" w:cstheme="majorBidi"/>
      <w:color w:val="1F3763" w:themeColor="accent1" w:themeShade="7F"/>
      <w:sz w:val="24"/>
      <w:szCs w:val="24"/>
      <w:lang w:val="sq-AL"/>
    </w:rPr>
  </w:style>
  <w:style w:type="character" w:customStyle="1" w:styleId="Heading4Char">
    <w:name w:val="Heading 4 Char"/>
    <w:basedOn w:val="DefaultParagraphFont"/>
    <w:link w:val="Heading4"/>
    <w:uiPriority w:val="9"/>
    <w:semiHidden/>
    <w:rsid w:val="009723F9"/>
    <w:rPr>
      <w:rFonts w:asciiTheme="majorHAnsi" w:eastAsiaTheme="majorEastAsia" w:hAnsiTheme="majorHAnsi" w:cstheme="majorBidi"/>
      <w:i/>
      <w:iCs/>
      <w:color w:val="2F5496" w:themeColor="accent1" w:themeShade="BF"/>
      <w:sz w:val="24"/>
      <w:szCs w:val="24"/>
      <w:lang w:val="sq-AL"/>
    </w:rPr>
  </w:style>
  <w:style w:type="character" w:customStyle="1" w:styleId="Heading5Char">
    <w:name w:val="Heading 5 Char"/>
    <w:basedOn w:val="DefaultParagraphFont"/>
    <w:link w:val="Heading5"/>
    <w:uiPriority w:val="9"/>
    <w:semiHidden/>
    <w:rsid w:val="009723F9"/>
    <w:rPr>
      <w:rFonts w:asciiTheme="majorHAnsi" w:eastAsiaTheme="majorEastAsia" w:hAnsiTheme="majorHAnsi" w:cstheme="majorBidi"/>
      <w:color w:val="2F5496" w:themeColor="accent1" w:themeShade="BF"/>
      <w:sz w:val="24"/>
      <w:szCs w:val="24"/>
      <w:lang w:val="sq-AL"/>
    </w:rPr>
  </w:style>
  <w:style w:type="character" w:customStyle="1" w:styleId="Heading6Char">
    <w:name w:val="Heading 6 Char"/>
    <w:basedOn w:val="DefaultParagraphFont"/>
    <w:link w:val="Heading6"/>
    <w:uiPriority w:val="9"/>
    <w:semiHidden/>
    <w:rsid w:val="009723F9"/>
    <w:rPr>
      <w:rFonts w:asciiTheme="majorHAnsi" w:eastAsiaTheme="majorEastAsia" w:hAnsiTheme="majorHAnsi" w:cstheme="majorBidi"/>
      <w:color w:val="1F3763" w:themeColor="accent1" w:themeShade="7F"/>
      <w:sz w:val="24"/>
      <w:szCs w:val="24"/>
      <w:lang w:val="sq-AL"/>
    </w:rPr>
  </w:style>
  <w:style w:type="character" w:customStyle="1" w:styleId="Heading7Char">
    <w:name w:val="Heading 7 Char"/>
    <w:basedOn w:val="DefaultParagraphFont"/>
    <w:link w:val="Heading7"/>
    <w:uiPriority w:val="9"/>
    <w:semiHidden/>
    <w:rsid w:val="009723F9"/>
    <w:rPr>
      <w:rFonts w:asciiTheme="majorHAnsi" w:eastAsiaTheme="majorEastAsia" w:hAnsiTheme="majorHAnsi" w:cstheme="majorBidi"/>
      <w:i/>
      <w:iCs/>
      <w:color w:val="1F3763" w:themeColor="accent1" w:themeShade="7F"/>
      <w:sz w:val="24"/>
      <w:szCs w:val="24"/>
      <w:lang w:val="sq-AL"/>
    </w:rPr>
  </w:style>
  <w:style w:type="character" w:customStyle="1" w:styleId="Heading8Char">
    <w:name w:val="Heading 8 Char"/>
    <w:basedOn w:val="DefaultParagraphFont"/>
    <w:link w:val="Heading8"/>
    <w:uiPriority w:val="9"/>
    <w:semiHidden/>
    <w:rsid w:val="009723F9"/>
    <w:rPr>
      <w:rFonts w:asciiTheme="majorHAnsi" w:eastAsiaTheme="majorEastAsia" w:hAnsiTheme="majorHAnsi" w:cstheme="majorBidi"/>
      <w:color w:val="272727" w:themeColor="text1" w:themeTint="D8"/>
      <w:sz w:val="21"/>
      <w:szCs w:val="21"/>
      <w:lang w:val="sq-AL"/>
    </w:rPr>
  </w:style>
  <w:style w:type="character" w:customStyle="1" w:styleId="Heading9Char">
    <w:name w:val="Heading 9 Char"/>
    <w:basedOn w:val="DefaultParagraphFont"/>
    <w:link w:val="Heading9"/>
    <w:uiPriority w:val="9"/>
    <w:semiHidden/>
    <w:rsid w:val="009723F9"/>
    <w:rPr>
      <w:rFonts w:asciiTheme="majorHAnsi" w:eastAsiaTheme="majorEastAsia" w:hAnsiTheme="majorHAnsi" w:cstheme="majorBidi"/>
      <w:i/>
      <w:iCs/>
      <w:color w:val="272727" w:themeColor="text1" w:themeTint="D8"/>
      <w:sz w:val="21"/>
      <w:szCs w:val="21"/>
      <w:lang w:val="sq-AL"/>
    </w:rPr>
  </w:style>
  <w:style w:type="paragraph" w:customStyle="1" w:styleId="JuList">
    <w:name w:val="Ju_List"/>
    <w:aliases w:val="_List_1"/>
    <w:basedOn w:val="Normal"/>
    <w:uiPriority w:val="23"/>
    <w:qFormat/>
    <w:rsid w:val="009723F9"/>
    <w:pPr>
      <w:numPr>
        <w:numId w:val="9"/>
      </w:numPr>
      <w:spacing w:before="280" w:after="60" w:line="240" w:lineRule="auto"/>
      <w:jc w:val="both"/>
    </w:pPr>
    <w:rPr>
      <w:rFonts w:asciiTheme="minorHAnsi" w:eastAsiaTheme="minorHAnsi" w:hAnsiTheme="minorHAnsi" w:cstheme="minorBidi"/>
      <w:lang w:val="en-GB"/>
    </w:rPr>
  </w:style>
  <w:style w:type="paragraph" w:customStyle="1" w:styleId="JuLista">
    <w:name w:val="Ju_List_a"/>
    <w:aliases w:val="_List_2"/>
    <w:basedOn w:val="Normal"/>
    <w:uiPriority w:val="23"/>
    <w:rsid w:val="009723F9"/>
    <w:pPr>
      <w:numPr>
        <w:ilvl w:val="1"/>
        <w:numId w:val="9"/>
      </w:numPr>
      <w:spacing w:line="240" w:lineRule="auto"/>
      <w:jc w:val="both"/>
    </w:pPr>
    <w:rPr>
      <w:rFonts w:asciiTheme="minorHAnsi" w:eastAsiaTheme="minorHAnsi" w:hAnsiTheme="minorHAnsi" w:cstheme="minorBidi"/>
      <w:lang w:val="en-GB"/>
    </w:rPr>
  </w:style>
  <w:style w:type="paragraph" w:customStyle="1" w:styleId="JuListi">
    <w:name w:val="Ju_List_i"/>
    <w:aliases w:val="_List_3"/>
    <w:basedOn w:val="Normal"/>
    <w:uiPriority w:val="23"/>
    <w:rsid w:val="009723F9"/>
    <w:pPr>
      <w:numPr>
        <w:ilvl w:val="2"/>
        <w:numId w:val="9"/>
      </w:numPr>
      <w:spacing w:line="240" w:lineRule="auto"/>
      <w:jc w:val="both"/>
    </w:pPr>
    <w:rPr>
      <w:rFonts w:asciiTheme="minorHAnsi" w:eastAsiaTheme="minorHAnsi" w:hAnsiTheme="minorHAnsi" w:cstheme="minorBidi"/>
      <w:lang w:val="en-GB"/>
    </w:rPr>
  </w:style>
  <w:style w:type="numbering" w:customStyle="1" w:styleId="ECHRA1StyleList">
    <w:name w:val="ECHR_A1_Style_List"/>
    <w:basedOn w:val="NoList"/>
    <w:uiPriority w:val="99"/>
    <w:rsid w:val="009723F9"/>
    <w:pPr>
      <w:numPr>
        <w:numId w:val="8"/>
      </w:numPr>
    </w:pPr>
  </w:style>
  <w:style w:type="paragraph" w:customStyle="1" w:styleId="JuPara">
    <w:name w:val="Ju_Para"/>
    <w:aliases w:val="_Para"/>
    <w:basedOn w:val="Normal"/>
    <w:link w:val="JuParaChar"/>
    <w:uiPriority w:val="4"/>
    <w:qFormat/>
    <w:rsid w:val="00E55307"/>
    <w:pPr>
      <w:spacing w:line="240" w:lineRule="auto"/>
      <w:ind w:firstLine="284"/>
      <w:jc w:val="both"/>
    </w:pPr>
    <w:rPr>
      <w:rFonts w:asciiTheme="minorHAnsi" w:eastAsiaTheme="minorHAnsi" w:hAnsiTheme="minorHAnsi" w:cstheme="minorBidi"/>
      <w:lang w:val="en-GB"/>
    </w:rPr>
  </w:style>
  <w:style w:type="character" w:customStyle="1" w:styleId="JuParaChar">
    <w:name w:val="Ju_Para Char"/>
    <w:aliases w:val="_Para Char"/>
    <w:link w:val="JuPara"/>
    <w:uiPriority w:val="4"/>
    <w:rsid w:val="00E55307"/>
    <w:rPr>
      <w:sz w:val="24"/>
      <w:szCs w:val="24"/>
      <w:lang w:val="en-GB"/>
    </w:rPr>
  </w:style>
  <w:style w:type="paragraph" w:customStyle="1" w:styleId="JuTitle">
    <w:name w:val="Ju_Title"/>
    <w:aliases w:val="_Title_2"/>
    <w:basedOn w:val="Normal"/>
    <w:next w:val="JuPara"/>
    <w:uiPriority w:val="38"/>
    <w:qFormat/>
    <w:rsid w:val="003C13D9"/>
    <w:pPr>
      <w:keepNext/>
      <w:keepLines/>
      <w:spacing w:before="1320" w:after="280" w:line="240" w:lineRule="auto"/>
      <w:contextualSpacing/>
      <w:jc w:val="center"/>
    </w:pPr>
    <w:rPr>
      <w:rFonts w:asciiTheme="minorHAnsi" w:eastAsiaTheme="minorHAnsi" w:hAnsiTheme="minorHAnsi" w:cstheme="minorBidi"/>
      <w:b/>
      <w:lang w:val="en-US"/>
    </w:rPr>
  </w:style>
  <w:style w:type="paragraph" w:customStyle="1" w:styleId="paragrafi">
    <w:name w:val="paragrafi"/>
    <w:basedOn w:val="Normal"/>
    <w:rsid w:val="003C13D9"/>
    <w:pPr>
      <w:spacing w:before="100" w:beforeAutospacing="1" w:after="100" w:afterAutospacing="1" w:line="240" w:lineRule="auto"/>
    </w:pPr>
    <w:rPr>
      <w:rFonts w:eastAsia="Times New Roman"/>
      <w:lang w:val="en-GB" w:eastAsia="en-GB"/>
    </w:rPr>
  </w:style>
  <w:style w:type="paragraph" w:styleId="FootnoteText">
    <w:name w:val="footnote text"/>
    <w:aliases w:val="Car,Char Char, Char1,Footnote Text Char1 Char Char Char,Footnote Text Char Char Char Char Char,Char1,single space,footnote text,fn,FOOTNOTES,Footnote Text Char2 Char,Footnote Text Char1 Char Char,Footnote Text Char2 Char Char Char,f,Char"/>
    <w:basedOn w:val="Normal"/>
    <w:link w:val="FootnoteTextChar"/>
    <w:qFormat/>
    <w:rsid w:val="003C13D9"/>
    <w:pPr>
      <w:spacing w:line="240" w:lineRule="auto"/>
    </w:pPr>
    <w:rPr>
      <w:rFonts w:eastAsia="Times New Roman"/>
      <w:sz w:val="20"/>
      <w:szCs w:val="20"/>
      <w:lang w:val="en-GB" w:eastAsia="en-GB"/>
    </w:rPr>
  </w:style>
  <w:style w:type="character" w:customStyle="1" w:styleId="FootnoteTextChar">
    <w:name w:val="Footnote Text Char"/>
    <w:aliases w:val="Car Char,Char Char Char, Char1 Char,Footnote Text Char1 Char Char Char Char,Footnote Text Char Char Char Char Char Char,Char1 Char,single space Char,footnote text Char,fn Char,FOOTNOTES Char,Footnote Text Char2 Char Char,f Char"/>
    <w:basedOn w:val="DefaultParagraphFont"/>
    <w:link w:val="FootnoteText"/>
    <w:rsid w:val="003C13D9"/>
    <w:rPr>
      <w:rFonts w:ascii="Times New Roman" w:eastAsia="Times New Roman" w:hAnsi="Times New Roman" w:cs="Times New Roman"/>
      <w:sz w:val="20"/>
      <w:szCs w:val="20"/>
      <w:lang w:val="en-GB" w:eastAsia="en-GB"/>
    </w:rPr>
  </w:style>
  <w:style w:type="paragraph" w:styleId="CommentText">
    <w:name w:val="annotation text"/>
    <w:basedOn w:val="Normal"/>
    <w:link w:val="CommentTextChar"/>
    <w:semiHidden/>
    <w:unhideWhenUsed/>
    <w:rsid w:val="0071191D"/>
    <w:pPr>
      <w:spacing w:line="240" w:lineRule="auto"/>
    </w:pPr>
    <w:rPr>
      <w:rFonts w:eastAsia="Times New Roman"/>
      <w:sz w:val="20"/>
      <w:szCs w:val="20"/>
      <w:lang w:val="en-US"/>
    </w:rPr>
  </w:style>
  <w:style w:type="character" w:customStyle="1" w:styleId="CommentTextChar">
    <w:name w:val="Comment Text Char"/>
    <w:basedOn w:val="DefaultParagraphFont"/>
    <w:link w:val="CommentText"/>
    <w:semiHidden/>
    <w:rsid w:val="0071191D"/>
    <w:rPr>
      <w:rFonts w:ascii="Times New Roman" w:eastAsia="Times New Roman" w:hAnsi="Times New Roman" w:cs="Times New Roman"/>
      <w:sz w:val="20"/>
      <w:szCs w:val="20"/>
    </w:rPr>
  </w:style>
  <w:style w:type="character" w:styleId="FootnoteReference">
    <w:name w:val="footnote reference"/>
    <w:aliases w:val="BVI fnr Char,Footnote symbol Char,Footnote Reference Arial Char,Car Char Car Char Car Char Char Char Char Char Char Char Char,Footnote Refernece Char Char Char,Footnote Refernece Char Char,ftref Char,callout Char Char,callou,Ref"/>
    <w:link w:val="BVIfnr"/>
    <w:uiPriority w:val="99"/>
    <w:unhideWhenUsed/>
    <w:qFormat/>
    <w:rsid w:val="00F042F9"/>
    <w:rPr>
      <w:vertAlign w:val="superscript"/>
    </w:rPr>
  </w:style>
  <w:style w:type="paragraph" w:customStyle="1" w:styleId="BVIfnr">
    <w:name w:val="BVI fnr"/>
    <w:aliases w:val="Footnote symbol,Footnote Reference Arial,Car Char Car Char Car Char Char Char Char Char Char Char,Footnote Refernece Char Char1,Footnote Refernece Char,Car Char Car Char Car Char Char Char Char Char Char Char Char1,ftref,callout"/>
    <w:basedOn w:val="Normal"/>
    <w:link w:val="FootnoteReference"/>
    <w:uiPriority w:val="99"/>
    <w:rsid w:val="00F042F9"/>
    <w:pPr>
      <w:spacing w:after="160" w:line="240" w:lineRule="exact"/>
    </w:pPr>
    <w:rPr>
      <w:rFonts w:asciiTheme="minorHAnsi" w:eastAsiaTheme="minorHAnsi" w:hAnsiTheme="minorHAnsi" w:cstheme="minorBidi"/>
      <w:sz w:val="22"/>
      <w:szCs w:val="22"/>
      <w:vertAlign w:val="superscript"/>
      <w:lang w:val="en-US"/>
    </w:rPr>
  </w:style>
  <w:style w:type="character" w:customStyle="1" w:styleId="jlqj4b">
    <w:name w:val="jlqj4b"/>
    <w:rsid w:val="00F042F9"/>
  </w:style>
  <w:style w:type="paragraph" w:styleId="Revision">
    <w:name w:val="Revision"/>
    <w:hidden/>
    <w:uiPriority w:val="99"/>
    <w:semiHidden/>
    <w:rsid w:val="00630BB5"/>
    <w:pPr>
      <w:spacing w:after="0" w:line="240" w:lineRule="auto"/>
    </w:pPr>
    <w:rPr>
      <w:rFonts w:ascii="Times New Roman" w:eastAsia="MS Mincho" w:hAnsi="Times New Roman" w:cs="Times New Roman"/>
      <w:sz w:val="24"/>
      <w:szCs w:val="24"/>
      <w:lang w:val="sq-AL"/>
    </w:rPr>
  </w:style>
  <w:style w:type="character" w:styleId="CommentReference">
    <w:name w:val="annotation reference"/>
    <w:basedOn w:val="DefaultParagraphFont"/>
    <w:uiPriority w:val="99"/>
    <w:semiHidden/>
    <w:unhideWhenUsed/>
    <w:rsid w:val="00630BB5"/>
    <w:rPr>
      <w:sz w:val="16"/>
      <w:szCs w:val="16"/>
    </w:rPr>
  </w:style>
  <w:style w:type="paragraph" w:styleId="CommentSubject">
    <w:name w:val="annotation subject"/>
    <w:basedOn w:val="CommentText"/>
    <w:next w:val="CommentText"/>
    <w:link w:val="CommentSubjectChar"/>
    <w:uiPriority w:val="99"/>
    <w:semiHidden/>
    <w:unhideWhenUsed/>
    <w:rsid w:val="00630BB5"/>
    <w:rPr>
      <w:rFonts w:eastAsia="MS Mincho"/>
      <w:b/>
      <w:bCs/>
      <w:lang w:val="sq-AL"/>
    </w:rPr>
  </w:style>
  <w:style w:type="character" w:customStyle="1" w:styleId="CommentSubjectChar">
    <w:name w:val="Comment Subject Char"/>
    <w:basedOn w:val="CommentTextChar"/>
    <w:link w:val="CommentSubject"/>
    <w:uiPriority w:val="99"/>
    <w:semiHidden/>
    <w:rsid w:val="00630BB5"/>
    <w:rPr>
      <w:rFonts w:ascii="Times New Roman" w:eastAsia="MS Mincho" w:hAnsi="Times New Roman" w:cs="Times New Roman"/>
      <w:b/>
      <w:bCs/>
      <w:sz w:val="20"/>
      <w:szCs w:val="20"/>
      <w:lang w:val="sq-AL"/>
    </w:rPr>
  </w:style>
  <w:style w:type="paragraph" w:styleId="BalloonText">
    <w:name w:val="Balloon Text"/>
    <w:basedOn w:val="Normal"/>
    <w:link w:val="BalloonTextChar"/>
    <w:uiPriority w:val="99"/>
    <w:semiHidden/>
    <w:unhideWhenUsed/>
    <w:rsid w:val="0079032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320"/>
    <w:rPr>
      <w:rFonts w:ascii="Segoe UI" w:eastAsia="MS Mincho" w:hAnsi="Segoe UI" w:cs="Segoe UI"/>
      <w:sz w:val="18"/>
      <w:szCs w:val="18"/>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75162">
      <w:bodyDiv w:val="1"/>
      <w:marLeft w:val="0"/>
      <w:marRight w:val="0"/>
      <w:marTop w:val="0"/>
      <w:marBottom w:val="0"/>
      <w:divBdr>
        <w:top w:val="none" w:sz="0" w:space="0" w:color="auto"/>
        <w:left w:val="none" w:sz="0" w:space="0" w:color="auto"/>
        <w:bottom w:val="none" w:sz="0" w:space="0" w:color="auto"/>
        <w:right w:val="none" w:sz="0" w:space="0" w:color="auto"/>
      </w:divBdr>
    </w:div>
    <w:div w:id="49158808">
      <w:bodyDiv w:val="1"/>
      <w:marLeft w:val="0"/>
      <w:marRight w:val="0"/>
      <w:marTop w:val="0"/>
      <w:marBottom w:val="0"/>
      <w:divBdr>
        <w:top w:val="none" w:sz="0" w:space="0" w:color="auto"/>
        <w:left w:val="none" w:sz="0" w:space="0" w:color="auto"/>
        <w:bottom w:val="none" w:sz="0" w:space="0" w:color="auto"/>
        <w:right w:val="none" w:sz="0" w:space="0" w:color="auto"/>
      </w:divBdr>
    </w:div>
    <w:div w:id="93017134">
      <w:bodyDiv w:val="1"/>
      <w:marLeft w:val="0"/>
      <w:marRight w:val="0"/>
      <w:marTop w:val="0"/>
      <w:marBottom w:val="0"/>
      <w:divBdr>
        <w:top w:val="none" w:sz="0" w:space="0" w:color="auto"/>
        <w:left w:val="none" w:sz="0" w:space="0" w:color="auto"/>
        <w:bottom w:val="none" w:sz="0" w:space="0" w:color="auto"/>
        <w:right w:val="none" w:sz="0" w:space="0" w:color="auto"/>
      </w:divBdr>
    </w:div>
    <w:div w:id="173492870">
      <w:bodyDiv w:val="1"/>
      <w:marLeft w:val="0"/>
      <w:marRight w:val="0"/>
      <w:marTop w:val="0"/>
      <w:marBottom w:val="0"/>
      <w:divBdr>
        <w:top w:val="none" w:sz="0" w:space="0" w:color="auto"/>
        <w:left w:val="none" w:sz="0" w:space="0" w:color="auto"/>
        <w:bottom w:val="none" w:sz="0" w:space="0" w:color="auto"/>
        <w:right w:val="none" w:sz="0" w:space="0" w:color="auto"/>
      </w:divBdr>
    </w:div>
    <w:div w:id="280767472">
      <w:bodyDiv w:val="1"/>
      <w:marLeft w:val="0"/>
      <w:marRight w:val="0"/>
      <w:marTop w:val="0"/>
      <w:marBottom w:val="0"/>
      <w:divBdr>
        <w:top w:val="none" w:sz="0" w:space="0" w:color="auto"/>
        <w:left w:val="none" w:sz="0" w:space="0" w:color="auto"/>
        <w:bottom w:val="none" w:sz="0" w:space="0" w:color="auto"/>
        <w:right w:val="none" w:sz="0" w:space="0" w:color="auto"/>
      </w:divBdr>
    </w:div>
    <w:div w:id="391973997">
      <w:bodyDiv w:val="1"/>
      <w:marLeft w:val="0"/>
      <w:marRight w:val="0"/>
      <w:marTop w:val="0"/>
      <w:marBottom w:val="0"/>
      <w:divBdr>
        <w:top w:val="none" w:sz="0" w:space="0" w:color="auto"/>
        <w:left w:val="none" w:sz="0" w:space="0" w:color="auto"/>
        <w:bottom w:val="none" w:sz="0" w:space="0" w:color="auto"/>
        <w:right w:val="none" w:sz="0" w:space="0" w:color="auto"/>
      </w:divBdr>
    </w:div>
    <w:div w:id="392893428">
      <w:bodyDiv w:val="1"/>
      <w:marLeft w:val="0"/>
      <w:marRight w:val="0"/>
      <w:marTop w:val="0"/>
      <w:marBottom w:val="0"/>
      <w:divBdr>
        <w:top w:val="none" w:sz="0" w:space="0" w:color="auto"/>
        <w:left w:val="none" w:sz="0" w:space="0" w:color="auto"/>
        <w:bottom w:val="none" w:sz="0" w:space="0" w:color="auto"/>
        <w:right w:val="none" w:sz="0" w:space="0" w:color="auto"/>
      </w:divBdr>
    </w:div>
    <w:div w:id="518588936">
      <w:bodyDiv w:val="1"/>
      <w:marLeft w:val="0"/>
      <w:marRight w:val="0"/>
      <w:marTop w:val="0"/>
      <w:marBottom w:val="0"/>
      <w:divBdr>
        <w:top w:val="none" w:sz="0" w:space="0" w:color="auto"/>
        <w:left w:val="none" w:sz="0" w:space="0" w:color="auto"/>
        <w:bottom w:val="none" w:sz="0" w:space="0" w:color="auto"/>
        <w:right w:val="none" w:sz="0" w:space="0" w:color="auto"/>
      </w:divBdr>
    </w:div>
    <w:div w:id="541986169">
      <w:bodyDiv w:val="1"/>
      <w:marLeft w:val="0"/>
      <w:marRight w:val="0"/>
      <w:marTop w:val="0"/>
      <w:marBottom w:val="0"/>
      <w:divBdr>
        <w:top w:val="none" w:sz="0" w:space="0" w:color="auto"/>
        <w:left w:val="none" w:sz="0" w:space="0" w:color="auto"/>
        <w:bottom w:val="none" w:sz="0" w:space="0" w:color="auto"/>
        <w:right w:val="none" w:sz="0" w:space="0" w:color="auto"/>
      </w:divBdr>
    </w:div>
    <w:div w:id="626787864">
      <w:bodyDiv w:val="1"/>
      <w:marLeft w:val="0"/>
      <w:marRight w:val="0"/>
      <w:marTop w:val="0"/>
      <w:marBottom w:val="0"/>
      <w:divBdr>
        <w:top w:val="none" w:sz="0" w:space="0" w:color="auto"/>
        <w:left w:val="none" w:sz="0" w:space="0" w:color="auto"/>
        <w:bottom w:val="none" w:sz="0" w:space="0" w:color="auto"/>
        <w:right w:val="none" w:sz="0" w:space="0" w:color="auto"/>
      </w:divBdr>
    </w:div>
    <w:div w:id="640811732">
      <w:bodyDiv w:val="1"/>
      <w:marLeft w:val="0"/>
      <w:marRight w:val="0"/>
      <w:marTop w:val="0"/>
      <w:marBottom w:val="0"/>
      <w:divBdr>
        <w:top w:val="none" w:sz="0" w:space="0" w:color="auto"/>
        <w:left w:val="none" w:sz="0" w:space="0" w:color="auto"/>
        <w:bottom w:val="none" w:sz="0" w:space="0" w:color="auto"/>
        <w:right w:val="none" w:sz="0" w:space="0" w:color="auto"/>
      </w:divBdr>
    </w:div>
    <w:div w:id="821241825">
      <w:bodyDiv w:val="1"/>
      <w:marLeft w:val="0"/>
      <w:marRight w:val="0"/>
      <w:marTop w:val="0"/>
      <w:marBottom w:val="0"/>
      <w:divBdr>
        <w:top w:val="none" w:sz="0" w:space="0" w:color="auto"/>
        <w:left w:val="none" w:sz="0" w:space="0" w:color="auto"/>
        <w:bottom w:val="none" w:sz="0" w:space="0" w:color="auto"/>
        <w:right w:val="none" w:sz="0" w:space="0" w:color="auto"/>
      </w:divBdr>
    </w:div>
    <w:div w:id="832992237">
      <w:bodyDiv w:val="1"/>
      <w:marLeft w:val="0"/>
      <w:marRight w:val="0"/>
      <w:marTop w:val="0"/>
      <w:marBottom w:val="0"/>
      <w:divBdr>
        <w:top w:val="none" w:sz="0" w:space="0" w:color="auto"/>
        <w:left w:val="none" w:sz="0" w:space="0" w:color="auto"/>
        <w:bottom w:val="none" w:sz="0" w:space="0" w:color="auto"/>
        <w:right w:val="none" w:sz="0" w:space="0" w:color="auto"/>
      </w:divBdr>
    </w:div>
    <w:div w:id="1042630141">
      <w:bodyDiv w:val="1"/>
      <w:marLeft w:val="0"/>
      <w:marRight w:val="0"/>
      <w:marTop w:val="0"/>
      <w:marBottom w:val="0"/>
      <w:divBdr>
        <w:top w:val="none" w:sz="0" w:space="0" w:color="auto"/>
        <w:left w:val="none" w:sz="0" w:space="0" w:color="auto"/>
        <w:bottom w:val="none" w:sz="0" w:space="0" w:color="auto"/>
        <w:right w:val="none" w:sz="0" w:space="0" w:color="auto"/>
      </w:divBdr>
    </w:div>
    <w:div w:id="1324167803">
      <w:bodyDiv w:val="1"/>
      <w:marLeft w:val="0"/>
      <w:marRight w:val="0"/>
      <w:marTop w:val="0"/>
      <w:marBottom w:val="0"/>
      <w:divBdr>
        <w:top w:val="none" w:sz="0" w:space="0" w:color="auto"/>
        <w:left w:val="none" w:sz="0" w:space="0" w:color="auto"/>
        <w:bottom w:val="none" w:sz="0" w:space="0" w:color="auto"/>
        <w:right w:val="none" w:sz="0" w:space="0" w:color="auto"/>
      </w:divBdr>
    </w:div>
    <w:div w:id="1403217152">
      <w:bodyDiv w:val="1"/>
      <w:marLeft w:val="0"/>
      <w:marRight w:val="0"/>
      <w:marTop w:val="0"/>
      <w:marBottom w:val="0"/>
      <w:divBdr>
        <w:top w:val="none" w:sz="0" w:space="0" w:color="auto"/>
        <w:left w:val="none" w:sz="0" w:space="0" w:color="auto"/>
        <w:bottom w:val="none" w:sz="0" w:space="0" w:color="auto"/>
        <w:right w:val="none" w:sz="0" w:space="0" w:color="auto"/>
      </w:divBdr>
    </w:div>
    <w:div w:id="1463767250">
      <w:bodyDiv w:val="1"/>
      <w:marLeft w:val="0"/>
      <w:marRight w:val="0"/>
      <w:marTop w:val="0"/>
      <w:marBottom w:val="0"/>
      <w:divBdr>
        <w:top w:val="none" w:sz="0" w:space="0" w:color="auto"/>
        <w:left w:val="none" w:sz="0" w:space="0" w:color="auto"/>
        <w:bottom w:val="none" w:sz="0" w:space="0" w:color="auto"/>
        <w:right w:val="none" w:sz="0" w:space="0" w:color="auto"/>
      </w:divBdr>
    </w:div>
    <w:div w:id="1539273534">
      <w:bodyDiv w:val="1"/>
      <w:marLeft w:val="0"/>
      <w:marRight w:val="0"/>
      <w:marTop w:val="0"/>
      <w:marBottom w:val="0"/>
      <w:divBdr>
        <w:top w:val="none" w:sz="0" w:space="0" w:color="auto"/>
        <w:left w:val="none" w:sz="0" w:space="0" w:color="auto"/>
        <w:bottom w:val="none" w:sz="0" w:space="0" w:color="auto"/>
        <w:right w:val="none" w:sz="0" w:space="0" w:color="auto"/>
      </w:divBdr>
    </w:div>
    <w:div w:id="1717437431">
      <w:bodyDiv w:val="1"/>
      <w:marLeft w:val="0"/>
      <w:marRight w:val="0"/>
      <w:marTop w:val="0"/>
      <w:marBottom w:val="0"/>
      <w:divBdr>
        <w:top w:val="none" w:sz="0" w:space="0" w:color="auto"/>
        <w:left w:val="none" w:sz="0" w:space="0" w:color="auto"/>
        <w:bottom w:val="none" w:sz="0" w:space="0" w:color="auto"/>
        <w:right w:val="none" w:sz="0" w:space="0" w:color="auto"/>
      </w:divBdr>
    </w:div>
    <w:div w:id="1987860436">
      <w:bodyDiv w:val="1"/>
      <w:marLeft w:val="0"/>
      <w:marRight w:val="0"/>
      <w:marTop w:val="0"/>
      <w:marBottom w:val="0"/>
      <w:divBdr>
        <w:top w:val="none" w:sz="0" w:space="0" w:color="auto"/>
        <w:left w:val="none" w:sz="0" w:space="0" w:color="auto"/>
        <w:bottom w:val="none" w:sz="0" w:space="0" w:color="auto"/>
        <w:right w:val="none" w:sz="0" w:space="0" w:color="auto"/>
      </w:divBdr>
    </w:div>
    <w:div w:id="206749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6662</Words>
  <Characters>37977</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44550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Kaliona Nushi</dc:creator>
  <cp:keywords/>
  <dc:description/>
  <cp:lastModifiedBy>Entela Suli</cp:lastModifiedBy>
  <cp:revision>3</cp:revision>
  <cp:lastPrinted>2025-11-12T11:26:00Z</cp:lastPrinted>
  <dcterms:created xsi:type="dcterms:W3CDTF">2025-11-17T13:29:00Z</dcterms:created>
  <dcterms:modified xsi:type="dcterms:W3CDTF">2025-11-17T13:29:00Z</dcterms:modified>
</cp:coreProperties>
</file>